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7.2.3. CARACTERIZACIÓN PROCESO LEGISLATIVO – CODIGO ___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68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9"/>
        <w:gridCol w:w="553"/>
        <w:gridCol w:w="187"/>
        <w:gridCol w:w="948"/>
        <w:gridCol w:w="2407"/>
        <w:gridCol w:w="237"/>
        <w:gridCol w:w="1114"/>
        <w:gridCol w:w="977"/>
        <w:gridCol w:w="350"/>
        <w:gridCol w:w="327"/>
        <w:gridCol w:w="880"/>
        <w:gridCol w:w="324"/>
        <w:gridCol w:w="47"/>
        <w:gridCol w:w="1135"/>
        <w:gridCol w:w="1130"/>
        <w:gridCol w:w="287"/>
        <w:gridCol w:w="782"/>
        <w:gridCol w:w="16"/>
        <w:gridCol w:w="166"/>
        <w:gridCol w:w="263"/>
        <w:tblGridChange w:id="0">
          <w:tblGrid>
            <w:gridCol w:w="1039"/>
            <w:gridCol w:w="553"/>
            <w:gridCol w:w="187"/>
            <w:gridCol w:w="948"/>
            <w:gridCol w:w="2407"/>
            <w:gridCol w:w="237"/>
            <w:gridCol w:w="1114"/>
            <w:gridCol w:w="977"/>
            <w:gridCol w:w="350"/>
            <w:gridCol w:w="327"/>
            <w:gridCol w:w="880"/>
            <w:gridCol w:w="324"/>
            <w:gridCol w:w="47"/>
            <w:gridCol w:w="1135"/>
            <w:gridCol w:w="1130"/>
            <w:gridCol w:w="287"/>
            <w:gridCol w:w="782"/>
            <w:gridCol w:w="16"/>
            <w:gridCol w:w="166"/>
            <w:gridCol w:w="263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1.TIPO DE PROCESO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ESTRATÉGICO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MISIONAL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80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APOYO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60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2. OBJETIVO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Elaborar, interpretar, reformar y derogar las leyes y códigos en todos los ramos de la legislación.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3. RESPONSABLE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Congreso de la República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4. ALCANCE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Radicación del proyecto de ley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Fin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Aprobación del proyecto de ley y sanción presidencial o rechazo y archivo del mismo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5. PROVEEDOR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6. ENTRADAS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7. CICLO DEL PROCESO-ACTIVIDADES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8. SALIDAS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9. CLIENTE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28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Pueden presentar proyectos de ley:  </w:t>
            </w:r>
          </w:p>
          <w:p w:rsidR="00000000" w:rsidDel="00000000" w:rsidP="00000000" w:rsidRDefault="00000000" w:rsidRPr="00000000" w14:paraId="00000065">
            <w:pPr>
              <w:spacing w:after="280" w:before="28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 Los Senadores y Representantes a la Cámara individualmente y a través de las bancadas.  </w:t>
            </w:r>
          </w:p>
          <w:p w:rsidR="00000000" w:rsidDel="00000000" w:rsidP="00000000" w:rsidRDefault="00000000" w:rsidRPr="00000000" w14:paraId="00000066">
            <w:pPr>
              <w:spacing w:after="280" w:before="28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 El Gobierno Nacional, a través de los Ministros del Despacho.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67">
            <w:pPr>
              <w:spacing w:after="280" w:before="28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3. La Corte Constitucional.  </w:t>
            </w:r>
          </w:p>
          <w:p w:rsidR="00000000" w:rsidDel="00000000" w:rsidP="00000000" w:rsidRDefault="00000000" w:rsidRPr="00000000" w14:paraId="00000068">
            <w:pPr>
              <w:spacing w:after="280" w:before="28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4. El Consejo Superior de la Judicatura.   </w:t>
            </w:r>
          </w:p>
          <w:p w:rsidR="00000000" w:rsidDel="00000000" w:rsidP="00000000" w:rsidRDefault="00000000" w:rsidRPr="00000000" w14:paraId="00000069">
            <w:pPr>
              <w:spacing w:after="280" w:before="28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5. La Corte Suprema de Justicia.   </w:t>
            </w:r>
          </w:p>
          <w:p w:rsidR="00000000" w:rsidDel="00000000" w:rsidP="00000000" w:rsidRDefault="00000000" w:rsidRPr="00000000" w14:paraId="0000006A">
            <w:pPr>
              <w:spacing w:after="280" w:before="28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6. El Consejo de Estado.   </w:t>
            </w:r>
          </w:p>
          <w:p w:rsidR="00000000" w:rsidDel="00000000" w:rsidP="00000000" w:rsidRDefault="00000000" w:rsidRPr="00000000" w14:paraId="0000006B">
            <w:pPr>
              <w:spacing w:after="280" w:before="28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7. El Consejo Nacional Electoral.  </w:t>
            </w:r>
          </w:p>
          <w:p w:rsidR="00000000" w:rsidDel="00000000" w:rsidP="00000000" w:rsidRDefault="00000000" w:rsidRPr="00000000" w14:paraId="0000006C">
            <w:pPr>
              <w:spacing w:after="280" w:before="28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8. El Procurador General de la Nación.   </w:t>
            </w:r>
          </w:p>
          <w:p w:rsidR="00000000" w:rsidDel="00000000" w:rsidP="00000000" w:rsidRDefault="00000000" w:rsidRPr="00000000" w14:paraId="0000006D">
            <w:pPr>
              <w:spacing w:after="280" w:before="28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9. El Contralor General de la República.   </w:t>
            </w:r>
          </w:p>
          <w:p w:rsidR="00000000" w:rsidDel="00000000" w:rsidP="00000000" w:rsidRDefault="00000000" w:rsidRPr="00000000" w14:paraId="0000006E">
            <w:pPr>
              <w:spacing w:after="280" w:before="28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10. El Fiscal General de la Nación.   </w:t>
            </w:r>
          </w:p>
          <w:p w:rsidR="00000000" w:rsidDel="00000000" w:rsidP="00000000" w:rsidRDefault="00000000" w:rsidRPr="00000000" w14:paraId="0000006F">
            <w:pPr>
              <w:spacing w:after="280" w:before="28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11. El Defensor del Pueblo.   </w:t>
            </w:r>
          </w:p>
          <w:p w:rsidR="00000000" w:rsidDel="00000000" w:rsidP="00000000" w:rsidRDefault="00000000" w:rsidRPr="00000000" w14:paraId="00000070">
            <w:pPr>
              <w:spacing w:after="280" w:before="28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Podrán también presentar proyectos de ley, en razón del mecanismo de participación popular: </w:t>
            </w:r>
          </w:p>
          <w:p w:rsidR="00000000" w:rsidDel="00000000" w:rsidP="00000000" w:rsidRDefault="00000000" w:rsidRPr="00000000" w14:paraId="00000071">
            <w:pPr>
              <w:spacing w:after="280" w:before="28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 Un número de ciudadanos igual o superior al cinco por ciento (5%) del censo electoral existente en la fecha respectiva. </w:t>
            </w:r>
          </w:p>
          <w:p w:rsidR="00000000" w:rsidDel="00000000" w:rsidP="00000000" w:rsidRDefault="00000000" w:rsidRPr="00000000" w14:paraId="00000072">
            <w:pPr>
              <w:spacing w:after="280" w:before="28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 Un treinta por ciento (30%) de los Concejales del país. </w:t>
            </w:r>
          </w:p>
          <w:p w:rsidR="00000000" w:rsidDel="00000000" w:rsidP="00000000" w:rsidRDefault="00000000" w:rsidRPr="00000000" w14:paraId="00000073">
            <w:pPr>
              <w:spacing w:before="28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3. Un treinta por ciento (30%) de los Diputados del país.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Los proyectos de ley podrán presentarse en la Secretaría General de las Cámaras o en sus plenarias.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Los proyectos de ley relativos a tributos y presupuesto de rentas y gastos serán presentados en la Secretaría de la Cámara de Representantes, mientras que los de relaciones internacionales lo serán en el Senado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Determinación de los procedimientos específicos para la aprobación o rechazo de Proyectos de Ley en el proceso legislativo ordinario, incluidas las Leyes Marco o Cuadro de que trata el art. 150 núm. 19 constitucional: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Presentación de proyectos de ley: debe contener exposición de motivos y un articulado.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Publicación del proyecto en la Gaceta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Reparto a la Comisión Permanente respectiva de acuerdo a su tema (ley 3 de 1992 artículo 1).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Radicación del proyecto en la Comisión Permanente respectiva a través de un auto de reparto.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Designación de ponentes mediante una resolución emitida por la mesa directiva de cada comisión.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da un tiempo determinado a los ponentes para que radiquen la ponencia.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Presentación y publicación del informe de ponencia.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Inicio primer debate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Discusión proyecto de ley y/o acto legislativo.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Declaración de suficiente ilustración en caso de ser repetitivo el hecho.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Votación de la proposición con el que termina el informe de ponencia, articulado e informe de ponencia.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Aprobación del proyecto de ley o rechazo.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Revisión, ordenación y redacción del texto aprobado en la comisión respectiva.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Designación de ponente para segundo debate por parte de la mesa directiva de la comisión.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da un tiempo determinado a los ponentes para que radiquen la ponencia y radican el informe de ponencia en la comisión respectiva.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radica expediente a la secretaria general informado que ya hay un segundo debate.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secretaria general envía publicar el informe de ponencia en la gaceta del congreso y se informa a presidencia que ya existe esa ponencia para tenerla en cuenta en la segunda sesión de plenaria.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Discusión ponencia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Votación de la proposición con el que termina el informe de ponencia, articulado e informe de ponencia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Aprobación del proyecto de ley o rechazo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Revisión, ordenación y redacción del texto aprobado en plenaria.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Remisión del proyecto de ley aprobado a la otra Cámara para que realice su trámite respectivo.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 caso de existir diferencias en los textos aprobados en cada cámara, se designa una comisión accidental para que unifiquen los textos.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Radicación del informe de conciliación aprobado por ambas cámaras.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Sanción u objeción presidencial al proyecto (inconstitucional o inconveniente).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Cuando el proyecto es objetado por inconstitucional o inconveniente se devuelve a la cámara de origen para su respectivo tramite.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publican las objeciones presidenciales a la gaceta del congreso y posterior se designa una comisión accidental para el estudio de esas objeciones presidenciales.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comisión accidental radica el estudio a las objeciones presidenciales en ambas cámaras que será sometido a discusión en sus plenarias.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Ambas plenarias deben aprobar las objeciones, si una de las cámaras rechaza el informe automáticamente se archivará el proyecto.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Cuando el proyecto es objetado por inconveniencia y el congreso rechaza las objeciones presidenciales, el presidente de la república está obligado a sancionar la Ley.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Cuando el proyecto es objetado por inconstitucionalidad y el congreso rechaza esas objeciones se envía a la corte constitucional para su decisión final.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 la corte considera que el proyecto es inconstitucional se archiva el expediente.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 la corte considera que no es inconstitucional y es viable, se envía nuevamente a la cámara de origen para que continúen con el estudio y aprobación.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consolida el texto final el cual es remitido a presidencia de la república para su respectiva sanción.      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Determinación de los procedimientos específicos para la aprobación o rechazo de Proyectos de Ley teniendo en cuenta las especialidades del proceso legislativo para los siguientes tipos de proyecto de ley: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Proyectos de Ley Orgánica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 aprobación requerirá el voto favorable de la mayoría de las Cámaras y sus Comisiones Constitucionales.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Materias que regula: art. 206 de la Ley 5 de 1992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Proyectos de Ley Estatutaria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 aprobación requerirá el voto favorable de la mayoría de las Cámaras y sus Comisiones Constitucionales.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Materias que regula: art. 207 de la Ley 5 de 1992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Expedirse en una sola legislatura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Control previo de constitucionalidad por parte de la corte constitucional para ser enviada a la cámara de origen y continuar con el trámite. 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podrán ser expedidas por facultades extraordinarias concedidas al Presidente de la Republica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Proyecto de Ley de Presupuesto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 aprobación requerirá el voto favorable de la mayoría de las Cámaras y sus Comisiones Constitucionales.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Iniciativa presentada anualmente por el Gobierno a la Cámara de Representantes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Las Comisiones de Asuntos Económicos de las dos Cámaras deliberarán de forma conjunta para dar primer debate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317" w:firstLine="0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Proyectos de Ley Aprobatorios de los Tratados sobre Derechos Humanos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 aprobación requerirá el voto favorable de la mayoría de las Cámaras y sus Comisiones Constitucionales.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Trámite prioritario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317" w:firstLine="0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Proyecto de Ley sobre Tratados Internacionales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 aprobación requerirá el voto favorable nominal de la mayoría de las Cámaras y sus Comisiones Constitucionales.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Podrán presentarse propuestas de no aprobación, aplazamiento o de reserva.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 texto no podrá ser objeto de enmiendas.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Proyecto de Ley aprobado que se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convierte en Ley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la República.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ind w:left="315" w:firstLine="0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Proyecto de Ley rechazado y archivado o retirado.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ind w:left="315" w:firstLine="0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Estado y pueblo colombiano.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Senado de la República.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  <w:shd w:fill="e6e6e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REQUISITOS APLICABLES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4" w:val="single"/>
            </w:tcBorders>
            <w:shd w:fill="e6e6e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       11. DOCUMENTACIÓN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4"/>
            <w:shd w:fill="e6e6e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10.1 NTC GP 1000:2009              </w:t>
            </w:r>
          </w:p>
        </w:tc>
        <w:tc>
          <w:tcPr>
            <w:shd w:fill="e6e6e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  10.2 MECI 1000:2014</w:t>
            </w:r>
          </w:p>
        </w:tc>
        <w:tc>
          <w:tcPr>
            <w:gridSpan w:val="3"/>
            <w:shd w:fill="e6e6e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10.3 LEGALES</w:t>
            </w:r>
          </w:p>
        </w:tc>
        <w:tc>
          <w:tcPr>
            <w:gridSpan w:val="5"/>
            <w:shd w:fill="e6e6e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           11.1 REGISTROS</w:t>
            </w:r>
          </w:p>
        </w:tc>
        <w:tc>
          <w:tcPr>
            <w:gridSpan w:val="5"/>
            <w:shd w:fill="e6e6e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11.2 DOCUMENTOS ASOCIADOS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 Principios de Gestión de la Calidad Numeral 1.2 literales a, b, c, d, e, g, j.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-Requisitos generales numeral 4.1. Literales a, b.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 Planificación del Sistema de gestión de calidad numeral 5.4.2. Literal a.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 Gestión de los recursos numeral 6.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 Medición, análisis y mejora numeral 8.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Manual Técnico del Modelo Estándar de Control Interno para el Estado Colombiano MECI 2014. Dando cumplimiento al numeral 3.3 que hace referencia a la autogestión, en donde toda la organización deberá tener conocimiento de sus respectivas funciones administrativas que le han sido asignadas por la Constitución, la Ley y sus reglamentos.  </w:t>
            </w:r>
          </w:p>
        </w:tc>
        <w:tc>
          <w:tcPr>
            <w:gridSpan w:val="3"/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Constitución Política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ind w:left="214" w:firstLine="21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 Arts. 132 – 187 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ind w:left="214" w:firstLine="21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Ley 3 de 1992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Art. 1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Ley 5ª de 1992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ind w:left="356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 Arts. 139 – 217 </w:t>
            </w:r>
          </w:p>
        </w:tc>
        <w:tc>
          <w:tcPr>
            <w:gridSpan w:val="5"/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Libro radicado (registro de trámite legislativo) de los proyectos de Ley en y/o acto legislativo en ambas Cámaras. 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1"/>
              </w:numPr>
              <w:spacing w:after="0" w:line="240" w:lineRule="auto"/>
              <w:ind w:left="438" w:hanging="36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Oficios de designación de ponentes de primer y segundo debate y miembros de comisión accidental. 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1"/>
              </w:numPr>
              <w:spacing w:after="0" w:line="240" w:lineRule="auto"/>
              <w:ind w:left="438" w:hanging="36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Actas de sesiones de comisiones y plenarias.  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spacing w:after="0" w:line="240" w:lineRule="auto"/>
              <w:ind w:left="438" w:hanging="36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Proposiciones que versan alrededor del trámite legislativo. 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Oficio de traslado a la otra Cámara.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Oficio de remisión a sanción presidencial. 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ind w:left="7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1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Expediente legislativo (proyecto de Ley y/o acto legislativo, junto con la exposición de motivos, informe de ponencia para primer y segundo debate, textos aprobados en primer y segundo debate, sustanciaciones)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Sentencias de la corte constitucional sobre el trámite de algún proyecto 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Soportes y/o estudios técnicos de las diferentes entidades competentes al proyecto. 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Hoja de ruta del trámite legislativo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Gacetas del Congreso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ind w:left="7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ind w:left="36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ind w:left="167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ind w:left="167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ind w:left="167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shd w:fill="e6e6e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12. RIESGOS</w:t>
            </w:r>
          </w:p>
        </w:tc>
        <w:tc>
          <w:tcPr>
            <w:gridSpan w:val="11"/>
            <w:shd w:fill="e6e6e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13. PUNTOS DE CONTROL</w:t>
            </w:r>
          </w:p>
        </w:tc>
      </w:tr>
      <w:tr>
        <w:trPr>
          <w:cantSplit w:val="1"/>
          <w:tblHeader w:val="0"/>
        </w:trPr>
        <w:tc>
          <w:tcPr>
            <w:gridSpan w:val="7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3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Posible información errada en la elaboración de las actas frente a las votaciones de los proyectos de Ley.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Que no haya quorum para las sesiones.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 procedimiento:</w:t>
            </w:r>
          </w:p>
          <w:p w:rsidR="00000000" w:rsidDel="00000000" w:rsidP="00000000" w:rsidRDefault="00000000" w:rsidRPr="00000000" w14:paraId="0000013B">
            <w:pPr>
              <w:numPr>
                <w:ilvl w:val="1"/>
                <w:numId w:val="4"/>
              </w:numPr>
              <w:spacing w:after="0" w:line="240" w:lineRule="auto"/>
              <w:ind w:left="1440" w:hanging="36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 decretar en sesión permanente luego de cuatro (4) horas de sesión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proposición podrá quedar mal transcrita en la redacción del articulado.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Que se den vicios de nulidad en el trámite legislativo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Omisión de los términos entre debates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Discusión y/o aprobación de proyectos que no son de competencia el respectivo despacho.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Daños en los archivos de grabación o daño en los sistemas de grabación. 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ind w:left="36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48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 oficina de relatoría corrobora la información con los registros de votación y grabaciones.  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 corrobora información con el sistema biométrico del salón elíptico. 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Implementar en el sistema biométrico una herramienta de alerta media hora antes de culminar las 4 horas de sesión. 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 secretaria revisará la documentación y las grabaciones antes y posterior a la publicación de documentos de las sesiones, en caso de encontrar un error de transcripción se emitirá una nota aclaratoria.  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 emite control en la ficha de ejecución del orden del día para que los términos de debate no se venzan. 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 comisión verifica la idoneidad del proyecto frente a su naturaleza legal, para así no recibir proyectos que no sean de su competencia. 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Secretario General deberá cumplir con sus respectivas funciones establecidas en el artículo 47 de la Ley 5° de 1992, haciendo hincapié en la revisión de las proposiciones presentadas, actas y textos de los proyectos de ley 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Secretario General verificara el quorum decisorio antes de la votación, como también verificara todos los detalles previos y posteriores a la publicación en la Gaceta Legislativa 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Revisión constante de equipos de grabación, computo, entre otros y manteniendo  total de los diferentes equipos en el receso del periodo legislativo por parte de la oficina de planeación y sistemas de la cámara de representantes. </w:t>
            </w:r>
          </w:p>
        </w:tc>
      </w:tr>
      <w:tr>
        <w:trPr>
          <w:cantSplit w:val="1"/>
          <w:tblHeader w:val="0"/>
        </w:trPr>
        <w:tc>
          <w:tcPr>
            <w:gridSpan w:val="18"/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14. INDICADORES</w:t>
            </w:r>
          </w:p>
        </w:tc>
      </w:tr>
      <w:tr>
        <w:trPr>
          <w:cantSplit w:val="1"/>
          <w:tblHeader w:val="0"/>
        </w:trPr>
        <w:tc>
          <w:tcPr>
            <w:gridSpan w:val="18"/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6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# de proyectos de Ley tramitados / # total de proyectos presentados en cada legislatura * 100%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# de informes de rendición de cuentas remitidos / # de informes de rendición de cuentas socializados * 100% </w:t>
            </w:r>
          </w:p>
        </w:tc>
      </w:tr>
      <w:tr>
        <w:trPr>
          <w:cantSplit w:val="1"/>
          <w:tblHeader w:val="0"/>
        </w:trPr>
        <w:tc>
          <w:tcPr>
            <w:gridSpan w:val="18"/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15. RECURSOS</w:t>
            </w:r>
          </w:p>
        </w:tc>
      </w:tr>
      <w:tr>
        <w:trPr>
          <w:cantSplit w:val="1"/>
          <w:tblHeader w:val="0"/>
        </w:trPr>
        <w:tc>
          <w:tcPr>
            <w:gridSpan w:val="18"/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92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Humanos: Personal de planta y/o contratistas 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Financieros: Los definidos en el presupuesto de la entidad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Físicos: Infraestructura 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Materiales: Formatos y papelería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Tecnológico: Hardware y software Sistemas de comunicación (sistemas biométricos, discos a nivel de capacidad, etc.)</w:t>
            </w:r>
          </w:p>
        </w:tc>
      </w:tr>
      <w:tr>
        <w:trPr>
          <w:cantSplit w:val="1"/>
          <w:tblHeader w:val="0"/>
        </w:trPr>
        <w:tc>
          <w:tcPr>
            <w:gridSpan w:val="18"/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16. CONTROL DE CAMBIOS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gridSpan w:val="13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DESCRIPCIÓN DEL CAMBIO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RESPONSABLE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</w:t>
            </w:r>
          </w:p>
        </w:tc>
      </w:tr>
      <w:tr>
        <w:trPr>
          <w:cantSplit w:val="1"/>
          <w:tblHeader w:val="0"/>
        </w:trP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13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 crea la primer versión de dicha caracterización 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8"/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17. CUADRO DE DISTRIBUCIÓN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No. Copia Controlada</w:t>
            </w:r>
          </w:p>
        </w:tc>
        <w:tc>
          <w:tcPr>
            <w:gridSpan w:val="11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CARGO/PERSONA/DEPENDENCIA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 RECIBIDO</w:t>
            </w:r>
          </w:p>
        </w:tc>
        <w:tc>
          <w:tcPr>
            <w:gridSpan w:val="3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FIRMA</w:t>
            </w:r>
          </w:p>
        </w:tc>
      </w:tr>
      <w:tr>
        <w:trPr>
          <w:cantSplit w:val="1"/>
          <w:trHeight w:val="607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 Téngase en cuenta el art. 142 de la Ley 5 de 1992 sobre las iniciativas legislativas exclusivas del Gobierno.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5087"/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8B705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53E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 w:val="es-CO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075DA6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716919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716919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71691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75AB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75ABA"/>
    <w:rPr>
      <w:rFonts w:ascii="Segoe UI" w:cs="Segoe UI" w:hAnsi="Segoe UI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lJU63UNS1Evm5adlfqawK/c8g==">CgMxLjAyCGguZ2pkZ3hzMgloLjMwajB6bGw4AHIhMTNIOUQ5dEZCN2NjU3ZUWW5ZUExhSVlDWXBWNTI4RWJV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2023-04-20T22:37:00Z</dcterms:created>
  <dc:creator>Edison Luis Garcia</dc:creator>
</cp:coreProperties>
</file>