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E21E6F">
      <w:pPr>
        <w:jc w:val="right"/>
        <w:rPr>
          <w:rFonts w:ascii="Book Antiqua" w:eastAsia="Arial" w:hAnsi="Book Antiqua" w:cs="Arial"/>
          <w:color w:val="000000"/>
          <w:sz w:val="22"/>
          <w:szCs w:val="22"/>
        </w:rPr>
      </w:pPr>
      <w:r w:rsidRPr="00EF3FAC">
        <w:rPr>
          <w:rFonts w:ascii="Book Antiqua" w:eastAsia="Bookman Old Style" w:hAnsi="Book Antiqua" w:cs="Bookman Old Style"/>
          <w:b/>
          <w:color w:val="000000"/>
          <w:sz w:val="22"/>
          <w:szCs w:val="22"/>
        </w:rPr>
        <w:t xml:space="preserve">Bogotá D.C., </w:t>
      </w:r>
      <w:proofErr w:type="gramStart"/>
      <w:r w:rsidRPr="00EF3FAC">
        <w:rPr>
          <w:rFonts w:ascii="Book Antiqua" w:eastAsia="Bookman Old Style" w:hAnsi="Book Antiqua" w:cs="Bookman Old Style"/>
          <w:b/>
          <w:sz w:val="22"/>
          <w:szCs w:val="22"/>
        </w:rPr>
        <w:t>Agosto</w:t>
      </w:r>
      <w:proofErr w:type="gramEnd"/>
      <w:r w:rsidRPr="00EF3FAC">
        <w:rPr>
          <w:rFonts w:ascii="Book Antiqua" w:eastAsia="Bookman Old Style" w:hAnsi="Book Antiqua" w:cs="Bookman Old Style"/>
          <w:b/>
          <w:color w:val="000000"/>
          <w:sz w:val="22"/>
          <w:szCs w:val="22"/>
        </w:rPr>
        <w:t xml:space="preserve"> de 202</w:t>
      </w:r>
      <w:r w:rsidRPr="00EF3FAC">
        <w:rPr>
          <w:rFonts w:ascii="Book Antiqua" w:eastAsia="Bookman Old Style" w:hAnsi="Book Antiqua" w:cs="Bookman Old Style"/>
          <w:b/>
          <w:sz w:val="22"/>
          <w:szCs w:val="22"/>
        </w:rPr>
        <w:t>3</w:t>
      </w:r>
    </w:p>
    <w:p w:rsidR="00A302DD" w:rsidRPr="00EF3FAC" w:rsidRDefault="00E21E6F">
      <w:pPr>
        <w:rPr>
          <w:rFonts w:ascii="Book Antiqua" w:eastAsia="Arial" w:hAnsi="Book Antiqua" w:cs="Arial"/>
          <w:color w:val="000000"/>
          <w:sz w:val="22"/>
          <w:szCs w:val="22"/>
        </w:rPr>
      </w:pPr>
      <w:r w:rsidRPr="00EF3FAC">
        <w:rPr>
          <w:rFonts w:ascii="Book Antiqua" w:eastAsia="Bookman Old Style" w:hAnsi="Book Antiqua" w:cs="Bookman Old Style"/>
          <w:b/>
          <w:color w:val="000000"/>
          <w:sz w:val="22"/>
          <w:szCs w:val="22"/>
        </w:rPr>
        <w:t> </w:t>
      </w:r>
    </w:p>
    <w:p w:rsidR="00A302DD" w:rsidRPr="00EF3FAC" w:rsidRDefault="00E21E6F">
      <w:pPr>
        <w:rPr>
          <w:rFonts w:ascii="Book Antiqua" w:eastAsia="Arial" w:hAnsi="Book Antiqua" w:cs="Arial"/>
          <w:color w:val="000000"/>
          <w:sz w:val="22"/>
          <w:szCs w:val="22"/>
        </w:rPr>
      </w:pPr>
      <w:r w:rsidRPr="00EF3FAC">
        <w:rPr>
          <w:rFonts w:ascii="Book Antiqua" w:eastAsia="Bookman Old Style" w:hAnsi="Book Antiqua" w:cs="Bookman Old Style"/>
          <w:color w:val="000000"/>
          <w:sz w:val="22"/>
          <w:szCs w:val="22"/>
        </w:rPr>
        <w:t>Doctor</w:t>
      </w:r>
    </w:p>
    <w:p w:rsidR="00A302DD" w:rsidRPr="00EF3FAC" w:rsidRDefault="00E21E6F">
      <w:pPr>
        <w:rPr>
          <w:rFonts w:ascii="Book Antiqua" w:eastAsia="Arial" w:hAnsi="Book Antiqua" w:cs="Arial"/>
          <w:color w:val="000000"/>
          <w:sz w:val="22"/>
          <w:szCs w:val="22"/>
        </w:rPr>
      </w:pPr>
      <w:r w:rsidRPr="00EF3FAC">
        <w:rPr>
          <w:rFonts w:ascii="Book Antiqua" w:eastAsia="Bookman Old Style" w:hAnsi="Book Antiqua" w:cs="Bookman Old Style"/>
          <w:b/>
          <w:color w:val="000000"/>
          <w:sz w:val="22"/>
          <w:szCs w:val="22"/>
        </w:rPr>
        <w:t>JAIME LUIS LACOUTURE</w:t>
      </w:r>
    </w:p>
    <w:p w:rsidR="00A302DD" w:rsidRPr="00EF3FAC" w:rsidRDefault="00E21E6F">
      <w:pPr>
        <w:rPr>
          <w:rFonts w:ascii="Book Antiqua" w:eastAsia="Arial" w:hAnsi="Book Antiqua" w:cs="Arial"/>
          <w:color w:val="000000"/>
          <w:sz w:val="22"/>
          <w:szCs w:val="22"/>
        </w:rPr>
      </w:pPr>
      <w:r w:rsidRPr="00EF3FAC">
        <w:rPr>
          <w:rFonts w:ascii="Book Antiqua" w:eastAsia="Bookman Old Style" w:hAnsi="Book Antiqua" w:cs="Bookman Old Style"/>
          <w:color w:val="000000"/>
          <w:sz w:val="22"/>
          <w:szCs w:val="22"/>
        </w:rPr>
        <w:t>Secretario General</w:t>
      </w:r>
    </w:p>
    <w:p w:rsidR="00A302DD" w:rsidRPr="00EF3FAC" w:rsidRDefault="00E21E6F">
      <w:pPr>
        <w:rPr>
          <w:rFonts w:ascii="Book Antiqua" w:eastAsia="Arial" w:hAnsi="Book Antiqua" w:cs="Arial"/>
          <w:color w:val="000000"/>
          <w:sz w:val="22"/>
          <w:szCs w:val="22"/>
        </w:rPr>
      </w:pPr>
      <w:r w:rsidRPr="00EF3FAC">
        <w:rPr>
          <w:rFonts w:ascii="Book Antiqua" w:eastAsia="Bookman Old Style" w:hAnsi="Book Antiqua" w:cs="Bookman Old Style"/>
          <w:color w:val="000000"/>
          <w:sz w:val="22"/>
          <w:szCs w:val="22"/>
        </w:rPr>
        <w:t>Honorable Cámara de Representantes</w:t>
      </w:r>
    </w:p>
    <w:p w:rsidR="00A302DD" w:rsidRPr="00EF3FAC" w:rsidRDefault="00E21E6F">
      <w:pPr>
        <w:rPr>
          <w:rFonts w:ascii="Book Antiqua" w:eastAsia="Arial" w:hAnsi="Book Antiqua" w:cs="Arial"/>
          <w:color w:val="000000"/>
          <w:sz w:val="22"/>
          <w:szCs w:val="22"/>
        </w:rPr>
      </w:pPr>
      <w:r w:rsidRPr="00EF3FAC">
        <w:rPr>
          <w:rFonts w:ascii="Book Antiqua" w:eastAsia="Bookman Old Style" w:hAnsi="Book Antiqua" w:cs="Bookman Old Style"/>
          <w:color w:val="000000"/>
          <w:sz w:val="22"/>
          <w:szCs w:val="22"/>
        </w:rPr>
        <w:t>Ciudad</w:t>
      </w:r>
      <w:r w:rsidRPr="00EF3FAC">
        <w:rPr>
          <w:rFonts w:ascii="Book Antiqua" w:eastAsia="Bookman Old Style" w:hAnsi="Book Antiqua" w:cs="Bookman Old Style"/>
          <w:b/>
          <w:color w:val="000000"/>
          <w:sz w:val="22"/>
          <w:szCs w:val="22"/>
        </w:rPr>
        <w:t> </w:t>
      </w:r>
    </w:p>
    <w:p w:rsidR="00A302DD" w:rsidRPr="00EF3FAC" w:rsidRDefault="00E21E6F">
      <w:pPr>
        <w:rPr>
          <w:rFonts w:ascii="Book Antiqua" w:eastAsia="Arial" w:hAnsi="Book Antiqua" w:cs="Arial"/>
          <w:color w:val="000000"/>
          <w:sz w:val="22"/>
          <w:szCs w:val="22"/>
        </w:rPr>
      </w:pPr>
      <w:r w:rsidRPr="00EF3FAC">
        <w:rPr>
          <w:rFonts w:ascii="Book Antiqua" w:eastAsia="Bookman Old Style" w:hAnsi="Book Antiqua" w:cs="Bookman Old Style"/>
          <w:b/>
          <w:color w:val="000000"/>
          <w:sz w:val="22"/>
          <w:szCs w:val="22"/>
        </w:rPr>
        <w:t> </w:t>
      </w:r>
    </w:p>
    <w:p w:rsidR="00A302DD" w:rsidRPr="00EF3FAC" w:rsidRDefault="00E21E6F">
      <w:pPr>
        <w:jc w:val="right"/>
        <w:rPr>
          <w:rFonts w:ascii="Book Antiqua" w:eastAsia="Arial" w:hAnsi="Book Antiqua" w:cs="Arial"/>
          <w:color w:val="000000"/>
          <w:sz w:val="22"/>
          <w:szCs w:val="22"/>
        </w:rPr>
      </w:pPr>
      <w:r w:rsidRPr="00EF3FAC">
        <w:rPr>
          <w:rFonts w:ascii="Book Antiqua" w:eastAsia="Bookman Old Style" w:hAnsi="Book Antiqua" w:cs="Bookman Old Style"/>
          <w:b/>
          <w:color w:val="000000"/>
          <w:sz w:val="22"/>
          <w:szCs w:val="22"/>
        </w:rPr>
        <w:t>REF: RADICACIÓN PROYECTO DE LEY</w:t>
      </w:r>
    </w:p>
    <w:p w:rsidR="00A302DD" w:rsidRPr="00EF3FAC" w:rsidRDefault="00E21E6F">
      <w:pPr>
        <w:rPr>
          <w:rFonts w:ascii="Book Antiqua" w:eastAsia="Arial" w:hAnsi="Book Antiqua" w:cs="Arial"/>
          <w:color w:val="000000"/>
          <w:sz w:val="22"/>
          <w:szCs w:val="22"/>
        </w:rPr>
      </w:pPr>
      <w:r w:rsidRPr="00EF3FAC">
        <w:rPr>
          <w:rFonts w:ascii="Book Antiqua" w:eastAsia="Bookman Old Style" w:hAnsi="Book Antiqua" w:cs="Bookman Old Style"/>
          <w:b/>
          <w:color w:val="000000"/>
          <w:sz w:val="22"/>
          <w:szCs w:val="22"/>
        </w:rPr>
        <w:t> </w:t>
      </w:r>
    </w:p>
    <w:p w:rsidR="00A302DD" w:rsidRPr="00EF3FAC" w:rsidRDefault="00E21E6F">
      <w:pPr>
        <w:jc w:val="both"/>
        <w:rPr>
          <w:rFonts w:ascii="Book Antiqua" w:eastAsia="Bookman Old Style" w:hAnsi="Book Antiqua" w:cs="Bookman Old Style"/>
          <w:b/>
          <w:color w:val="000000"/>
          <w:sz w:val="22"/>
          <w:szCs w:val="22"/>
        </w:rPr>
      </w:pPr>
      <w:r w:rsidRPr="00EF3FAC">
        <w:rPr>
          <w:rFonts w:ascii="Book Antiqua" w:eastAsia="Bookman Old Style" w:hAnsi="Book Antiqua" w:cs="Bookman Old Style"/>
          <w:color w:val="000000"/>
          <w:sz w:val="22"/>
          <w:szCs w:val="22"/>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sidRPr="00EF3FAC">
        <w:rPr>
          <w:rFonts w:ascii="Book Antiqua" w:eastAsia="Bookman Old Style" w:hAnsi="Book Antiqua" w:cs="Bookman Old Style"/>
          <w:color w:val="000000"/>
          <w:sz w:val="22"/>
          <w:szCs w:val="22"/>
        </w:rPr>
        <w:t xml:space="preserve"> proyecto de ley </w:t>
      </w:r>
      <w:r w:rsidRPr="00EF3FAC">
        <w:rPr>
          <w:rFonts w:ascii="Book Antiqua" w:eastAsia="Bookman Old Style" w:hAnsi="Book Antiqua" w:cs="Bookman Old Style"/>
          <w:i/>
          <w:color w:val="000000"/>
          <w:sz w:val="22"/>
          <w:szCs w:val="22"/>
        </w:rPr>
        <w:t>“Por medio del cual se adiciona el parágrafo 3 al artículo 160 de la ley 769 de 2002 modificado por el artículo 306 de la ley 1955 de 2019 y el decreto legislativo 575 de 2020.” </w:t>
      </w:r>
      <w:r w:rsidRPr="00EF3FAC">
        <w:rPr>
          <w:rFonts w:ascii="Book Antiqua" w:eastAsia="Bookman Old Style" w:hAnsi="Book Antiqua" w:cs="Bookman Old Style"/>
          <w:b/>
          <w:color w:val="000000"/>
          <w:sz w:val="22"/>
          <w:szCs w:val="22"/>
        </w:rPr>
        <w:t xml:space="preserve">(Salvavidas Organismos de </w:t>
      </w:r>
      <w:r w:rsidRPr="00EF3FAC">
        <w:rPr>
          <w:rFonts w:ascii="Book Antiqua" w:eastAsia="Bookman Old Style" w:hAnsi="Book Antiqua" w:cs="Bookman Old Style"/>
          <w:b/>
          <w:sz w:val="22"/>
          <w:szCs w:val="22"/>
        </w:rPr>
        <w:t>Tránsito</w:t>
      </w:r>
      <w:r w:rsidRPr="00EF3FAC">
        <w:rPr>
          <w:rFonts w:ascii="Book Antiqua" w:eastAsia="Bookman Old Style" w:hAnsi="Book Antiqua" w:cs="Bookman Old Style"/>
          <w:b/>
          <w:color w:val="000000"/>
          <w:sz w:val="22"/>
          <w:szCs w:val="22"/>
        </w:rPr>
        <w:t>).</w:t>
      </w:r>
    </w:p>
    <w:p w:rsidR="00A302DD" w:rsidRDefault="00A302DD">
      <w:pPr>
        <w:jc w:val="both"/>
        <w:rPr>
          <w:rFonts w:ascii="Book Antiqua" w:eastAsia="Arial" w:hAnsi="Book Antiqua" w:cs="Arial"/>
          <w:color w:val="000000"/>
          <w:sz w:val="22"/>
          <w:szCs w:val="22"/>
        </w:rPr>
      </w:pPr>
    </w:p>
    <w:p w:rsidR="00EF3FAC" w:rsidRDefault="00EF3FAC">
      <w:pPr>
        <w:jc w:val="both"/>
        <w:rPr>
          <w:rFonts w:ascii="Book Antiqua" w:eastAsia="Arial" w:hAnsi="Book Antiqua" w:cs="Arial"/>
          <w:color w:val="000000"/>
          <w:sz w:val="22"/>
          <w:szCs w:val="22"/>
        </w:rPr>
      </w:pPr>
    </w:p>
    <w:p w:rsidR="00EF3FAC" w:rsidRPr="00EF3FAC" w:rsidRDefault="00EF3FAC">
      <w:pPr>
        <w:jc w:val="both"/>
        <w:rPr>
          <w:rFonts w:ascii="Book Antiqua" w:eastAsia="Arial" w:hAnsi="Book Antiqua" w:cs="Arial"/>
          <w:color w:val="000000"/>
          <w:sz w:val="22"/>
          <w:szCs w:val="22"/>
        </w:rPr>
      </w:pPr>
    </w:p>
    <w:p w:rsidR="00A302DD" w:rsidRPr="00EF3FAC" w:rsidRDefault="00E21E6F">
      <w:pPr>
        <w:jc w:val="both"/>
        <w:rPr>
          <w:rFonts w:ascii="Book Antiqua" w:eastAsia="Bookman Old Style" w:hAnsi="Book Antiqua" w:cs="Bookman Old Style"/>
          <w:color w:val="000000"/>
          <w:sz w:val="22"/>
          <w:szCs w:val="22"/>
        </w:rPr>
      </w:pPr>
      <w:r w:rsidRPr="00EF3FAC">
        <w:rPr>
          <w:rFonts w:ascii="Book Antiqua" w:eastAsia="Bookman Old Style" w:hAnsi="Book Antiqua" w:cs="Bookman Old Style"/>
          <w:color w:val="000000"/>
          <w:sz w:val="22"/>
          <w:szCs w:val="22"/>
        </w:rPr>
        <w:t>Cordialmente,</w:t>
      </w:r>
    </w:p>
    <w:p w:rsidR="00A302DD" w:rsidRPr="00EF3FAC" w:rsidRDefault="00A302DD">
      <w:pPr>
        <w:jc w:val="both"/>
        <w:rPr>
          <w:rFonts w:ascii="Book Antiqua" w:eastAsia="Bookman Old Style" w:hAnsi="Book Antiqua" w:cs="Bookman Old Style"/>
          <w:color w:val="000000"/>
          <w:sz w:val="22"/>
          <w:szCs w:val="22"/>
        </w:rPr>
      </w:pPr>
    </w:p>
    <w:p w:rsidR="00A302DD" w:rsidRPr="00EF3FAC" w:rsidRDefault="00A302DD">
      <w:pPr>
        <w:jc w:val="both"/>
        <w:rPr>
          <w:rFonts w:ascii="Book Antiqua" w:eastAsia="Bookman Old Style" w:hAnsi="Book Antiqua" w:cs="Bookman Old Style"/>
          <w:color w:val="000000"/>
          <w:sz w:val="22"/>
          <w:szCs w:val="22"/>
        </w:rPr>
      </w:pPr>
    </w:p>
    <w:p w:rsidR="00A302DD" w:rsidRDefault="00A302DD">
      <w:pPr>
        <w:jc w:val="both"/>
        <w:rPr>
          <w:rFonts w:ascii="Book Antiqua" w:eastAsia="Bookman Old Style" w:hAnsi="Book Antiqua" w:cs="Bookman Old Style"/>
          <w:color w:val="000000"/>
          <w:sz w:val="22"/>
          <w:szCs w:val="22"/>
        </w:rPr>
      </w:pPr>
    </w:p>
    <w:p w:rsidR="00EF3FAC" w:rsidRPr="00EF3FAC" w:rsidRDefault="00EF3FAC">
      <w:pPr>
        <w:jc w:val="both"/>
        <w:rPr>
          <w:rFonts w:ascii="Book Antiqua" w:eastAsia="Bookman Old Style" w:hAnsi="Book Antiqua" w:cs="Bookman Old Style"/>
          <w:color w:val="000000"/>
          <w:sz w:val="22"/>
          <w:szCs w:val="22"/>
        </w:rPr>
      </w:pPr>
    </w:p>
    <w:p w:rsidR="00A302DD" w:rsidRPr="00EF3FAC" w:rsidRDefault="00A302DD">
      <w:pPr>
        <w:jc w:val="both"/>
        <w:rPr>
          <w:rFonts w:ascii="Book Antiqua" w:eastAsia="Bookman Old Style" w:hAnsi="Book Antiqua" w:cs="Bookman Old Style"/>
          <w:color w:val="000000"/>
          <w:sz w:val="22"/>
          <w:szCs w:val="22"/>
        </w:rPr>
      </w:pPr>
    </w:p>
    <w:p w:rsidR="00A302DD" w:rsidRPr="00EF3FAC" w:rsidRDefault="00A302DD">
      <w:pPr>
        <w:jc w:val="both"/>
        <w:rPr>
          <w:rFonts w:ascii="Book Antiqua" w:eastAsia="Bookman Old Style" w:hAnsi="Book Antiqua" w:cs="Bookman Old Style"/>
          <w:color w:val="000000"/>
          <w:sz w:val="22"/>
          <w:szCs w:val="22"/>
        </w:rPr>
      </w:pPr>
    </w:p>
    <w:p w:rsidR="00A302DD" w:rsidRPr="00EF3FAC" w:rsidRDefault="00E21E6F">
      <w:pPr>
        <w:jc w:val="both"/>
        <w:rPr>
          <w:rFonts w:ascii="Book Antiqua" w:eastAsia="Bookman Old Style" w:hAnsi="Book Antiqua" w:cs="Bookman Old Style"/>
          <w:b/>
          <w:color w:val="000000"/>
          <w:sz w:val="22"/>
          <w:szCs w:val="22"/>
        </w:rPr>
      </w:pPr>
      <w:r w:rsidRPr="00EF3FAC">
        <w:rPr>
          <w:rFonts w:ascii="Book Antiqua" w:eastAsia="Bookman Old Style" w:hAnsi="Book Antiqua" w:cs="Bookman Old Style"/>
          <w:b/>
          <w:color w:val="000000"/>
          <w:sz w:val="22"/>
          <w:szCs w:val="22"/>
        </w:rPr>
        <w:t>ALVA</w:t>
      </w:r>
      <w:r w:rsidRPr="00EF3FAC">
        <w:rPr>
          <w:rFonts w:ascii="Book Antiqua" w:eastAsia="Bookman Old Style" w:hAnsi="Book Antiqua" w:cs="Bookman Old Style"/>
          <w:b/>
          <w:color w:val="000000"/>
          <w:sz w:val="22"/>
          <w:szCs w:val="22"/>
        </w:rPr>
        <w:t>RO LEONEL RUEDA CABALLERO</w:t>
      </w:r>
    </w:p>
    <w:p w:rsidR="00A302DD" w:rsidRPr="00EF3FAC" w:rsidRDefault="00E21E6F">
      <w:pPr>
        <w:jc w:val="both"/>
        <w:rPr>
          <w:rFonts w:ascii="Book Antiqua" w:eastAsia="Arial" w:hAnsi="Book Antiqua" w:cs="Arial"/>
          <w:color w:val="000000"/>
          <w:sz w:val="22"/>
          <w:szCs w:val="22"/>
        </w:rPr>
      </w:pPr>
      <w:r w:rsidRPr="00EF3FAC">
        <w:rPr>
          <w:rFonts w:ascii="Book Antiqua" w:eastAsia="Bookman Old Style" w:hAnsi="Book Antiqua" w:cs="Bookman Old Style"/>
          <w:color w:val="000000"/>
          <w:sz w:val="22"/>
          <w:szCs w:val="22"/>
        </w:rPr>
        <w:t>Representante a la Cámara por Santander.</w:t>
      </w: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E21E6F">
      <w:pPr>
        <w:jc w:val="center"/>
        <w:rPr>
          <w:rFonts w:ascii="Book Antiqua" w:eastAsia="Bookman Old Style" w:hAnsi="Book Antiqua" w:cs="Bookman Old Style"/>
          <w:b/>
          <w:color w:val="000000"/>
          <w:sz w:val="22"/>
          <w:szCs w:val="22"/>
        </w:rPr>
      </w:pPr>
      <w:r w:rsidRPr="00EF3FAC">
        <w:rPr>
          <w:rFonts w:ascii="Book Antiqua" w:eastAsia="Bookman Old Style" w:hAnsi="Book Antiqua" w:cs="Bookman Old Style"/>
          <w:b/>
          <w:color w:val="000000"/>
          <w:sz w:val="22"/>
          <w:szCs w:val="22"/>
        </w:rPr>
        <w:lastRenderedPageBreak/>
        <w:t>PROYECTO DE LEY ____ 202</w:t>
      </w:r>
      <w:r w:rsidRPr="00EF3FAC">
        <w:rPr>
          <w:rFonts w:ascii="Book Antiqua" w:eastAsia="Bookman Old Style" w:hAnsi="Book Antiqua" w:cs="Bookman Old Style"/>
          <w:b/>
          <w:sz w:val="22"/>
          <w:szCs w:val="22"/>
        </w:rPr>
        <w:t>3</w:t>
      </w:r>
    </w:p>
    <w:p w:rsidR="00A302DD" w:rsidRPr="00EF3FAC" w:rsidRDefault="00A302DD">
      <w:pPr>
        <w:rPr>
          <w:rFonts w:ascii="Book Antiqua" w:eastAsia="Bookman Old Style" w:hAnsi="Book Antiqua" w:cs="Bookman Old Style"/>
          <w:i/>
          <w:color w:val="000000"/>
          <w:sz w:val="22"/>
          <w:szCs w:val="22"/>
        </w:rPr>
      </w:pPr>
    </w:p>
    <w:p w:rsidR="00A302DD" w:rsidRPr="00EF3FAC" w:rsidRDefault="00E21E6F">
      <w:pPr>
        <w:jc w:val="center"/>
        <w:rPr>
          <w:rFonts w:ascii="Book Antiqua" w:eastAsia="Bookman Old Style" w:hAnsi="Book Antiqua" w:cs="Bookman Old Style"/>
          <w:i/>
          <w:color w:val="000000"/>
          <w:sz w:val="22"/>
          <w:szCs w:val="22"/>
        </w:rPr>
      </w:pPr>
      <w:r w:rsidRPr="00EF3FAC">
        <w:rPr>
          <w:rFonts w:ascii="Book Antiqua" w:eastAsia="Bookman Old Style" w:hAnsi="Book Antiqua" w:cs="Bookman Old Style"/>
          <w:i/>
          <w:color w:val="000000"/>
          <w:sz w:val="22"/>
          <w:szCs w:val="22"/>
        </w:rPr>
        <w:t>“Por medio del cual se adiciona el parágrafo 3 al artículo 160 de la ley 769 de 2002 modificado por el artículo 306 de la ley 1955 de 2019 y el decreto legislativo 575 de 2020.”</w:t>
      </w:r>
    </w:p>
    <w:p w:rsidR="00A302DD" w:rsidRPr="00EF3FAC" w:rsidRDefault="00A302DD">
      <w:pPr>
        <w:jc w:val="center"/>
        <w:rPr>
          <w:rFonts w:ascii="Book Antiqua" w:eastAsia="Arial" w:hAnsi="Book Antiqua" w:cs="Arial"/>
          <w:sz w:val="22"/>
          <w:szCs w:val="22"/>
        </w:rPr>
      </w:pPr>
    </w:p>
    <w:p w:rsidR="00A302DD" w:rsidRPr="00EF3FAC" w:rsidRDefault="00A302DD">
      <w:pPr>
        <w:jc w:val="center"/>
        <w:rPr>
          <w:rFonts w:ascii="Book Antiqua" w:eastAsia="Arial" w:hAnsi="Book Antiqua" w:cs="Arial"/>
          <w:sz w:val="22"/>
          <w:szCs w:val="22"/>
        </w:rPr>
      </w:pPr>
    </w:p>
    <w:p w:rsidR="00A302DD" w:rsidRPr="00EF3FAC" w:rsidRDefault="00E21E6F">
      <w:pPr>
        <w:jc w:val="center"/>
        <w:rPr>
          <w:rFonts w:ascii="Book Antiqua" w:eastAsia="Bookman Old Style" w:hAnsi="Book Antiqua" w:cs="Bookman Old Style"/>
          <w:b/>
          <w:color w:val="000000"/>
          <w:sz w:val="22"/>
          <w:szCs w:val="22"/>
        </w:rPr>
      </w:pPr>
      <w:r w:rsidRPr="00EF3FAC">
        <w:rPr>
          <w:rFonts w:ascii="Book Antiqua" w:eastAsia="Bookman Old Style" w:hAnsi="Book Antiqua" w:cs="Bookman Old Style"/>
          <w:b/>
          <w:color w:val="000000"/>
          <w:sz w:val="22"/>
          <w:szCs w:val="22"/>
        </w:rPr>
        <w:t>EL CONGRESO DE COLOMBIA</w:t>
      </w:r>
    </w:p>
    <w:p w:rsidR="00A302DD" w:rsidRPr="00EF3FAC" w:rsidRDefault="00A302DD">
      <w:pPr>
        <w:jc w:val="center"/>
        <w:rPr>
          <w:rFonts w:ascii="Book Antiqua" w:eastAsia="Bookman Old Style" w:hAnsi="Book Antiqua" w:cs="Bookman Old Style"/>
          <w:b/>
          <w:sz w:val="22"/>
          <w:szCs w:val="22"/>
        </w:rPr>
      </w:pPr>
    </w:p>
    <w:p w:rsidR="00A302DD" w:rsidRPr="00EF3FAC" w:rsidRDefault="00A302DD">
      <w:pPr>
        <w:jc w:val="center"/>
        <w:rPr>
          <w:rFonts w:ascii="Book Antiqua" w:eastAsia="Arial" w:hAnsi="Book Antiqua" w:cs="Arial"/>
          <w:color w:val="000000"/>
          <w:sz w:val="22"/>
          <w:szCs w:val="22"/>
        </w:rPr>
      </w:pPr>
    </w:p>
    <w:p w:rsidR="00A302DD" w:rsidRPr="00EF3FAC" w:rsidRDefault="00E21E6F">
      <w:pPr>
        <w:jc w:val="center"/>
        <w:rPr>
          <w:rFonts w:ascii="Book Antiqua" w:eastAsia="Bookman Old Style" w:hAnsi="Book Antiqua" w:cs="Bookman Old Style"/>
          <w:b/>
          <w:color w:val="000000"/>
          <w:sz w:val="22"/>
          <w:szCs w:val="22"/>
        </w:rPr>
      </w:pPr>
      <w:r w:rsidRPr="00EF3FAC">
        <w:rPr>
          <w:rFonts w:ascii="Book Antiqua" w:eastAsia="Bookman Old Style" w:hAnsi="Book Antiqua" w:cs="Bookman Old Style"/>
          <w:b/>
          <w:color w:val="000000"/>
          <w:sz w:val="22"/>
          <w:szCs w:val="22"/>
        </w:rPr>
        <w:t>DECRETA:</w:t>
      </w:r>
    </w:p>
    <w:p w:rsidR="00A302DD" w:rsidRPr="00EF3FAC" w:rsidRDefault="00A302DD">
      <w:pPr>
        <w:jc w:val="center"/>
        <w:rPr>
          <w:rFonts w:ascii="Book Antiqua" w:eastAsia="Arial" w:hAnsi="Book Antiqua" w:cs="Arial"/>
          <w:color w:val="000000"/>
          <w:sz w:val="22"/>
          <w:szCs w:val="22"/>
        </w:rPr>
      </w:pPr>
    </w:p>
    <w:p w:rsidR="00A302DD" w:rsidRPr="00EF3FAC" w:rsidRDefault="00E21E6F">
      <w:pPr>
        <w:jc w:val="both"/>
        <w:rPr>
          <w:rFonts w:ascii="Book Antiqua" w:eastAsia="Arial" w:hAnsi="Book Antiqua" w:cs="Arial"/>
          <w:color w:val="000000"/>
          <w:sz w:val="22"/>
          <w:szCs w:val="22"/>
        </w:rPr>
      </w:pPr>
      <w:r w:rsidRPr="00EF3FAC">
        <w:rPr>
          <w:rFonts w:ascii="Book Antiqua" w:eastAsia="Bookman Old Style" w:hAnsi="Book Antiqua" w:cs="Bookman Old Style"/>
          <w:b/>
          <w:color w:val="000000"/>
          <w:sz w:val="22"/>
          <w:szCs w:val="22"/>
          <w:highlight w:val="white"/>
        </w:rPr>
        <w:t>ARTÍCULO 1. OBJETO. </w:t>
      </w:r>
      <w:r w:rsidRPr="00EF3FAC">
        <w:rPr>
          <w:rFonts w:ascii="Book Antiqua" w:eastAsia="Bookman Old Style" w:hAnsi="Book Antiqua" w:cs="Bookman Old Style"/>
          <w:color w:val="000000"/>
          <w:sz w:val="22"/>
          <w:szCs w:val="22"/>
          <w:highlight w:val="white"/>
        </w:rPr>
        <w:t xml:space="preserve">La presente ley tiene por objeto ajustar la legislación Colombiana </w:t>
      </w:r>
      <w:r w:rsidRPr="00EF3FAC">
        <w:rPr>
          <w:rFonts w:ascii="Book Antiqua" w:eastAsia="Bookman Old Style" w:hAnsi="Book Antiqua" w:cs="Bookman Old Style"/>
          <w:sz w:val="22"/>
          <w:szCs w:val="22"/>
          <w:highlight w:val="white"/>
        </w:rPr>
        <w:t>en lo relacionado con</w:t>
      </w:r>
      <w:r w:rsidRPr="00EF3FAC">
        <w:rPr>
          <w:rFonts w:ascii="Book Antiqua" w:eastAsia="Bookman Old Style" w:hAnsi="Book Antiqua" w:cs="Bookman Old Style"/>
          <w:color w:val="000000"/>
          <w:sz w:val="22"/>
          <w:szCs w:val="22"/>
          <w:highlight w:val="white"/>
        </w:rPr>
        <w:t xml:space="preserve"> la destinación </w:t>
      </w:r>
      <w:r w:rsidRPr="00EF3FAC">
        <w:rPr>
          <w:rFonts w:ascii="Book Antiqua" w:eastAsia="Bookman Old Style" w:hAnsi="Book Antiqua" w:cs="Bookman Old Style"/>
          <w:sz w:val="22"/>
          <w:szCs w:val="22"/>
          <w:highlight w:val="white"/>
        </w:rPr>
        <w:t>específica</w:t>
      </w:r>
      <w:r w:rsidRPr="00EF3FAC">
        <w:rPr>
          <w:rFonts w:ascii="Book Antiqua" w:eastAsia="Bookman Old Style" w:hAnsi="Book Antiqua" w:cs="Bookman Old Style"/>
          <w:color w:val="000000"/>
          <w:sz w:val="22"/>
          <w:szCs w:val="22"/>
          <w:highlight w:val="white"/>
        </w:rPr>
        <w:t xml:space="preserve"> de los recursos recaudados por concepto de multas y sanciones por infracciones de tránsito, en aras de lograr una estabilidad financiera de l</w:t>
      </w:r>
      <w:r w:rsidRPr="00EF3FAC">
        <w:rPr>
          <w:rFonts w:ascii="Book Antiqua" w:eastAsia="Bookman Old Style" w:hAnsi="Book Antiqua" w:cs="Bookman Old Style"/>
          <w:color w:val="000000"/>
          <w:sz w:val="22"/>
          <w:szCs w:val="22"/>
          <w:highlight w:val="white"/>
        </w:rPr>
        <w:t>os organismos de tránsito, que garantice la continuidad de las actividades de educación vial, cultura ciudadana, regulación de la circulación vehicular y peatonal, vigilancia, control e intervención en el cumplimiento de las normas de tránsito y transporte</w:t>
      </w:r>
      <w:r w:rsidRPr="00EF3FAC">
        <w:rPr>
          <w:rFonts w:ascii="Book Antiqua" w:eastAsia="Bookman Old Style" w:hAnsi="Book Antiqua" w:cs="Bookman Old Style"/>
          <w:color w:val="000000"/>
          <w:sz w:val="22"/>
          <w:szCs w:val="22"/>
          <w:highlight w:val="white"/>
        </w:rPr>
        <w:t xml:space="preserve">; actividades que son su fin principal, incluso por sobre las relacionadas con la actualización del registro automotor. Lo anterior, en desarrollo de lo dispuesto por el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24 Constitucional.</w:t>
      </w:r>
    </w:p>
    <w:p w:rsidR="00A302DD" w:rsidRPr="00EF3FAC" w:rsidRDefault="00A302DD">
      <w:pPr>
        <w:jc w:val="both"/>
        <w:rPr>
          <w:rFonts w:ascii="Book Antiqua" w:eastAsia="Bookman Old Style" w:hAnsi="Book Antiqua" w:cs="Bookman Old Style"/>
          <w:b/>
          <w:sz w:val="22"/>
          <w:szCs w:val="22"/>
          <w:highlight w:val="white"/>
        </w:rPr>
      </w:pPr>
    </w:p>
    <w:p w:rsidR="00A302DD" w:rsidRPr="00EF3FAC" w:rsidRDefault="00A302DD">
      <w:pPr>
        <w:jc w:val="both"/>
        <w:rPr>
          <w:rFonts w:ascii="Book Antiqua" w:eastAsia="Bookman Old Style" w:hAnsi="Book Antiqua" w:cs="Bookman Old Style"/>
          <w:b/>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b/>
          <w:color w:val="000000"/>
          <w:sz w:val="22"/>
          <w:szCs w:val="22"/>
          <w:highlight w:val="white"/>
        </w:rPr>
        <w:t>ARTÍCULO 2. </w:t>
      </w:r>
      <w:r w:rsidRPr="00EF3FAC">
        <w:rPr>
          <w:rFonts w:ascii="Book Antiqua" w:eastAsia="Bookman Old Style" w:hAnsi="Book Antiqua" w:cs="Bookman Old Style"/>
          <w:color w:val="000000"/>
          <w:sz w:val="22"/>
          <w:szCs w:val="22"/>
          <w:highlight w:val="white"/>
        </w:rPr>
        <w:t>Adiciónese el parágrafo 3 al artículo 160 de</w:t>
      </w:r>
      <w:r w:rsidRPr="00EF3FAC">
        <w:rPr>
          <w:rFonts w:ascii="Book Antiqua" w:eastAsia="Bookman Old Style" w:hAnsi="Book Antiqua" w:cs="Bookman Old Style"/>
          <w:color w:val="000000"/>
          <w:sz w:val="22"/>
          <w:szCs w:val="22"/>
          <w:highlight w:val="white"/>
        </w:rPr>
        <w:t xml:space="preserve"> la ley 769 de 2002 modificado por el artículo 306 de la ley 1955 de 2019 y el decreto legislativo 575 de 2020:</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“PARÁGRAFO 3o. Los organismos de tránsito y transporte podrán financiar con lo recaudado por concepto de multas por infracciones de tránsito, l</w:t>
      </w:r>
      <w:r w:rsidRPr="00EF3FAC">
        <w:rPr>
          <w:rFonts w:ascii="Book Antiqua" w:eastAsia="Bookman Old Style" w:hAnsi="Book Antiqua" w:cs="Bookman Old Style"/>
          <w:color w:val="000000"/>
          <w:sz w:val="22"/>
          <w:szCs w:val="22"/>
          <w:highlight w:val="white"/>
        </w:rPr>
        <w:t>os gastos de funcionamiento inherentes a la nómina de los grupos de control vial o cuerpos de agentes de tránsito dedicados a la educación vial, cultura ciudadana, a regular la circulación vehicular y peatonal, vigilar, controlar e intervenir en el cumplim</w:t>
      </w:r>
      <w:r w:rsidRPr="00EF3FAC">
        <w:rPr>
          <w:rFonts w:ascii="Book Antiqua" w:eastAsia="Bookman Old Style" w:hAnsi="Book Antiqua" w:cs="Bookman Old Style"/>
          <w:color w:val="000000"/>
          <w:sz w:val="22"/>
          <w:szCs w:val="22"/>
          <w:highlight w:val="white"/>
        </w:rPr>
        <w:t>iento de las normas de tránsito y transporte en cada uno de los entes territoriales, vinculados legal y/o contractualmente, a los organismos de tránsito y transporte.</w:t>
      </w:r>
    </w:p>
    <w:p w:rsidR="00A302DD" w:rsidRPr="00EF3FAC" w:rsidRDefault="00A302DD">
      <w:pPr>
        <w:ind w:left="708"/>
        <w:jc w:val="both"/>
        <w:rPr>
          <w:rFonts w:ascii="Book Antiqua" w:eastAsia="Bookman Old Style" w:hAnsi="Book Antiqua" w:cs="Bookman Old Style"/>
          <w:color w:val="000000"/>
          <w:sz w:val="22"/>
          <w:szCs w:val="22"/>
          <w:highlight w:val="white"/>
        </w:rPr>
      </w:pP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Entiéndase por gastos de funcionamiento inherentes a la nómina inclusive los ocasionados</w:t>
      </w:r>
      <w:r w:rsidRPr="00EF3FAC">
        <w:rPr>
          <w:rFonts w:ascii="Book Antiqua" w:eastAsia="Bookman Old Style" w:hAnsi="Book Antiqua" w:cs="Bookman Old Style"/>
          <w:color w:val="000000"/>
          <w:sz w:val="22"/>
          <w:szCs w:val="22"/>
          <w:highlight w:val="white"/>
        </w:rPr>
        <w:t xml:space="preserve"> por las negociaciones sindicales que ocurran entre los empleados públicos en el marco de las leyes que regulan la materia.</w:t>
      </w:r>
    </w:p>
    <w:p w:rsidR="00A302DD" w:rsidRPr="00EF3FAC" w:rsidRDefault="00A302DD">
      <w:pPr>
        <w:ind w:left="708"/>
        <w:jc w:val="both"/>
        <w:rPr>
          <w:rFonts w:ascii="Book Antiqua" w:eastAsia="Bookman Old Style" w:hAnsi="Book Antiqua" w:cs="Bookman Old Style"/>
          <w:color w:val="000000"/>
          <w:sz w:val="22"/>
          <w:szCs w:val="22"/>
          <w:highlight w:val="white"/>
        </w:rPr>
      </w:pP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Para todos los efectos no mediará proyecto de inversión o meta en el plan de desarrollo de la entidad territorial para la aplicació</w:t>
      </w:r>
      <w:r w:rsidRPr="00EF3FAC">
        <w:rPr>
          <w:rFonts w:ascii="Book Antiqua" w:eastAsia="Bookman Old Style" w:hAnsi="Book Antiqua" w:cs="Bookman Old Style"/>
          <w:color w:val="000000"/>
          <w:sz w:val="22"/>
          <w:szCs w:val="22"/>
          <w:highlight w:val="white"/>
        </w:rPr>
        <w:t>n del presente parágrafo, por tratarse de gastos de funcionamiento.”</w:t>
      </w:r>
    </w:p>
    <w:p w:rsidR="00A302DD" w:rsidRPr="00EF3FAC" w:rsidRDefault="00A302DD">
      <w:pPr>
        <w:ind w:left="708"/>
        <w:jc w:val="both"/>
        <w:rPr>
          <w:rFonts w:ascii="Book Antiqua" w:eastAsia="Bookman Old Style" w:hAnsi="Book Antiqua" w:cs="Bookman Old Style"/>
          <w:color w:val="000000"/>
          <w:sz w:val="22"/>
          <w:szCs w:val="22"/>
          <w:highlight w:val="white"/>
        </w:rPr>
      </w:pPr>
    </w:p>
    <w:p w:rsidR="00A302DD" w:rsidRPr="00EF3FAC" w:rsidRDefault="00A302DD">
      <w:pPr>
        <w:ind w:left="708"/>
        <w:jc w:val="both"/>
        <w:rPr>
          <w:rFonts w:ascii="Book Antiqua" w:eastAsia="Bookman Old Style" w:hAnsi="Book Antiqua" w:cs="Bookman Old Style"/>
          <w:color w:val="000000"/>
          <w:sz w:val="22"/>
          <w:szCs w:val="22"/>
          <w:highlight w:val="white"/>
        </w:rPr>
      </w:pPr>
    </w:p>
    <w:p w:rsidR="00A302DD" w:rsidRPr="00EF3FAC" w:rsidRDefault="00A302DD">
      <w:pPr>
        <w:ind w:left="708"/>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b/>
          <w:color w:val="000000"/>
          <w:sz w:val="22"/>
          <w:szCs w:val="22"/>
          <w:highlight w:val="white"/>
        </w:rPr>
        <w:lastRenderedPageBreak/>
        <w:t>ARTÍCULO 3.</w:t>
      </w:r>
      <w:r w:rsidRPr="00EF3FAC">
        <w:rPr>
          <w:rFonts w:ascii="Book Antiqua" w:eastAsia="Bookman Old Style" w:hAnsi="Book Antiqua" w:cs="Bookman Old Style"/>
          <w:color w:val="000000"/>
          <w:sz w:val="22"/>
          <w:szCs w:val="22"/>
          <w:highlight w:val="white"/>
        </w:rPr>
        <w:t xml:space="preserve"> </w:t>
      </w:r>
      <w:r w:rsidRPr="00EF3FAC">
        <w:rPr>
          <w:rFonts w:ascii="Book Antiqua" w:eastAsia="Bookman Old Style" w:hAnsi="Book Antiqua" w:cs="Bookman Old Style"/>
          <w:b/>
          <w:color w:val="000000"/>
          <w:sz w:val="22"/>
          <w:szCs w:val="22"/>
          <w:highlight w:val="white"/>
        </w:rPr>
        <w:t>VIGENCIA</w:t>
      </w:r>
      <w:r w:rsidRPr="00EF3FAC">
        <w:rPr>
          <w:rFonts w:ascii="Book Antiqua" w:eastAsia="Bookman Old Style" w:hAnsi="Book Antiqua" w:cs="Bookman Old Style"/>
          <w:color w:val="000000"/>
          <w:sz w:val="22"/>
          <w:szCs w:val="22"/>
          <w:highlight w:val="white"/>
        </w:rPr>
        <w:t>. La presente ley rige a partir de la fecha de su publicación y deroga las disposiciones que le sean contrarias y las normas que la modifiquen o adicionen.</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A302DD">
      <w:pPr>
        <w:jc w:val="both"/>
        <w:rPr>
          <w:rFonts w:ascii="Book Antiqua" w:eastAsia="Bookman Old Style" w:hAnsi="Book Antiqua" w:cs="Bookman Old Style"/>
          <w:sz w:val="22"/>
          <w:szCs w:val="22"/>
        </w:rPr>
      </w:pPr>
    </w:p>
    <w:p w:rsidR="00A302DD" w:rsidRPr="00EF3FAC" w:rsidRDefault="00A302DD">
      <w:pPr>
        <w:jc w:val="both"/>
        <w:rPr>
          <w:rFonts w:ascii="Book Antiqua" w:eastAsia="Bookman Old Style" w:hAnsi="Book Antiqua" w:cs="Bookman Old Style"/>
          <w:sz w:val="22"/>
          <w:szCs w:val="22"/>
        </w:rPr>
      </w:pPr>
    </w:p>
    <w:p w:rsidR="00A302DD" w:rsidRPr="00EF3FAC" w:rsidRDefault="00E21E6F">
      <w:pPr>
        <w:jc w:val="both"/>
        <w:rPr>
          <w:rFonts w:ascii="Book Antiqua" w:eastAsia="Bookman Old Style" w:hAnsi="Book Antiqua" w:cs="Bookman Old Style"/>
          <w:color w:val="000000"/>
          <w:sz w:val="22"/>
          <w:szCs w:val="22"/>
        </w:rPr>
      </w:pPr>
      <w:r w:rsidRPr="00EF3FAC">
        <w:rPr>
          <w:rFonts w:ascii="Book Antiqua" w:eastAsia="Bookman Old Style" w:hAnsi="Book Antiqua" w:cs="Bookman Old Style"/>
          <w:color w:val="000000"/>
          <w:sz w:val="22"/>
          <w:szCs w:val="22"/>
        </w:rPr>
        <w:t>Cordialmente,</w:t>
      </w:r>
    </w:p>
    <w:p w:rsidR="00A302DD" w:rsidRPr="00EF3FAC" w:rsidRDefault="00A302DD">
      <w:pPr>
        <w:jc w:val="both"/>
        <w:rPr>
          <w:rFonts w:ascii="Book Antiqua" w:eastAsia="Bookman Old Style" w:hAnsi="Book Antiqua" w:cs="Bookman Old Style"/>
          <w:color w:val="000000"/>
          <w:sz w:val="22"/>
          <w:szCs w:val="22"/>
        </w:rPr>
      </w:pPr>
    </w:p>
    <w:p w:rsidR="00A302DD" w:rsidRPr="00EF3FAC" w:rsidRDefault="00A302DD">
      <w:pPr>
        <w:jc w:val="both"/>
        <w:rPr>
          <w:rFonts w:ascii="Book Antiqua" w:eastAsia="Bookman Old Style" w:hAnsi="Book Antiqua" w:cs="Bookman Old Style"/>
          <w:color w:val="000000"/>
          <w:sz w:val="22"/>
          <w:szCs w:val="22"/>
        </w:rPr>
      </w:pPr>
    </w:p>
    <w:p w:rsidR="00A302DD" w:rsidRPr="00EF3FAC" w:rsidRDefault="00A302DD">
      <w:pPr>
        <w:jc w:val="both"/>
        <w:rPr>
          <w:rFonts w:ascii="Book Antiqua" w:eastAsia="Bookman Old Style" w:hAnsi="Book Antiqua" w:cs="Bookman Old Style"/>
          <w:color w:val="000000"/>
          <w:sz w:val="22"/>
          <w:szCs w:val="22"/>
        </w:rPr>
      </w:pPr>
    </w:p>
    <w:p w:rsidR="00A302DD" w:rsidRPr="00EF3FAC" w:rsidRDefault="00A302DD">
      <w:pPr>
        <w:jc w:val="both"/>
        <w:rPr>
          <w:rFonts w:ascii="Book Antiqua" w:eastAsia="Bookman Old Style" w:hAnsi="Book Antiqua" w:cs="Bookman Old Style"/>
          <w:color w:val="000000"/>
          <w:sz w:val="22"/>
          <w:szCs w:val="22"/>
        </w:rPr>
      </w:pPr>
    </w:p>
    <w:p w:rsidR="00A302DD" w:rsidRPr="00EF3FAC" w:rsidRDefault="00A302DD">
      <w:pPr>
        <w:jc w:val="both"/>
        <w:rPr>
          <w:rFonts w:ascii="Book Antiqua" w:eastAsia="Bookman Old Style" w:hAnsi="Book Antiqua" w:cs="Bookman Old Style"/>
          <w:color w:val="000000"/>
          <w:sz w:val="22"/>
          <w:szCs w:val="22"/>
        </w:rPr>
      </w:pPr>
    </w:p>
    <w:p w:rsidR="00A302DD" w:rsidRPr="00EF3FAC" w:rsidRDefault="00E21E6F">
      <w:pPr>
        <w:jc w:val="both"/>
        <w:rPr>
          <w:rFonts w:ascii="Book Antiqua" w:eastAsia="Bookman Old Style" w:hAnsi="Book Antiqua" w:cs="Bookman Old Style"/>
          <w:b/>
          <w:color w:val="000000"/>
          <w:sz w:val="22"/>
          <w:szCs w:val="22"/>
        </w:rPr>
      </w:pPr>
      <w:r w:rsidRPr="00EF3FAC">
        <w:rPr>
          <w:rFonts w:ascii="Book Antiqua" w:eastAsia="Bookman Old Style" w:hAnsi="Book Antiqua" w:cs="Bookman Old Style"/>
          <w:b/>
          <w:color w:val="000000"/>
          <w:sz w:val="22"/>
          <w:szCs w:val="22"/>
        </w:rPr>
        <w:t>ALVARO LEONEL RUEDA CABALLERO</w:t>
      </w:r>
    </w:p>
    <w:p w:rsidR="00A302DD" w:rsidRPr="00EF3FAC" w:rsidRDefault="00E21E6F">
      <w:pPr>
        <w:jc w:val="both"/>
        <w:rPr>
          <w:rFonts w:ascii="Book Antiqua" w:eastAsia="Arial" w:hAnsi="Book Antiqua" w:cs="Arial"/>
          <w:color w:val="000000"/>
          <w:sz w:val="22"/>
          <w:szCs w:val="22"/>
        </w:rPr>
      </w:pPr>
      <w:r w:rsidRPr="00EF3FAC">
        <w:rPr>
          <w:rFonts w:ascii="Book Antiqua" w:eastAsia="Bookman Old Style" w:hAnsi="Book Antiqua" w:cs="Bookman Old Style"/>
          <w:color w:val="000000"/>
          <w:sz w:val="22"/>
          <w:szCs w:val="22"/>
        </w:rPr>
        <w:t>Representante a la Cámara por Santander.</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Default="00A302DD">
      <w:pPr>
        <w:jc w:val="both"/>
        <w:rPr>
          <w:rFonts w:ascii="Book Antiqua" w:hAnsi="Book Antiqua"/>
          <w:sz w:val="22"/>
          <w:szCs w:val="22"/>
        </w:rPr>
      </w:pPr>
    </w:p>
    <w:p w:rsidR="00EF3FAC" w:rsidRDefault="00EF3FAC">
      <w:pPr>
        <w:jc w:val="both"/>
        <w:rPr>
          <w:rFonts w:ascii="Book Antiqua" w:hAnsi="Book Antiqua"/>
          <w:sz w:val="22"/>
          <w:szCs w:val="22"/>
        </w:rPr>
      </w:pPr>
    </w:p>
    <w:p w:rsidR="00EF3FAC" w:rsidRDefault="00EF3FAC">
      <w:pPr>
        <w:jc w:val="both"/>
        <w:rPr>
          <w:rFonts w:ascii="Book Antiqua" w:hAnsi="Book Antiqua"/>
          <w:sz w:val="22"/>
          <w:szCs w:val="22"/>
        </w:rPr>
      </w:pPr>
    </w:p>
    <w:p w:rsidR="00EF3FAC" w:rsidRDefault="00EF3FAC">
      <w:pPr>
        <w:jc w:val="both"/>
        <w:rPr>
          <w:rFonts w:ascii="Book Antiqua" w:hAnsi="Book Antiqua"/>
          <w:sz w:val="22"/>
          <w:szCs w:val="22"/>
        </w:rPr>
      </w:pPr>
    </w:p>
    <w:p w:rsidR="00EF3FAC" w:rsidRDefault="00EF3FAC">
      <w:pPr>
        <w:jc w:val="both"/>
        <w:rPr>
          <w:rFonts w:ascii="Book Antiqua" w:hAnsi="Book Antiqua"/>
          <w:sz w:val="22"/>
          <w:szCs w:val="22"/>
        </w:rPr>
      </w:pPr>
    </w:p>
    <w:p w:rsidR="00EF3FAC" w:rsidRDefault="00EF3FAC">
      <w:pPr>
        <w:jc w:val="both"/>
        <w:rPr>
          <w:rFonts w:ascii="Book Antiqua" w:hAnsi="Book Antiqua"/>
          <w:sz w:val="22"/>
          <w:szCs w:val="22"/>
        </w:rPr>
      </w:pPr>
    </w:p>
    <w:p w:rsidR="00EF3FAC" w:rsidRDefault="00EF3FAC">
      <w:pPr>
        <w:jc w:val="both"/>
        <w:rPr>
          <w:rFonts w:ascii="Book Antiqua" w:hAnsi="Book Antiqua"/>
          <w:sz w:val="22"/>
          <w:szCs w:val="22"/>
        </w:rPr>
      </w:pPr>
    </w:p>
    <w:p w:rsidR="00EF3FAC" w:rsidRDefault="00EF3FAC">
      <w:pPr>
        <w:jc w:val="both"/>
        <w:rPr>
          <w:rFonts w:ascii="Book Antiqua" w:hAnsi="Book Antiqua"/>
          <w:sz w:val="22"/>
          <w:szCs w:val="22"/>
        </w:rPr>
      </w:pPr>
    </w:p>
    <w:p w:rsidR="00EF3FAC" w:rsidRDefault="00EF3FAC">
      <w:pPr>
        <w:jc w:val="both"/>
        <w:rPr>
          <w:rFonts w:ascii="Book Antiqua" w:hAnsi="Book Antiqua"/>
          <w:sz w:val="22"/>
          <w:szCs w:val="22"/>
        </w:rPr>
      </w:pPr>
    </w:p>
    <w:p w:rsidR="00EF3FAC" w:rsidRDefault="00EF3FAC">
      <w:pPr>
        <w:jc w:val="both"/>
        <w:rPr>
          <w:rFonts w:ascii="Book Antiqua" w:hAnsi="Book Antiqua"/>
          <w:sz w:val="22"/>
          <w:szCs w:val="22"/>
        </w:rPr>
      </w:pPr>
    </w:p>
    <w:p w:rsidR="00EF3FAC" w:rsidRDefault="00EF3FAC">
      <w:pPr>
        <w:jc w:val="both"/>
        <w:rPr>
          <w:rFonts w:ascii="Book Antiqua" w:hAnsi="Book Antiqua"/>
          <w:sz w:val="22"/>
          <w:szCs w:val="22"/>
        </w:rPr>
      </w:pPr>
    </w:p>
    <w:p w:rsidR="00EF3FAC" w:rsidRPr="00EF3FAC" w:rsidRDefault="00EF3FAC">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A302DD">
      <w:pPr>
        <w:jc w:val="both"/>
        <w:rPr>
          <w:rFonts w:ascii="Book Antiqua" w:hAnsi="Book Antiqua"/>
          <w:sz w:val="22"/>
          <w:szCs w:val="22"/>
        </w:rPr>
      </w:pPr>
    </w:p>
    <w:p w:rsidR="00A302DD" w:rsidRPr="00EF3FAC" w:rsidRDefault="00E21E6F">
      <w:pPr>
        <w:jc w:val="center"/>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lastRenderedPageBreak/>
        <w:t>EXPOSICIÓN DE MOTIVOS:</w:t>
      </w:r>
    </w:p>
    <w:p w:rsidR="00A302DD" w:rsidRPr="00EF3FAC" w:rsidRDefault="00A302DD">
      <w:pPr>
        <w:jc w:val="center"/>
        <w:rPr>
          <w:rFonts w:ascii="Book Antiqua" w:eastAsia="Bookman Old Style" w:hAnsi="Book Antiqua" w:cs="Bookman Old Style"/>
          <w:b/>
          <w:color w:val="000000"/>
          <w:sz w:val="22"/>
          <w:szCs w:val="22"/>
          <w:highlight w:val="white"/>
        </w:rPr>
      </w:pPr>
    </w:p>
    <w:p w:rsidR="00A302DD" w:rsidRPr="00EF3FAC" w:rsidRDefault="00E21E6F">
      <w:pPr>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color w:val="000000"/>
          <w:sz w:val="22"/>
          <w:szCs w:val="22"/>
          <w:highlight w:val="white"/>
        </w:rPr>
        <w:t>La presente exposición de motivos del proyecto de Ley estará conformada por siete (7) apartes</w:t>
      </w:r>
      <w:r w:rsidRPr="00EF3FAC">
        <w:rPr>
          <w:rFonts w:ascii="Book Antiqua" w:eastAsia="Bookman Old Style" w:hAnsi="Book Antiqua" w:cs="Bookman Old Style"/>
          <w:b/>
          <w:color w:val="000000"/>
          <w:sz w:val="22"/>
          <w:szCs w:val="22"/>
          <w:highlight w:val="white"/>
        </w:rPr>
        <w:t>:</w:t>
      </w:r>
    </w:p>
    <w:p w:rsidR="00A302DD" w:rsidRPr="00EF3FAC" w:rsidRDefault="00A302DD">
      <w:pPr>
        <w:jc w:val="both"/>
        <w:rPr>
          <w:rFonts w:ascii="Book Antiqua" w:eastAsia="Bookman Old Style" w:hAnsi="Book Antiqua" w:cs="Bookman Old Style"/>
          <w:b/>
          <w:color w:val="000000"/>
          <w:sz w:val="22"/>
          <w:szCs w:val="22"/>
          <w:highlight w:val="white"/>
        </w:rPr>
      </w:pPr>
    </w:p>
    <w:p w:rsidR="00A302DD" w:rsidRPr="00EF3FAC" w:rsidRDefault="00E21E6F">
      <w:pPr>
        <w:numPr>
          <w:ilvl w:val="0"/>
          <w:numId w:val="3"/>
        </w:numPr>
        <w:pBdr>
          <w:top w:val="nil"/>
          <w:left w:val="nil"/>
          <w:bottom w:val="nil"/>
          <w:right w:val="nil"/>
          <w:between w:val="nil"/>
        </w:pBdr>
        <w:spacing w:line="259" w:lineRule="auto"/>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Objeto del Proyecto de Ley.</w:t>
      </w:r>
    </w:p>
    <w:p w:rsidR="00A302DD" w:rsidRPr="00EF3FAC" w:rsidRDefault="00E21E6F">
      <w:pPr>
        <w:numPr>
          <w:ilvl w:val="0"/>
          <w:numId w:val="3"/>
        </w:numPr>
        <w:pBdr>
          <w:top w:val="nil"/>
          <w:left w:val="nil"/>
          <w:bottom w:val="nil"/>
          <w:right w:val="nil"/>
          <w:between w:val="nil"/>
        </w:pBdr>
        <w:spacing w:line="259" w:lineRule="auto"/>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Antecedentes jurídicos y normativos sobre la materia.</w:t>
      </w:r>
    </w:p>
    <w:p w:rsidR="00A302DD" w:rsidRPr="00EF3FAC" w:rsidRDefault="00E21E6F">
      <w:pPr>
        <w:numPr>
          <w:ilvl w:val="0"/>
          <w:numId w:val="3"/>
        </w:numPr>
        <w:pBdr>
          <w:top w:val="nil"/>
          <w:left w:val="nil"/>
          <w:bottom w:val="nil"/>
          <w:right w:val="nil"/>
          <w:between w:val="nil"/>
        </w:pBdr>
        <w:spacing w:line="259" w:lineRule="auto"/>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Justificación del Proyecto de Ley.</w:t>
      </w:r>
    </w:p>
    <w:p w:rsidR="00A302DD" w:rsidRPr="00EF3FAC" w:rsidRDefault="00E21E6F">
      <w:pPr>
        <w:numPr>
          <w:ilvl w:val="0"/>
          <w:numId w:val="3"/>
        </w:numPr>
        <w:pBdr>
          <w:top w:val="nil"/>
          <w:left w:val="nil"/>
          <w:bottom w:val="nil"/>
          <w:right w:val="nil"/>
          <w:between w:val="nil"/>
        </w:pBdr>
        <w:spacing w:line="259" w:lineRule="auto"/>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 xml:space="preserve">Problema a resolver- Desestabilización financiera de los Organismos </w:t>
      </w:r>
      <w:r w:rsidRPr="00EF3FAC">
        <w:rPr>
          <w:rFonts w:ascii="Book Antiqua" w:eastAsia="Bookman Old Style" w:hAnsi="Book Antiqua" w:cs="Bookman Old Style"/>
          <w:b/>
          <w:sz w:val="22"/>
          <w:szCs w:val="22"/>
          <w:highlight w:val="white"/>
        </w:rPr>
        <w:t>Tránsito</w:t>
      </w:r>
      <w:r w:rsidRPr="00EF3FAC">
        <w:rPr>
          <w:rFonts w:ascii="Book Antiqua" w:eastAsia="Bookman Old Style" w:hAnsi="Book Antiqua" w:cs="Bookman Old Style"/>
          <w:b/>
          <w:color w:val="000000"/>
          <w:sz w:val="22"/>
          <w:szCs w:val="22"/>
          <w:highlight w:val="white"/>
        </w:rPr>
        <w:t xml:space="preserve"> a causa del Covid-19.</w:t>
      </w:r>
    </w:p>
    <w:p w:rsidR="00A302DD" w:rsidRPr="00EF3FAC" w:rsidRDefault="00E21E6F">
      <w:pPr>
        <w:numPr>
          <w:ilvl w:val="0"/>
          <w:numId w:val="3"/>
        </w:numPr>
        <w:pBdr>
          <w:top w:val="nil"/>
          <w:left w:val="nil"/>
          <w:bottom w:val="nil"/>
          <w:right w:val="nil"/>
          <w:between w:val="nil"/>
        </w:pBdr>
        <w:spacing w:line="259" w:lineRule="auto"/>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Competencias del Congreso.</w:t>
      </w:r>
    </w:p>
    <w:p w:rsidR="00A302DD" w:rsidRPr="00EF3FAC" w:rsidRDefault="00E21E6F">
      <w:pPr>
        <w:numPr>
          <w:ilvl w:val="1"/>
          <w:numId w:val="3"/>
        </w:numPr>
        <w:pBdr>
          <w:top w:val="nil"/>
          <w:left w:val="nil"/>
          <w:bottom w:val="nil"/>
          <w:right w:val="nil"/>
          <w:between w:val="nil"/>
        </w:pBdr>
        <w:spacing w:line="259" w:lineRule="auto"/>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Constitucional</w:t>
      </w:r>
    </w:p>
    <w:p w:rsidR="00A302DD" w:rsidRPr="00EF3FAC" w:rsidRDefault="00E21E6F">
      <w:pPr>
        <w:numPr>
          <w:ilvl w:val="1"/>
          <w:numId w:val="3"/>
        </w:numPr>
        <w:pBdr>
          <w:top w:val="nil"/>
          <w:left w:val="nil"/>
          <w:bottom w:val="nil"/>
          <w:right w:val="nil"/>
          <w:between w:val="nil"/>
        </w:pBdr>
        <w:spacing w:line="259" w:lineRule="auto"/>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Legal</w:t>
      </w:r>
    </w:p>
    <w:p w:rsidR="00A302DD" w:rsidRPr="00EF3FAC" w:rsidRDefault="00E21E6F">
      <w:pPr>
        <w:numPr>
          <w:ilvl w:val="0"/>
          <w:numId w:val="3"/>
        </w:numPr>
        <w:pBdr>
          <w:top w:val="nil"/>
          <w:left w:val="nil"/>
          <w:bottom w:val="nil"/>
          <w:right w:val="nil"/>
          <w:between w:val="nil"/>
        </w:pBdr>
        <w:spacing w:line="259" w:lineRule="auto"/>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Conflicto de Intereses.</w:t>
      </w:r>
    </w:p>
    <w:p w:rsidR="00A302DD" w:rsidRPr="00EF3FAC" w:rsidRDefault="00E21E6F">
      <w:pPr>
        <w:numPr>
          <w:ilvl w:val="0"/>
          <w:numId w:val="3"/>
        </w:numPr>
        <w:pBdr>
          <w:top w:val="nil"/>
          <w:left w:val="nil"/>
          <w:bottom w:val="nil"/>
          <w:right w:val="nil"/>
          <w:between w:val="nil"/>
        </w:pBdr>
        <w:spacing w:line="259" w:lineRule="auto"/>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 xml:space="preserve">Bibliografía. </w:t>
      </w:r>
    </w:p>
    <w:p w:rsidR="00A302DD" w:rsidRPr="00EF3FAC" w:rsidRDefault="00A302DD">
      <w:pPr>
        <w:pBdr>
          <w:top w:val="nil"/>
          <w:left w:val="nil"/>
          <w:bottom w:val="nil"/>
          <w:right w:val="nil"/>
          <w:between w:val="nil"/>
        </w:pBdr>
        <w:spacing w:line="259" w:lineRule="auto"/>
        <w:ind w:left="720"/>
        <w:jc w:val="both"/>
        <w:rPr>
          <w:rFonts w:ascii="Book Antiqua" w:eastAsia="Bookman Old Style" w:hAnsi="Book Antiqua" w:cs="Bookman Old Style"/>
          <w:b/>
          <w:color w:val="000000"/>
          <w:sz w:val="22"/>
          <w:szCs w:val="22"/>
          <w:highlight w:val="white"/>
        </w:rPr>
      </w:pPr>
    </w:p>
    <w:p w:rsidR="00A302DD" w:rsidRPr="00EF3FAC" w:rsidRDefault="00A302DD">
      <w:pPr>
        <w:pBdr>
          <w:top w:val="nil"/>
          <w:left w:val="nil"/>
          <w:bottom w:val="nil"/>
          <w:right w:val="nil"/>
          <w:between w:val="nil"/>
        </w:pBdr>
        <w:tabs>
          <w:tab w:val="left" w:pos="4308"/>
        </w:tabs>
        <w:spacing w:line="259" w:lineRule="auto"/>
        <w:ind w:left="720"/>
        <w:jc w:val="center"/>
        <w:rPr>
          <w:rFonts w:ascii="Book Antiqua" w:eastAsia="Bookman Old Style" w:hAnsi="Book Antiqua" w:cs="Bookman Old Style"/>
          <w:b/>
          <w:color w:val="000000"/>
          <w:sz w:val="22"/>
          <w:szCs w:val="22"/>
          <w:highlight w:val="white"/>
        </w:rPr>
      </w:pPr>
    </w:p>
    <w:p w:rsidR="00A302DD" w:rsidRPr="00EF3FAC" w:rsidRDefault="00E21E6F">
      <w:pPr>
        <w:numPr>
          <w:ilvl w:val="0"/>
          <w:numId w:val="4"/>
        </w:numPr>
        <w:pBdr>
          <w:top w:val="nil"/>
          <w:left w:val="nil"/>
          <w:bottom w:val="nil"/>
          <w:right w:val="nil"/>
          <w:between w:val="nil"/>
        </w:pBdr>
        <w:tabs>
          <w:tab w:val="left" w:pos="4308"/>
        </w:tabs>
        <w:spacing w:after="160" w:line="259" w:lineRule="auto"/>
        <w:jc w:val="center"/>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Objeto del Proyecto de Ley</w:t>
      </w: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La presente Ley tiene por objeto ajustar la legislación Colombiana </w:t>
      </w:r>
      <w:r w:rsidRPr="00EF3FAC">
        <w:rPr>
          <w:rFonts w:ascii="Book Antiqua" w:eastAsia="Bookman Old Style" w:hAnsi="Book Antiqua" w:cs="Bookman Old Style"/>
          <w:sz w:val="22"/>
          <w:szCs w:val="22"/>
          <w:highlight w:val="white"/>
        </w:rPr>
        <w:t>en lo que tiene que ver con</w:t>
      </w:r>
      <w:r w:rsidRPr="00EF3FAC">
        <w:rPr>
          <w:rFonts w:ascii="Book Antiqua" w:eastAsia="Bookman Old Style" w:hAnsi="Book Antiqua" w:cs="Bookman Old Style"/>
          <w:color w:val="000000"/>
          <w:sz w:val="22"/>
          <w:szCs w:val="22"/>
          <w:highlight w:val="white"/>
        </w:rPr>
        <w:t xml:space="preserve"> la destinación </w:t>
      </w:r>
      <w:r w:rsidRPr="00EF3FAC">
        <w:rPr>
          <w:rFonts w:ascii="Book Antiqua" w:eastAsia="Bookman Old Style" w:hAnsi="Book Antiqua" w:cs="Bookman Old Style"/>
          <w:sz w:val="22"/>
          <w:szCs w:val="22"/>
          <w:highlight w:val="white"/>
        </w:rPr>
        <w:t>específica</w:t>
      </w:r>
      <w:r w:rsidRPr="00EF3FAC">
        <w:rPr>
          <w:rFonts w:ascii="Book Antiqua" w:eastAsia="Bookman Old Style" w:hAnsi="Book Antiqua" w:cs="Bookman Old Style"/>
          <w:color w:val="000000"/>
          <w:sz w:val="22"/>
          <w:szCs w:val="22"/>
          <w:highlight w:val="white"/>
        </w:rPr>
        <w:t xml:space="preserve"> de los recursos recaudados por concepto de multas y sanciones por infracciones de tránsito, en aras de lograr una estabilidad financiera de los organismos de tránsito, que garantice la continuidad de las actividades de educación vial, cultura ciudadana, r</w:t>
      </w:r>
      <w:r w:rsidRPr="00EF3FAC">
        <w:rPr>
          <w:rFonts w:ascii="Book Antiqua" w:eastAsia="Bookman Old Style" w:hAnsi="Book Antiqua" w:cs="Bookman Old Style"/>
          <w:color w:val="000000"/>
          <w:sz w:val="22"/>
          <w:szCs w:val="22"/>
          <w:highlight w:val="white"/>
        </w:rPr>
        <w:t>egulación de la circulación vehicular y peatonal, vigilancia, control e intervención en el cumplimiento de las normas de tránsito y transporte; actividades que son su fin principal, incluso por sobre las relacionadas con la actualización del registro autom</w:t>
      </w:r>
      <w:r w:rsidRPr="00EF3FAC">
        <w:rPr>
          <w:rFonts w:ascii="Book Antiqua" w:eastAsia="Bookman Old Style" w:hAnsi="Book Antiqua" w:cs="Bookman Old Style"/>
          <w:color w:val="000000"/>
          <w:sz w:val="22"/>
          <w:szCs w:val="22"/>
          <w:highlight w:val="white"/>
        </w:rPr>
        <w:t>otor. Lo anterior, en desarrollo de lo dispuesto por el artículo 24 Constitucional.</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numPr>
          <w:ilvl w:val="0"/>
          <w:numId w:val="4"/>
        </w:numPr>
        <w:pBdr>
          <w:top w:val="nil"/>
          <w:left w:val="nil"/>
          <w:bottom w:val="nil"/>
          <w:right w:val="nil"/>
          <w:between w:val="nil"/>
        </w:pBdr>
        <w:tabs>
          <w:tab w:val="left" w:pos="4308"/>
        </w:tabs>
        <w:spacing w:after="160" w:line="259" w:lineRule="auto"/>
        <w:jc w:val="center"/>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Antecedentes Jurídicos y Normativos sobre la materia</w:t>
      </w:r>
    </w:p>
    <w:p w:rsidR="00A302DD" w:rsidRPr="00EF3FAC" w:rsidRDefault="00E21E6F">
      <w:pPr>
        <w:tabs>
          <w:tab w:val="left" w:pos="4308"/>
        </w:tabs>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El artículo 1 de la Constitución Política de Colombia establece:</w:t>
      </w:r>
    </w:p>
    <w:p w:rsidR="00A302DD" w:rsidRPr="00EF3FAC" w:rsidRDefault="00A302DD">
      <w:pPr>
        <w:tabs>
          <w:tab w:val="left" w:pos="4308"/>
        </w:tabs>
        <w:rPr>
          <w:rFonts w:ascii="Book Antiqua" w:eastAsia="Bookman Old Style" w:hAnsi="Book Antiqua" w:cs="Bookman Old Style"/>
          <w:color w:val="000000"/>
          <w:sz w:val="22"/>
          <w:szCs w:val="22"/>
          <w:highlight w:val="white"/>
        </w:rPr>
      </w:pP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Colombia es un Estado social de derecho, organizado </w:t>
      </w:r>
      <w:r w:rsidRPr="00EF3FAC">
        <w:rPr>
          <w:rFonts w:ascii="Book Antiqua" w:eastAsia="Bookman Old Style" w:hAnsi="Book Antiqua" w:cs="Bookman Old Style"/>
          <w:color w:val="000000"/>
          <w:sz w:val="22"/>
          <w:szCs w:val="22"/>
          <w:highlight w:val="white"/>
        </w:rPr>
        <w:t xml:space="preserve">en forma de República unitaria, descentralizada, </w:t>
      </w:r>
      <w:r w:rsidRPr="00EF3FAC">
        <w:rPr>
          <w:rFonts w:ascii="Book Antiqua" w:eastAsia="Bookman Old Style" w:hAnsi="Book Antiqua" w:cs="Bookman Old Style"/>
          <w:i/>
          <w:color w:val="000000"/>
          <w:sz w:val="22"/>
          <w:szCs w:val="22"/>
          <w:highlight w:val="white"/>
        </w:rPr>
        <w:t>con autonomía de sus entidades territoriales</w:t>
      </w:r>
      <w:r w:rsidRPr="00EF3FAC">
        <w:rPr>
          <w:rFonts w:ascii="Book Antiqua" w:eastAsia="Bookman Old Style" w:hAnsi="Book Antiqua" w:cs="Bookman Old Style"/>
          <w:color w:val="000000"/>
          <w:sz w:val="22"/>
          <w:szCs w:val="22"/>
          <w:highlight w:val="white"/>
        </w:rPr>
        <w:t xml:space="preserve">, democrática, participativa y pluralista, fundada en el respeto de la dignidad humana, en el trabajo y la solidaridad de las personas que la integran y en la prevalencia del interés </w:t>
      </w:r>
      <w:r w:rsidR="00EF3FAC" w:rsidRPr="00EF3FAC">
        <w:rPr>
          <w:rFonts w:ascii="Book Antiqua" w:eastAsia="Bookman Old Style" w:hAnsi="Book Antiqua" w:cs="Bookman Old Style"/>
          <w:color w:val="000000"/>
          <w:sz w:val="22"/>
          <w:szCs w:val="22"/>
          <w:highlight w:val="white"/>
        </w:rPr>
        <w:t>general.</w:t>
      </w:r>
      <w:r w:rsidR="00EF3FAC" w:rsidRPr="00EF3FAC">
        <w:rPr>
          <w:rFonts w:ascii="Book Antiqua" w:eastAsia="Bookman Old Style" w:hAnsi="Book Antiqua" w:cs="Bookman Old Style"/>
          <w:sz w:val="22"/>
          <w:szCs w:val="22"/>
          <w:highlight w:val="white"/>
        </w:rPr>
        <w:t xml:space="preserve"> (</w:t>
      </w:r>
      <w:r w:rsidRPr="00EF3FAC">
        <w:rPr>
          <w:rFonts w:ascii="Book Antiqua" w:eastAsia="Bookman Old Style" w:hAnsi="Book Antiqua" w:cs="Bookman Old Style"/>
          <w:sz w:val="22"/>
          <w:szCs w:val="22"/>
          <w:highlight w:val="white"/>
        </w:rPr>
        <w:t>cursiva propia</w:t>
      </w:r>
      <w:r w:rsidRPr="00EF3FAC">
        <w:rPr>
          <w:rFonts w:ascii="Book Antiqua" w:eastAsia="Bookman Old Style" w:hAnsi="Book Antiqua" w:cs="Bookman Old Style"/>
          <w:color w:val="000000"/>
          <w:sz w:val="22"/>
          <w:szCs w:val="22"/>
          <w:highlight w:val="white"/>
        </w:rPr>
        <w:t>).</w:t>
      </w:r>
    </w:p>
    <w:p w:rsidR="00A302DD" w:rsidRPr="00EF3FAC" w:rsidRDefault="00A302DD">
      <w:pPr>
        <w:tabs>
          <w:tab w:val="left" w:pos="4308"/>
        </w:tabs>
        <w:ind w:left="708"/>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En armonía </w:t>
      </w:r>
      <w:r w:rsidRPr="00EF3FAC">
        <w:rPr>
          <w:rFonts w:ascii="Book Antiqua" w:eastAsia="Bookman Old Style" w:hAnsi="Book Antiqua" w:cs="Bookman Old Style"/>
          <w:sz w:val="22"/>
          <w:szCs w:val="22"/>
          <w:highlight w:val="white"/>
        </w:rPr>
        <w:t>con</w:t>
      </w:r>
      <w:r w:rsidRPr="00EF3FAC">
        <w:rPr>
          <w:rFonts w:ascii="Book Antiqua" w:eastAsia="Bookman Old Style" w:hAnsi="Book Antiqua" w:cs="Bookman Old Style"/>
          <w:color w:val="000000"/>
          <w:sz w:val="22"/>
          <w:szCs w:val="22"/>
          <w:highlight w:val="white"/>
        </w:rPr>
        <w:t xml:space="preserve"> lo anterior, el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278 de</w:t>
      </w:r>
      <w:r w:rsidRPr="00EF3FAC">
        <w:rPr>
          <w:rFonts w:ascii="Book Antiqua" w:eastAsia="Bookman Old Style" w:hAnsi="Book Antiqua" w:cs="Bookman Old Style"/>
          <w:color w:val="000000"/>
          <w:sz w:val="22"/>
          <w:szCs w:val="22"/>
          <w:highlight w:val="white"/>
        </w:rPr>
        <w:t xml:space="preserve"> la constitución Política de Colombia establece:</w:t>
      </w:r>
    </w:p>
    <w:p w:rsidR="00A302DD" w:rsidRPr="00EF3FAC" w:rsidRDefault="00A302DD">
      <w:pPr>
        <w:tabs>
          <w:tab w:val="left" w:pos="4308"/>
        </w:tabs>
        <w:jc w:val="both"/>
        <w:rPr>
          <w:rFonts w:ascii="Book Antiqua" w:eastAsia="Bookman Old Style" w:hAnsi="Book Antiqua" w:cs="Bookman Old Style"/>
          <w:sz w:val="22"/>
          <w:szCs w:val="22"/>
          <w:highlight w:val="white"/>
        </w:rPr>
      </w:pP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i/>
          <w:color w:val="000000"/>
          <w:sz w:val="22"/>
          <w:szCs w:val="22"/>
          <w:highlight w:val="white"/>
        </w:rPr>
        <w:t>Las entidades territoriales gozan de autonomía para la gestión de sus intereses, y dentro de los límites de la Constitución y la ley</w:t>
      </w:r>
      <w:r w:rsidRPr="00EF3FAC">
        <w:rPr>
          <w:rFonts w:ascii="Book Antiqua" w:eastAsia="Bookman Old Style" w:hAnsi="Book Antiqua" w:cs="Bookman Old Style"/>
          <w:color w:val="000000"/>
          <w:sz w:val="22"/>
          <w:szCs w:val="22"/>
          <w:highlight w:val="white"/>
        </w:rPr>
        <w:t>. En tal virtud tendrán los siguientes derechos:</w:t>
      </w:r>
    </w:p>
    <w:p w:rsidR="00A302DD" w:rsidRPr="00EF3FAC" w:rsidRDefault="00A302DD">
      <w:pPr>
        <w:tabs>
          <w:tab w:val="left" w:pos="4308"/>
        </w:tabs>
        <w:ind w:left="708"/>
        <w:jc w:val="both"/>
        <w:rPr>
          <w:rFonts w:ascii="Book Antiqua" w:eastAsia="Bookman Old Style" w:hAnsi="Book Antiqua" w:cs="Bookman Old Style"/>
          <w:sz w:val="22"/>
          <w:szCs w:val="22"/>
          <w:highlight w:val="white"/>
        </w:rPr>
      </w:pP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lastRenderedPageBreak/>
        <w:t>1. Gobernarse por autoridades propias.</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2. Ejercer las competencias que les correspondan.</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3. Administrar los recursos y establecer los tributos necesarios para el cumplimiento de sus funciones.</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4. Participar en las rentas nacionales. (</w:t>
      </w:r>
      <w:r w:rsidRPr="00EF3FAC">
        <w:rPr>
          <w:rFonts w:ascii="Book Antiqua" w:eastAsia="Bookman Old Style" w:hAnsi="Book Antiqua" w:cs="Bookman Old Style"/>
          <w:sz w:val="22"/>
          <w:szCs w:val="22"/>
          <w:highlight w:val="white"/>
        </w:rPr>
        <w:t>cursiva propia</w:t>
      </w:r>
      <w:r w:rsidRPr="00EF3FAC">
        <w:rPr>
          <w:rFonts w:ascii="Book Antiqua" w:eastAsia="Bookman Old Style" w:hAnsi="Book Antiqua" w:cs="Bookman Old Style"/>
          <w:color w:val="000000"/>
          <w:sz w:val="22"/>
          <w:szCs w:val="22"/>
          <w:highlight w:val="white"/>
        </w:rPr>
        <w:t>)</w:t>
      </w:r>
    </w:p>
    <w:p w:rsidR="00A302DD" w:rsidRPr="00EF3FAC" w:rsidRDefault="00A302DD">
      <w:pPr>
        <w:tabs>
          <w:tab w:val="left" w:pos="4308"/>
        </w:tabs>
        <w:ind w:left="708"/>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Es así </w:t>
      </w:r>
      <w:r w:rsidRPr="00EF3FAC">
        <w:rPr>
          <w:rFonts w:ascii="Book Antiqua" w:eastAsia="Bookman Old Style" w:hAnsi="Book Antiqua" w:cs="Bookman Old Style"/>
          <w:sz w:val="22"/>
          <w:szCs w:val="22"/>
          <w:highlight w:val="white"/>
        </w:rPr>
        <w:t>como</w:t>
      </w:r>
      <w:r w:rsidRPr="00EF3FAC">
        <w:rPr>
          <w:rFonts w:ascii="Book Antiqua" w:eastAsia="Bookman Old Style" w:hAnsi="Book Antiqua" w:cs="Bookman Old Style"/>
          <w:color w:val="000000"/>
          <w:sz w:val="22"/>
          <w:szCs w:val="22"/>
          <w:highlight w:val="white"/>
        </w:rPr>
        <w:t>, si bien e</w:t>
      </w:r>
      <w:r w:rsidRPr="00EF3FAC">
        <w:rPr>
          <w:rFonts w:ascii="Book Antiqua" w:eastAsia="Bookman Old Style" w:hAnsi="Book Antiqua" w:cs="Bookman Old Style"/>
          <w:sz w:val="22"/>
          <w:szCs w:val="22"/>
          <w:highlight w:val="white"/>
        </w:rPr>
        <w:t xml:space="preserve">s </w:t>
      </w:r>
      <w:r w:rsidRPr="00EF3FAC">
        <w:rPr>
          <w:rFonts w:ascii="Book Antiqua" w:eastAsia="Bookman Old Style" w:hAnsi="Book Antiqua" w:cs="Bookman Old Style"/>
          <w:color w:val="000000"/>
          <w:sz w:val="22"/>
          <w:szCs w:val="22"/>
          <w:highlight w:val="white"/>
        </w:rPr>
        <w:t xml:space="preserve">cierto que por mandato constitucional las entidades territoriales tienen el derecho de </w:t>
      </w:r>
      <w:r w:rsidRPr="00EF3FAC">
        <w:rPr>
          <w:rFonts w:ascii="Book Antiqua" w:eastAsia="Bookman Old Style" w:hAnsi="Book Antiqua" w:cs="Bookman Old Style"/>
          <w:sz w:val="22"/>
          <w:szCs w:val="22"/>
          <w:highlight w:val="white"/>
        </w:rPr>
        <w:t>ser gobernadas</w:t>
      </w:r>
      <w:r w:rsidRPr="00EF3FAC">
        <w:rPr>
          <w:rFonts w:ascii="Book Antiqua" w:eastAsia="Bookman Old Style" w:hAnsi="Book Antiqua" w:cs="Bookman Old Style"/>
          <w:color w:val="000000"/>
          <w:sz w:val="22"/>
          <w:szCs w:val="22"/>
          <w:highlight w:val="white"/>
        </w:rPr>
        <w:t xml:space="preserve"> por sus propias autoridades y administrar sus recursos, es claro que deben hacerlo con estricta sujeción a la constitución y la Le</w:t>
      </w:r>
      <w:r w:rsidRPr="00EF3FAC">
        <w:rPr>
          <w:rFonts w:ascii="Book Antiqua" w:eastAsia="Bookman Old Style" w:hAnsi="Book Antiqua" w:cs="Bookman Old Style"/>
          <w:color w:val="000000"/>
          <w:sz w:val="22"/>
          <w:szCs w:val="22"/>
          <w:highlight w:val="white"/>
        </w:rPr>
        <w:t>y</w:t>
      </w:r>
      <w:r w:rsidRPr="00EF3FAC">
        <w:rPr>
          <w:rFonts w:ascii="Book Antiqua" w:eastAsia="Bookman Old Style" w:hAnsi="Book Antiqua" w:cs="Bookman Old Style"/>
          <w:i/>
          <w:color w:val="000000"/>
          <w:sz w:val="22"/>
          <w:szCs w:val="22"/>
          <w:highlight w:val="white"/>
        </w:rPr>
        <w:t>.</w:t>
      </w:r>
    </w:p>
    <w:p w:rsidR="00A302DD" w:rsidRPr="00EF3FAC" w:rsidRDefault="00A302DD">
      <w:pPr>
        <w:tabs>
          <w:tab w:val="left" w:pos="4308"/>
        </w:tabs>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Arial" w:hAnsi="Book Antiqua" w:cs="Arial"/>
          <w:color w:val="000000"/>
          <w:sz w:val="22"/>
          <w:szCs w:val="22"/>
        </w:rPr>
      </w:pPr>
      <w:r w:rsidRPr="00EF3FAC">
        <w:rPr>
          <w:rFonts w:ascii="Book Antiqua" w:eastAsia="Bookman Old Style" w:hAnsi="Book Antiqua" w:cs="Bookman Old Style"/>
          <w:color w:val="000000"/>
          <w:sz w:val="22"/>
          <w:szCs w:val="22"/>
          <w:highlight w:val="white"/>
        </w:rPr>
        <w:t xml:space="preserve">Ahora bien, el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150 de la </w:t>
      </w:r>
      <w:r w:rsidRPr="00EF3FAC">
        <w:rPr>
          <w:rFonts w:ascii="Book Antiqua" w:eastAsia="Bookman Old Style" w:hAnsi="Book Antiqua" w:cs="Bookman Old Style"/>
          <w:sz w:val="22"/>
          <w:szCs w:val="22"/>
          <w:highlight w:val="white"/>
        </w:rPr>
        <w:t>C</w:t>
      </w:r>
      <w:r w:rsidRPr="00EF3FAC">
        <w:rPr>
          <w:rFonts w:ascii="Book Antiqua" w:eastAsia="Bookman Old Style" w:hAnsi="Book Antiqua" w:cs="Bookman Old Style"/>
          <w:color w:val="000000"/>
          <w:sz w:val="22"/>
          <w:szCs w:val="22"/>
          <w:highlight w:val="white"/>
        </w:rPr>
        <w:t xml:space="preserve">onstitución política de Colombia establece </w:t>
      </w:r>
      <w:r w:rsidRPr="00EF3FAC">
        <w:rPr>
          <w:rFonts w:ascii="Book Antiqua" w:eastAsia="Bookman Old Style" w:hAnsi="Book Antiqua" w:cs="Bookman Old Style"/>
          <w:sz w:val="22"/>
          <w:szCs w:val="22"/>
          <w:highlight w:val="white"/>
        </w:rPr>
        <w:t>en su numeral 25 establece</w:t>
      </w:r>
      <w:r w:rsidRPr="00EF3FAC">
        <w:rPr>
          <w:rFonts w:ascii="Book Antiqua" w:eastAsia="Arial" w:hAnsi="Book Antiqua" w:cs="Arial"/>
          <w:color w:val="000000"/>
          <w:sz w:val="22"/>
          <w:szCs w:val="22"/>
        </w:rPr>
        <w:t>:</w:t>
      </w:r>
    </w:p>
    <w:p w:rsidR="00A302DD" w:rsidRPr="00EF3FAC" w:rsidRDefault="00A302DD">
      <w:pPr>
        <w:tabs>
          <w:tab w:val="left" w:pos="4308"/>
        </w:tabs>
        <w:jc w:val="both"/>
        <w:rPr>
          <w:rFonts w:ascii="Book Antiqua" w:eastAsia="Arial" w:hAnsi="Book Antiqua" w:cs="Arial"/>
          <w:color w:val="000000"/>
          <w:sz w:val="22"/>
          <w:szCs w:val="22"/>
        </w:rPr>
      </w:pP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Corresponde al Congreso hacer las leyes. Por medio de ellas ejerce las siguientes funciones:</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Arial" w:hAnsi="Book Antiqua" w:cs="Arial"/>
          <w:color w:val="202124"/>
          <w:sz w:val="22"/>
          <w:szCs w:val="22"/>
          <w:highlight w:val="white"/>
        </w:rPr>
        <w:t>[</w:t>
      </w:r>
      <w:r w:rsidRPr="00EF3FAC">
        <w:rPr>
          <w:rFonts w:ascii="Book Antiqua" w:eastAsia="Bookman Old Style" w:hAnsi="Book Antiqua" w:cs="Bookman Old Style"/>
          <w:color w:val="000000"/>
          <w:sz w:val="22"/>
          <w:szCs w:val="22"/>
          <w:highlight w:val="white"/>
        </w:rPr>
        <w:t>…</w:t>
      </w:r>
      <w:r w:rsidRPr="00EF3FAC">
        <w:rPr>
          <w:rFonts w:ascii="Book Antiqua" w:eastAsia="Arial" w:hAnsi="Book Antiqua" w:cs="Arial"/>
          <w:color w:val="202124"/>
          <w:sz w:val="22"/>
          <w:szCs w:val="22"/>
          <w:highlight w:val="white"/>
        </w:rPr>
        <w:t>]</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25. Unificar las normas sobre policía de tránsito en todo el territorio de la República.</w:t>
      </w:r>
    </w:p>
    <w:p w:rsidR="00A302DD" w:rsidRPr="00EF3FAC" w:rsidRDefault="00A302DD">
      <w:pPr>
        <w:tabs>
          <w:tab w:val="left" w:pos="4308"/>
        </w:tabs>
        <w:ind w:left="708"/>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Con ocasión de lo anterior,</w:t>
      </w:r>
      <w:r w:rsidRPr="00EF3FAC">
        <w:rPr>
          <w:rFonts w:ascii="Book Antiqua" w:eastAsia="Bookman Old Style" w:hAnsi="Book Antiqua" w:cs="Bookman Old Style"/>
          <w:color w:val="000000"/>
          <w:sz w:val="22"/>
          <w:szCs w:val="22"/>
          <w:highlight w:val="white"/>
        </w:rPr>
        <w:t xml:space="preserve"> se</w:t>
      </w:r>
      <w:r w:rsidRPr="00EF3FAC">
        <w:rPr>
          <w:rFonts w:ascii="Book Antiqua" w:eastAsia="Bookman Old Style" w:hAnsi="Book Antiqua" w:cs="Bookman Old Style"/>
          <w:sz w:val="22"/>
          <w:szCs w:val="22"/>
          <w:highlight w:val="white"/>
        </w:rPr>
        <w:t xml:space="preserve"> </w:t>
      </w:r>
      <w:r w:rsidR="00EF3FAC" w:rsidRPr="00EF3FAC">
        <w:rPr>
          <w:rFonts w:ascii="Book Antiqua" w:eastAsia="Bookman Old Style" w:hAnsi="Book Antiqua" w:cs="Bookman Old Style"/>
          <w:sz w:val="22"/>
          <w:szCs w:val="22"/>
          <w:highlight w:val="white"/>
        </w:rPr>
        <w:t xml:space="preserve">profirió </w:t>
      </w:r>
      <w:r w:rsidR="00EF3FAC" w:rsidRPr="00EF3FAC">
        <w:rPr>
          <w:rFonts w:ascii="Book Antiqua" w:eastAsia="Bookman Old Style" w:hAnsi="Book Antiqua" w:cs="Bookman Old Style"/>
          <w:color w:val="000000"/>
          <w:sz w:val="22"/>
          <w:szCs w:val="22"/>
          <w:highlight w:val="white"/>
        </w:rPr>
        <w:t>la</w:t>
      </w:r>
      <w:r w:rsidRPr="00EF3FAC">
        <w:rPr>
          <w:rFonts w:ascii="Book Antiqua" w:eastAsia="Bookman Old Style" w:hAnsi="Book Antiqua" w:cs="Bookman Old Style"/>
          <w:color w:val="000000"/>
          <w:sz w:val="22"/>
          <w:szCs w:val="22"/>
          <w:highlight w:val="white"/>
        </w:rPr>
        <w:t xml:space="preserve"> Ley 769 de 2002 (Código Nacional de Tránsito Terrestre) por medio de la cual se fijan las reglas de comportamiento de trán</w:t>
      </w:r>
      <w:r w:rsidRPr="00EF3FAC">
        <w:rPr>
          <w:rFonts w:ascii="Book Antiqua" w:eastAsia="Bookman Old Style" w:hAnsi="Book Antiqua" w:cs="Bookman Old Style"/>
          <w:color w:val="000000"/>
          <w:sz w:val="22"/>
          <w:szCs w:val="22"/>
          <w:highlight w:val="white"/>
        </w:rPr>
        <w:t>sito, tanto para la circulación de vehículos como para la de los peatones, se definen las faltas por infracción a aquellas y se establecen las sanciones correspondientes entre las cuales figuran las multas.</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En el artículo 10 de la Ley 769 de 2002 se estab</w:t>
      </w:r>
      <w:r w:rsidRPr="00EF3FAC">
        <w:rPr>
          <w:rFonts w:ascii="Book Antiqua" w:eastAsia="Bookman Old Style" w:hAnsi="Book Antiqua" w:cs="Bookman Old Style"/>
          <w:color w:val="000000"/>
          <w:sz w:val="22"/>
          <w:szCs w:val="22"/>
          <w:highlight w:val="white"/>
        </w:rPr>
        <w:t xml:space="preserve">lece el: </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SISTEMA INTEGRADO DE INFORMACIÓN SOBRE LAS MULTAS Y SANCIONES POR INFRACCIONES DE TRÁNSITO. Con el propósito de contribuir al mejoramiento de los ingresos de los municipios, se autoriza a la Federación Colombiana de Municipios para implementar y</w:t>
      </w:r>
      <w:r w:rsidRPr="00EF3FAC">
        <w:rPr>
          <w:rFonts w:ascii="Book Antiqua" w:eastAsia="Bookman Old Style" w:hAnsi="Book Antiqua" w:cs="Bookman Old Style"/>
          <w:color w:val="000000"/>
          <w:sz w:val="22"/>
          <w:szCs w:val="22"/>
          <w:highlight w:val="white"/>
        </w:rPr>
        <w:t xml:space="preserve"> mantener actualizado a nivel nacional, un sistema integrado de información sobre las multas y sanciones por infracciones de tránsito (SIMIT), por lo cual percibirá el 10% por la administración del sistema cuando se cancele el valor adeudado. En ningún cas</w:t>
      </w:r>
      <w:r w:rsidRPr="00EF3FAC">
        <w:rPr>
          <w:rFonts w:ascii="Book Antiqua" w:eastAsia="Bookman Old Style" w:hAnsi="Book Antiqua" w:cs="Bookman Old Style"/>
          <w:color w:val="000000"/>
          <w:sz w:val="22"/>
          <w:szCs w:val="22"/>
          <w:highlight w:val="white"/>
        </w:rPr>
        <w:t>o podrá ser inferior a medio salario mínimo diario legal vigente.</w:t>
      </w:r>
    </w:p>
    <w:p w:rsidR="00A302DD" w:rsidRPr="00EF3FAC" w:rsidRDefault="00A302DD">
      <w:pPr>
        <w:tabs>
          <w:tab w:val="left" w:pos="4308"/>
        </w:tabs>
        <w:ind w:left="708"/>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PARÁGRAFO. &lt;Apartes tachados INEXEQUIBLES&gt; En todas las dependencias de los organismos de tránsito y transportes de las entidades territoriales existirá una sede del SIMIT o en aquellas don</w:t>
      </w:r>
      <w:r w:rsidRPr="00EF3FAC">
        <w:rPr>
          <w:rFonts w:ascii="Book Antiqua" w:eastAsia="Bookman Old Style" w:hAnsi="Book Antiqua" w:cs="Bookman Old Style"/>
          <w:color w:val="000000"/>
          <w:sz w:val="22"/>
          <w:szCs w:val="22"/>
          <w:highlight w:val="white"/>
        </w:rPr>
        <w:t>de la Federación lo considere necesario, con el fin de obtener la información para el consolidado nacional y para garantizar que no se efectúe ningún trámite de los que son competencia de los organismos de tránsito en donde se encuentre involucrado el infr</w:t>
      </w:r>
      <w:r w:rsidRPr="00EF3FAC">
        <w:rPr>
          <w:rFonts w:ascii="Book Antiqua" w:eastAsia="Bookman Old Style" w:hAnsi="Book Antiqua" w:cs="Bookman Old Style"/>
          <w:color w:val="000000"/>
          <w:sz w:val="22"/>
          <w:szCs w:val="22"/>
          <w:highlight w:val="white"/>
        </w:rPr>
        <w:t>actor en cualquier calidad, si éste no se encuentra a paz y salvo</w:t>
      </w:r>
      <w:r w:rsidRPr="00EF3FAC">
        <w:rPr>
          <w:rFonts w:ascii="Book Antiqua" w:eastAsia="Bookman Old Style" w:hAnsi="Book Antiqua" w:cs="Bookman Old Style"/>
          <w:sz w:val="22"/>
          <w:szCs w:val="22"/>
          <w:highlight w:val="white"/>
        </w:rPr>
        <w:t>.</w:t>
      </w:r>
    </w:p>
    <w:p w:rsidR="00A302DD" w:rsidRPr="00EF3FAC" w:rsidRDefault="00A302DD">
      <w:pPr>
        <w:tabs>
          <w:tab w:val="left" w:pos="4308"/>
        </w:tabs>
        <w:ind w:left="708"/>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lastRenderedPageBreak/>
        <w:t>Es con la creación de este sistema, que no sólo puede registrarse el nombre y la identidad de quienes incurran en faltas a las normas de tránsito, sino, también, el monto de las multas, lo</w:t>
      </w:r>
      <w:r w:rsidRPr="00EF3FAC">
        <w:rPr>
          <w:rFonts w:ascii="Book Antiqua" w:eastAsia="Bookman Old Style" w:hAnsi="Book Antiqua" w:cs="Bookman Old Style"/>
          <w:color w:val="000000"/>
          <w:sz w:val="22"/>
          <w:szCs w:val="22"/>
          <w:highlight w:val="white"/>
        </w:rPr>
        <w:t xml:space="preserve"> que permite, sin duda un mayor control por parte de las autoridades y facilita el cobro de las sumas debidas por ese concepto en cualquier parte del territorio colombiano.</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A su turno, el </w:t>
      </w:r>
      <w:r w:rsidRPr="00EF3FAC">
        <w:rPr>
          <w:rFonts w:ascii="Book Antiqua" w:eastAsia="Bookman Old Style" w:hAnsi="Book Antiqua" w:cs="Bookman Old Style"/>
          <w:sz w:val="22"/>
          <w:szCs w:val="22"/>
          <w:highlight w:val="white"/>
        </w:rPr>
        <w:t xml:space="preserve">Artículo </w:t>
      </w:r>
      <w:r w:rsidRPr="00EF3FAC">
        <w:rPr>
          <w:rFonts w:ascii="Book Antiqua" w:eastAsia="Bookman Old Style" w:hAnsi="Book Antiqua" w:cs="Bookman Old Style"/>
          <w:color w:val="000000"/>
          <w:sz w:val="22"/>
          <w:szCs w:val="22"/>
          <w:highlight w:val="white"/>
        </w:rPr>
        <w:t>159 de la Ley 769 de 2002 establece:</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La ejecución de las </w:t>
      </w:r>
      <w:r w:rsidRPr="00EF3FAC">
        <w:rPr>
          <w:rFonts w:ascii="Book Antiqua" w:eastAsia="Bookman Old Style" w:hAnsi="Book Antiqua" w:cs="Bookman Old Style"/>
          <w:color w:val="000000"/>
          <w:sz w:val="22"/>
          <w:szCs w:val="22"/>
          <w:highlight w:val="white"/>
        </w:rPr>
        <w:t>sanciones que se impongan por violación de las normas de tránsito, estará a cargo de las autoridades de tránsito de la jurisdicción donde se cometió el hecho, quienes estarán investidas de jurisdicción coactiva para el cobro, cuando ello fuere necesario.</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Las sanciones impuestas por infracciones a las normas de tránsito prescribirán en tres (3) años contados a partir de la ocurrencia del hecho; la prescripción deberá ser declarada de oficio y se interrumpirá con la notificación del mandamiento de pago. La a</w:t>
      </w:r>
      <w:r w:rsidRPr="00EF3FAC">
        <w:rPr>
          <w:rFonts w:ascii="Book Antiqua" w:eastAsia="Bookman Old Style" w:hAnsi="Book Antiqua" w:cs="Bookman Old Style"/>
          <w:color w:val="000000"/>
          <w:sz w:val="22"/>
          <w:szCs w:val="22"/>
          <w:highlight w:val="white"/>
        </w:rPr>
        <w:t>utoridad de tránsito no podrá iniciar el cobro coactivo de sanciones respecto de las cuales se encuentren configurados</w:t>
      </w:r>
      <w:r w:rsidRPr="00EF3FAC">
        <w:rPr>
          <w:rFonts w:ascii="Book Antiqua" w:eastAsia="Arial" w:hAnsi="Book Antiqua" w:cs="Arial"/>
          <w:color w:val="000000"/>
          <w:sz w:val="22"/>
          <w:szCs w:val="22"/>
        </w:rPr>
        <w:t xml:space="preserve"> </w:t>
      </w:r>
      <w:r w:rsidRPr="00EF3FAC">
        <w:rPr>
          <w:rFonts w:ascii="Book Antiqua" w:eastAsia="Bookman Old Style" w:hAnsi="Book Antiqua" w:cs="Bookman Old Style"/>
          <w:color w:val="000000"/>
          <w:sz w:val="22"/>
          <w:szCs w:val="22"/>
          <w:highlight w:val="white"/>
        </w:rPr>
        <w:t>los supuestos necesarios para declarar su prescripción.</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Las autoridades de tránsito deberán establecer públicamente a más tardar en el mes de enero de cada año, planes y programas destinados al cobro de dichas sanciones y dentro de este mismo periodo rendirán cuentas públicas sobre la ejecución de los mismos.</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P</w:t>
      </w:r>
      <w:r w:rsidRPr="00EF3FAC">
        <w:rPr>
          <w:rFonts w:ascii="Book Antiqua" w:eastAsia="Bookman Old Style" w:hAnsi="Book Antiqua" w:cs="Bookman Old Style"/>
          <w:color w:val="000000"/>
          <w:sz w:val="22"/>
          <w:szCs w:val="22"/>
          <w:highlight w:val="white"/>
        </w:rPr>
        <w:t>ARÁGRAFO 1. Las autoridades de tránsito podrán contratar el cobro de las multas que se impongan por la comisión de infracciones de tránsito.</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bookmarkStart w:id="0" w:name="_heading=h.gjdgxs" w:colFirst="0" w:colLast="0"/>
      <w:bookmarkEnd w:id="0"/>
      <w:r w:rsidRPr="00EF3FAC">
        <w:rPr>
          <w:rFonts w:ascii="Book Antiqua" w:eastAsia="Bookman Old Style" w:hAnsi="Book Antiqua" w:cs="Bookman Old Style"/>
          <w:color w:val="000000"/>
          <w:sz w:val="22"/>
          <w:szCs w:val="22"/>
          <w:highlight w:val="white"/>
        </w:rPr>
        <w:t xml:space="preserve">PARÁGRAFO 2. </w:t>
      </w:r>
      <w:r w:rsidRPr="00EF3FAC">
        <w:rPr>
          <w:rFonts w:ascii="Book Antiqua" w:eastAsia="Bookman Old Style" w:hAnsi="Book Antiqua" w:cs="Bookman Old Style"/>
          <w:i/>
          <w:color w:val="000000"/>
          <w:sz w:val="22"/>
          <w:szCs w:val="22"/>
          <w:highlight w:val="white"/>
        </w:rPr>
        <w:t>Las multas serán de propiedad exclusiva de los organismos de tránsito donde se cometió la infracción d</w:t>
      </w:r>
      <w:r w:rsidRPr="00EF3FAC">
        <w:rPr>
          <w:rFonts w:ascii="Book Antiqua" w:eastAsia="Bookman Old Style" w:hAnsi="Book Antiqua" w:cs="Bookman Old Style"/>
          <w:i/>
          <w:color w:val="000000"/>
          <w:sz w:val="22"/>
          <w:szCs w:val="22"/>
          <w:highlight w:val="white"/>
        </w:rPr>
        <w:t>e acuerdo con su jurisdicción</w:t>
      </w:r>
      <w:r w:rsidRPr="00EF3FAC">
        <w:rPr>
          <w:rFonts w:ascii="Book Antiqua" w:eastAsia="Bookman Old Style" w:hAnsi="Book Antiqua" w:cs="Bookman Old Style"/>
          <w:color w:val="000000"/>
          <w:sz w:val="22"/>
          <w:szCs w:val="22"/>
          <w:highlight w:val="white"/>
        </w:rPr>
        <w:t xml:space="preserve">. El monto de aquellas multas que sean impuestas sobre las vías nacionales, por parte del personal de la Policía Nacional de Colombia, adscrito a la Dirección de Tránsito y Transporte, se distribuirá en un cincuenta por ciento </w:t>
      </w:r>
      <w:r w:rsidRPr="00EF3FAC">
        <w:rPr>
          <w:rFonts w:ascii="Book Antiqua" w:eastAsia="Bookman Old Style" w:hAnsi="Book Antiqua" w:cs="Bookman Old Style"/>
          <w:color w:val="000000"/>
          <w:sz w:val="22"/>
          <w:szCs w:val="22"/>
          <w:highlight w:val="white"/>
        </w:rPr>
        <w:t>(50%) para el municipio donde se entregue el correspondiente comparendo y el otro cincuenta por ciento (50%) para la Dirección de Tránsito y Transporte de la Policía Nacional, con destino a la capacitación de su personal adscrito, planes de educación y seg</w:t>
      </w:r>
      <w:r w:rsidRPr="00EF3FAC">
        <w:rPr>
          <w:rFonts w:ascii="Book Antiqua" w:eastAsia="Bookman Old Style" w:hAnsi="Book Antiqua" w:cs="Bookman Old Style"/>
          <w:color w:val="000000"/>
          <w:sz w:val="22"/>
          <w:szCs w:val="22"/>
          <w:highlight w:val="white"/>
        </w:rPr>
        <w:t>uridad vial que adelante esta especialidad a lo largo de la red vial nacional, locaciones que suplan las necesidades del servicio y la construcción de la Escuela de Seguridad Vial de la Policía Nacional. (</w:t>
      </w:r>
      <w:r w:rsidRPr="00EF3FAC">
        <w:rPr>
          <w:rFonts w:ascii="Book Antiqua" w:eastAsia="Bookman Old Style" w:hAnsi="Book Antiqua" w:cs="Bookman Old Style"/>
          <w:sz w:val="22"/>
          <w:szCs w:val="22"/>
          <w:highlight w:val="white"/>
        </w:rPr>
        <w:t>cursiva propia</w:t>
      </w:r>
      <w:r w:rsidRPr="00EF3FAC">
        <w:rPr>
          <w:rFonts w:ascii="Book Antiqua" w:eastAsia="Bookman Old Style" w:hAnsi="Book Antiqua" w:cs="Bookman Old Style"/>
          <w:color w:val="000000"/>
          <w:sz w:val="22"/>
          <w:szCs w:val="22"/>
          <w:highlight w:val="white"/>
        </w:rPr>
        <w:t>).</w:t>
      </w:r>
    </w:p>
    <w:p w:rsidR="00A302DD" w:rsidRPr="00EF3FAC" w:rsidRDefault="00A302DD">
      <w:pPr>
        <w:tabs>
          <w:tab w:val="left" w:pos="4308"/>
        </w:tabs>
        <w:ind w:left="708"/>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Con el anterior precepto se evide</w:t>
      </w:r>
      <w:r w:rsidRPr="00EF3FAC">
        <w:rPr>
          <w:rFonts w:ascii="Book Antiqua" w:eastAsia="Bookman Old Style" w:hAnsi="Book Antiqua" w:cs="Bookman Old Style"/>
          <w:sz w:val="22"/>
          <w:szCs w:val="22"/>
          <w:highlight w:val="white"/>
        </w:rPr>
        <w:t>ncia</w:t>
      </w:r>
      <w:r w:rsidRPr="00EF3FAC">
        <w:rPr>
          <w:rFonts w:ascii="Book Antiqua" w:eastAsia="Bookman Old Style" w:hAnsi="Book Antiqua" w:cs="Bookman Old Style"/>
          <w:color w:val="000000"/>
          <w:sz w:val="22"/>
          <w:szCs w:val="22"/>
          <w:highlight w:val="white"/>
        </w:rPr>
        <w:t xml:space="preserve"> que por mandato legal los dineros recaudados por concepto de multas por infracciones de </w:t>
      </w:r>
      <w:r w:rsidRPr="00EF3FAC">
        <w:rPr>
          <w:rFonts w:ascii="Book Antiqua" w:eastAsia="Bookman Old Style" w:hAnsi="Book Antiqua" w:cs="Bookman Old Style"/>
          <w:sz w:val="22"/>
          <w:szCs w:val="22"/>
          <w:highlight w:val="white"/>
        </w:rPr>
        <w:t>tránsito</w:t>
      </w:r>
      <w:r w:rsidRPr="00EF3FAC">
        <w:rPr>
          <w:rFonts w:ascii="Book Antiqua" w:eastAsia="Bookman Old Style" w:hAnsi="Book Antiqua" w:cs="Bookman Old Style"/>
          <w:color w:val="000000"/>
          <w:sz w:val="22"/>
          <w:szCs w:val="22"/>
          <w:highlight w:val="white"/>
        </w:rPr>
        <w:t xml:space="preserve"> son de propiedad exclusiva de los organismos de </w:t>
      </w:r>
      <w:r w:rsidRPr="00EF3FAC">
        <w:rPr>
          <w:rFonts w:ascii="Book Antiqua" w:eastAsia="Bookman Old Style" w:hAnsi="Book Antiqua" w:cs="Bookman Old Style"/>
          <w:sz w:val="22"/>
          <w:szCs w:val="22"/>
          <w:highlight w:val="white"/>
        </w:rPr>
        <w:t>Tránsito</w:t>
      </w:r>
      <w:r w:rsidRPr="00EF3FAC">
        <w:rPr>
          <w:rFonts w:ascii="Book Antiqua" w:eastAsia="Bookman Old Style" w:hAnsi="Book Antiqua" w:cs="Bookman Old Style"/>
          <w:color w:val="000000"/>
          <w:sz w:val="22"/>
          <w:szCs w:val="22"/>
          <w:highlight w:val="white"/>
        </w:rPr>
        <w:t xml:space="preserve"> del lugar donde se ha cometido la infracción, con excepción de aquellas multas que sean impuestas</w:t>
      </w:r>
      <w:r w:rsidRPr="00EF3FAC">
        <w:rPr>
          <w:rFonts w:ascii="Book Antiqua" w:eastAsia="Bookman Old Style" w:hAnsi="Book Antiqua" w:cs="Bookman Old Style"/>
          <w:color w:val="000000"/>
          <w:sz w:val="22"/>
          <w:szCs w:val="22"/>
          <w:highlight w:val="white"/>
        </w:rPr>
        <w:t xml:space="preserve"> sobre las vías nacionales por </w:t>
      </w:r>
      <w:r w:rsidRPr="00EF3FAC">
        <w:rPr>
          <w:rFonts w:ascii="Book Antiqua" w:eastAsia="Bookman Old Style" w:hAnsi="Book Antiqua" w:cs="Bookman Old Style"/>
          <w:sz w:val="22"/>
          <w:szCs w:val="22"/>
          <w:highlight w:val="white"/>
        </w:rPr>
        <w:t>el</w:t>
      </w:r>
      <w:r w:rsidRPr="00EF3FAC">
        <w:rPr>
          <w:rFonts w:ascii="Book Antiqua" w:eastAsia="Bookman Old Style" w:hAnsi="Book Antiqua" w:cs="Bookman Old Style"/>
          <w:color w:val="000000"/>
          <w:sz w:val="22"/>
          <w:szCs w:val="22"/>
          <w:highlight w:val="white"/>
        </w:rPr>
        <w:t xml:space="preserve"> personal de la Policía Nacional de Colombia, adscrito a la Dirección de Tránsito y Transporte, caso en el cual al </w:t>
      </w:r>
      <w:r w:rsidRPr="00EF3FAC">
        <w:rPr>
          <w:rFonts w:ascii="Book Antiqua" w:eastAsia="Bookman Old Style" w:hAnsi="Book Antiqua" w:cs="Bookman Old Style"/>
          <w:sz w:val="22"/>
          <w:szCs w:val="22"/>
          <w:highlight w:val="white"/>
        </w:rPr>
        <w:t>respectivo</w:t>
      </w:r>
      <w:r w:rsidRPr="00EF3FAC">
        <w:rPr>
          <w:rFonts w:ascii="Book Antiqua" w:eastAsia="Bookman Old Style" w:hAnsi="Book Antiqua" w:cs="Bookman Old Style"/>
          <w:color w:val="000000"/>
          <w:sz w:val="22"/>
          <w:szCs w:val="22"/>
          <w:highlight w:val="white"/>
        </w:rPr>
        <w:t xml:space="preserve"> organismo de tránsito municipal </w:t>
      </w:r>
      <w:r w:rsidRPr="00EF3FAC">
        <w:rPr>
          <w:rFonts w:ascii="Book Antiqua" w:eastAsia="Bookman Old Style" w:hAnsi="Book Antiqua" w:cs="Bookman Old Style"/>
          <w:sz w:val="22"/>
          <w:szCs w:val="22"/>
          <w:highlight w:val="white"/>
        </w:rPr>
        <w:t>sólo</w:t>
      </w:r>
      <w:r w:rsidRPr="00EF3FAC">
        <w:rPr>
          <w:rFonts w:ascii="Book Antiqua" w:eastAsia="Bookman Old Style" w:hAnsi="Book Antiqua" w:cs="Bookman Old Style"/>
          <w:color w:val="000000"/>
          <w:sz w:val="22"/>
          <w:szCs w:val="22"/>
          <w:highlight w:val="white"/>
        </w:rPr>
        <w:t xml:space="preserve"> le corresponde el 50 % del monto </w:t>
      </w:r>
      <w:r w:rsidRPr="00EF3FAC">
        <w:rPr>
          <w:rFonts w:ascii="Book Antiqua" w:eastAsia="Bookman Old Style" w:hAnsi="Book Antiqua" w:cs="Bookman Old Style"/>
          <w:color w:val="000000"/>
          <w:sz w:val="22"/>
          <w:szCs w:val="22"/>
          <w:highlight w:val="white"/>
        </w:rPr>
        <w:lastRenderedPageBreak/>
        <w:t>recaudado, correspondiéndol</w:t>
      </w:r>
      <w:r w:rsidRPr="00EF3FAC">
        <w:rPr>
          <w:rFonts w:ascii="Book Antiqua" w:eastAsia="Bookman Old Style" w:hAnsi="Book Antiqua" w:cs="Bookman Old Style"/>
          <w:color w:val="000000"/>
          <w:sz w:val="22"/>
          <w:szCs w:val="22"/>
          <w:highlight w:val="white"/>
        </w:rPr>
        <w:t>e el otro 50 % a la</w:t>
      </w:r>
      <w:r w:rsidRPr="00EF3FAC">
        <w:rPr>
          <w:rFonts w:ascii="Book Antiqua" w:hAnsi="Book Antiqua"/>
          <w:sz w:val="22"/>
          <w:szCs w:val="22"/>
        </w:rPr>
        <w:t xml:space="preserve"> </w:t>
      </w:r>
      <w:r w:rsidRPr="00EF3FAC">
        <w:rPr>
          <w:rFonts w:ascii="Book Antiqua" w:eastAsia="Bookman Old Style" w:hAnsi="Book Antiqua" w:cs="Bookman Old Style"/>
          <w:color w:val="000000"/>
          <w:sz w:val="22"/>
          <w:szCs w:val="22"/>
          <w:highlight w:val="white"/>
        </w:rPr>
        <w:t>Dirección de Tránsito y Transporte de la Policía Nacional.</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Ahora bien, esta misma Ley establece</w:t>
      </w:r>
      <w:r w:rsidRPr="00EF3FAC">
        <w:rPr>
          <w:rFonts w:ascii="Book Antiqua" w:eastAsia="Bookman Old Style" w:hAnsi="Book Antiqua" w:cs="Bookman Old Style"/>
          <w:sz w:val="22"/>
          <w:szCs w:val="22"/>
          <w:highlight w:val="white"/>
        </w:rPr>
        <w:t xml:space="preserve"> </w:t>
      </w:r>
      <w:r w:rsidRPr="00EF3FAC">
        <w:rPr>
          <w:rFonts w:ascii="Book Antiqua" w:eastAsia="Bookman Old Style" w:hAnsi="Book Antiqua" w:cs="Bookman Old Style"/>
          <w:color w:val="000000"/>
          <w:sz w:val="22"/>
          <w:szCs w:val="22"/>
          <w:highlight w:val="white"/>
        </w:rPr>
        <w:t xml:space="preserve">en el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160</w:t>
      </w:r>
      <w:r w:rsidRPr="00EF3FAC">
        <w:rPr>
          <w:rFonts w:ascii="Book Antiqua" w:eastAsia="Bookman Old Style" w:hAnsi="Book Antiqua" w:cs="Bookman Old Style"/>
          <w:sz w:val="22"/>
          <w:szCs w:val="22"/>
          <w:highlight w:val="white"/>
        </w:rPr>
        <w:t xml:space="preserve"> </w:t>
      </w:r>
      <w:r w:rsidRPr="00EF3FAC">
        <w:rPr>
          <w:rFonts w:ascii="Book Antiqua" w:eastAsia="Bookman Old Style" w:hAnsi="Book Antiqua" w:cs="Bookman Old Style"/>
          <w:color w:val="000000"/>
          <w:sz w:val="22"/>
          <w:szCs w:val="22"/>
          <w:highlight w:val="white"/>
        </w:rPr>
        <w:t>c</w:t>
      </w:r>
      <w:r w:rsidRPr="00EF3FAC">
        <w:rPr>
          <w:rFonts w:ascii="Book Antiqua" w:eastAsia="Bookman Old Style" w:hAnsi="Book Antiqua" w:cs="Bookman Old Style"/>
          <w:sz w:val="22"/>
          <w:szCs w:val="22"/>
          <w:highlight w:val="white"/>
        </w:rPr>
        <w:t>uá</w:t>
      </w:r>
      <w:r w:rsidRPr="00EF3FAC">
        <w:rPr>
          <w:rFonts w:ascii="Book Antiqua" w:eastAsia="Bookman Old Style" w:hAnsi="Book Antiqua" w:cs="Bookman Old Style"/>
          <w:color w:val="000000"/>
          <w:sz w:val="22"/>
          <w:szCs w:val="22"/>
          <w:highlight w:val="white"/>
        </w:rPr>
        <w:t xml:space="preserve">l es la destinación </w:t>
      </w:r>
      <w:r w:rsidRPr="00EF3FAC">
        <w:rPr>
          <w:rFonts w:ascii="Book Antiqua" w:eastAsia="Bookman Old Style" w:hAnsi="Book Antiqua" w:cs="Bookman Old Style"/>
          <w:sz w:val="22"/>
          <w:szCs w:val="22"/>
          <w:highlight w:val="white"/>
        </w:rPr>
        <w:t xml:space="preserve">de esos dineros recaudados </w:t>
      </w:r>
      <w:r w:rsidRPr="00EF3FAC">
        <w:rPr>
          <w:rFonts w:ascii="Book Antiqua" w:eastAsia="Bookman Old Style" w:hAnsi="Book Antiqua" w:cs="Bookman Old Style"/>
          <w:color w:val="000000"/>
          <w:sz w:val="22"/>
          <w:szCs w:val="22"/>
          <w:highlight w:val="white"/>
        </w:rPr>
        <w:t>por concepto de multas de infracciones de Tránsito así:</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ind w:left="708"/>
        <w:jc w:val="both"/>
        <w:rPr>
          <w:rFonts w:ascii="Book Antiqua" w:eastAsia="Bookman Old Style" w:hAnsi="Book Antiqua" w:cs="Bookman Old Style"/>
          <w:i/>
          <w:color w:val="000000"/>
          <w:sz w:val="22"/>
          <w:szCs w:val="22"/>
          <w:highlight w:val="white"/>
        </w:rPr>
      </w:pPr>
      <w:bookmarkStart w:id="1" w:name="_heading=h.30j0zll" w:colFirst="0" w:colLast="0"/>
      <w:bookmarkEnd w:id="1"/>
      <w:r w:rsidRPr="00EF3FAC">
        <w:rPr>
          <w:rFonts w:ascii="Book Antiqua" w:eastAsia="Bookman Old Style" w:hAnsi="Book Antiqua" w:cs="Bookman Old Style"/>
          <w:color w:val="000000"/>
          <w:sz w:val="22"/>
          <w:szCs w:val="22"/>
          <w:highlight w:val="white"/>
        </w:rPr>
        <w:t xml:space="preserve">De conformidad con las normas presupuestales respectivas, </w:t>
      </w:r>
      <w:r w:rsidRPr="00EF3FAC">
        <w:rPr>
          <w:rFonts w:ascii="Book Antiqua" w:eastAsia="Bookman Old Style" w:hAnsi="Book Antiqua" w:cs="Bookman Old Style"/>
          <w:i/>
          <w:color w:val="000000"/>
          <w:sz w:val="22"/>
          <w:szCs w:val="22"/>
          <w:highlight w:val="white"/>
        </w:rPr>
        <w:t>el recaudo por concepto de multas y sanciones por infracciones de tránsito, se destinará a la ejecución de los planes y proyectos del sector movilidad, en aspectos tales como planes de tránsito, tra</w:t>
      </w:r>
      <w:r w:rsidRPr="00EF3FAC">
        <w:rPr>
          <w:rFonts w:ascii="Book Antiqua" w:eastAsia="Bookman Old Style" w:hAnsi="Book Antiqua" w:cs="Bookman Old Style"/>
          <w:i/>
          <w:color w:val="000000"/>
          <w:sz w:val="22"/>
          <w:szCs w:val="22"/>
          <w:highlight w:val="white"/>
        </w:rPr>
        <w:t>nsporte y movilidad, educación, dotación de equipos, combustible, seguridad vial, operación e infraestructura vial del servicio de transporte público de pasajeros, transporte no motorizado, y gestión del sistema de recaudo de las multas, salvo en lo que co</w:t>
      </w:r>
      <w:r w:rsidRPr="00EF3FAC">
        <w:rPr>
          <w:rFonts w:ascii="Book Antiqua" w:eastAsia="Bookman Old Style" w:hAnsi="Book Antiqua" w:cs="Bookman Old Style"/>
          <w:i/>
          <w:color w:val="000000"/>
          <w:sz w:val="22"/>
          <w:szCs w:val="22"/>
          <w:highlight w:val="white"/>
        </w:rPr>
        <w:t>rresponde a la Federación Colombiana de Municipios.</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PARÁGRAFO. En lo que se refiere al servicio de transporte público las entidades territoriales que cuenten con sistemas de transporte cofinanciados por la Nación priorizarán la financiación de estos sistem</w:t>
      </w:r>
      <w:r w:rsidRPr="00EF3FAC">
        <w:rPr>
          <w:rFonts w:ascii="Book Antiqua" w:eastAsia="Bookman Old Style" w:hAnsi="Book Antiqua" w:cs="Bookman Old Style"/>
          <w:color w:val="000000"/>
          <w:sz w:val="22"/>
          <w:szCs w:val="22"/>
          <w:highlight w:val="white"/>
        </w:rPr>
        <w:t>as.</w:t>
      </w:r>
    </w:p>
    <w:p w:rsidR="00A302DD" w:rsidRPr="00EF3FAC" w:rsidRDefault="00A302DD">
      <w:pPr>
        <w:tabs>
          <w:tab w:val="left" w:pos="4308"/>
        </w:tabs>
        <w:ind w:left="708"/>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PARÁGRAFO 2o. &lt;Parágrafo adicionado por el artículo 8 del Decreto Legislativo 575 de 2020. El nuevo texto es el siguiente:&gt; Durante el término de la emergencia sanitaria declarada por el Ministerio de Salud y Protección Social, con ocasión de la pande</w:t>
      </w:r>
      <w:r w:rsidRPr="00EF3FAC">
        <w:rPr>
          <w:rFonts w:ascii="Book Antiqua" w:eastAsia="Bookman Old Style" w:hAnsi="Book Antiqua" w:cs="Bookman Old Style"/>
          <w:color w:val="000000"/>
          <w:sz w:val="22"/>
          <w:szCs w:val="22"/>
          <w:highlight w:val="white"/>
        </w:rPr>
        <w:t xml:space="preserve">mia derivada del Coronavirus COVID-19, o durante el término de cualquier emergencia sanitaria declarada por el Ministerio de Salud y Protección Social con ocasión de la pandemia derivada del Coronavirus COVID-19, adiciónese el parágrafo 2 del artículo 160 </w:t>
      </w:r>
      <w:r w:rsidRPr="00EF3FAC">
        <w:rPr>
          <w:rFonts w:ascii="Book Antiqua" w:eastAsia="Bookman Old Style" w:hAnsi="Book Antiqua" w:cs="Bookman Old Style"/>
          <w:color w:val="000000"/>
          <w:sz w:val="22"/>
          <w:szCs w:val="22"/>
          <w:highlight w:val="white"/>
        </w:rPr>
        <w:t>de la Ley 769 de 2002, así:</w:t>
      </w:r>
    </w:p>
    <w:p w:rsidR="00A302DD" w:rsidRPr="00EF3FAC" w:rsidRDefault="00A302DD">
      <w:pPr>
        <w:tabs>
          <w:tab w:val="left" w:pos="4308"/>
        </w:tabs>
        <w:ind w:left="708"/>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ind w:left="708"/>
        <w:jc w:val="both"/>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color w:val="000000"/>
          <w:sz w:val="22"/>
          <w:szCs w:val="22"/>
          <w:highlight w:val="white"/>
        </w:rPr>
        <w:t>“Parágrafo 2. Del recaudo por concepto de multas y sanciones por Infracciones de tránsito, se podrán destinar recursos para la ejecución, en acciones y medidas que permitan realizar labores de control operativo y regulación del</w:t>
      </w:r>
      <w:r w:rsidRPr="00EF3FAC">
        <w:rPr>
          <w:rFonts w:ascii="Book Antiqua" w:eastAsia="Bookman Old Style" w:hAnsi="Book Antiqua" w:cs="Bookman Old Style"/>
          <w:color w:val="000000"/>
          <w:sz w:val="22"/>
          <w:szCs w:val="22"/>
          <w:highlight w:val="white"/>
        </w:rPr>
        <w:t xml:space="preserve"> tránsito en el territorio nacional, para verificar el cumplimiento de las medidas adoptadas para prevenir y evitar el contagio y/o propagación de la enfermedad por Coronavirus de quienes en el marco de las excepciones contempladas siguen transitando en el</w:t>
      </w:r>
      <w:r w:rsidRPr="00EF3FAC">
        <w:rPr>
          <w:rFonts w:ascii="Book Antiqua" w:eastAsia="Bookman Old Style" w:hAnsi="Book Antiqua" w:cs="Bookman Old Style"/>
          <w:color w:val="000000"/>
          <w:sz w:val="22"/>
          <w:szCs w:val="22"/>
          <w:highlight w:val="white"/>
        </w:rPr>
        <w:t xml:space="preserve"> territorio nacional, directamente o mediante acuerdo con terceros, sin perjuicio de las facultades de los Gobernadores y alcaldes otorgadas en el artículo 1 del Decreto 461 de 2020. (</w:t>
      </w:r>
      <w:r w:rsidRPr="00EF3FAC">
        <w:rPr>
          <w:rFonts w:ascii="Book Antiqua" w:eastAsia="Bookman Old Style" w:hAnsi="Book Antiqua" w:cs="Bookman Old Style"/>
          <w:sz w:val="22"/>
          <w:szCs w:val="22"/>
          <w:highlight w:val="white"/>
        </w:rPr>
        <w:t>cursiva propia</w:t>
      </w:r>
      <w:r w:rsidRPr="00EF3FAC">
        <w:rPr>
          <w:rFonts w:ascii="Book Antiqua" w:eastAsia="Bookman Old Style" w:hAnsi="Book Antiqua" w:cs="Bookman Old Style"/>
          <w:color w:val="000000"/>
          <w:sz w:val="22"/>
          <w:szCs w:val="22"/>
          <w:highlight w:val="white"/>
        </w:rPr>
        <w:t>)</w:t>
      </w:r>
      <w:r w:rsidRPr="00EF3FAC">
        <w:rPr>
          <w:rFonts w:ascii="Book Antiqua" w:eastAsia="Bookman Old Style" w:hAnsi="Book Antiqua" w:cs="Bookman Old Style"/>
          <w:i/>
          <w:color w:val="000000"/>
          <w:sz w:val="22"/>
          <w:szCs w:val="22"/>
          <w:highlight w:val="white"/>
        </w:rPr>
        <w:t>.</w:t>
      </w:r>
    </w:p>
    <w:p w:rsidR="00A302DD" w:rsidRPr="00EF3FAC" w:rsidRDefault="00A302DD">
      <w:pPr>
        <w:tabs>
          <w:tab w:val="left" w:pos="4308"/>
        </w:tabs>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Por otra parte, la Ley 617 de 2000 establece en su artículo 3:</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FINANCIACIÓN</w:t>
      </w:r>
      <w:r w:rsidRPr="00EF3FAC">
        <w:rPr>
          <w:rFonts w:ascii="Book Antiqua" w:eastAsia="Bookman Old Style" w:hAnsi="Book Antiqua" w:cs="Bookman Old Style"/>
          <w:color w:val="000000"/>
          <w:sz w:val="22"/>
          <w:szCs w:val="22"/>
          <w:highlight w:val="white"/>
        </w:rPr>
        <w:t xml:space="preserve"> DE GASTOS DE FUNCIONAMIENTO DE LAS ENTIDADES TERRITORIALES. Los gastos de funcionamiento de las entidades territoriales deben financiarse con sus ingresos corrientes de libre dest</w:t>
      </w:r>
      <w:r w:rsidRPr="00EF3FAC">
        <w:rPr>
          <w:rFonts w:ascii="Book Antiqua" w:eastAsia="Bookman Old Style" w:hAnsi="Book Antiqua" w:cs="Bookman Old Style"/>
          <w:color w:val="000000"/>
          <w:sz w:val="22"/>
          <w:szCs w:val="22"/>
          <w:highlight w:val="white"/>
        </w:rPr>
        <w:t>inación, de tal manera que estos sean suficientes para atender sus obligaciones corrientes, provisionar el pasivo prestacional y pensional; y financiar, al menos parcialmente, la inversión pública autónoma de las mismas.</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lastRenderedPageBreak/>
        <w:t>PARÁGRAFO</w:t>
      </w:r>
      <w:r w:rsidRPr="00EF3FAC">
        <w:rPr>
          <w:rFonts w:ascii="Book Antiqua" w:eastAsia="Bookman Old Style" w:hAnsi="Book Antiqua" w:cs="Bookman Old Style"/>
          <w:color w:val="000000"/>
          <w:sz w:val="22"/>
          <w:szCs w:val="22"/>
          <w:highlight w:val="white"/>
        </w:rPr>
        <w:t xml:space="preserve"> 1o. &lt;Aparte subrayado CON</w:t>
      </w:r>
      <w:r w:rsidRPr="00EF3FAC">
        <w:rPr>
          <w:rFonts w:ascii="Book Antiqua" w:eastAsia="Bookman Old Style" w:hAnsi="Book Antiqua" w:cs="Bookman Old Style"/>
          <w:color w:val="000000"/>
          <w:sz w:val="22"/>
          <w:szCs w:val="22"/>
          <w:highlight w:val="white"/>
        </w:rPr>
        <w:t>DICIONALMENTE EXEQUIBLE&gt; Para efectos de lo dispuesto en esta ley se entiende por ingresos corrientes de libre destinación los ingresos corrientes excluidas las rentas de destinación específica, entendiendo por estas las destinadas por ley o acto administr</w:t>
      </w:r>
      <w:r w:rsidRPr="00EF3FAC">
        <w:rPr>
          <w:rFonts w:ascii="Book Antiqua" w:eastAsia="Bookman Old Style" w:hAnsi="Book Antiqua" w:cs="Bookman Old Style"/>
          <w:color w:val="000000"/>
          <w:sz w:val="22"/>
          <w:szCs w:val="22"/>
          <w:highlight w:val="white"/>
        </w:rPr>
        <w:t xml:space="preserve">ativo a un fin determinado. </w:t>
      </w:r>
    </w:p>
    <w:p w:rsidR="00A302DD" w:rsidRPr="00EF3FAC" w:rsidRDefault="00A302DD">
      <w:pPr>
        <w:tabs>
          <w:tab w:val="left" w:pos="4308"/>
        </w:tabs>
        <w:ind w:left="708"/>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sz w:val="22"/>
          <w:szCs w:val="22"/>
          <w:highlight w:val="white"/>
        </w:rPr>
        <w:t>L</w:t>
      </w:r>
      <w:r w:rsidRPr="00EF3FAC">
        <w:rPr>
          <w:rFonts w:ascii="Book Antiqua" w:eastAsia="Bookman Old Style" w:hAnsi="Book Antiqua" w:cs="Bookman Old Style"/>
          <w:color w:val="000000"/>
          <w:sz w:val="22"/>
          <w:szCs w:val="22"/>
          <w:highlight w:val="white"/>
        </w:rPr>
        <w:t xml:space="preserve">a Ley 617 de 2000 conmina a las entidades territoriales a hacer uso de sus ingresos corrientes de libre destinación a efectos de sufragar sus gastos de funcionamiento, gastos dentro de los cuales se encuentra la </w:t>
      </w:r>
      <w:r w:rsidRPr="00EF3FAC">
        <w:rPr>
          <w:rFonts w:ascii="Book Antiqua" w:eastAsia="Bookman Old Style" w:hAnsi="Book Antiqua" w:cs="Bookman Old Style"/>
          <w:sz w:val="22"/>
          <w:szCs w:val="22"/>
          <w:highlight w:val="white"/>
        </w:rPr>
        <w:t>nómina</w:t>
      </w:r>
      <w:r w:rsidRPr="00EF3FAC">
        <w:rPr>
          <w:rFonts w:ascii="Book Antiqua" w:eastAsia="Bookman Old Style" w:hAnsi="Book Antiqua" w:cs="Bookman Old Style"/>
          <w:color w:val="000000"/>
          <w:sz w:val="22"/>
          <w:szCs w:val="22"/>
          <w:highlight w:val="white"/>
        </w:rPr>
        <w:t xml:space="preserve"> de las</w:t>
      </w:r>
      <w:r w:rsidRPr="00EF3FAC">
        <w:rPr>
          <w:rFonts w:ascii="Book Antiqua" w:eastAsia="Bookman Old Style" w:hAnsi="Book Antiqua" w:cs="Bookman Old Style"/>
          <w:color w:val="000000"/>
          <w:sz w:val="22"/>
          <w:szCs w:val="22"/>
          <w:highlight w:val="white"/>
        </w:rPr>
        <w:t xml:space="preserve"> entidades territoriales. Excluyendo de tales ingresos corrientes de libre destinación las rentas con destinación </w:t>
      </w:r>
      <w:r w:rsidRPr="00EF3FAC">
        <w:rPr>
          <w:rFonts w:ascii="Book Antiqua" w:eastAsia="Bookman Old Style" w:hAnsi="Book Antiqua" w:cs="Bookman Old Style"/>
          <w:sz w:val="22"/>
          <w:szCs w:val="22"/>
          <w:highlight w:val="white"/>
        </w:rPr>
        <w:t>específica</w:t>
      </w:r>
      <w:r w:rsidRPr="00EF3FAC">
        <w:rPr>
          <w:rFonts w:ascii="Book Antiqua" w:eastAsia="Bookman Old Style" w:hAnsi="Book Antiqua" w:cs="Bookman Old Style"/>
          <w:color w:val="000000"/>
          <w:sz w:val="22"/>
          <w:szCs w:val="22"/>
          <w:highlight w:val="white"/>
        </w:rPr>
        <w:t xml:space="preserve"> “entendiendo por estas las destinadas por ley </w:t>
      </w:r>
      <w:r w:rsidRPr="00EF3FAC">
        <w:rPr>
          <w:rFonts w:ascii="Book Antiqua" w:eastAsia="Bookman Old Style" w:hAnsi="Book Antiqua" w:cs="Bookman Old Style"/>
          <w:color w:val="000000"/>
          <w:sz w:val="22"/>
          <w:szCs w:val="22"/>
          <w:highlight w:val="white"/>
          <w:u w:val="single"/>
        </w:rPr>
        <w:t>o acto administrativo</w:t>
      </w:r>
      <w:r w:rsidRPr="00EF3FAC">
        <w:rPr>
          <w:rFonts w:ascii="Book Antiqua" w:eastAsia="Bookman Old Style" w:hAnsi="Book Antiqua" w:cs="Bookman Old Style"/>
          <w:color w:val="000000"/>
          <w:sz w:val="22"/>
          <w:szCs w:val="22"/>
          <w:highlight w:val="white"/>
        </w:rPr>
        <w:t xml:space="preserve"> a un fin determinado</w:t>
      </w:r>
      <w:r w:rsidRPr="00EF3FAC">
        <w:rPr>
          <w:rFonts w:ascii="Book Antiqua" w:eastAsia="Bookman Old Style" w:hAnsi="Book Antiqua" w:cs="Bookman Old Style"/>
          <w:i/>
          <w:color w:val="000000"/>
          <w:sz w:val="22"/>
          <w:szCs w:val="22"/>
          <w:highlight w:val="white"/>
        </w:rPr>
        <w:t>”.</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sz w:val="22"/>
          <w:szCs w:val="22"/>
          <w:highlight w:val="white"/>
        </w:rPr>
      </w:pPr>
      <w:r w:rsidRPr="00EF3FAC">
        <w:rPr>
          <w:rFonts w:ascii="Book Antiqua" w:eastAsia="Bookman Old Style" w:hAnsi="Book Antiqua" w:cs="Bookman Old Style"/>
          <w:sz w:val="22"/>
          <w:szCs w:val="22"/>
          <w:highlight w:val="white"/>
        </w:rPr>
        <w:t>Dicho lo anterior,</w:t>
      </w:r>
      <w:r w:rsidRPr="00EF3FAC">
        <w:rPr>
          <w:rFonts w:ascii="Book Antiqua" w:eastAsia="Bookman Old Style" w:hAnsi="Book Antiqua" w:cs="Bookman Old Style"/>
          <w:color w:val="000000"/>
          <w:sz w:val="22"/>
          <w:szCs w:val="22"/>
          <w:highlight w:val="white"/>
        </w:rPr>
        <w:t xml:space="preserve"> con el presente proyecto de Ley se pretende incorporar el parágrafo 3 al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160 de la Ley 769 de 2002, y </w:t>
      </w:r>
      <w:r w:rsidRPr="00EF3FAC">
        <w:rPr>
          <w:rFonts w:ascii="Book Antiqua" w:eastAsia="Bookman Old Style" w:hAnsi="Book Antiqua" w:cs="Bookman Old Style"/>
          <w:sz w:val="22"/>
          <w:szCs w:val="22"/>
          <w:highlight w:val="white"/>
        </w:rPr>
        <w:t xml:space="preserve">“así mismo” </w:t>
      </w:r>
      <w:r w:rsidRPr="00EF3FAC">
        <w:rPr>
          <w:rFonts w:ascii="Book Antiqua" w:eastAsia="Bookman Old Style" w:hAnsi="Book Antiqua" w:cs="Bookman Old Style"/>
          <w:color w:val="000000"/>
          <w:sz w:val="22"/>
          <w:szCs w:val="22"/>
          <w:highlight w:val="white"/>
        </w:rPr>
        <w:t xml:space="preserve">determinar como una destinación </w:t>
      </w:r>
      <w:r w:rsidRPr="00EF3FAC">
        <w:rPr>
          <w:rFonts w:ascii="Book Antiqua" w:eastAsia="Bookman Old Style" w:hAnsi="Book Antiqua" w:cs="Bookman Old Style"/>
          <w:sz w:val="22"/>
          <w:szCs w:val="22"/>
          <w:highlight w:val="white"/>
        </w:rPr>
        <w:t>específica</w:t>
      </w:r>
      <w:r w:rsidRPr="00EF3FAC">
        <w:rPr>
          <w:rFonts w:ascii="Book Antiqua" w:eastAsia="Bookman Old Style" w:hAnsi="Book Antiqua" w:cs="Bookman Old Style"/>
          <w:color w:val="000000"/>
          <w:sz w:val="22"/>
          <w:szCs w:val="22"/>
          <w:highlight w:val="white"/>
        </w:rPr>
        <w:t xml:space="preserve"> </w:t>
      </w:r>
      <w:r w:rsidRPr="00EF3FAC">
        <w:rPr>
          <w:rFonts w:ascii="Book Antiqua" w:eastAsia="Bookman Old Style" w:hAnsi="Book Antiqua" w:cs="Bookman Old Style"/>
          <w:i/>
          <w:color w:val="000000"/>
          <w:sz w:val="22"/>
          <w:szCs w:val="22"/>
          <w:highlight w:val="white"/>
        </w:rPr>
        <w:t>adicional</w:t>
      </w:r>
      <w:r w:rsidRPr="00EF3FAC">
        <w:rPr>
          <w:rFonts w:ascii="Book Antiqua" w:eastAsia="Bookman Old Style" w:hAnsi="Book Antiqua" w:cs="Bookman Old Style"/>
          <w:color w:val="000000"/>
          <w:sz w:val="22"/>
          <w:szCs w:val="22"/>
          <w:highlight w:val="white"/>
        </w:rPr>
        <w:t xml:space="preserve"> a las ya descritas en el referido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la </w:t>
      </w:r>
      <w:r w:rsidRPr="00EF3FAC">
        <w:rPr>
          <w:rFonts w:ascii="Book Antiqua" w:eastAsia="Bookman Old Style" w:hAnsi="Book Antiqua" w:cs="Bookman Old Style"/>
          <w:sz w:val="22"/>
          <w:szCs w:val="22"/>
          <w:highlight w:val="white"/>
        </w:rPr>
        <w:t>siguiente:</w:t>
      </w:r>
    </w:p>
    <w:p w:rsidR="00A302DD" w:rsidRPr="00EF3FAC" w:rsidRDefault="00A302DD">
      <w:pPr>
        <w:tabs>
          <w:tab w:val="left" w:pos="4308"/>
        </w:tabs>
        <w:jc w:val="both"/>
        <w:rPr>
          <w:rFonts w:ascii="Book Antiqua" w:eastAsia="Bookman Old Style" w:hAnsi="Book Antiqua" w:cs="Bookman Old Style"/>
          <w:sz w:val="22"/>
          <w:szCs w:val="22"/>
          <w:highlight w:val="white"/>
        </w:rPr>
      </w:pPr>
    </w:p>
    <w:p w:rsidR="00A302DD" w:rsidRPr="00EF3FAC" w:rsidRDefault="00E21E6F">
      <w:pPr>
        <w:tabs>
          <w:tab w:val="left" w:pos="4308"/>
        </w:tabs>
        <w:jc w:val="both"/>
        <w:rPr>
          <w:rFonts w:ascii="Book Antiqua" w:eastAsia="Bookman Old Style" w:hAnsi="Book Antiqua" w:cs="Bookman Old Style"/>
          <w:i/>
          <w:sz w:val="22"/>
          <w:szCs w:val="22"/>
          <w:highlight w:val="white"/>
        </w:rPr>
      </w:pPr>
      <w:r w:rsidRPr="00EF3FAC">
        <w:rPr>
          <w:rFonts w:ascii="Book Antiqua" w:eastAsia="Bookman Old Style" w:hAnsi="Book Antiqua" w:cs="Bookman Old Style"/>
          <w:color w:val="000000"/>
          <w:sz w:val="22"/>
          <w:szCs w:val="22"/>
          <w:highlight w:val="white"/>
        </w:rPr>
        <w:t xml:space="preserve"> “</w:t>
      </w:r>
      <w:r w:rsidRPr="00EF3FAC">
        <w:rPr>
          <w:rFonts w:ascii="Book Antiqua" w:eastAsia="Bookman Old Style" w:hAnsi="Book Antiqua" w:cs="Bookman Old Style"/>
          <w:i/>
          <w:color w:val="000000"/>
          <w:sz w:val="22"/>
          <w:szCs w:val="22"/>
          <w:highlight w:val="white"/>
        </w:rPr>
        <w:t>financiar con lo re</w:t>
      </w:r>
      <w:r w:rsidRPr="00EF3FAC">
        <w:rPr>
          <w:rFonts w:ascii="Book Antiqua" w:eastAsia="Bookman Old Style" w:hAnsi="Book Antiqua" w:cs="Bookman Old Style"/>
          <w:i/>
          <w:color w:val="000000"/>
          <w:sz w:val="22"/>
          <w:szCs w:val="22"/>
          <w:highlight w:val="white"/>
        </w:rPr>
        <w:t>caudado por concepto de multas por infracciones de tránsito los gastos de funcionamiento inherentes a la nómina de los grupos de control vial o cuerpos de agentes de tránsito dedicados a la educación vial, cultura ciudadana, a regular la circulación vehicu</w:t>
      </w:r>
      <w:r w:rsidRPr="00EF3FAC">
        <w:rPr>
          <w:rFonts w:ascii="Book Antiqua" w:eastAsia="Bookman Old Style" w:hAnsi="Book Antiqua" w:cs="Bookman Old Style"/>
          <w:i/>
          <w:color w:val="000000"/>
          <w:sz w:val="22"/>
          <w:szCs w:val="22"/>
          <w:highlight w:val="white"/>
        </w:rPr>
        <w:t>lar y peatonal, vigilar, controlar e intervenir en el cumplimiento de las normas de tránsito y transporte en cada uno de los entes territoriales, vinculados legal y/o contractualmente, a los organismos de tránsito y transporte.</w:t>
      </w:r>
      <w:r w:rsidRPr="00EF3FAC">
        <w:rPr>
          <w:rFonts w:ascii="Book Antiqua" w:eastAsia="Bookman Old Style" w:hAnsi="Book Antiqua" w:cs="Bookman Old Style"/>
          <w:i/>
          <w:sz w:val="22"/>
          <w:szCs w:val="22"/>
          <w:highlight w:val="white"/>
        </w:rPr>
        <w:t>”</w:t>
      </w:r>
    </w:p>
    <w:p w:rsidR="00A302DD" w:rsidRPr="00EF3FAC" w:rsidRDefault="00A302DD">
      <w:pPr>
        <w:tabs>
          <w:tab w:val="left" w:pos="4308"/>
        </w:tabs>
        <w:jc w:val="both"/>
        <w:rPr>
          <w:rFonts w:ascii="Book Antiqua" w:eastAsia="Bookman Old Style" w:hAnsi="Book Antiqua" w:cs="Bookman Old Style"/>
          <w:sz w:val="22"/>
          <w:szCs w:val="22"/>
          <w:highlight w:val="white"/>
        </w:rPr>
      </w:pPr>
    </w:p>
    <w:p w:rsidR="00A302DD" w:rsidRPr="00EF3FAC" w:rsidRDefault="00A302DD">
      <w:pPr>
        <w:tabs>
          <w:tab w:val="left" w:pos="4308"/>
        </w:tabs>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sz w:val="22"/>
          <w:szCs w:val="22"/>
          <w:highlight w:val="white"/>
        </w:rPr>
      </w:pPr>
      <w:r w:rsidRPr="00EF3FAC">
        <w:rPr>
          <w:rFonts w:ascii="Book Antiqua" w:eastAsia="Bookman Old Style" w:hAnsi="Book Antiqua" w:cs="Bookman Old Style"/>
          <w:color w:val="000000"/>
          <w:sz w:val="22"/>
          <w:szCs w:val="22"/>
          <w:highlight w:val="white"/>
        </w:rPr>
        <w:t xml:space="preserve">Encontrándose lo anterior en </w:t>
      </w:r>
      <w:r w:rsidRPr="00EF3FAC">
        <w:rPr>
          <w:rFonts w:ascii="Book Antiqua" w:eastAsia="Bookman Old Style" w:hAnsi="Book Antiqua" w:cs="Bookman Old Style"/>
          <w:sz w:val="22"/>
          <w:szCs w:val="22"/>
          <w:highlight w:val="white"/>
        </w:rPr>
        <w:t>concordancia</w:t>
      </w:r>
      <w:r w:rsidRPr="00EF3FAC">
        <w:rPr>
          <w:rFonts w:ascii="Book Antiqua" w:eastAsia="Bookman Old Style" w:hAnsi="Book Antiqua" w:cs="Bookman Old Style"/>
          <w:color w:val="000000"/>
          <w:sz w:val="22"/>
          <w:szCs w:val="22"/>
          <w:highlight w:val="white"/>
        </w:rPr>
        <w:t xml:space="preserve"> con lo </w:t>
      </w:r>
      <w:r w:rsidRPr="00EF3FAC">
        <w:rPr>
          <w:rFonts w:ascii="Book Antiqua" w:eastAsia="Bookman Old Style" w:hAnsi="Book Antiqua" w:cs="Bookman Old Style"/>
          <w:sz w:val="22"/>
          <w:szCs w:val="22"/>
          <w:highlight w:val="white"/>
        </w:rPr>
        <w:t>establecido</w:t>
      </w:r>
      <w:r w:rsidRPr="00EF3FAC">
        <w:rPr>
          <w:rFonts w:ascii="Book Antiqua" w:eastAsia="Bookman Old Style" w:hAnsi="Book Antiqua" w:cs="Bookman Old Style"/>
          <w:color w:val="000000"/>
          <w:sz w:val="22"/>
          <w:szCs w:val="22"/>
          <w:highlight w:val="white"/>
        </w:rPr>
        <w:t xml:space="preserve"> por la ley 617 de 2000, </w:t>
      </w:r>
      <w:r w:rsidRPr="00EF3FAC">
        <w:rPr>
          <w:rFonts w:ascii="Book Antiqua" w:eastAsia="Bookman Old Style" w:hAnsi="Book Antiqua" w:cs="Bookman Old Style"/>
          <w:sz w:val="22"/>
          <w:szCs w:val="22"/>
          <w:highlight w:val="white"/>
        </w:rPr>
        <w:t xml:space="preserve">ya que </w:t>
      </w:r>
      <w:r w:rsidRPr="00EF3FAC">
        <w:rPr>
          <w:rFonts w:ascii="Book Antiqua" w:eastAsia="Bookman Old Style" w:hAnsi="Book Antiqua" w:cs="Bookman Old Style"/>
          <w:color w:val="000000"/>
          <w:sz w:val="22"/>
          <w:szCs w:val="22"/>
          <w:highlight w:val="white"/>
        </w:rPr>
        <w:t xml:space="preserve">no se pretende categorizar de manera distinta tales recaudos, </w:t>
      </w:r>
      <w:r w:rsidRPr="00EF3FAC">
        <w:rPr>
          <w:rFonts w:ascii="Book Antiqua" w:eastAsia="Bookman Old Style" w:hAnsi="Book Antiqua" w:cs="Bookman Old Style"/>
          <w:sz w:val="22"/>
          <w:szCs w:val="22"/>
          <w:highlight w:val="white"/>
        </w:rPr>
        <w:t>pues</w:t>
      </w:r>
      <w:r w:rsidRPr="00EF3FAC">
        <w:rPr>
          <w:rFonts w:ascii="Book Antiqua" w:eastAsia="Bookman Old Style" w:hAnsi="Book Antiqua" w:cs="Bookman Old Style"/>
          <w:color w:val="000000"/>
          <w:sz w:val="22"/>
          <w:szCs w:val="22"/>
          <w:highlight w:val="white"/>
        </w:rPr>
        <w:t xml:space="preserve"> los mismos no serán destinados para el pago total de la </w:t>
      </w:r>
      <w:r w:rsidRPr="00EF3FAC">
        <w:rPr>
          <w:rFonts w:ascii="Book Antiqua" w:eastAsia="Bookman Old Style" w:hAnsi="Book Antiqua" w:cs="Bookman Old Style"/>
          <w:sz w:val="22"/>
          <w:szCs w:val="22"/>
          <w:highlight w:val="white"/>
        </w:rPr>
        <w:t>nómina</w:t>
      </w:r>
      <w:r w:rsidRPr="00EF3FAC">
        <w:rPr>
          <w:rFonts w:ascii="Book Antiqua" w:eastAsia="Bookman Old Style" w:hAnsi="Book Antiqua" w:cs="Bookman Old Style"/>
          <w:color w:val="000000"/>
          <w:sz w:val="22"/>
          <w:szCs w:val="22"/>
          <w:highlight w:val="white"/>
        </w:rPr>
        <w:t xml:space="preserve"> de los organismos de tránsito</w:t>
      </w:r>
      <w:r w:rsidRPr="00EF3FAC">
        <w:rPr>
          <w:rFonts w:ascii="Book Antiqua" w:eastAsia="Bookman Old Style" w:hAnsi="Book Antiqua" w:cs="Bookman Old Style"/>
          <w:sz w:val="22"/>
          <w:szCs w:val="22"/>
          <w:highlight w:val="white"/>
        </w:rPr>
        <w:t xml:space="preserve">, </w:t>
      </w:r>
      <w:r w:rsidRPr="00EF3FAC">
        <w:rPr>
          <w:rFonts w:ascii="Book Antiqua" w:eastAsia="Bookman Old Style" w:hAnsi="Book Antiqua" w:cs="Bookman Old Style"/>
          <w:color w:val="000000"/>
          <w:sz w:val="22"/>
          <w:szCs w:val="22"/>
          <w:highlight w:val="white"/>
        </w:rPr>
        <w:t>(al</w:t>
      </w:r>
      <w:r w:rsidRPr="00EF3FAC">
        <w:rPr>
          <w:rFonts w:ascii="Book Antiqua" w:eastAsia="Bookman Old Style" w:hAnsi="Book Antiqua" w:cs="Bookman Old Style"/>
          <w:color w:val="000000"/>
          <w:sz w:val="22"/>
          <w:szCs w:val="22"/>
          <w:highlight w:val="white"/>
        </w:rPr>
        <w:t xml:space="preserve"> mal querer considerarlos ingresos corrientes de libre distinción), si no que, por el contrario, podrán ser, además, destinados específicamente, en virtud de esta futura Ley, para financiar única y exclusivamente los gastos de funcionamiento inherentes a l</w:t>
      </w:r>
      <w:r w:rsidRPr="00EF3FAC">
        <w:rPr>
          <w:rFonts w:ascii="Book Antiqua" w:eastAsia="Bookman Old Style" w:hAnsi="Book Antiqua" w:cs="Bookman Old Style"/>
          <w:color w:val="000000"/>
          <w:sz w:val="22"/>
          <w:szCs w:val="22"/>
          <w:highlight w:val="white"/>
        </w:rPr>
        <w:t>a nómina de los grupos de control vial o cuerpos de agentes de tránsito dedicados a la educación vial, cultura ciudadana, a regular la circulación vehicular y peatonal, vigilar, controlar e intervenir en el cumplimiento de las normas de tránsito y transpor</w:t>
      </w:r>
      <w:r w:rsidRPr="00EF3FAC">
        <w:rPr>
          <w:rFonts w:ascii="Book Antiqua" w:eastAsia="Bookman Old Style" w:hAnsi="Book Antiqua" w:cs="Bookman Old Style"/>
          <w:color w:val="000000"/>
          <w:sz w:val="22"/>
          <w:szCs w:val="22"/>
          <w:highlight w:val="white"/>
        </w:rPr>
        <w:t>te en cada uno de los entes territoriales, vinculados legal y/o contractualmente, a los organismos de tránsito y transport</w:t>
      </w:r>
      <w:r w:rsidRPr="00EF3FAC">
        <w:rPr>
          <w:rFonts w:ascii="Book Antiqua" w:eastAsia="Bookman Old Style" w:hAnsi="Book Antiqua" w:cs="Bookman Old Style"/>
          <w:sz w:val="22"/>
          <w:szCs w:val="22"/>
          <w:highlight w:val="white"/>
        </w:rPr>
        <w:t xml:space="preserve">e. </w:t>
      </w:r>
    </w:p>
    <w:p w:rsidR="00A302DD" w:rsidRPr="00EF3FAC" w:rsidRDefault="00A302DD">
      <w:pPr>
        <w:tabs>
          <w:tab w:val="left" w:pos="4308"/>
        </w:tabs>
        <w:jc w:val="both"/>
        <w:rPr>
          <w:rFonts w:ascii="Book Antiqua" w:eastAsia="Bookman Old Style" w:hAnsi="Book Antiqua" w:cs="Bookman Old Style"/>
          <w:sz w:val="22"/>
          <w:szCs w:val="22"/>
          <w:highlight w:val="white"/>
        </w:rPr>
      </w:pP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i/>
          <w:sz w:val="22"/>
          <w:szCs w:val="22"/>
          <w:highlight w:val="white"/>
        </w:rPr>
      </w:pPr>
      <w:r w:rsidRPr="00EF3FAC">
        <w:rPr>
          <w:rFonts w:ascii="Book Antiqua" w:eastAsia="Bookman Old Style" w:hAnsi="Book Antiqua" w:cs="Bookman Old Style"/>
          <w:sz w:val="22"/>
          <w:szCs w:val="22"/>
          <w:highlight w:val="white"/>
        </w:rPr>
        <w:t>Siendo así,</w:t>
      </w:r>
      <w:r w:rsidRPr="00EF3FAC">
        <w:rPr>
          <w:rFonts w:ascii="Book Antiqua" w:eastAsia="Bookman Old Style" w:hAnsi="Book Antiqua" w:cs="Bookman Old Style"/>
          <w:color w:val="000000"/>
          <w:sz w:val="22"/>
          <w:szCs w:val="22"/>
          <w:highlight w:val="white"/>
        </w:rPr>
        <w:t xml:space="preserve"> esta destinación adicional que se pretende incorporar al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160 de la Ley 769, se encuentra en total consonancia con las ya descritas por el referido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como</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 xml:space="preserve"> </w:t>
      </w:r>
      <w:r w:rsidRPr="00EF3FAC">
        <w:rPr>
          <w:rFonts w:ascii="Book Antiqua" w:eastAsia="Bookman Old Style" w:hAnsi="Book Antiqua" w:cs="Bookman Old Style"/>
          <w:i/>
          <w:color w:val="000000"/>
          <w:sz w:val="22"/>
          <w:szCs w:val="22"/>
          <w:highlight w:val="white"/>
        </w:rPr>
        <w:t>“</w:t>
      </w:r>
      <w:r w:rsidRPr="00EF3FAC">
        <w:rPr>
          <w:rFonts w:ascii="Book Antiqua" w:eastAsia="Bookman Old Style" w:hAnsi="Book Antiqua" w:cs="Bookman Old Style"/>
          <w:color w:val="000000"/>
          <w:sz w:val="22"/>
          <w:szCs w:val="22"/>
          <w:highlight w:val="white"/>
        </w:rPr>
        <w:t xml:space="preserve">la ejecución de los planes y proyectos del sector movilidad, en aspectos tales como planes de tránsito, transporte y movilidad, educación, dotación </w:t>
      </w:r>
      <w:r w:rsidRPr="00EF3FAC">
        <w:rPr>
          <w:rFonts w:ascii="Book Antiqua" w:eastAsia="Bookman Old Style" w:hAnsi="Book Antiqua" w:cs="Bookman Old Style"/>
          <w:color w:val="000000"/>
          <w:sz w:val="22"/>
          <w:szCs w:val="22"/>
          <w:highlight w:val="white"/>
        </w:rPr>
        <w:t>de equipos, combustible, seguridad vial, operación e infraestructura vial del servicio de transporte público de pasajeros, transporte no motorizado, y gestión del sistema de recaudo de las multas, salvo en lo que corresponde a la Federación Colombiana de M</w:t>
      </w:r>
      <w:r w:rsidRPr="00EF3FAC">
        <w:rPr>
          <w:rFonts w:ascii="Book Antiqua" w:eastAsia="Bookman Old Style" w:hAnsi="Book Antiqua" w:cs="Bookman Old Style"/>
          <w:color w:val="000000"/>
          <w:sz w:val="22"/>
          <w:szCs w:val="22"/>
          <w:highlight w:val="white"/>
        </w:rPr>
        <w:t>unicipios</w:t>
      </w:r>
      <w:r w:rsidRPr="00EF3FAC">
        <w:rPr>
          <w:rFonts w:ascii="Book Antiqua" w:eastAsia="Bookman Old Style" w:hAnsi="Book Antiqua" w:cs="Bookman Old Style"/>
          <w:i/>
          <w:color w:val="000000"/>
          <w:sz w:val="22"/>
          <w:szCs w:val="22"/>
          <w:highlight w:val="white"/>
        </w:rPr>
        <w:t>”</w:t>
      </w:r>
      <w:r w:rsidRPr="00EF3FAC">
        <w:rPr>
          <w:rFonts w:ascii="Book Antiqua" w:eastAsia="Bookman Old Style" w:hAnsi="Book Antiqua" w:cs="Bookman Old Style"/>
          <w:i/>
          <w:sz w:val="22"/>
          <w:szCs w:val="22"/>
          <w:highlight w:val="white"/>
        </w:rPr>
        <w:t>.</w:t>
      </w: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lastRenderedPageBreak/>
        <w:t>P</w:t>
      </w:r>
      <w:r w:rsidRPr="00EF3FAC">
        <w:rPr>
          <w:rFonts w:ascii="Book Antiqua" w:eastAsia="Bookman Old Style" w:hAnsi="Book Antiqua" w:cs="Bookman Old Style"/>
          <w:color w:val="000000"/>
          <w:sz w:val="22"/>
          <w:szCs w:val="22"/>
          <w:highlight w:val="white"/>
        </w:rPr>
        <w:t xml:space="preserve">ues en todo caso dichos dineros, que están siendo recaudados producto de la imposición de </w:t>
      </w:r>
      <w:r w:rsidR="00EF3FAC" w:rsidRPr="00EF3FAC">
        <w:rPr>
          <w:rFonts w:ascii="Book Antiqua" w:eastAsia="Bookman Old Style" w:hAnsi="Book Antiqua" w:cs="Bookman Old Style"/>
          <w:color w:val="000000"/>
          <w:sz w:val="22"/>
          <w:szCs w:val="22"/>
          <w:highlight w:val="white"/>
        </w:rPr>
        <w:t>multas de</w:t>
      </w:r>
      <w:r w:rsidRPr="00EF3FAC">
        <w:rPr>
          <w:rFonts w:ascii="Book Antiqua" w:eastAsia="Bookman Old Style" w:hAnsi="Book Antiqua" w:cs="Bookman Old Style"/>
          <w:color w:val="000000"/>
          <w:sz w:val="22"/>
          <w:szCs w:val="22"/>
          <w:highlight w:val="white"/>
        </w:rPr>
        <w:t xml:space="preserve"> infracciones de Tránsito, serán destinados para la realización de actividades tendientes precisamente a mitigar la propagación de tales infra</w:t>
      </w:r>
      <w:r w:rsidRPr="00EF3FAC">
        <w:rPr>
          <w:rFonts w:ascii="Book Antiqua" w:eastAsia="Bookman Old Style" w:hAnsi="Book Antiqua" w:cs="Bookman Old Style"/>
          <w:color w:val="000000"/>
          <w:sz w:val="22"/>
          <w:szCs w:val="22"/>
          <w:highlight w:val="white"/>
        </w:rPr>
        <w:t xml:space="preserve">cciones y </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de esta forma</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 xml:space="preserve"> garantizar el </w:t>
      </w:r>
      <w:r w:rsidRPr="00EF3FAC">
        <w:rPr>
          <w:rFonts w:ascii="Book Antiqua" w:eastAsia="Bookman Old Style" w:hAnsi="Book Antiqua" w:cs="Bookman Old Style"/>
          <w:sz w:val="22"/>
          <w:szCs w:val="22"/>
          <w:highlight w:val="white"/>
        </w:rPr>
        <w:t>respeto</w:t>
      </w:r>
      <w:r w:rsidRPr="00EF3FAC">
        <w:rPr>
          <w:rFonts w:ascii="Book Antiqua" w:eastAsia="Bookman Old Style" w:hAnsi="Book Antiqua" w:cs="Bookman Old Style"/>
          <w:color w:val="000000"/>
          <w:sz w:val="22"/>
          <w:szCs w:val="22"/>
          <w:highlight w:val="white"/>
        </w:rPr>
        <w:t xml:space="preserve"> por las normas de tránsito, situación que contribuye a la garantía del derecho a libre locomoción descrito por el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24 constitucional.</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numPr>
          <w:ilvl w:val="0"/>
          <w:numId w:val="4"/>
        </w:numPr>
        <w:pBdr>
          <w:top w:val="nil"/>
          <w:left w:val="nil"/>
          <w:bottom w:val="nil"/>
          <w:right w:val="nil"/>
          <w:between w:val="nil"/>
        </w:pBdr>
        <w:spacing w:after="160" w:line="259" w:lineRule="auto"/>
        <w:jc w:val="center"/>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Justificación del Proyecto de Ley.</w:t>
      </w: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De acuerdo con las normas </w:t>
      </w:r>
      <w:r w:rsidRPr="00EF3FAC">
        <w:rPr>
          <w:rFonts w:ascii="Book Antiqua" w:eastAsia="Bookman Old Style" w:hAnsi="Book Antiqua" w:cs="Bookman Old Style"/>
          <w:sz w:val="22"/>
          <w:szCs w:val="22"/>
          <w:highlight w:val="white"/>
        </w:rPr>
        <w:t>presupuestales</w:t>
      </w:r>
      <w:r w:rsidRPr="00EF3FAC">
        <w:rPr>
          <w:rFonts w:ascii="Book Antiqua" w:eastAsia="Bookman Old Style" w:hAnsi="Book Antiqua" w:cs="Bookman Old Style"/>
          <w:color w:val="000000"/>
          <w:sz w:val="22"/>
          <w:szCs w:val="22"/>
          <w:highlight w:val="white"/>
        </w:rPr>
        <w:t xml:space="preserve"> vigentes, las dos principales fuentes de financiación de los organismos de tránsito son la venta o cobro de servicios y el cobro de multas emanadas de las infracciones al tránsito y transporte.</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Frente a la venta de servicios se relacionan, </w:t>
      </w:r>
      <w:r w:rsidRPr="00EF3FAC">
        <w:rPr>
          <w:rFonts w:ascii="Book Antiqua" w:eastAsia="Bookman Old Style" w:hAnsi="Book Antiqua" w:cs="Bookman Old Style"/>
          <w:color w:val="000000"/>
          <w:sz w:val="22"/>
          <w:szCs w:val="22"/>
          <w:highlight w:val="white"/>
        </w:rPr>
        <w:t xml:space="preserve">entre otros, la matrícula de vehículos (licencias de tránsito), traspasos de la </w:t>
      </w:r>
      <w:r w:rsidR="00EF3FAC" w:rsidRPr="00EF3FAC">
        <w:rPr>
          <w:rFonts w:ascii="Book Antiqua" w:eastAsia="Bookman Old Style" w:hAnsi="Book Antiqua" w:cs="Bookman Old Style"/>
          <w:color w:val="000000"/>
          <w:sz w:val="22"/>
          <w:szCs w:val="22"/>
          <w:highlight w:val="white"/>
        </w:rPr>
        <w:t>propiedad, la</w:t>
      </w:r>
      <w:r w:rsidRPr="00EF3FAC">
        <w:rPr>
          <w:rFonts w:ascii="Book Antiqua" w:eastAsia="Bookman Old Style" w:hAnsi="Book Antiqua" w:cs="Bookman Old Style"/>
          <w:color w:val="000000"/>
          <w:sz w:val="22"/>
          <w:szCs w:val="22"/>
          <w:highlight w:val="white"/>
        </w:rPr>
        <w:t xml:space="preserve"> expedición de licencias de conducción, modificaciones al registro automotor, expedición de certificados de libertad y tradición, inscripción y levantamiento de e</w:t>
      </w:r>
      <w:r w:rsidRPr="00EF3FAC">
        <w:rPr>
          <w:rFonts w:ascii="Book Antiqua" w:eastAsia="Bookman Old Style" w:hAnsi="Book Antiqua" w:cs="Bookman Old Style"/>
          <w:color w:val="000000"/>
          <w:sz w:val="22"/>
          <w:szCs w:val="22"/>
          <w:highlight w:val="white"/>
        </w:rPr>
        <w:t>mbargos, sistematización de trámites, grúas, parqueaderos o patios, levantamiento de cepos, tasas de estacionamiento en espacio público, entre otros.</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Ahora bien, frente a las multas por infracciones al tránsito y el transporte están las previstas en las l</w:t>
      </w:r>
      <w:r w:rsidRPr="00EF3FAC">
        <w:rPr>
          <w:rFonts w:ascii="Book Antiqua" w:eastAsia="Bookman Old Style" w:hAnsi="Book Antiqua" w:cs="Bookman Old Style"/>
          <w:color w:val="000000"/>
          <w:sz w:val="22"/>
          <w:szCs w:val="22"/>
          <w:highlight w:val="white"/>
        </w:rPr>
        <w:t>eyes 769 de 2002 y sus modificaciones, Resolución 3027 de 2010, Ley 105 de 1993, Ley 336 de 1996 y el Decreto 1079 de 2015.</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color w:val="000000"/>
          <w:sz w:val="22"/>
          <w:szCs w:val="22"/>
          <w:highlight w:val="white"/>
        </w:rPr>
        <w:t>En este sentido</w:t>
      </w:r>
      <w:r w:rsidRPr="00EF3FAC">
        <w:rPr>
          <w:rFonts w:ascii="Book Antiqua" w:eastAsia="Bookman Old Style" w:hAnsi="Book Antiqua" w:cs="Bookman Old Style"/>
          <w:sz w:val="22"/>
          <w:szCs w:val="22"/>
          <w:highlight w:val="white"/>
        </w:rPr>
        <w:t xml:space="preserve">, </w:t>
      </w:r>
      <w:r w:rsidRPr="00EF3FAC">
        <w:rPr>
          <w:rFonts w:ascii="Book Antiqua" w:eastAsia="Bookman Old Style" w:hAnsi="Book Antiqua" w:cs="Bookman Old Style"/>
          <w:color w:val="000000"/>
          <w:sz w:val="22"/>
          <w:szCs w:val="22"/>
          <w:highlight w:val="white"/>
        </w:rPr>
        <w:t>la Ley 769 de 2002 prevé en el artículo 160 la destinación específica que tienen los recursos provenientes del rec</w:t>
      </w:r>
      <w:r w:rsidRPr="00EF3FAC">
        <w:rPr>
          <w:rFonts w:ascii="Book Antiqua" w:eastAsia="Bookman Old Style" w:hAnsi="Book Antiqua" w:cs="Bookman Old Style"/>
          <w:color w:val="000000"/>
          <w:sz w:val="22"/>
          <w:szCs w:val="22"/>
          <w:highlight w:val="white"/>
        </w:rPr>
        <w:t xml:space="preserve">audo por concepto de multas y sanciones por infracciones al tránsito, los cuales deben destinarse </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como ya se indicó</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 xml:space="preserve">  a </w:t>
      </w:r>
      <w:r w:rsidRPr="00EF3FAC">
        <w:rPr>
          <w:rFonts w:ascii="Book Antiqua" w:eastAsia="Bookman Old Style" w:hAnsi="Book Antiqua" w:cs="Bookman Old Style"/>
          <w:i/>
          <w:color w:val="000000"/>
          <w:sz w:val="22"/>
          <w:szCs w:val="22"/>
          <w:highlight w:val="white"/>
        </w:rPr>
        <w:t>“la ejecución de los planes y proyectos del sector movilidad, en aspectos tales como planes de tránsito, transporte y movilidad, educac</w:t>
      </w:r>
      <w:r w:rsidRPr="00EF3FAC">
        <w:rPr>
          <w:rFonts w:ascii="Book Antiqua" w:eastAsia="Bookman Old Style" w:hAnsi="Book Antiqua" w:cs="Bookman Old Style"/>
          <w:i/>
          <w:color w:val="000000"/>
          <w:sz w:val="22"/>
          <w:szCs w:val="22"/>
          <w:highlight w:val="white"/>
        </w:rPr>
        <w:t>ión, dotación de equipos, combustible, seguridad vial, operación e infraestructura vial del servicio de transporte público de pasajeros, transporte no motorizado, y gestión del sistema de recaudo de las multas, salvo en lo que corresponde a la Federación C</w:t>
      </w:r>
      <w:r w:rsidRPr="00EF3FAC">
        <w:rPr>
          <w:rFonts w:ascii="Book Antiqua" w:eastAsia="Bookman Old Style" w:hAnsi="Book Antiqua" w:cs="Bookman Old Style"/>
          <w:i/>
          <w:color w:val="000000"/>
          <w:sz w:val="22"/>
          <w:szCs w:val="22"/>
          <w:highlight w:val="white"/>
        </w:rPr>
        <w:t>olombiana de Municipios”.</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 xml:space="preserve">Del anterior </w:t>
      </w:r>
      <w:r w:rsidRPr="00EF3FAC">
        <w:rPr>
          <w:rFonts w:ascii="Book Antiqua" w:eastAsia="Bookman Old Style" w:hAnsi="Book Antiqua" w:cs="Bookman Old Style"/>
          <w:color w:val="000000"/>
          <w:sz w:val="22"/>
          <w:szCs w:val="22"/>
          <w:highlight w:val="white"/>
        </w:rPr>
        <w:t xml:space="preserve">artículo se </w:t>
      </w:r>
      <w:r w:rsidRPr="00EF3FAC">
        <w:rPr>
          <w:rFonts w:ascii="Book Antiqua" w:eastAsia="Bookman Old Style" w:hAnsi="Book Antiqua" w:cs="Bookman Old Style"/>
          <w:sz w:val="22"/>
          <w:szCs w:val="22"/>
          <w:highlight w:val="white"/>
        </w:rPr>
        <w:t>infiere</w:t>
      </w:r>
      <w:r w:rsidRPr="00EF3FAC">
        <w:rPr>
          <w:rFonts w:ascii="Book Antiqua" w:eastAsia="Bookman Old Style" w:hAnsi="Book Antiqua" w:cs="Bookman Old Style"/>
          <w:color w:val="000000"/>
          <w:sz w:val="22"/>
          <w:szCs w:val="22"/>
          <w:highlight w:val="white"/>
        </w:rPr>
        <w:t xml:space="preserve"> que es posible la financiación de acciones tendientes a generar mejoras en la movilidad, el cumplimento de las normas de tránsito, entre otras actividades que habitualmente son realizadas por las </w:t>
      </w:r>
      <w:r w:rsidRPr="00EF3FAC">
        <w:rPr>
          <w:rFonts w:ascii="Book Antiqua" w:eastAsia="Bookman Old Style" w:hAnsi="Book Antiqua" w:cs="Bookman Old Style"/>
          <w:color w:val="000000"/>
          <w:sz w:val="22"/>
          <w:szCs w:val="22"/>
          <w:highlight w:val="white"/>
        </w:rPr>
        <w:t>autoridades de tránsito a través de sus grupos de control vial o cuerpos de agentes de tránsito.</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 xml:space="preserve">Dicho </w:t>
      </w:r>
      <w:r w:rsidR="00EF3FAC" w:rsidRPr="00EF3FAC">
        <w:rPr>
          <w:rFonts w:ascii="Book Antiqua" w:eastAsia="Bookman Old Style" w:hAnsi="Book Antiqua" w:cs="Bookman Old Style"/>
          <w:sz w:val="22"/>
          <w:szCs w:val="22"/>
          <w:highlight w:val="white"/>
        </w:rPr>
        <w:t xml:space="preserve">esto, </w:t>
      </w:r>
      <w:r w:rsidR="00EF3FAC" w:rsidRPr="00EF3FAC">
        <w:rPr>
          <w:rFonts w:ascii="Book Antiqua" w:eastAsia="Bookman Old Style" w:hAnsi="Book Antiqua" w:cs="Bookman Old Style"/>
          <w:color w:val="000000"/>
          <w:sz w:val="22"/>
          <w:szCs w:val="22"/>
          <w:highlight w:val="white"/>
        </w:rPr>
        <w:t>se</w:t>
      </w:r>
      <w:r w:rsidRPr="00EF3FAC">
        <w:rPr>
          <w:rFonts w:ascii="Book Antiqua" w:eastAsia="Bookman Old Style" w:hAnsi="Book Antiqua" w:cs="Bookman Old Style"/>
          <w:sz w:val="22"/>
          <w:szCs w:val="22"/>
          <w:highlight w:val="white"/>
        </w:rPr>
        <w:t xml:space="preserve"> </w:t>
      </w:r>
      <w:r w:rsidR="00EF3FAC" w:rsidRPr="00EF3FAC">
        <w:rPr>
          <w:rFonts w:ascii="Book Antiqua" w:eastAsia="Bookman Old Style" w:hAnsi="Book Antiqua" w:cs="Bookman Old Style"/>
          <w:sz w:val="22"/>
          <w:szCs w:val="22"/>
          <w:highlight w:val="white"/>
        </w:rPr>
        <w:t xml:space="preserve">describe </w:t>
      </w:r>
      <w:r w:rsidR="00EF3FAC" w:rsidRPr="00EF3FAC">
        <w:rPr>
          <w:rFonts w:ascii="Book Antiqua" w:eastAsia="Bookman Old Style" w:hAnsi="Book Antiqua" w:cs="Bookman Old Style"/>
          <w:color w:val="000000"/>
          <w:sz w:val="22"/>
          <w:szCs w:val="22"/>
          <w:highlight w:val="white"/>
        </w:rPr>
        <w:t>en</w:t>
      </w:r>
      <w:r w:rsidRPr="00EF3FAC">
        <w:rPr>
          <w:rFonts w:ascii="Book Antiqua" w:eastAsia="Bookman Old Style" w:hAnsi="Book Antiqua" w:cs="Bookman Old Style"/>
          <w:color w:val="000000"/>
          <w:sz w:val="22"/>
          <w:szCs w:val="22"/>
          <w:highlight w:val="white"/>
        </w:rPr>
        <w:t xml:space="preserve"> el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3 de la ley 769 de 2002, modificado por el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2 de la Ley 1383 de 2010, qui</w:t>
      </w:r>
      <w:r w:rsidRPr="00EF3FAC">
        <w:rPr>
          <w:rFonts w:ascii="Book Antiqua" w:eastAsia="Bookman Old Style" w:hAnsi="Book Antiqua" w:cs="Bookman Old Style"/>
          <w:sz w:val="22"/>
          <w:szCs w:val="22"/>
          <w:highlight w:val="white"/>
        </w:rPr>
        <w:t>é</w:t>
      </w:r>
      <w:r w:rsidRPr="00EF3FAC">
        <w:rPr>
          <w:rFonts w:ascii="Book Antiqua" w:eastAsia="Bookman Old Style" w:hAnsi="Book Antiqua" w:cs="Bookman Old Style"/>
          <w:color w:val="000000"/>
          <w:sz w:val="22"/>
          <w:szCs w:val="22"/>
          <w:highlight w:val="white"/>
        </w:rPr>
        <w:t xml:space="preserve">nes son las autoridades en materia </w:t>
      </w:r>
      <w:r w:rsidRPr="00EF3FAC">
        <w:rPr>
          <w:rFonts w:ascii="Book Antiqua" w:eastAsia="Bookman Old Style" w:hAnsi="Book Antiqua" w:cs="Bookman Old Style"/>
          <w:color w:val="000000"/>
          <w:sz w:val="22"/>
          <w:szCs w:val="22"/>
          <w:highlight w:val="white"/>
        </w:rPr>
        <w:t>de Tránsito, así:</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ind w:left="708"/>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t>“AUTORIDADES DE TRÁNSITO. &lt;Artículo modificado por el artículo 2 de la Ley 1383 de 2010. El nuevo texto es el siguiente:&gt; Para los efectos de la presente ley entiéndase que son autoridades de tránsito, en su orden, las siguientes:</w:t>
      </w:r>
    </w:p>
    <w:p w:rsidR="00A302DD" w:rsidRPr="00EF3FAC" w:rsidRDefault="00A302DD">
      <w:pPr>
        <w:tabs>
          <w:tab w:val="left" w:pos="4308"/>
        </w:tabs>
        <w:ind w:left="708"/>
        <w:rPr>
          <w:rFonts w:ascii="Book Antiqua" w:eastAsia="Bookman Old Style" w:hAnsi="Book Antiqua" w:cs="Bookman Old Style"/>
          <w:i/>
          <w:color w:val="000000"/>
          <w:sz w:val="22"/>
          <w:szCs w:val="22"/>
          <w:highlight w:val="white"/>
        </w:rPr>
      </w:pPr>
    </w:p>
    <w:p w:rsidR="00A302DD" w:rsidRPr="00EF3FAC" w:rsidRDefault="00E21E6F">
      <w:pPr>
        <w:tabs>
          <w:tab w:val="left" w:pos="4308"/>
        </w:tabs>
        <w:ind w:left="708"/>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t>El Ministro de Transporte.</w:t>
      </w:r>
    </w:p>
    <w:p w:rsidR="00A302DD" w:rsidRPr="00EF3FAC" w:rsidRDefault="00E21E6F">
      <w:pPr>
        <w:tabs>
          <w:tab w:val="left" w:pos="4308"/>
        </w:tabs>
        <w:ind w:left="708"/>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lastRenderedPageBreak/>
        <w:t>Los Gobernadores y los Alcaldes.</w:t>
      </w:r>
    </w:p>
    <w:p w:rsidR="00A302DD" w:rsidRPr="00EF3FAC" w:rsidRDefault="00E21E6F">
      <w:pPr>
        <w:tabs>
          <w:tab w:val="left" w:pos="4308"/>
        </w:tabs>
        <w:ind w:left="708"/>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t>Los organismos de tránsito de carácter departamental, municipal o Distrital.</w:t>
      </w:r>
    </w:p>
    <w:p w:rsidR="00A302DD" w:rsidRPr="00EF3FAC" w:rsidRDefault="00E21E6F">
      <w:pPr>
        <w:tabs>
          <w:tab w:val="left" w:pos="4308"/>
        </w:tabs>
        <w:ind w:left="708"/>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t>La Policía Nacional a través de la Dirección de Tránsito y Transporte.</w:t>
      </w:r>
    </w:p>
    <w:p w:rsidR="00A302DD" w:rsidRPr="00EF3FAC" w:rsidRDefault="00E21E6F">
      <w:pPr>
        <w:tabs>
          <w:tab w:val="left" w:pos="4308"/>
        </w:tabs>
        <w:ind w:left="708"/>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t>Los Inspectores de Policía, los Inspectores de T</w:t>
      </w:r>
      <w:r w:rsidRPr="00EF3FAC">
        <w:rPr>
          <w:rFonts w:ascii="Book Antiqua" w:eastAsia="Bookman Old Style" w:hAnsi="Book Antiqua" w:cs="Bookman Old Style"/>
          <w:i/>
          <w:color w:val="000000"/>
          <w:sz w:val="22"/>
          <w:szCs w:val="22"/>
          <w:highlight w:val="white"/>
        </w:rPr>
        <w:t>ránsito, Corregidores o quien haga sus veces en cada ente territorial.</w:t>
      </w:r>
    </w:p>
    <w:p w:rsidR="00A302DD" w:rsidRPr="00EF3FAC" w:rsidRDefault="00E21E6F">
      <w:pPr>
        <w:tabs>
          <w:tab w:val="left" w:pos="4308"/>
        </w:tabs>
        <w:ind w:left="708"/>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t>La Superintendencia General de Puertos y Transporte.</w:t>
      </w:r>
    </w:p>
    <w:p w:rsidR="00A302DD" w:rsidRPr="00EF3FAC" w:rsidRDefault="00E21E6F">
      <w:pPr>
        <w:tabs>
          <w:tab w:val="left" w:pos="4308"/>
        </w:tabs>
        <w:ind w:left="708"/>
        <w:jc w:val="both"/>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t>Las Fuerzas Militares para cumplir exclusivamente lo dispuesto en el parágrafo 5o de este artículo.”</w:t>
      </w:r>
    </w:p>
    <w:p w:rsidR="00A302DD" w:rsidRPr="00EF3FAC" w:rsidRDefault="00A302DD">
      <w:pPr>
        <w:tabs>
          <w:tab w:val="left" w:pos="4308"/>
        </w:tabs>
        <w:ind w:left="708"/>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A su turno, en el artículo 2 de la Ley 1310 de 2009, </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mediante la cual se unifican normas sobre agentes de tránsito y transporte y grupos de control vial de las entidades territoriales y se dictan otras disposiciones</w:t>
      </w:r>
      <w:r w:rsidR="00EF3FAC"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sz w:val="22"/>
          <w:szCs w:val="22"/>
          <w:highlight w:val="white"/>
        </w:rPr>
        <w:t xml:space="preserve"> s</w:t>
      </w:r>
      <w:r w:rsidRPr="00EF3FAC">
        <w:rPr>
          <w:rFonts w:ascii="Book Antiqua" w:eastAsia="Bookman Old Style" w:hAnsi="Book Antiqua" w:cs="Bookman Old Style"/>
          <w:color w:val="000000"/>
          <w:sz w:val="22"/>
          <w:szCs w:val="22"/>
          <w:highlight w:val="white"/>
        </w:rPr>
        <w:t xml:space="preserve">e define a los agentes de Tránsito </w:t>
      </w:r>
      <w:r w:rsidRPr="00EF3FAC">
        <w:rPr>
          <w:rFonts w:ascii="Book Antiqua" w:eastAsia="Bookman Old Style" w:hAnsi="Book Antiqua" w:cs="Bookman Old Style"/>
          <w:color w:val="000000"/>
          <w:sz w:val="22"/>
          <w:szCs w:val="22"/>
          <w:highlight w:val="white"/>
        </w:rPr>
        <w:t>y Transporte y los grupos de control vial o cuerpo de Agentes de Tránsito c</w:t>
      </w:r>
      <w:r w:rsidRPr="00EF3FAC">
        <w:rPr>
          <w:rFonts w:ascii="Book Antiqua" w:eastAsia="Bookman Old Style" w:hAnsi="Book Antiqua" w:cs="Bookman Old Style"/>
          <w:sz w:val="22"/>
          <w:szCs w:val="22"/>
          <w:highlight w:val="white"/>
        </w:rPr>
        <w:t>ó</w:t>
      </w:r>
      <w:r w:rsidRPr="00EF3FAC">
        <w:rPr>
          <w:rFonts w:ascii="Book Antiqua" w:eastAsia="Bookman Old Style" w:hAnsi="Book Antiqua" w:cs="Bookman Old Style"/>
          <w:color w:val="000000"/>
          <w:sz w:val="22"/>
          <w:szCs w:val="22"/>
          <w:highlight w:val="white"/>
        </w:rPr>
        <w:t>mo:</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Agente de Tránsito y Transporte: Todo empleado público investido de autoridad para regular la circulación vehicular y peatonal, vigilar, controlar e intervenir en el cumplimie</w:t>
      </w:r>
      <w:r w:rsidRPr="00EF3FAC">
        <w:rPr>
          <w:rFonts w:ascii="Book Antiqua" w:eastAsia="Bookman Old Style" w:hAnsi="Book Antiqua" w:cs="Bookman Old Style"/>
          <w:color w:val="000000"/>
          <w:sz w:val="22"/>
          <w:szCs w:val="22"/>
          <w:highlight w:val="white"/>
        </w:rPr>
        <w:t>nto de las normas de tránsito y transporte en cada uno de los entes territoriales.</w:t>
      </w:r>
    </w:p>
    <w:p w:rsidR="00A302DD" w:rsidRPr="00EF3FAC" w:rsidRDefault="00E21E6F">
      <w:pPr>
        <w:tabs>
          <w:tab w:val="left" w:pos="4308"/>
        </w:tabs>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Grupo de Control Vial o Cuerpo de Agentes de Tránsito: Grupo de empleados públicos investidos de autoridad como agentes de tránsito y transporte vinculados legal y reglament</w:t>
      </w:r>
      <w:r w:rsidRPr="00EF3FAC">
        <w:rPr>
          <w:rFonts w:ascii="Book Antiqua" w:eastAsia="Bookman Old Style" w:hAnsi="Book Antiqua" w:cs="Bookman Old Style"/>
          <w:color w:val="000000"/>
          <w:sz w:val="22"/>
          <w:szCs w:val="22"/>
          <w:highlight w:val="white"/>
        </w:rPr>
        <w:t>ariamente a los organismos de tránsito y transporte.</w:t>
      </w:r>
    </w:p>
    <w:p w:rsidR="00A302DD" w:rsidRPr="00EF3FAC" w:rsidRDefault="00A302DD">
      <w:pPr>
        <w:tabs>
          <w:tab w:val="left" w:pos="4308"/>
        </w:tabs>
        <w:ind w:left="708"/>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 xml:space="preserve">Con base en lo </w:t>
      </w:r>
      <w:r w:rsidR="00EF3FAC" w:rsidRPr="00EF3FAC">
        <w:rPr>
          <w:rFonts w:ascii="Book Antiqua" w:eastAsia="Bookman Old Style" w:hAnsi="Book Antiqua" w:cs="Bookman Old Style"/>
          <w:sz w:val="22"/>
          <w:szCs w:val="22"/>
          <w:highlight w:val="white"/>
        </w:rPr>
        <w:t xml:space="preserve">anterior, </w:t>
      </w:r>
      <w:r w:rsidR="00EF3FAC" w:rsidRPr="00EF3FAC">
        <w:rPr>
          <w:rFonts w:ascii="Book Antiqua" w:eastAsia="Bookman Old Style" w:hAnsi="Book Antiqua" w:cs="Bookman Old Style"/>
          <w:color w:val="000000"/>
          <w:sz w:val="22"/>
          <w:szCs w:val="22"/>
          <w:highlight w:val="white"/>
        </w:rPr>
        <w:t>es</w:t>
      </w:r>
      <w:r w:rsidRPr="00EF3FAC">
        <w:rPr>
          <w:rFonts w:ascii="Book Antiqua" w:eastAsia="Bookman Old Style" w:hAnsi="Book Antiqua" w:cs="Bookman Old Style"/>
          <w:color w:val="000000"/>
          <w:sz w:val="22"/>
          <w:szCs w:val="22"/>
          <w:highlight w:val="white"/>
        </w:rPr>
        <w:t xml:space="preserve"> posible </w:t>
      </w:r>
      <w:r w:rsidRPr="00EF3FAC">
        <w:rPr>
          <w:rFonts w:ascii="Book Antiqua" w:eastAsia="Bookman Old Style" w:hAnsi="Book Antiqua" w:cs="Bookman Old Style"/>
          <w:sz w:val="22"/>
          <w:szCs w:val="22"/>
          <w:highlight w:val="white"/>
        </w:rPr>
        <w:t>evidenciar</w:t>
      </w:r>
      <w:r w:rsidRPr="00EF3FAC">
        <w:rPr>
          <w:rFonts w:ascii="Book Antiqua" w:eastAsia="Bookman Old Style" w:hAnsi="Book Antiqua" w:cs="Bookman Old Style"/>
          <w:color w:val="000000"/>
          <w:sz w:val="22"/>
          <w:szCs w:val="22"/>
          <w:highlight w:val="white"/>
        </w:rPr>
        <w:t>, que, en todo caso, la principal misión de los grupos de control vial o cuerpos de agentes de tránsito está estrechamente relacionada con los objetivos de</w:t>
      </w:r>
      <w:r w:rsidRPr="00EF3FAC">
        <w:rPr>
          <w:rFonts w:ascii="Book Antiqua" w:eastAsia="Bookman Old Style" w:hAnsi="Book Antiqua" w:cs="Bookman Old Style"/>
          <w:color w:val="000000"/>
          <w:sz w:val="22"/>
          <w:szCs w:val="22"/>
          <w:highlight w:val="white"/>
        </w:rPr>
        <w:t xml:space="preserve">scritos en la destinación </w:t>
      </w:r>
      <w:r w:rsidRPr="00EF3FAC">
        <w:rPr>
          <w:rFonts w:ascii="Book Antiqua" w:eastAsia="Bookman Old Style" w:hAnsi="Book Antiqua" w:cs="Bookman Old Style"/>
          <w:sz w:val="22"/>
          <w:szCs w:val="22"/>
          <w:highlight w:val="white"/>
        </w:rPr>
        <w:t>específica</w:t>
      </w:r>
      <w:r w:rsidRPr="00EF3FAC">
        <w:rPr>
          <w:rFonts w:ascii="Book Antiqua" w:eastAsia="Bookman Old Style" w:hAnsi="Book Antiqua" w:cs="Bookman Old Style"/>
          <w:color w:val="000000"/>
          <w:sz w:val="22"/>
          <w:szCs w:val="22"/>
          <w:highlight w:val="white"/>
        </w:rPr>
        <w:t xml:space="preserve"> de los recursos recaudados por concepto de multas y sanciones por infracciones de tránsito ya descritos por el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160 de la Ley 769 de 2022.</w:t>
      </w:r>
    </w:p>
    <w:p w:rsidR="00A302DD" w:rsidRPr="00EF3FAC" w:rsidRDefault="00A302DD">
      <w:pPr>
        <w:tabs>
          <w:tab w:val="left" w:pos="4308"/>
        </w:tabs>
        <w:jc w:val="both"/>
        <w:rPr>
          <w:rFonts w:ascii="Book Antiqua" w:eastAsia="Arial" w:hAnsi="Book Antiqua" w:cs="Arial"/>
          <w:color w:val="000000"/>
          <w:sz w:val="22"/>
          <w:szCs w:val="22"/>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No obstante, los conceptos del Ministerio de Transporte y las referenci</w:t>
      </w:r>
      <w:r w:rsidRPr="00EF3FAC">
        <w:rPr>
          <w:rFonts w:ascii="Book Antiqua" w:eastAsia="Bookman Old Style" w:hAnsi="Book Antiqua" w:cs="Bookman Old Style"/>
          <w:color w:val="000000"/>
          <w:sz w:val="22"/>
          <w:szCs w:val="22"/>
          <w:highlight w:val="white"/>
        </w:rPr>
        <w:t xml:space="preserve">as de la doctrina no han sido suficientemente claras respecto de la posibilidad de financiar los gastos de funcionamiento inherentes a la nómina de los grupos de control vial o cuerpos de agentes de tránsito con recursos provenientes </w:t>
      </w:r>
      <w:r w:rsidR="00EF3FAC" w:rsidRPr="00EF3FAC">
        <w:rPr>
          <w:rFonts w:ascii="Book Antiqua" w:eastAsia="Bookman Old Style" w:hAnsi="Book Antiqua" w:cs="Bookman Old Style"/>
          <w:color w:val="000000"/>
          <w:sz w:val="22"/>
          <w:szCs w:val="22"/>
          <w:highlight w:val="white"/>
        </w:rPr>
        <w:t>del recaudo</w:t>
      </w:r>
      <w:r w:rsidRPr="00EF3FAC">
        <w:rPr>
          <w:rFonts w:ascii="Book Antiqua" w:eastAsia="Bookman Old Style" w:hAnsi="Book Antiqua" w:cs="Bookman Old Style"/>
          <w:color w:val="000000"/>
          <w:sz w:val="22"/>
          <w:szCs w:val="22"/>
          <w:highlight w:val="white"/>
        </w:rPr>
        <w:t xml:space="preserve"> por conce</w:t>
      </w:r>
      <w:r w:rsidRPr="00EF3FAC">
        <w:rPr>
          <w:rFonts w:ascii="Book Antiqua" w:eastAsia="Bookman Old Style" w:hAnsi="Book Antiqua" w:cs="Bookman Old Style"/>
          <w:color w:val="000000"/>
          <w:sz w:val="22"/>
          <w:szCs w:val="22"/>
          <w:highlight w:val="white"/>
        </w:rPr>
        <w:t xml:space="preserve">pto de multas y sanciones por infracciones al tránsito. Ni tampoco lo han sido respecto de la necesidad de contar </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o no</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 xml:space="preserve"> con proyectos de inversión para el uso de estos recursos con ocasión del pago de los gastos de funcionamiento inherentes a la nómina de</w:t>
      </w:r>
      <w:r w:rsidRPr="00EF3FAC">
        <w:rPr>
          <w:rFonts w:ascii="Book Antiqua" w:eastAsia="Bookman Old Style" w:hAnsi="Book Antiqua" w:cs="Bookman Old Style"/>
          <w:color w:val="000000"/>
          <w:sz w:val="22"/>
          <w:szCs w:val="22"/>
          <w:highlight w:val="white"/>
        </w:rPr>
        <w:t xml:space="preserve"> los grupos de control vial o cuerpos de agentes de tránsito.</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 xml:space="preserve">Lo que </w:t>
      </w:r>
      <w:r w:rsidRPr="00EF3FAC">
        <w:rPr>
          <w:rFonts w:ascii="Book Antiqua" w:eastAsia="Bookman Old Style" w:hAnsi="Book Antiqua" w:cs="Bookman Old Style"/>
          <w:color w:val="000000"/>
          <w:sz w:val="22"/>
          <w:szCs w:val="22"/>
          <w:highlight w:val="white"/>
        </w:rPr>
        <w:t xml:space="preserve">significa que no es claro si la labor que los grupos de control vial o cuerpos de agentes de tránsito adelantan para controlar el tránsito y mejorar la movilidad sirve como fuente de financiación para pago de la propia nómina de los empleados públicos que </w:t>
      </w:r>
      <w:r w:rsidRPr="00EF3FAC">
        <w:rPr>
          <w:rFonts w:ascii="Book Antiqua" w:eastAsia="Bookman Old Style" w:hAnsi="Book Antiqua" w:cs="Bookman Old Style"/>
          <w:color w:val="000000"/>
          <w:sz w:val="22"/>
          <w:szCs w:val="22"/>
          <w:highlight w:val="white"/>
        </w:rPr>
        <w:t>hacen parte de dichos grupos de control vial.</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lastRenderedPageBreak/>
        <w:t xml:space="preserve">Por lo que con la incorporación del parágrafo 3 al </w:t>
      </w: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160 de la Ley 769 de 2002, que se pretende realizar con el presente proyecto de Acuerdo, se estaría facultando de manera taxativa a los organismos de</w:t>
      </w:r>
      <w:r w:rsidRPr="00EF3FAC">
        <w:rPr>
          <w:rFonts w:ascii="Book Antiqua" w:eastAsia="Bookman Old Style" w:hAnsi="Book Antiqua" w:cs="Bookman Old Style"/>
          <w:color w:val="000000"/>
          <w:sz w:val="22"/>
          <w:szCs w:val="22"/>
          <w:highlight w:val="white"/>
        </w:rPr>
        <w:t xml:space="preserve"> Tránsito para que puedan destinar los recursos provenientes del recaudo por concepto de multas y sanciones por infracciones al tránsito para los gastos de funcionamiento inherentes a la nómina de los grupos de control vial o cuerpos de agentes de tránsito</w:t>
      </w:r>
      <w:r w:rsidRPr="00EF3FAC">
        <w:rPr>
          <w:rFonts w:ascii="Book Antiqua" w:eastAsia="Bookman Old Style" w:hAnsi="Book Antiqua" w:cs="Bookman Old Style"/>
          <w:color w:val="000000"/>
          <w:sz w:val="22"/>
          <w:szCs w:val="22"/>
          <w:highlight w:val="white"/>
        </w:rPr>
        <w:t xml:space="preserve"> dedicados a la educación vial, cultura ciudadana, a regular la circulación vehicular y peatonal, vigilar, controlar e intervenir en el cumplimiento de las normas de tránsito y transporte en cada uno de los entes territoriales, vinculados legal y/o contrac</w:t>
      </w:r>
      <w:r w:rsidRPr="00EF3FAC">
        <w:rPr>
          <w:rFonts w:ascii="Book Antiqua" w:eastAsia="Bookman Old Style" w:hAnsi="Book Antiqua" w:cs="Bookman Old Style"/>
          <w:color w:val="000000"/>
          <w:sz w:val="22"/>
          <w:szCs w:val="22"/>
          <w:highlight w:val="white"/>
        </w:rPr>
        <w:t>tualmente, a los organismos de tránsito y transporte.</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numPr>
          <w:ilvl w:val="0"/>
          <w:numId w:val="4"/>
        </w:numPr>
        <w:pBdr>
          <w:top w:val="nil"/>
          <w:left w:val="nil"/>
          <w:bottom w:val="nil"/>
          <w:right w:val="nil"/>
          <w:between w:val="nil"/>
        </w:pBdr>
        <w:spacing w:line="259" w:lineRule="auto"/>
        <w:jc w:val="center"/>
        <w:rPr>
          <w:rFonts w:ascii="Book Antiqua" w:eastAsia="Bookman Old Style" w:hAnsi="Book Antiqua" w:cs="Bookman Old Style"/>
          <w:b/>
          <w:sz w:val="22"/>
          <w:szCs w:val="22"/>
          <w:highlight w:val="white"/>
        </w:rPr>
      </w:pPr>
      <w:r w:rsidRPr="00EF3FAC">
        <w:rPr>
          <w:rFonts w:ascii="Book Antiqua" w:eastAsia="Bookman Old Style" w:hAnsi="Book Antiqua" w:cs="Bookman Old Style"/>
          <w:b/>
          <w:color w:val="000000"/>
          <w:sz w:val="22"/>
          <w:szCs w:val="22"/>
          <w:highlight w:val="white"/>
        </w:rPr>
        <w:t xml:space="preserve">Problema a resolver- Desestabilización financiera de los Organismos </w:t>
      </w:r>
      <w:r w:rsidRPr="00EF3FAC">
        <w:rPr>
          <w:rFonts w:ascii="Book Antiqua" w:eastAsia="Bookman Old Style" w:hAnsi="Book Antiqua" w:cs="Bookman Old Style"/>
          <w:b/>
          <w:sz w:val="22"/>
          <w:szCs w:val="22"/>
          <w:highlight w:val="white"/>
        </w:rPr>
        <w:t>Tránsito</w:t>
      </w:r>
      <w:r w:rsidRPr="00EF3FAC">
        <w:rPr>
          <w:rFonts w:ascii="Book Antiqua" w:eastAsia="Bookman Old Style" w:hAnsi="Book Antiqua" w:cs="Bookman Old Style"/>
          <w:b/>
          <w:color w:val="000000"/>
          <w:sz w:val="22"/>
          <w:szCs w:val="22"/>
          <w:highlight w:val="white"/>
        </w:rPr>
        <w:t xml:space="preserve"> a causa del Covid-19</w:t>
      </w:r>
    </w:p>
    <w:p w:rsidR="00A302DD" w:rsidRPr="00EF3FAC" w:rsidRDefault="00A302DD">
      <w:pPr>
        <w:pBdr>
          <w:top w:val="nil"/>
          <w:left w:val="nil"/>
          <w:bottom w:val="nil"/>
          <w:right w:val="nil"/>
          <w:between w:val="nil"/>
        </w:pBdr>
        <w:spacing w:after="160" w:line="259" w:lineRule="auto"/>
        <w:ind w:left="1080"/>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Se ha evidenciado que los organismos de tránsito, especialmente los descentralizados, producto de la pandemia del </w:t>
      </w:r>
      <w:r w:rsidRPr="00EF3FAC">
        <w:rPr>
          <w:rFonts w:ascii="Book Antiqua" w:eastAsia="Bookman Old Style" w:hAnsi="Book Antiqua" w:cs="Bookman Old Style"/>
          <w:sz w:val="22"/>
          <w:szCs w:val="22"/>
          <w:highlight w:val="white"/>
        </w:rPr>
        <w:t>COVID</w:t>
      </w:r>
      <w:r w:rsidRPr="00EF3FAC">
        <w:rPr>
          <w:rFonts w:ascii="Book Antiqua" w:eastAsia="Bookman Old Style" w:hAnsi="Book Antiqua" w:cs="Bookman Old Style"/>
          <w:color w:val="000000"/>
          <w:sz w:val="22"/>
          <w:szCs w:val="22"/>
          <w:highlight w:val="white"/>
        </w:rPr>
        <w:t>-19, atraviesan realidades presupuestales nefastas, que les han impedido el pago de las nóminas de los agentes de tránsito al no vender l</w:t>
      </w:r>
      <w:r w:rsidRPr="00EF3FAC">
        <w:rPr>
          <w:rFonts w:ascii="Book Antiqua" w:eastAsia="Bookman Old Style" w:hAnsi="Book Antiqua" w:cs="Bookman Old Style"/>
          <w:color w:val="000000"/>
          <w:sz w:val="22"/>
          <w:szCs w:val="22"/>
          <w:highlight w:val="white"/>
        </w:rPr>
        <w:t>os suficientes servicios para financiar sus gastos de funcionamiento durante los meses de cierre por la pandemia, sumado a la baja demanda de los mismos por las capacidades económicas de los colombianos después de la pandemia.</w:t>
      </w: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Es así como encontramos, por </w:t>
      </w:r>
      <w:r w:rsidRPr="00EF3FAC">
        <w:rPr>
          <w:rFonts w:ascii="Book Antiqua" w:eastAsia="Bookman Old Style" w:hAnsi="Book Antiqua" w:cs="Bookman Old Style"/>
          <w:color w:val="000000"/>
          <w:sz w:val="22"/>
          <w:szCs w:val="22"/>
          <w:highlight w:val="white"/>
        </w:rPr>
        <w:t>ejemplo</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 xml:space="preserve"> en </w:t>
      </w:r>
      <w:r w:rsidRPr="00EF3FAC">
        <w:rPr>
          <w:rFonts w:ascii="Book Antiqua" w:eastAsia="Bookman Old Style" w:hAnsi="Book Antiqua" w:cs="Bookman Old Style"/>
          <w:sz w:val="22"/>
          <w:szCs w:val="22"/>
          <w:highlight w:val="white"/>
        </w:rPr>
        <w:t>trámites</w:t>
      </w:r>
      <w:r w:rsidRPr="00EF3FAC">
        <w:rPr>
          <w:rFonts w:ascii="Book Antiqua" w:eastAsia="Bookman Old Style" w:hAnsi="Book Antiqua" w:cs="Bookman Old Style"/>
          <w:color w:val="000000"/>
          <w:sz w:val="22"/>
          <w:szCs w:val="22"/>
          <w:highlight w:val="white"/>
        </w:rPr>
        <w:t xml:space="preserve"> como la matr</w:t>
      </w:r>
      <w:r w:rsidRPr="00EF3FAC">
        <w:rPr>
          <w:rFonts w:ascii="Book Antiqua" w:eastAsia="Bookman Old Style" w:hAnsi="Book Antiqua" w:cs="Bookman Old Style"/>
          <w:sz w:val="22"/>
          <w:szCs w:val="22"/>
          <w:highlight w:val="white"/>
        </w:rPr>
        <w:t>í</w:t>
      </w:r>
      <w:r w:rsidRPr="00EF3FAC">
        <w:rPr>
          <w:rFonts w:ascii="Book Antiqua" w:eastAsia="Bookman Old Style" w:hAnsi="Book Antiqua" w:cs="Bookman Old Style"/>
          <w:color w:val="000000"/>
          <w:sz w:val="22"/>
          <w:szCs w:val="22"/>
          <w:highlight w:val="white"/>
        </w:rPr>
        <w:t>cula inicial (licencia de tránsito), las siguientes cifras:</w:t>
      </w:r>
      <w:r w:rsidRPr="00EF3FAC">
        <w:rPr>
          <w:rFonts w:ascii="Book Antiqua" w:hAnsi="Book Antiqua"/>
          <w:noProof/>
          <w:sz w:val="22"/>
          <w:szCs w:val="22"/>
          <w:lang w:eastAsia="es-CO"/>
        </w:rPr>
        <w:drawing>
          <wp:anchor distT="0" distB="0" distL="114300" distR="114300" simplePos="0" relativeHeight="251658240" behindDoc="0" locked="0" layoutInCell="1" hidden="0" allowOverlap="1">
            <wp:simplePos x="0" y="0"/>
            <wp:positionH relativeFrom="column">
              <wp:posOffset>493781</wp:posOffset>
            </wp:positionH>
            <wp:positionV relativeFrom="paragraph">
              <wp:posOffset>662360</wp:posOffset>
            </wp:positionV>
            <wp:extent cx="4897755" cy="3112770"/>
            <wp:effectExtent l="0" t="0" r="0" b="0"/>
            <wp:wrapTopAndBottom distT="0" dist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4897755" cy="3112770"/>
                    </a:xfrm>
                    <a:prstGeom prst="rect">
                      <a:avLst/>
                    </a:prstGeom>
                    <a:ln/>
                  </pic:spPr>
                </pic:pic>
              </a:graphicData>
            </a:graphic>
          </wp:anchor>
        </w:drawing>
      </w:r>
    </w:p>
    <w:p w:rsidR="00A302DD" w:rsidRPr="00EF3FAC" w:rsidRDefault="00A302DD">
      <w:pPr>
        <w:jc w:val="center"/>
        <w:rPr>
          <w:rFonts w:ascii="Book Antiqua" w:eastAsia="Bookman Old Style" w:hAnsi="Book Antiqua" w:cs="Bookman Old Style"/>
          <w:color w:val="000000"/>
          <w:sz w:val="22"/>
          <w:szCs w:val="22"/>
          <w:highlight w:val="white"/>
        </w:rPr>
      </w:pPr>
    </w:p>
    <w:p w:rsidR="00EF3FAC" w:rsidRDefault="00E21E6F" w:rsidP="00EF3FAC">
      <w:pPr>
        <w:jc w:val="center"/>
        <w:rPr>
          <w:rFonts w:ascii="Book Antiqua" w:hAnsi="Book Antiqua"/>
          <w:color w:val="000000"/>
          <w:sz w:val="22"/>
          <w:szCs w:val="22"/>
        </w:rPr>
      </w:pPr>
      <w:r w:rsidRPr="00EF3FAC">
        <w:rPr>
          <w:rFonts w:ascii="Book Antiqua" w:eastAsia="Arial" w:hAnsi="Book Antiqua" w:cs="Arial"/>
          <w:color w:val="000000"/>
          <w:sz w:val="22"/>
          <w:szCs w:val="22"/>
        </w:rPr>
        <w:t>Elaboración propia, datos: RUNT y ANDEMOS</w:t>
      </w:r>
    </w:p>
    <w:p w:rsidR="00A302DD" w:rsidRPr="00EF3FAC" w:rsidRDefault="00E21E6F" w:rsidP="00EF3FAC">
      <w:pPr>
        <w:jc w:val="center"/>
        <w:rPr>
          <w:rFonts w:ascii="Book Antiqua" w:hAnsi="Book Antiqua"/>
          <w:color w:val="000000"/>
          <w:sz w:val="22"/>
          <w:szCs w:val="22"/>
        </w:rPr>
      </w:pPr>
      <w:r w:rsidRPr="00EF3FAC">
        <w:rPr>
          <w:rFonts w:ascii="Book Antiqua" w:eastAsia="Bookman Old Style" w:hAnsi="Book Antiqua" w:cs="Bookman Old Style"/>
          <w:sz w:val="22"/>
          <w:szCs w:val="22"/>
          <w:highlight w:val="white"/>
        </w:rPr>
        <w:lastRenderedPageBreak/>
        <w:t>Con lo anterior, se demuestra</w:t>
      </w:r>
      <w:r w:rsidRPr="00EF3FAC">
        <w:rPr>
          <w:rFonts w:ascii="Book Antiqua" w:eastAsia="Bookman Old Style" w:hAnsi="Book Antiqua" w:cs="Bookman Old Style"/>
          <w:color w:val="000000"/>
          <w:sz w:val="22"/>
          <w:szCs w:val="22"/>
          <w:highlight w:val="white"/>
        </w:rPr>
        <w:t>, que durante el año 2020 se registró una caída sustancial de 188.665 unidades de vehículos nuevos matriculados en el territorio nacional, lo cual representa una caída del 28% comparado con el año inm</w:t>
      </w:r>
      <w:r w:rsidR="00EF3FAC">
        <w:rPr>
          <w:rFonts w:ascii="Book Antiqua" w:eastAsia="Bookman Old Style" w:hAnsi="Book Antiqua" w:cs="Bookman Old Style"/>
          <w:color w:val="000000"/>
          <w:sz w:val="22"/>
          <w:szCs w:val="22"/>
          <w:highlight w:val="white"/>
        </w:rPr>
        <w:t>ediatamente anterior (2019). La</w:t>
      </w:r>
      <w:r w:rsidRPr="00EF3FAC">
        <w:rPr>
          <w:rFonts w:ascii="Book Antiqua" w:eastAsia="Bookman Old Style" w:hAnsi="Book Antiqua" w:cs="Bookman Old Style"/>
          <w:color w:val="000000"/>
          <w:sz w:val="22"/>
          <w:szCs w:val="22"/>
          <w:highlight w:val="white"/>
        </w:rPr>
        <w:t xml:space="preserve"> diferencia negativa de </w:t>
      </w:r>
      <w:r w:rsidRPr="00EF3FAC">
        <w:rPr>
          <w:rFonts w:ascii="Book Antiqua" w:eastAsia="Bookman Old Style" w:hAnsi="Book Antiqua" w:cs="Bookman Old Style"/>
          <w:color w:val="000000"/>
          <w:sz w:val="22"/>
          <w:szCs w:val="22"/>
          <w:highlight w:val="white"/>
        </w:rPr>
        <w:t>más de 75.000 matrículas es atribuible a la ralentización de la economía global y al comportamiento de consumo y compra de los colombianos.</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Ahora bien, para el año 2021, aunque existe un aumento significativo en el número de vehículos nuevos matriculados </w:t>
      </w:r>
      <w:r w:rsidRPr="00EF3FAC">
        <w:rPr>
          <w:rFonts w:ascii="Book Antiqua" w:eastAsia="Bookman Old Style" w:hAnsi="Book Antiqua" w:cs="Bookman Old Style"/>
          <w:color w:val="000000"/>
          <w:sz w:val="22"/>
          <w:szCs w:val="22"/>
          <w:highlight w:val="white"/>
        </w:rPr>
        <w:t xml:space="preserve">(contemplando las iniciativas nacionales y territoriales de reactivación económica y demás), no se alcanzan los indicadores del año 2018 y 2019, lo cual propone un reto para el sector automotor y </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por supuesto</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 xml:space="preserve"> para quienes están en relación directa como l</w:t>
      </w:r>
      <w:r w:rsidRPr="00EF3FAC">
        <w:rPr>
          <w:rFonts w:ascii="Book Antiqua" w:eastAsia="Bookman Old Style" w:hAnsi="Book Antiqua" w:cs="Bookman Old Style"/>
          <w:color w:val="000000"/>
          <w:sz w:val="22"/>
          <w:szCs w:val="22"/>
          <w:highlight w:val="white"/>
        </w:rPr>
        <w:t>o son los organismos de tránsito y transporte de orden territorial/local.</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A su turno, el panorama Departamental va de la mano completamente con los datos nacionales expuestos</w:t>
      </w:r>
      <w:r w:rsidRPr="00EF3FAC">
        <w:rPr>
          <w:rFonts w:ascii="Book Antiqua" w:eastAsia="Bookman Old Style" w:hAnsi="Book Antiqua" w:cs="Bookman Old Style"/>
          <w:sz w:val="22"/>
          <w:szCs w:val="22"/>
          <w:highlight w:val="white"/>
        </w:rPr>
        <w:t>.</w:t>
      </w:r>
      <w:r w:rsidRPr="00EF3FAC">
        <w:rPr>
          <w:rFonts w:ascii="Book Antiqua" w:eastAsia="Bookman Old Style" w:hAnsi="Book Antiqua" w:cs="Bookman Old Style"/>
          <w:color w:val="000000"/>
          <w:sz w:val="22"/>
          <w:szCs w:val="22"/>
          <w:highlight w:val="white"/>
        </w:rPr>
        <w:t xml:space="preserve"> </w:t>
      </w:r>
      <w:r w:rsidRPr="00EF3FAC">
        <w:rPr>
          <w:rFonts w:ascii="Book Antiqua" w:eastAsia="Bookman Old Style" w:hAnsi="Book Antiqua" w:cs="Bookman Old Style"/>
          <w:sz w:val="22"/>
          <w:szCs w:val="22"/>
          <w:highlight w:val="white"/>
        </w:rPr>
        <w:t>P</w:t>
      </w:r>
      <w:r w:rsidRPr="00EF3FAC">
        <w:rPr>
          <w:rFonts w:ascii="Book Antiqua" w:eastAsia="Bookman Old Style" w:hAnsi="Book Antiqua" w:cs="Bookman Old Style"/>
          <w:color w:val="000000"/>
          <w:sz w:val="22"/>
          <w:szCs w:val="22"/>
          <w:highlight w:val="white"/>
        </w:rPr>
        <w:t xml:space="preserve">ara el caso santandereano también se evidencia una caída sustancial en el año </w:t>
      </w:r>
      <w:r w:rsidRPr="00EF3FAC">
        <w:rPr>
          <w:rFonts w:ascii="Book Antiqua" w:eastAsia="Bookman Old Style" w:hAnsi="Book Antiqua" w:cs="Bookman Old Style"/>
          <w:color w:val="000000"/>
          <w:sz w:val="22"/>
          <w:szCs w:val="22"/>
          <w:highlight w:val="white"/>
        </w:rPr>
        <w:t>2020 y un número de vehículos matriculados nuevos en 2021 que aún no llega a igualar los años anteriores.</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La disminución de casi 3.500 unidades representó una baja del 34% en los vehículos nuevos matriculados en el territorio santandereano, convirtiéndose</w:t>
      </w:r>
      <w:r w:rsidRPr="00EF3FAC">
        <w:rPr>
          <w:rFonts w:ascii="Book Antiqua" w:eastAsia="Bookman Old Style" w:hAnsi="Book Antiqua" w:cs="Bookman Old Style"/>
          <w:color w:val="000000"/>
          <w:sz w:val="22"/>
          <w:szCs w:val="22"/>
          <w:highlight w:val="white"/>
        </w:rPr>
        <w:t xml:space="preserve"> esta en la cifra más baja de los últimos 5 años</w:t>
      </w: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hAnsi="Book Antiqua"/>
          <w:noProof/>
          <w:sz w:val="22"/>
          <w:szCs w:val="22"/>
          <w:lang w:eastAsia="es-CO"/>
        </w:rPr>
        <w:drawing>
          <wp:anchor distT="0" distB="0" distL="114300" distR="114300" simplePos="0" relativeHeight="251659264" behindDoc="0" locked="0" layoutInCell="1" hidden="0" allowOverlap="1">
            <wp:simplePos x="0" y="0"/>
            <wp:positionH relativeFrom="column">
              <wp:posOffset>596265</wp:posOffset>
            </wp:positionH>
            <wp:positionV relativeFrom="paragraph">
              <wp:posOffset>179070</wp:posOffset>
            </wp:positionV>
            <wp:extent cx="4566920" cy="2895600"/>
            <wp:effectExtent l="0" t="0" r="0" b="0"/>
            <wp:wrapTopAndBottom distT="0" dist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566920" cy="2895600"/>
                    </a:xfrm>
                    <a:prstGeom prst="rect">
                      <a:avLst/>
                    </a:prstGeom>
                    <a:ln/>
                  </pic:spPr>
                </pic:pic>
              </a:graphicData>
            </a:graphic>
          </wp:anchor>
        </w:drawing>
      </w:r>
    </w:p>
    <w:p w:rsidR="00A302DD" w:rsidRPr="00EF3FAC" w:rsidRDefault="00E21E6F">
      <w:pPr>
        <w:jc w:val="center"/>
        <w:rPr>
          <w:rFonts w:ascii="Book Antiqua" w:hAnsi="Book Antiqua"/>
          <w:color w:val="000000"/>
          <w:sz w:val="22"/>
          <w:szCs w:val="22"/>
        </w:rPr>
      </w:pPr>
      <w:r w:rsidRPr="00EF3FAC">
        <w:rPr>
          <w:rFonts w:ascii="Book Antiqua" w:eastAsia="Arial" w:hAnsi="Book Antiqua" w:cs="Arial"/>
          <w:color w:val="000000"/>
          <w:sz w:val="22"/>
          <w:szCs w:val="22"/>
        </w:rPr>
        <w:t>Elaboración propia, datos: RUNT y ANDEMOS</w:t>
      </w:r>
    </w:p>
    <w:p w:rsidR="00A302DD" w:rsidRPr="00EF3FAC" w:rsidRDefault="00A302DD">
      <w:pPr>
        <w:jc w:val="center"/>
        <w:rPr>
          <w:rFonts w:ascii="Book Antiqua" w:hAnsi="Book Antiqua"/>
          <w:color w:val="000000"/>
          <w:sz w:val="22"/>
          <w:szCs w:val="22"/>
        </w:rPr>
      </w:pPr>
    </w:p>
    <w:p w:rsidR="00A302DD" w:rsidRPr="00EF3FAC" w:rsidRDefault="00E21E6F" w:rsidP="00EF3FAC">
      <w:pPr>
        <w:rPr>
          <w:rFonts w:ascii="Book Antiqua" w:eastAsia="Bookman Old Style" w:hAnsi="Book Antiqua" w:cs="Bookman Old Style"/>
          <w:color w:val="000000"/>
          <w:sz w:val="22"/>
          <w:szCs w:val="22"/>
        </w:rPr>
      </w:pPr>
      <w:r w:rsidRPr="00EF3FAC">
        <w:rPr>
          <w:rFonts w:ascii="Book Antiqua" w:eastAsia="Bookman Old Style" w:hAnsi="Book Antiqua" w:cs="Bookman Old Style"/>
          <w:color w:val="000000"/>
          <w:sz w:val="22"/>
          <w:szCs w:val="22"/>
          <w:highlight w:val="white"/>
        </w:rPr>
        <w:t xml:space="preserve">Otro claro ejemplo de la grave afectación en los ingresos percibidos por los organismos de tránsito con ocasiones de la venta o cobro de  sus servicios </w:t>
      </w:r>
      <w:r w:rsidRPr="00EF3FAC">
        <w:rPr>
          <w:rFonts w:ascii="Book Antiqua" w:eastAsia="Bookman Old Style" w:hAnsi="Book Antiqua" w:cs="Bookman Old Style"/>
          <w:sz w:val="22"/>
          <w:szCs w:val="22"/>
          <w:highlight w:val="white"/>
        </w:rPr>
        <w:t>se ve</w:t>
      </w:r>
      <w:r w:rsidRPr="00EF3FAC">
        <w:rPr>
          <w:rFonts w:ascii="Book Antiqua" w:eastAsia="Bookman Old Style" w:hAnsi="Book Antiqua" w:cs="Bookman Old Style"/>
          <w:color w:val="000000"/>
          <w:sz w:val="22"/>
          <w:szCs w:val="22"/>
          <w:highlight w:val="white"/>
        </w:rPr>
        <w:t xml:space="preserve"> reflejado en los </w:t>
      </w:r>
      <w:r w:rsidRPr="00EF3FAC">
        <w:rPr>
          <w:rFonts w:ascii="Book Antiqua" w:eastAsia="Bookman Old Style" w:hAnsi="Book Antiqua" w:cs="Bookman Old Style"/>
          <w:sz w:val="22"/>
          <w:szCs w:val="22"/>
          <w:highlight w:val="white"/>
        </w:rPr>
        <w:t>trámites</w:t>
      </w:r>
      <w:r w:rsidRPr="00EF3FAC">
        <w:rPr>
          <w:rFonts w:ascii="Book Antiqua" w:eastAsia="Bookman Old Style" w:hAnsi="Book Antiqua" w:cs="Bookman Old Style"/>
          <w:color w:val="000000"/>
          <w:sz w:val="22"/>
          <w:szCs w:val="22"/>
          <w:highlight w:val="white"/>
        </w:rPr>
        <w:t xml:space="preserve"> de traspaso de la propiedad de vehículos automotores, situación que es posible evidenciar </w:t>
      </w:r>
      <w:r w:rsidRPr="00EF3FAC">
        <w:rPr>
          <w:rFonts w:ascii="Book Antiqua" w:eastAsia="Bookman Old Style" w:hAnsi="Book Antiqua" w:cs="Bookman Old Style"/>
          <w:color w:val="000000"/>
          <w:sz w:val="22"/>
          <w:szCs w:val="22"/>
          <w:highlight w:val="white"/>
        </w:rPr>
        <w:lastRenderedPageBreak/>
        <w:t xml:space="preserve">en </w:t>
      </w:r>
      <w:r w:rsidR="00EF3FAC" w:rsidRPr="00EF3FAC">
        <w:rPr>
          <w:rFonts w:eastAsia="Bookman Old Style"/>
          <w:highlight w:val="white"/>
        </w:rPr>
        <w:t xml:space="preserve">la </w:t>
      </w:r>
      <w:r w:rsidRPr="00EF3FAC">
        <w:rPr>
          <w:rFonts w:eastAsia="Bookman Old Style"/>
          <w:highlight w:val="white"/>
        </w:rPr>
        <w:t>siguiente gráfica:</w:t>
      </w:r>
      <w:r w:rsidRPr="00EF3FAC">
        <w:rPr>
          <w:rFonts w:ascii="Book Antiqua" w:eastAsia="Bookman Old Style" w:hAnsi="Book Antiqua" w:cs="Bookman Old Style"/>
          <w:color w:val="000000"/>
          <w:sz w:val="22"/>
          <w:szCs w:val="22"/>
          <w:highlight w:val="white"/>
        </w:rPr>
        <w:br/>
      </w:r>
      <w:r w:rsidRPr="00EF3FAC">
        <w:rPr>
          <w:rFonts w:ascii="Book Antiqua" w:hAnsi="Book Antiqua"/>
          <w:noProof/>
          <w:sz w:val="22"/>
          <w:szCs w:val="22"/>
          <w:lang w:eastAsia="es-CO"/>
        </w:rPr>
        <w:drawing>
          <wp:anchor distT="0" distB="0" distL="114300" distR="114300" simplePos="0" relativeHeight="251660288" behindDoc="0" locked="0" layoutInCell="1" hidden="0" allowOverlap="1" wp14:anchorId="4E8E1208" wp14:editId="3B569ED7">
            <wp:simplePos x="0" y="0"/>
            <wp:positionH relativeFrom="column">
              <wp:posOffset>552450</wp:posOffset>
            </wp:positionH>
            <wp:positionV relativeFrom="paragraph">
              <wp:posOffset>971550</wp:posOffset>
            </wp:positionV>
            <wp:extent cx="4334828" cy="2613513"/>
            <wp:effectExtent l="0" t="0" r="0" b="0"/>
            <wp:wrapTopAndBottom distT="0" dist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334828" cy="2613513"/>
                    </a:xfrm>
                    <a:prstGeom prst="rect">
                      <a:avLst/>
                    </a:prstGeom>
                    <a:ln/>
                  </pic:spPr>
                </pic:pic>
              </a:graphicData>
            </a:graphic>
          </wp:anchor>
        </w:drawing>
      </w:r>
    </w:p>
    <w:p w:rsidR="00A302DD" w:rsidRPr="00EF3FAC" w:rsidRDefault="00E21E6F">
      <w:pPr>
        <w:jc w:val="center"/>
        <w:rPr>
          <w:rFonts w:ascii="Book Antiqua" w:eastAsia="Arial" w:hAnsi="Book Antiqua" w:cs="Arial"/>
          <w:color w:val="000000"/>
          <w:sz w:val="22"/>
          <w:szCs w:val="22"/>
        </w:rPr>
      </w:pPr>
      <w:r w:rsidRPr="00EF3FAC">
        <w:rPr>
          <w:rFonts w:ascii="Book Antiqua" w:eastAsia="Arial" w:hAnsi="Book Antiqua" w:cs="Arial"/>
          <w:color w:val="000000"/>
          <w:sz w:val="22"/>
          <w:szCs w:val="22"/>
        </w:rPr>
        <w:t>Elaboración propia, datos: RUNT y ANDEMOS</w:t>
      </w:r>
    </w:p>
    <w:p w:rsidR="00A302DD" w:rsidRPr="00EF3FAC" w:rsidRDefault="00A302DD">
      <w:pPr>
        <w:jc w:val="center"/>
        <w:rPr>
          <w:rFonts w:ascii="Book Antiqua" w:eastAsia="Bookman Old Style" w:hAnsi="Book Antiqua" w:cs="Bookman Old Style"/>
          <w:color w:val="000000"/>
          <w:sz w:val="22"/>
          <w:szCs w:val="22"/>
          <w:highlight w:val="white"/>
        </w:rPr>
      </w:pPr>
    </w:p>
    <w:p w:rsidR="00A302DD" w:rsidRPr="00EF3FAC" w:rsidRDefault="00A302DD">
      <w:pPr>
        <w:jc w:val="both"/>
        <w:rPr>
          <w:rFonts w:ascii="Book Antiqua" w:hAnsi="Book Antiqua"/>
          <w:sz w:val="22"/>
          <w:szCs w:val="22"/>
        </w:rPr>
      </w:pPr>
    </w:p>
    <w:p w:rsidR="00EF3FAC" w:rsidRDefault="00EF3FAC">
      <w:pPr>
        <w:spacing w:after="160" w:line="259" w:lineRule="auto"/>
        <w:jc w:val="both"/>
        <w:rPr>
          <w:rFonts w:ascii="Book Antiqua" w:eastAsia="Bookman Old Style" w:hAnsi="Book Antiqua" w:cs="Bookman Old Style"/>
          <w:color w:val="000000"/>
          <w:sz w:val="22"/>
          <w:szCs w:val="22"/>
          <w:highlight w:val="white"/>
        </w:rPr>
      </w:pPr>
    </w:p>
    <w:p w:rsidR="00A302DD" w:rsidRPr="00EF3FAC" w:rsidRDefault="00E21E6F">
      <w:pPr>
        <w:spacing w:after="160" w:line="259" w:lineRule="auto"/>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Como vemos, el año 2020, rompió con la posible tendencia de ascenso </w:t>
      </w:r>
      <w:r w:rsidRPr="00EF3FAC">
        <w:rPr>
          <w:rFonts w:ascii="Book Antiqua" w:eastAsia="Bookman Old Style" w:hAnsi="Book Antiqua" w:cs="Bookman Old Style"/>
          <w:color w:val="000000"/>
          <w:sz w:val="22"/>
          <w:szCs w:val="22"/>
          <w:highlight w:val="white"/>
        </w:rPr>
        <w:t xml:space="preserve">del número de traspasos de vehículos a nivel nacional. La disminución de 169.662 en el número de traspasos representó una caída del 19% en lo que fue un año bastante complejo para los ingresos de los organismos de tránsito a causa de la pandemia del </w:t>
      </w:r>
      <w:r w:rsidRPr="00EF3FAC">
        <w:rPr>
          <w:rFonts w:ascii="Book Antiqua" w:eastAsia="Bookman Old Style" w:hAnsi="Book Antiqua" w:cs="Bookman Old Style"/>
          <w:sz w:val="22"/>
          <w:szCs w:val="22"/>
          <w:highlight w:val="white"/>
        </w:rPr>
        <w:t>COVID</w:t>
      </w:r>
      <w:r w:rsidRPr="00EF3FAC">
        <w:rPr>
          <w:rFonts w:ascii="Book Antiqua" w:eastAsia="Bookman Old Style" w:hAnsi="Book Antiqua" w:cs="Bookman Old Style"/>
          <w:color w:val="000000"/>
          <w:sz w:val="22"/>
          <w:szCs w:val="22"/>
          <w:highlight w:val="white"/>
        </w:rPr>
        <w:t>-</w:t>
      </w:r>
      <w:r w:rsidRPr="00EF3FAC">
        <w:rPr>
          <w:rFonts w:ascii="Book Antiqua" w:eastAsia="Bookman Old Style" w:hAnsi="Book Antiqua" w:cs="Bookman Old Style"/>
          <w:color w:val="000000"/>
          <w:sz w:val="22"/>
          <w:szCs w:val="22"/>
          <w:highlight w:val="white"/>
        </w:rPr>
        <w:t>19.</w:t>
      </w: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Ahora bien, en el año 2021 se presenta un repunte que justifica el comportamiento del sector automotor colombiano, a raíz de la caída en el 2020 y del crecimiento exponencial en el valor/costos de los vehículos nuevos</w:t>
      </w:r>
      <w:r w:rsidRPr="00EF3FAC">
        <w:rPr>
          <w:rFonts w:ascii="Book Antiqua" w:eastAsia="Bookman Old Style" w:hAnsi="Book Antiqua" w:cs="Bookman Old Style"/>
          <w:sz w:val="22"/>
          <w:szCs w:val="22"/>
          <w:highlight w:val="white"/>
        </w:rPr>
        <w:t>. D</w:t>
      </w:r>
      <w:r w:rsidRPr="00EF3FAC">
        <w:rPr>
          <w:rFonts w:ascii="Book Antiqua" w:eastAsia="Bookman Old Style" w:hAnsi="Book Antiqua" w:cs="Bookman Old Style"/>
          <w:color w:val="000000"/>
          <w:sz w:val="22"/>
          <w:szCs w:val="22"/>
          <w:highlight w:val="white"/>
        </w:rPr>
        <w:t>e esta manera, el mayor movimiento del sector automotor está justificado en la compra y venta de vehículos usados.</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 xml:space="preserve">La </w:t>
      </w:r>
      <w:r w:rsidR="00EF3FAC" w:rsidRPr="00EF3FAC">
        <w:rPr>
          <w:rFonts w:ascii="Book Antiqua" w:eastAsia="Bookman Old Style" w:hAnsi="Book Antiqua" w:cs="Bookman Old Style"/>
          <w:sz w:val="22"/>
          <w:szCs w:val="22"/>
          <w:highlight w:val="white"/>
        </w:rPr>
        <w:t>misma situación</w:t>
      </w:r>
      <w:r w:rsidRPr="00EF3FAC">
        <w:rPr>
          <w:rFonts w:ascii="Book Antiqua" w:eastAsia="Bookman Old Style" w:hAnsi="Book Antiqua" w:cs="Bookman Old Style"/>
          <w:color w:val="000000"/>
          <w:sz w:val="22"/>
          <w:szCs w:val="22"/>
          <w:highlight w:val="white"/>
        </w:rPr>
        <w:t xml:space="preserve"> se vislumbra en el ámbito Departamental, d</w:t>
      </w:r>
      <w:r w:rsidRPr="00EF3FAC">
        <w:rPr>
          <w:rFonts w:ascii="Book Antiqua" w:eastAsia="Bookman Old Style" w:hAnsi="Book Antiqua" w:cs="Bookman Old Style"/>
          <w:sz w:val="22"/>
          <w:szCs w:val="22"/>
          <w:highlight w:val="white"/>
        </w:rPr>
        <w:t>onde hubo</w:t>
      </w:r>
      <w:r w:rsidRPr="00EF3FAC">
        <w:rPr>
          <w:rFonts w:ascii="Book Antiqua" w:eastAsia="Bookman Old Style" w:hAnsi="Book Antiqua" w:cs="Bookman Old Style"/>
          <w:color w:val="000000"/>
          <w:sz w:val="22"/>
          <w:szCs w:val="22"/>
          <w:highlight w:val="white"/>
        </w:rPr>
        <w:t xml:space="preserve"> una disminución de 8.603 </w:t>
      </w:r>
      <w:r w:rsidRPr="00EF3FAC">
        <w:rPr>
          <w:rFonts w:ascii="Book Antiqua" w:eastAsia="Bookman Old Style" w:hAnsi="Book Antiqua" w:cs="Bookman Old Style"/>
          <w:sz w:val="22"/>
          <w:szCs w:val="22"/>
          <w:highlight w:val="white"/>
        </w:rPr>
        <w:t>trámites</w:t>
      </w:r>
      <w:r w:rsidRPr="00EF3FAC">
        <w:rPr>
          <w:rFonts w:ascii="Book Antiqua" w:eastAsia="Bookman Old Style" w:hAnsi="Book Antiqua" w:cs="Bookman Old Style"/>
          <w:color w:val="000000"/>
          <w:sz w:val="22"/>
          <w:szCs w:val="22"/>
          <w:highlight w:val="white"/>
        </w:rPr>
        <w:t xml:space="preserve"> de traspaso en </w:t>
      </w:r>
      <w:r w:rsidRPr="00EF3FAC">
        <w:rPr>
          <w:rFonts w:ascii="Book Antiqua" w:eastAsia="Bookman Old Style" w:hAnsi="Book Antiqua" w:cs="Bookman Old Style"/>
          <w:sz w:val="22"/>
          <w:szCs w:val="22"/>
          <w:highlight w:val="white"/>
        </w:rPr>
        <w:t>relación</w:t>
      </w:r>
      <w:r w:rsidRPr="00EF3FAC">
        <w:rPr>
          <w:rFonts w:ascii="Book Antiqua" w:eastAsia="Bookman Old Style" w:hAnsi="Book Antiqua" w:cs="Bookman Old Style"/>
          <w:color w:val="000000"/>
          <w:sz w:val="22"/>
          <w:szCs w:val="22"/>
          <w:highlight w:val="white"/>
        </w:rPr>
        <w:t xml:space="preserve"> al año 201</w:t>
      </w:r>
      <w:r w:rsidRPr="00EF3FAC">
        <w:rPr>
          <w:rFonts w:ascii="Book Antiqua" w:eastAsia="Bookman Old Style" w:hAnsi="Book Antiqua" w:cs="Bookman Old Style"/>
          <w:color w:val="000000"/>
          <w:sz w:val="22"/>
          <w:szCs w:val="22"/>
          <w:highlight w:val="white"/>
        </w:rPr>
        <w:t xml:space="preserve">9, </w:t>
      </w:r>
      <w:r w:rsidRPr="00EF3FAC">
        <w:rPr>
          <w:rFonts w:ascii="Book Antiqua" w:eastAsia="Bookman Old Style" w:hAnsi="Book Antiqua" w:cs="Bookman Old Style"/>
          <w:sz w:val="22"/>
          <w:szCs w:val="22"/>
          <w:highlight w:val="white"/>
        </w:rPr>
        <w:t>lo cual</w:t>
      </w:r>
      <w:r w:rsidRPr="00EF3FAC">
        <w:rPr>
          <w:rFonts w:ascii="Book Antiqua" w:eastAsia="Bookman Old Style" w:hAnsi="Book Antiqua" w:cs="Bookman Old Style"/>
          <w:color w:val="000000"/>
          <w:sz w:val="22"/>
          <w:szCs w:val="22"/>
          <w:highlight w:val="white"/>
        </w:rPr>
        <w:t xml:space="preserve"> representa una caída del 19% en el número de traspasos de vehículos para el año 2020, así:</w:t>
      </w:r>
    </w:p>
    <w:p w:rsidR="00A302DD" w:rsidRPr="00EF3FAC" w:rsidRDefault="00A302DD">
      <w:pPr>
        <w:spacing w:after="160" w:line="259" w:lineRule="auto"/>
        <w:jc w:val="both"/>
        <w:rPr>
          <w:rFonts w:ascii="Book Antiqua" w:eastAsia="Bookman Old Style" w:hAnsi="Book Antiqua" w:cs="Bookman Old Style"/>
          <w:color w:val="000000"/>
          <w:sz w:val="22"/>
          <w:szCs w:val="22"/>
          <w:highlight w:val="white"/>
        </w:rPr>
      </w:pPr>
    </w:p>
    <w:p w:rsidR="00A302DD" w:rsidRPr="00EF3FAC" w:rsidRDefault="00E21E6F">
      <w:pPr>
        <w:rPr>
          <w:rFonts w:ascii="Book Antiqua" w:hAnsi="Book Antiqua"/>
          <w:sz w:val="22"/>
          <w:szCs w:val="22"/>
        </w:rPr>
      </w:pPr>
      <w:r w:rsidRPr="00EF3FAC">
        <w:rPr>
          <w:rFonts w:ascii="Book Antiqua" w:hAnsi="Book Antiqua"/>
          <w:noProof/>
          <w:sz w:val="22"/>
          <w:szCs w:val="22"/>
          <w:lang w:eastAsia="es-CO"/>
        </w:rPr>
        <w:lastRenderedPageBreak/>
        <w:drawing>
          <wp:anchor distT="0" distB="0" distL="114300" distR="114300" simplePos="0" relativeHeight="251661312" behindDoc="0" locked="0" layoutInCell="1" hidden="0" allowOverlap="1">
            <wp:simplePos x="0" y="0"/>
            <wp:positionH relativeFrom="column">
              <wp:posOffset>215624</wp:posOffset>
            </wp:positionH>
            <wp:positionV relativeFrom="paragraph">
              <wp:posOffset>5356</wp:posOffset>
            </wp:positionV>
            <wp:extent cx="4886325" cy="2926080"/>
            <wp:effectExtent l="0" t="0" r="0" b="0"/>
            <wp:wrapTopAndBottom distT="0" dist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886325" cy="2926080"/>
                    </a:xfrm>
                    <a:prstGeom prst="rect">
                      <a:avLst/>
                    </a:prstGeom>
                    <a:ln/>
                  </pic:spPr>
                </pic:pic>
              </a:graphicData>
            </a:graphic>
          </wp:anchor>
        </w:drawing>
      </w:r>
    </w:p>
    <w:p w:rsidR="00A302DD" w:rsidRPr="00EF3FAC" w:rsidRDefault="00E21E6F">
      <w:pPr>
        <w:jc w:val="center"/>
        <w:rPr>
          <w:rFonts w:ascii="Book Antiqua" w:eastAsia="Bookman Old Style" w:hAnsi="Book Antiqua" w:cs="Bookman Old Style"/>
          <w:color w:val="000000"/>
          <w:sz w:val="22"/>
          <w:szCs w:val="22"/>
          <w:highlight w:val="white"/>
        </w:rPr>
      </w:pPr>
      <w:r w:rsidRPr="00EF3FAC">
        <w:rPr>
          <w:rFonts w:ascii="Book Antiqua" w:eastAsia="Arial" w:hAnsi="Book Antiqua" w:cs="Arial"/>
          <w:color w:val="000000"/>
          <w:sz w:val="22"/>
          <w:szCs w:val="22"/>
        </w:rPr>
        <w:t>Elaboración propia, datos: RUNT y ANDEMOS</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A lo anterior se suma la baja comisión de infracciones al tránsito cometidas durante los meses de marzo, abr</w:t>
      </w:r>
      <w:r w:rsidRPr="00EF3FAC">
        <w:rPr>
          <w:rFonts w:ascii="Book Antiqua" w:eastAsia="Bookman Old Style" w:hAnsi="Book Antiqua" w:cs="Bookman Old Style"/>
          <w:color w:val="000000"/>
          <w:sz w:val="22"/>
          <w:szCs w:val="22"/>
          <w:highlight w:val="white"/>
        </w:rPr>
        <w:t>il, mayo y junio de 2020, producto de la pandemia del covid-19.</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Siendo así, tanto la disminución en las ventas de servicios, como la disminución en el recaudo de multas y sanciones por infracciones al tránsito golpearon las finanzas de los organismos de t</w:t>
      </w:r>
      <w:r w:rsidRPr="00EF3FAC">
        <w:rPr>
          <w:rFonts w:ascii="Book Antiqua" w:eastAsia="Bookman Old Style" w:hAnsi="Book Antiqua" w:cs="Bookman Old Style"/>
          <w:color w:val="000000"/>
          <w:sz w:val="22"/>
          <w:szCs w:val="22"/>
          <w:highlight w:val="white"/>
        </w:rPr>
        <w:t>ránsito, lo que impactó claramente sus capacidades de pago de gastos de funcionamiento, entre otros, los inherentes a la nómina de los grupos de control vial o cuerpos de agentes de tránsito.</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Lo anterior no solo pone en riesgo la estabilidad financiera de</w:t>
      </w:r>
      <w:r w:rsidRPr="00EF3FAC">
        <w:rPr>
          <w:rFonts w:ascii="Book Antiqua" w:eastAsia="Bookman Old Style" w:hAnsi="Book Antiqua" w:cs="Bookman Old Style"/>
          <w:color w:val="000000"/>
          <w:sz w:val="22"/>
          <w:szCs w:val="22"/>
          <w:highlight w:val="white"/>
        </w:rPr>
        <w:t xml:space="preserve"> los organismos de tránsito, sino la capacidad misma de los organismos para seguir realizando actividades de educación vial, cultura ciudadana, regulación de la circulación vehicular y peatonal, vigilancia, control e intervención en el cumplimiento de las </w:t>
      </w:r>
      <w:r w:rsidRPr="00EF3FAC">
        <w:rPr>
          <w:rFonts w:ascii="Book Antiqua" w:eastAsia="Bookman Old Style" w:hAnsi="Book Antiqua" w:cs="Bookman Old Style"/>
          <w:color w:val="000000"/>
          <w:sz w:val="22"/>
          <w:szCs w:val="22"/>
          <w:highlight w:val="white"/>
        </w:rPr>
        <w:t>normas de tránsito y transporte; actividades que son su fin principal, incluso por sobre las relacionadas con la actualización del registro automotor.</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Poner en riesgo la realización de estas actividades significa perder capacidad de control de situaciones</w:t>
      </w:r>
      <w:r w:rsidRPr="00EF3FAC">
        <w:rPr>
          <w:rFonts w:ascii="Book Antiqua" w:eastAsia="Bookman Old Style" w:hAnsi="Book Antiqua" w:cs="Bookman Old Style"/>
          <w:color w:val="000000"/>
          <w:sz w:val="22"/>
          <w:szCs w:val="22"/>
          <w:highlight w:val="white"/>
        </w:rPr>
        <w:t xml:space="preserve"> que pueden afectar la vida de las personas, animales y demás seres vivos, por la dificultad de captar las infracciones al tránsito que menoscaban la seguridad vial. Sea el caso mencionar la imposibilidad de imponer comparendos por exceso de velocidad, rea</w:t>
      </w:r>
      <w:r w:rsidRPr="00EF3FAC">
        <w:rPr>
          <w:rFonts w:ascii="Book Antiqua" w:eastAsia="Bookman Old Style" w:hAnsi="Book Antiqua" w:cs="Bookman Old Style"/>
          <w:color w:val="000000"/>
          <w:sz w:val="22"/>
          <w:szCs w:val="22"/>
          <w:highlight w:val="white"/>
        </w:rPr>
        <w:t xml:space="preserve">lizar maniobras peligrosas, conducir bajo los efectos del alcohol, estacionar en vías de alto flujo vehicular, conducir sin estar habilitado para ello, hacerlo sin SOAT o revisión técnico </w:t>
      </w:r>
      <w:r w:rsidRPr="00EF3FAC">
        <w:rPr>
          <w:rFonts w:ascii="Book Antiqua" w:eastAsia="Bookman Old Style" w:hAnsi="Book Antiqua" w:cs="Bookman Old Style"/>
          <w:color w:val="000000"/>
          <w:sz w:val="22"/>
          <w:szCs w:val="22"/>
          <w:highlight w:val="white"/>
        </w:rPr>
        <w:lastRenderedPageBreak/>
        <w:t>mecánica vigente, entre otras situaciones que ponen en riesgo la seg</w:t>
      </w:r>
      <w:r w:rsidRPr="00EF3FAC">
        <w:rPr>
          <w:rFonts w:ascii="Book Antiqua" w:eastAsia="Bookman Old Style" w:hAnsi="Book Antiqua" w:cs="Bookman Old Style"/>
          <w:color w:val="000000"/>
          <w:sz w:val="22"/>
          <w:szCs w:val="22"/>
          <w:highlight w:val="white"/>
        </w:rPr>
        <w:t>uridad vial y la vida de peatones, conductores, animales y demás seres vivos actores de la movilidad.</w:t>
      </w:r>
    </w:p>
    <w:p w:rsidR="00A302DD" w:rsidRPr="00EF3FAC" w:rsidRDefault="00A302DD">
      <w:pPr>
        <w:jc w:val="both"/>
        <w:rPr>
          <w:rFonts w:ascii="Book Antiqua" w:eastAsia="Bookman Old Style" w:hAnsi="Book Antiqua" w:cs="Bookman Old Style"/>
          <w:sz w:val="22"/>
          <w:szCs w:val="22"/>
          <w:highlight w:val="white"/>
        </w:rPr>
      </w:pPr>
    </w:p>
    <w:p w:rsidR="00A302DD" w:rsidRPr="00EF3FAC" w:rsidRDefault="00E21E6F">
      <w:pPr>
        <w:spacing w:line="276" w:lineRule="auto"/>
        <w:jc w:val="both"/>
        <w:rPr>
          <w:rFonts w:ascii="Book Antiqua" w:eastAsia="Bookman Old Style" w:hAnsi="Book Antiqua" w:cs="Bookman Old Style"/>
          <w:sz w:val="22"/>
          <w:szCs w:val="22"/>
        </w:rPr>
      </w:pPr>
      <w:r w:rsidRPr="00EF3FAC">
        <w:rPr>
          <w:rFonts w:ascii="Book Antiqua" w:eastAsia="Bookman Old Style" w:hAnsi="Book Antiqua" w:cs="Bookman Old Style"/>
          <w:sz w:val="22"/>
          <w:szCs w:val="22"/>
        </w:rPr>
        <w:t>Al respecto de lo anterior, de acuerdo al observatorio de la Agencia Nacional de Seguridad Vial (ANS), las muertes por accidentes de tránsito incrementar</w:t>
      </w:r>
      <w:r w:rsidRPr="00EF3FAC">
        <w:rPr>
          <w:rFonts w:ascii="Book Antiqua" w:eastAsia="Bookman Old Style" w:hAnsi="Book Antiqua" w:cs="Bookman Old Style"/>
          <w:sz w:val="22"/>
          <w:szCs w:val="22"/>
        </w:rPr>
        <w:t xml:space="preserve">on considerablemente durante el año 2021, siendo este el año con mayor cantidad de fallecimientos registrados por siniestros viales: </w:t>
      </w:r>
    </w:p>
    <w:p w:rsidR="00A302DD" w:rsidRPr="00EF3FAC" w:rsidRDefault="00A302DD">
      <w:pPr>
        <w:spacing w:line="276" w:lineRule="auto"/>
        <w:jc w:val="both"/>
        <w:rPr>
          <w:rFonts w:ascii="Book Antiqua" w:eastAsia="Arial" w:hAnsi="Book Antiqua" w:cs="Arial"/>
          <w:b/>
          <w:sz w:val="22"/>
          <w:szCs w:val="22"/>
        </w:rPr>
      </w:pPr>
    </w:p>
    <w:p w:rsidR="00A302DD" w:rsidRPr="00EF3FAC" w:rsidRDefault="00E21E6F">
      <w:pPr>
        <w:spacing w:line="276" w:lineRule="auto"/>
        <w:jc w:val="both"/>
        <w:rPr>
          <w:rFonts w:ascii="Book Antiqua" w:eastAsia="Arial" w:hAnsi="Book Antiqua" w:cs="Arial"/>
          <w:b/>
          <w:sz w:val="22"/>
          <w:szCs w:val="22"/>
        </w:rPr>
      </w:pPr>
      <w:r w:rsidRPr="00EF3FAC">
        <w:rPr>
          <w:rFonts w:ascii="Book Antiqua" w:eastAsia="Arial" w:hAnsi="Book Antiqua" w:cs="Arial"/>
          <w:b/>
          <w:noProof/>
          <w:sz w:val="22"/>
          <w:szCs w:val="22"/>
          <w:lang w:eastAsia="es-CO"/>
        </w:rPr>
        <w:drawing>
          <wp:inline distT="114300" distB="114300" distL="114300" distR="114300">
            <wp:extent cx="5612130" cy="12446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1244600"/>
                    </a:xfrm>
                    <a:prstGeom prst="rect">
                      <a:avLst/>
                    </a:prstGeom>
                    <a:ln/>
                  </pic:spPr>
                </pic:pic>
              </a:graphicData>
            </a:graphic>
          </wp:inline>
        </w:drawing>
      </w:r>
    </w:p>
    <w:p w:rsidR="00A302DD" w:rsidRPr="00EF3FAC" w:rsidRDefault="00E21E6F">
      <w:pPr>
        <w:spacing w:line="276" w:lineRule="auto"/>
        <w:jc w:val="center"/>
        <w:rPr>
          <w:rFonts w:ascii="Book Antiqua" w:eastAsia="Arial" w:hAnsi="Book Antiqua" w:cs="Arial"/>
          <w:b/>
          <w:sz w:val="22"/>
          <w:szCs w:val="22"/>
        </w:rPr>
      </w:pPr>
      <w:r w:rsidRPr="00EF3FAC">
        <w:rPr>
          <w:rFonts w:ascii="Book Antiqua" w:eastAsia="Arial" w:hAnsi="Book Antiqua" w:cs="Arial"/>
          <w:b/>
          <w:sz w:val="22"/>
          <w:szCs w:val="22"/>
        </w:rPr>
        <w:t>Tomado del Observatorio de la ANS</w:t>
      </w:r>
      <w:r w:rsidRPr="00EF3FAC">
        <w:rPr>
          <w:rFonts w:ascii="Book Antiqua" w:eastAsia="Arial" w:hAnsi="Book Antiqua" w:cs="Arial"/>
          <w:b/>
          <w:sz w:val="22"/>
          <w:szCs w:val="22"/>
        </w:rPr>
        <w:t xml:space="preserve">. </w:t>
      </w:r>
    </w:p>
    <w:p w:rsidR="00A302DD" w:rsidRPr="00EF3FAC" w:rsidRDefault="00A302DD">
      <w:pPr>
        <w:spacing w:line="276" w:lineRule="auto"/>
        <w:jc w:val="both"/>
        <w:rPr>
          <w:rFonts w:ascii="Book Antiqua" w:eastAsia="Arial" w:hAnsi="Book Antiqua" w:cs="Arial"/>
          <w:b/>
          <w:sz w:val="22"/>
          <w:szCs w:val="22"/>
        </w:rPr>
      </w:pPr>
    </w:p>
    <w:p w:rsidR="00A302DD" w:rsidRPr="00EF3FAC" w:rsidRDefault="00E21E6F">
      <w:pPr>
        <w:spacing w:line="276" w:lineRule="auto"/>
        <w:jc w:val="both"/>
        <w:rPr>
          <w:rFonts w:ascii="Book Antiqua" w:eastAsia="Bookman Old Style" w:hAnsi="Book Antiqua" w:cs="Bookman Old Style"/>
          <w:sz w:val="22"/>
          <w:szCs w:val="22"/>
        </w:rPr>
      </w:pPr>
      <w:r w:rsidRPr="00EF3FAC">
        <w:rPr>
          <w:rFonts w:ascii="Book Antiqua" w:eastAsia="Bookman Old Style" w:hAnsi="Book Antiqua" w:cs="Bookman Old Style"/>
          <w:sz w:val="22"/>
          <w:szCs w:val="22"/>
        </w:rPr>
        <w:t xml:space="preserve">Este trágico aumento compele a promocionar, incentivar y fortalecer los programas de educación </w:t>
      </w:r>
      <w:r w:rsidR="00EF3FAC" w:rsidRPr="00EF3FAC">
        <w:rPr>
          <w:rFonts w:ascii="Book Antiqua" w:eastAsia="Bookman Old Style" w:hAnsi="Book Antiqua" w:cs="Bookman Old Style"/>
          <w:sz w:val="22"/>
          <w:szCs w:val="22"/>
        </w:rPr>
        <w:t>vial, desde</w:t>
      </w:r>
      <w:r w:rsidRPr="00EF3FAC">
        <w:rPr>
          <w:rFonts w:ascii="Book Antiqua" w:eastAsia="Bookman Old Style" w:hAnsi="Book Antiqua" w:cs="Bookman Old Style"/>
          <w:sz w:val="22"/>
          <w:szCs w:val="22"/>
        </w:rPr>
        <w:t xml:space="preserve"> las direcciones de tránsito de la nación, para prevenir estos fatales accidentes. </w:t>
      </w:r>
    </w:p>
    <w:p w:rsidR="00A302DD" w:rsidRPr="00EF3FAC" w:rsidRDefault="00A302DD">
      <w:pPr>
        <w:spacing w:line="276" w:lineRule="auto"/>
        <w:jc w:val="both"/>
        <w:rPr>
          <w:rFonts w:ascii="Book Antiqua" w:eastAsia="Bookman Old Style" w:hAnsi="Book Antiqua" w:cs="Bookman Old Style"/>
          <w:sz w:val="22"/>
          <w:szCs w:val="22"/>
        </w:rPr>
      </w:pPr>
    </w:p>
    <w:p w:rsidR="00A302DD" w:rsidRPr="00EF3FAC" w:rsidRDefault="00E21E6F">
      <w:pPr>
        <w:spacing w:line="276" w:lineRule="auto"/>
        <w:jc w:val="both"/>
        <w:rPr>
          <w:rFonts w:ascii="Book Antiqua" w:eastAsia="Bookman Old Style" w:hAnsi="Book Antiqua" w:cs="Bookman Old Style"/>
          <w:sz w:val="22"/>
          <w:szCs w:val="22"/>
        </w:rPr>
      </w:pPr>
      <w:r w:rsidRPr="00EF3FAC">
        <w:rPr>
          <w:rFonts w:ascii="Book Antiqua" w:eastAsia="Bookman Old Style" w:hAnsi="Book Antiqua" w:cs="Bookman Old Style"/>
          <w:sz w:val="22"/>
          <w:szCs w:val="22"/>
        </w:rPr>
        <w:t>Desafortunadamente, en lo que va del 2022 la tendencia sigue sub</w:t>
      </w:r>
      <w:r w:rsidRPr="00EF3FAC">
        <w:rPr>
          <w:rFonts w:ascii="Book Antiqua" w:eastAsia="Bookman Old Style" w:hAnsi="Book Antiqua" w:cs="Bookman Old Style"/>
          <w:sz w:val="22"/>
          <w:szCs w:val="22"/>
        </w:rPr>
        <w:t xml:space="preserve">iendo, como se puede observar en las estadísticas del observatorio de la ANS: </w:t>
      </w:r>
    </w:p>
    <w:p w:rsidR="00A302DD" w:rsidRPr="00EF3FAC" w:rsidRDefault="00E21E6F">
      <w:pPr>
        <w:spacing w:line="276" w:lineRule="auto"/>
        <w:jc w:val="both"/>
        <w:rPr>
          <w:rFonts w:ascii="Book Antiqua" w:eastAsia="Arial" w:hAnsi="Book Antiqua" w:cs="Arial"/>
          <w:b/>
          <w:sz w:val="22"/>
          <w:szCs w:val="22"/>
        </w:rPr>
      </w:pPr>
      <w:r w:rsidRPr="00EF3FAC">
        <w:rPr>
          <w:rFonts w:ascii="Book Antiqua" w:hAnsi="Book Antiqua"/>
          <w:noProof/>
          <w:sz w:val="22"/>
          <w:szCs w:val="22"/>
          <w:lang w:eastAsia="es-CO"/>
        </w:rPr>
        <w:drawing>
          <wp:anchor distT="114300" distB="114300" distL="114300" distR="114300" simplePos="0" relativeHeight="251662336" behindDoc="0" locked="0" layoutInCell="1" hidden="0" allowOverlap="1">
            <wp:simplePos x="0" y="0"/>
            <wp:positionH relativeFrom="column">
              <wp:posOffset>1028700</wp:posOffset>
            </wp:positionH>
            <wp:positionV relativeFrom="paragraph">
              <wp:posOffset>198774</wp:posOffset>
            </wp:positionV>
            <wp:extent cx="2986088" cy="1790254"/>
            <wp:effectExtent l="0" t="0" r="0" b="0"/>
            <wp:wrapSquare wrapText="bothSides" distT="114300" distB="11430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986088" cy="1790254"/>
                    </a:xfrm>
                    <a:prstGeom prst="rect">
                      <a:avLst/>
                    </a:prstGeom>
                    <a:ln/>
                  </pic:spPr>
                </pic:pic>
              </a:graphicData>
            </a:graphic>
          </wp:anchor>
        </w:drawing>
      </w:r>
    </w:p>
    <w:p w:rsidR="00A302DD" w:rsidRPr="00EF3FAC" w:rsidRDefault="00A302DD">
      <w:pPr>
        <w:spacing w:line="276" w:lineRule="auto"/>
        <w:jc w:val="both"/>
        <w:rPr>
          <w:rFonts w:ascii="Book Antiqua" w:eastAsia="Arial" w:hAnsi="Book Antiqua" w:cs="Arial"/>
          <w:b/>
          <w:sz w:val="22"/>
          <w:szCs w:val="22"/>
        </w:rPr>
      </w:pPr>
    </w:p>
    <w:p w:rsidR="00A302DD" w:rsidRPr="00EF3FAC" w:rsidRDefault="00A302DD">
      <w:pPr>
        <w:spacing w:line="276" w:lineRule="auto"/>
        <w:jc w:val="both"/>
        <w:rPr>
          <w:rFonts w:ascii="Book Antiqua" w:eastAsia="Arial" w:hAnsi="Book Antiqua" w:cs="Arial"/>
          <w:b/>
          <w:sz w:val="22"/>
          <w:szCs w:val="22"/>
        </w:rPr>
      </w:pPr>
    </w:p>
    <w:p w:rsidR="00A302DD" w:rsidRPr="00EF3FAC" w:rsidRDefault="00A302DD">
      <w:pPr>
        <w:spacing w:line="276" w:lineRule="auto"/>
        <w:jc w:val="both"/>
        <w:rPr>
          <w:rFonts w:ascii="Book Antiqua" w:eastAsia="Arial" w:hAnsi="Book Antiqua" w:cs="Arial"/>
          <w:b/>
          <w:sz w:val="22"/>
          <w:szCs w:val="22"/>
        </w:rPr>
      </w:pPr>
    </w:p>
    <w:p w:rsidR="00A302DD" w:rsidRPr="00EF3FAC" w:rsidRDefault="00A302DD">
      <w:pPr>
        <w:jc w:val="both"/>
        <w:rPr>
          <w:rFonts w:ascii="Book Antiqua" w:eastAsia="Bookman Old Style" w:hAnsi="Book Antiqua" w:cs="Bookman Old Style"/>
          <w:sz w:val="22"/>
          <w:szCs w:val="22"/>
          <w:highlight w:val="white"/>
        </w:rPr>
      </w:pP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A302DD">
      <w:pPr>
        <w:jc w:val="both"/>
        <w:rPr>
          <w:rFonts w:ascii="Book Antiqua" w:eastAsia="Bookman Old Style" w:hAnsi="Book Antiqua" w:cs="Bookman Old Style"/>
          <w:sz w:val="22"/>
          <w:szCs w:val="22"/>
          <w:highlight w:val="white"/>
        </w:rPr>
      </w:pPr>
    </w:p>
    <w:p w:rsidR="00A302DD" w:rsidRPr="00EF3FAC" w:rsidRDefault="00A302DD">
      <w:pPr>
        <w:jc w:val="both"/>
        <w:rPr>
          <w:rFonts w:ascii="Book Antiqua" w:eastAsia="Bookman Old Style" w:hAnsi="Book Antiqua" w:cs="Bookman Old Style"/>
          <w:sz w:val="22"/>
          <w:szCs w:val="22"/>
          <w:highlight w:val="white"/>
        </w:rPr>
      </w:pPr>
    </w:p>
    <w:p w:rsidR="00A302DD" w:rsidRPr="00EF3FAC" w:rsidRDefault="00A302DD">
      <w:pPr>
        <w:jc w:val="both"/>
        <w:rPr>
          <w:rFonts w:ascii="Book Antiqua" w:eastAsia="Bookman Old Style" w:hAnsi="Book Antiqua" w:cs="Bookman Old Style"/>
          <w:sz w:val="22"/>
          <w:szCs w:val="22"/>
          <w:highlight w:val="white"/>
        </w:rPr>
      </w:pPr>
    </w:p>
    <w:p w:rsidR="00A302DD" w:rsidRPr="00EF3FAC" w:rsidRDefault="00A302DD">
      <w:pPr>
        <w:jc w:val="both"/>
        <w:rPr>
          <w:rFonts w:ascii="Book Antiqua" w:eastAsia="Bookman Old Style" w:hAnsi="Book Antiqua" w:cs="Bookman Old Style"/>
          <w:sz w:val="22"/>
          <w:szCs w:val="22"/>
          <w:highlight w:val="white"/>
        </w:rPr>
      </w:pPr>
    </w:p>
    <w:p w:rsidR="00A302DD" w:rsidRPr="00EF3FAC" w:rsidRDefault="00A302DD">
      <w:pPr>
        <w:jc w:val="both"/>
        <w:rPr>
          <w:rFonts w:ascii="Book Antiqua" w:eastAsia="Bookman Old Style" w:hAnsi="Book Antiqua" w:cs="Bookman Old Style"/>
          <w:sz w:val="22"/>
          <w:szCs w:val="22"/>
          <w:highlight w:val="white"/>
        </w:rPr>
      </w:pPr>
    </w:p>
    <w:p w:rsidR="00A302DD" w:rsidRPr="00EF3FAC" w:rsidRDefault="00A302DD">
      <w:pPr>
        <w:jc w:val="both"/>
        <w:rPr>
          <w:rFonts w:ascii="Book Antiqua" w:eastAsia="Bookman Old Style" w:hAnsi="Book Antiqua" w:cs="Bookman Old Style"/>
          <w:sz w:val="22"/>
          <w:szCs w:val="22"/>
          <w:highlight w:val="white"/>
        </w:rPr>
      </w:pPr>
    </w:p>
    <w:p w:rsidR="00A302DD" w:rsidRPr="00EF3FAC" w:rsidRDefault="00A302DD">
      <w:pPr>
        <w:spacing w:line="276" w:lineRule="auto"/>
        <w:jc w:val="both"/>
        <w:rPr>
          <w:rFonts w:ascii="Book Antiqua" w:eastAsia="Arial" w:hAnsi="Book Antiqua" w:cs="Arial"/>
          <w:b/>
          <w:sz w:val="22"/>
          <w:szCs w:val="22"/>
        </w:rPr>
      </w:pPr>
    </w:p>
    <w:p w:rsidR="00A302DD" w:rsidRPr="00EF3FAC" w:rsidRDefault="00E21E6F">
      <w:pPr>
        <w:spacing w:line="276" w:lineRule="auto"/>
        <w:jc w:val="center"/>
        <w:rPr>
          <w:rFonts w:ascii="Book Antiqua" w:eastAsia="Arial" w:hAnsi="Book Antiqua" w:cs="Arial"/>
          <w:b/>
          <w:sz w:val="22"/>
          <w:szCs w:val="22"/>
        </w:rPr>
      </w:pPr>
      <w:r w:rsidRPr="00EF3FAC">
        <w:rPr>
          <w:rFonts w:ascii="Book Antiqua" w:eastAsia="Arial" w:hAnsi="Book Antiqua" w:cs="Arial"/>
          <w:b/>
          <w:sz w:val="22"/>
          <w:szCs w:val="22"/>
        </w:rPr>
        <w:t>Tomado del observatorio de la ANS</w:t>
      </w:r>
    </w:p>
    <w:p w:rsidR="00A302DD" w:rsidRPr="00EF3FAC" w:rsidRDefault="00A302DD">
      <w:pPr>
        <w:spacing w:line="276" w:lineRule="auto"/>
        <w:jc w:val="both"/>
        <w:rPr>
          <w:rFonts w:ascii="Book Antiqua" w:eastAsia="Arial" w:hAnsi="Book Antiqua" w:cs="Arial"/>
          <w:b/>
          <w:sz w:val="22"/>
          <w:szCs w:val="22"/>
        </w:rPr>
      </w:pPr>
    </w:p>
    <w:p w:rsidR="00A302DD" w:rsidRPr="00EF3FAC" w:rsidRDefault="00E21E6F">
      <w:pPr>
        <w:spacing w:line="276" w:lineRule="auto"/>
        <w:jc w:val="both"/>
        <w:rPr>
          <w:rFonts w:ascii="Book Antiqua" w:eastAsia="Bookman Old Style" w:hAnsi="Book Antiqua" w:cs="Bookman Old Style"/>
          <w:sz w:val="22"/>
          <w:szCs w:val="22"/>
          <w:highlight w:val="white"/>
        </w:rPr>
      </w:pPr>
      <w:r w:rsidRPr="00EF3FAC">
        <w:rPr>
          <w:rFonts w:ascii="Book Antiqua" w:eastAsia="Bookman Old Style" w:hAnsi="Book Antiqua" w:cs="Bookman Old Style"/>
          <w:sz w:val="22"/>
          <w:szCs w:val="22"/>
        </w:rPr>
        <w:lastRenderedPageBreak/>
        <w:t>A corte del 31 de junio de 2022, las víctimas en accidentes de tránsito han aumentado en un 14.68% en comparación con el año ant</w:t>
      </w:r>
      <w:r w:rsidRPr="00EF3FAC">
        <w:rPr>
          <w:rFonts w:ascii="Book Antiqua" w:eastAsia="Bookman Old Style" w:hAnsi="Book Antiqua" w:cs="Bookman Old Style"/>
          <w:sz w:val="22"/>
          <w:szCs w:val="22"/>
        </w:rPr>
        <w:t xml:space="preserve">erior, que ha sido el peor desde el 2009. Por lo tanto, es fundamental que las autoridades de tránsito no solamente continúen realizando su labor sin ningún tipo de </w:t>
      </w:r>
      <w:r w:rsidR="00EF3FAC" w:rsidRPr="00EF3FAC">
        <w:rPr>
          <w:rFonts w:ascii="Book Antiqua" w:eastAsia="Bookman Old Style" w:hAnsi="Book Antiqua" w:cs="Bookman Old Style"/>
          <w:sz w:val="22"/>
          <w:szCs w:val="22"/>
        </w:rPr>
        <w:t>traumatismo, sino</w:t>
      </w:r>
      <w:r w:rsidRPr="00EF3FAC">
        <w:rPr>
          <w:rFonts w:ascii="Book Antiqua" w:eastAsia="Bookman Old Style" w:hAnsi="Book Antiqua" w:cs="Bookman Old Style"/>
          <w:sz w:val="22"/>
          <w:szCs w:val="22"/>
        </w:rPr>
        <w:t xml:space="preserve"> que amplíen sus </w:t>
      </w:r>
      <w:r w:rsidRPr="00EF3FAC">
        <w:rPr>
          <w:rFonts w:ascii="Book Antiqua" w:eastAsia="Bookman Old Style" w:hAnsi="Book Antiqua" w:cs="Bookman Old Style"/>
          <w:sz w:val="22"/>
          <w:szCs w:val="22"/>
          <w:highlight w:val="white"/>
        </w:rPr>
        <w:t>actividades de educación vial, cultura ciudadana, regula</w:t>
      </w:r>
      <w:r w:rsidRPr="00EF3FAC">
        <w:rPr>
          <w:rFonts w:ascii="Book Antiqua" w:eastAsia="Bookman Old Style" w:hAnsi="Book Antiqua" w:cs="Bookman Old Style"/>
          <w:sz w:val="22"/>
          <w:szCs w:val="22"/>
          <w:highlight w:val="white"/>
        </w:rPr>
        <w:t xml:space="preserve">ción de la circulación vehicular y peatonal, vigilancia, control e intervención en el cumplimiento de las normas de tránsito y transporte. </w:t>
      </w:r>
    </w:p>
    <w:p w:rsidR="00A302DD" w:rsidRPr="00EF3FAC" w:rsidRDefault="00A302DD">
      <w:pPr>
        <w:spacing w:line="276" w:lineRule="auto"/>
        <w:jc w:val="both"/>
        <w:rPr>
          <w:rFonts w:ascii="Book Antiqua" w:eastAsia="Bookman Old Style" w:hAnsi="Book Antiqua" w:cs="Bookman Old Style"/>
          <w:sz w:val="22"/>
          <w:szCs w:val="22"/>
          <w:highlight w:val="white"/>
        </w:rPr>
      </w:pPr>
    </w:p>
    <w:p w:rsidR="00A302DD" w:rsidRPr="00EF3FAC" w:rsidRDefault="00E21E6F">
      <w:pPr>
        <w:spacing w:line="276" w:lineRule="auto"/>
        <w:jc w:val="both"/>
        <w:rPr>
          <w:rFonts w:ascii="Book Antiqua" w:eastAsia="Bookman Old Style" w:hAnsi="Book Antiqua" w:cs="Bookman Old Style"/>
          <w:sz w:val="22"/>
          <w:szCs w:val="22"/>
          <w:highlight w:val="white"/>
        </w:rPr>
      </w:pPr>
      <w:r w:rsidRPr="00EF3FAC">
        <w:rPr>
          <w:rFonts w:ascii="Book Antiqua" w:eastAsia="Bookman Old Style" w:hAnsi="Book Antiqua" w:cs="Bookman Old Style"/>
          <w:sz w:val="22"/>
          <w:szCs w:val="22"/>
          <w:highlight w:val="white"/>
        </w:rPr>
        <w:t>El riesgo financiero al cual pueden incurrir los organismos de tránsito del país, como se ha expuesto anteriormente, pone en peligro la realización de estas actividades. Por lo que la tarea del estado frente a estas alarmantes cifras es tomar todas las med</w:t>
      </w:r>
      <w:r w:rsidRPr="00EF3FAC">
        <w:rPr>
          <w:rFonts w:ascii="Book Antiqua" w:eastAsia="Bookman Old Style" w:hAnsi="Book Antiqua" w:cs="Bookman Old Style"/>
          <w:sz w:val="22"/>
          <w:szCs w:val="22"/>
          <w:highlight w:val="white"/>
        </w:rPr>
        <w:t xml:space="preserve">idas necesarias para mitigarlas; y asegurar que la nómina de los agentes de tránsito sea pagada oportunamente, es una de ellas. </w:t>
      </w:r>
    </w:p>
    <w:p w:rsidR="00A302DD" w:rsidRPr="00EF3FAC" w:rsidRDefault="00A302DD">
      <w:pPr>
        <w:jc w:val="both"/>
        <w:rPr>
          <w:rFonts w:ascii="Book Antiqua" w:eastAsia="Bookman Old Style" w:hAnsi="Book Antiqua" w:cs="Bookman Old Style"/>
          <w:sz w:val="22"/>
          <w:szCs w:val="22"/>
          <w:highlight w:val="white"/>
        </w:rPr>
      </w:pP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Por lo anterior, se hace pertinente agregar un parágrafo al artículo 160 de la Ley 769 de 2002, que aclare que los organismos </w:t>
      </w:r>
      <w:r w:rsidRPr="00EF3FAC">
        <w:rPr>
          <w:rFonts w:ascii="Book Antiqua" w:eastAsia="Bookman Old Style" w:hAnsi="Book Antiqua" w:cs="Bookman Old Style"/>
          <w:color w:val="000000"/>
          <w:sz w:val="22"/>
          <w:szCs w:val="22"/>
          <w:highlight w:val="white"/>
        </w:rPr>
        <w:t>de tránsito y transporte podrán financiar los gastos de funcionamiento inherentes a la nómina de los grupos de control vial o cuerpos de agentes de tránsito dedicados a la educación vial, cultura ciudadana, a regular la circulación vehicular y peatonal, vi</w:t>
      </w:r>
      <w:r w:rsidRPr="00EF3FAC">
        <w:rPr>
          <w:rFonts w:ascii="Book Antiqua" w:eastAsia="Bookman Old Style" w:hAnsi="Book Antiqua" w:cs="Bookman Old Style"/>
          <w:color w:val="000000"/>
          <w:sz w:val="22"/>
          <w:szCs w:val="22"/>
          <w:highlight w:val="white"/>
        </w:rPr>
        <w:t>gilar, controlar e intervenir en el cumplimiento de las normas de tránsito y transporte en cada uno de los entes territoriales, vinculados legal y/o contractualmente, a los organismos de tránsito y transporte.</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jc w:val="center"/>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5.</w:t>
      </w:r>
      <w:r w:rsidRPr="00EF3FAC">
        <w:rPr>
          <w:rFonts w:ascii="Book Antiqua" w:eastAsia="Bookman Old Style" w:hAnsi="Book Antiqua" w:cs="Bookman Old Style"/>
          <w:color w:val="000000"/>
          <w:sz w:val="22"/>
          <w:szCs w:val="22"/>
          <w:highlight w:val="white"/>
        </w:rPr>
        <w:t xml:space="preserve"> </w:t>
      </w:r>
      <w:r w:rsidRPr="00EF3FAC">
        <w:rPr>
          <w:rFonts w:ascii="Book Antiqua" w:eastAsia="Bookman Old Style" w:hAnsi="Book Antiqua" w:cs="Bookman Old Style"/>
          <w:b/>
          <w:color w:val="000000"/>
          <w:sz w:val="22"/>
          <w:szCs w:val="22"/>
          <w:highlight w:val="white"/>
        </w:rPr>
        <w:t xml:space="preserve">Competencias del Congreso de la </w:t>
      </w:r>
      <w:r w:rsidRPr="00EF3FAC">
        <w:rPr>
          <w:rFonts w:ascii="Book Antiqua" w:eastAsia="Bookman Old Style" w:hAnsi="Book Antiqua" w:cs="Bookman Old Style"/>
          <w:b/>
          <w:sz w:val="22"/>
          <w:szCs w:val="22"/>
          <w:highlight w:val="white"/>
        </w:rPr>
        <w:t>República</w:t>
      </w:r>
    </w:p>
    <w:p w:rsidR="00A302DD" w:rsidRPr="00EF3FAC" w:rsidRDefault="00A302DD">
      <w:pPr>
        <w:jc w:val="center"/>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5.1. Constitucional:</w:t>
      </w:r>
    </w:p>
    <w:p w:rsidR="00A302DD" w:rsidRPr="00EF3FAC" w:rsidRDefault="00A302DD">
      <w:pPr>
        <w:jc w:val="both"/>
        <w:rPr>
          <w:rFonts w:ascii="Book Antiqua" w:eastAsia="Bookman Old Style" w:hAnsi="Book Antiqua" w:cs="Bookman Old Style"/>
          <w:b/>
          <w:color w:val="000000"/>
          <w:sz w:val="22"/>
          <w:szCs w:val="22"/>
          <w:highlight w:val="white"/>
        </w:rPr>
      </w:pP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114. Corresponde al Congreso de la República reformar la Constitución, hacer las leyes y ejercer control político sobre el gobierno y la administración.</w:t>
      </w: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El Congreso de la República, estará integrado por el Senado y la Cámara de Representantes”</w:t>
      </w: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150. Corresponde al Congreso hacer las leyes. Por medio de ellas ejerce las siguientes funciones:</w:t>
      </w: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Interpretar, reformar y derogar las leyes.</w:t>
      </w:r>
    </w:p>
    <w:p w:rsidR="00A302DD" w:rsidRPr="00EF3FAC" w:rsidRDefault="00A302DD">
      <w:pPr>
        <w:jc w:val="both"/>
        <w:rPr>
          <w:rFonts w:ascii="Book Antiqua" w:eastAsia="Bookman Old Style" w:hAnsi="Book Antiqua" w:cs="Bookman Old Style"/>
          <w:i/>
          <w:color w:val="000000"/>
          <w:sz w:val="22"/>
          <w:szCs w:val="22"/>
          <w:highlight w:val="white"/>
        </w:rPr>
      </w:pPr>
    </w:p>
    <w:p w:rsidR="00A302DD" w:rsidRPr="00EF3FAC" w:rsidRDefault="00A302DD">
      <w:pPr>
        <w:ind w:left="708"/>
        <w:jc w:val="both"/>
        <w:rPr>
          <w:rFonts w:ascii="Book Antiqua" w:eastAsia="Bookman Old Style" w:hAnsi="Book Antiqua" w:cs="Bookman Old Style"/>
          <w:i/>
          <w:color w:val="000000"/>
          <w:sz w:val="22"/>
          <w:szCs w:val="22"/>
          <w:highlight w:val="white"/>
        </w:rPr>
      </w:pPr>
    </w:p>
    <w:p w:rsidR="00A302DD" w:rsidRPr="00EF3FAC" w:rsidRDefault="00E21E6F">
      <w:pPr>
        <w:jc w:val="both"/>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color w:val="000000"/>
          <w:sz w:val="22"/>
          <w:szCs w:val="22"/>
          <w:highlight w:val="white"/>
        </w:rPr>
        <w:t xml:space="preserve">5.2. Legal: </w:t>
      </w:r>
    </w:p>
    <w:p w:rsidR="00A302DD" w:rsidRPr="00EF3FAC" w:rsidRDefault="00A302DD">
      <w:pPr>
        <w:jc w:val="both"/>
        <w:rPr>
          <w:rFonts w:ascii="Book Antiqua" w:eastAsia="Bookman Old Style" w:hAnsi="Book Antiqua" w:cs="Bookman Old Style"/>
          <w:b/>
          <w:color w:val="000000"/>
          <w:sz w:val="22"/>
          <w:szCs w:val="22"/>
          <w:highlight w:val="white"/>
        </w:rPr>
      </w:pPr>
    </w:p>
    <w:p w:rsidR="00A302DD" w:rsidRPr="00EF3FAC" w:rsidRDefault="00E21E6F">
      <w:pPr>
        <w:jc w:val="both"/>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color w:val="000000"/>
          <w:sz w:val="22"/>
          <w:szCs w:val="22"/>
          <w:highlight w:val="white"/>
        </w:rPr>
        <w:t>LEY 5 DE 1992. Por la cual se expide el reglamento del Congreso; el Senado y la Cámara de Representantes</w:t>
      </w:r>
      <w:r w:rsidRPr="00EF3FAC">
        <w:rPr>
          <w:rFonts w:ascii="Book Antiqua" w:eastAsia="Bookman Old Style" w:hAnsi="Book Antiqua" w:cs="Bookman Old Style"/>
          <w:i/>
          <w:color w:val="000000"/>
          <w:sz w:val="22"/>
          <w:szCs w:val="22"/>
          <w:highlight w:val="white"/>
        </w:rPr>
        <w:t>.</w:t>
      </w:r>
    </w:p>
    <w:p w:rsidR="00A302DD" w:rsidRPr="00EF3FAC" w:rsidRDefault="00A302DD">
      <w:pPr>
        <w:jc w:val="both"/>
        <w:rPr>
          <w:rFonts w:ascii="Book Antiqua" w:eastAsia="Bookman Old Style" w:hAnsi="Book Antiqua" w:cs="Bookman Old Style"/>
          <w:i/>
          <w:sz w:val="22"/>
          <w:szCs w:val="22"/>
          <w:highlight w:val="white"/>
        </w:rPr>
      </w:pP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6o. CLASES DE FUNCIONES DEL CONGRESO. El Congreso de la República cumple:</w:t>
      </w: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lastRenderedPageBreak/>
        <w:t>[...]</w:t>
      </w: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2. Función legislativa, para elaborar, interpretar, reform</w:t>
      </w:r>
      <w:r w:rsidRPr="00EF3FAC">
        <w:rPr>
          <w:rFonts w:ascii="Book Antiqua" w:eastAsia="Bookman Old Style" w:hAnsi="Book Antiqua" w:cs="Bookman Old Style"/>
          <w:color w:val="000000"/>
          <w:sz w:val="22"/>
          <w:szCs w:val="22"/>
          <w:highlight w:val="white"/>
        </w:rPr>
        <w:t>ar y derogar las leyes y códigos en todos los ramos de la legislación.</w:t>
      </w: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sz w:val="22"/>
          <w:szCs w:val="22"/>
          <w:highlight w:val="white"/>
        </w:rPr>
        <w:t>ARTÍCULO</w:t>
      </w:r>
      <w:r w:rsidRPr="00EF3FAC">
        <w:rPr>
          <w:rFonts w:ascii="Book Antiqua" w:eastAsia="Bookman Old Style" w:hAnsi="Book Antiqua" w:cs="Bookman Old Style"/>
          <w:color w:val="000000"/>
          <w:sz w:val="22"/>
          <w:szCs w:val="22"/>
          <w:highlight w:val="white"/>
        </w:rPr>
        <w:t xml:space="preserve"> 139. PRESENTACIÓN DE PROYECTOS. Los proyectos de ley podrán presentarse en la Secretaría General de las Cámaras o en sus plenarias.</w:t>
      </w:r>
    </w:p>
    <w:p w:rsidR="00A302DD" w:rsidRPr="00EF3FAC" w:rsidRDefault="00E21E6F">
      <w:pPr>
        <w:ind w:left="708"/>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ARTÍCULO 140. INICIATIVA LEGISLATIVA. Pueden presentar proyectos de ley:</w:t>
      </w:r>
    </w:p>
    <w:p w:rsidR="00A302DD" w:rsidRPr="00EF3FAC" w:rsidRDefault="00E21E6F">
      <w:pPr>
        <w:numPr>
          <w:ilvl w:val="0"/>
          <w:numId w:val="1"/>
        </w:numPr>
        <w:pBdr>
          <w:top w:val="nil"/>
          <w:left w:val="nil"/>
          <w:bottom w:val="nil"/>
          <w:right w:val="nil"/>
          <w:between w:val="nil"/>
        </w:pBdr>
        <w:spacing w:line="259" w:lineRule="auto"/>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Los Senadores y Representantes a la Cámara individualmente y a través de las bancadas.</w:t>
      </w:r>
    </w:p>
    <w:p w:rsidR="00A302DD" w:rsidRPr="00EF3FAC" w:rsidRDefault="00A302DD">
      <w:pPr>
        <w:pBdr>
          <w:top w:val="nil"/>
          <w:left w:val="nil"/>
          <w:bottom w:val="nil"/>
          <w:right w:val="nil"/>
          <w:between w:val="nil"/>
        </w:pBdr>
        <w:spacing w:line="259" w:lineRule="auto"/>
        <w:ind w:left="1068"/>
        <w:jc w:val="both"/>
        <w:rPr>
          <w:rFonts w:ascii="Book Antiqua" w:eastAsia="Bookman Old Style" w:hAnsi="Book Antiqua" w:cs="Bookman Old Style"/>
          <w:sz w:val="22"/>
          <w:szCs w:val="22"/>
          <w:highlight w:val="white"/>
        </w:rPr>
      </w:pPr>
    </w:p>
    <w:p w:rsidR="00A302DD" w:rsidRPr="00EF3FAC" w:rsidRDefault="00A302DD" w:rsidP="00EF3FAC">
      <w:pPr>
        <w:pBdr>
          <w:top w:val="nil"/>
          <w:left w:val="nil"/>
          <w:bottom w:val="nil"/>
          <w:right w:val="nil"/>
          <w:between w:val="nil"/>
        </w:pBdr>
        <w:spacing w:line="259" w:lineRule="auto"/>
        <w:jc w:val="both"/>
        <w:rPr>
          <w:rFonts w:ascii="Book Antiqua" w:eastAsia="Bookman Old Style" w:hAnsi="Book Antiqua" w:cs="Bookman Old Style"/>
          <w:i/>
          <w:color w:val="000000"/>
          <w:sz w:val="22"/>
          <w:szCs w:val="22"/>
          <w:highlight w:val="white"/>
        </w:rPr>
      </w:pPr>
    </w:p>
    <w:p w:rsidR="00A302DD" w:rsidRPr="00EF3FAC" w:rsidRDefault="00E21E6F">
      <w:pPr>
        <w:pBdr>
          <w:top w:val="nil"/>
          <w:left w:val="nil"/>
          <w:bottom w:val="nil"/>
          <w:right w:val="nil"/>
          <w:between w:val="nil"/>
        </w:pBdr>
        <w:spacing w:line="259" w:lineRule="auto"/>
        <w:ind w:left="1080"/>
        <w:jc w:val="center"/>
        <w:rPr>
          <w:rFonts w:ascii="Book Antiqua" w:eastAsia="Bookman Old Style" w:hAnsi="Book Antiqua" w:cs="Bookman Old Style"/>
          <w:b/>
          <w:sz w:val="22"/>
          <w:szCs w:val="22"/>
          <w:highlight w:val="white"/>
        </w:rPr>
      </w:pPr>
      <w:r w:rsidRPr="00EF3FAC">
        <w:rPr>
          <w:rFonts w:ascii="Book Antiqua" w:eastAsia="Bookman Old Style" w:hAnsi="Book Antiqua" w:cs="Bookman Old Style"/>
          <w:b/>
          <w:sz w:val="22"/>
          <w:szCs w:val="22"/>
          <w:highlight w:val="white"/>
        </w:rPr>
        <w:t>6. Conflicto de Intereses</w:t>
      </w:r>
    </w:p>
    <w:p w:rsidR="00A302DD" w:rsidRPr="00EF3FAC" w:rsidRDefault="00A302DD">
      <w:pPr>
        <w:pBdr>
          <w:top w:val="nil"/>
          <w:left w:val="nil"/>
          <w:bottom w:val="nil"/>
          <w:right w:val="nil"/>
          <w:between w:val="nil"/>
        </w:pBdr>
        <w:spacing w:after="160" w:line="259" w:lineRule="auto"/>
        <w:ind w:left="1080"/>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Dando cumplimiento a lo establecido en el artículo 3 de la Ley 2003 del 19 de noviembre de 2019, por la cual se modifica parcialmente la Ley 5 de 1992, se hacen las siguientes consideraciones: </w:t>
      </w:r>
    </w:p>
    <w:p w:rsidR="00A302DD" w:rsidRPr="00EF3FAC" w:rsidRDefault="00E21E6F">
      <w:pPr>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Se estima que la discusión y aprobación del presente Proyecto </w:t>
      </w:r>
      <w:r w:rsidRPr="00EF3FAC">
        <w:rPr>
          <w:rFonts w:ascii="Book Antiqua" w:eastAsia="Bookman Old Style" w:hAnsi="Book Antiqua" w:cs="Bookman Old Style"/>
          <w:color w:val="000000"/>
          <w:sz w:val="22"/>
          <w:szCs w:val="22"/>
          <w:highlight w:val="white"/>
        </w:rPr>
        <w:t xml:space="preserve">de Ley no genera conflictos de interés en razón de beneficios particulares, actuales y directos a los congresistas conforme a lo dispuesto en la ley, toda vez que lo que busca es ajustar la legislación Colombiana concerniente a la destinación </w:t>
      </w:r>
      <w:r w:rsidRPr="00EF3FAC">
        <w:rPr>
          <w:rFonts w:ascii="Book Antiqua" w:eastAsia="Bookman Old Style" w:hAnsi="Book Antiqua" w:cs="Bookman Old Style"/>
          <w:sz w:val="22"/>
          <w:szCs w:val="22"/>
          <w:highlight w:val="white"/>
        </w:rPr>
        <w:t>específica</w:t>
      </w:r>
      <w:r w:rsidRPr="00EF3FAC">
        <w:rPr>
          <w:rFonts w:ascii="Book Antiqua" w:eastAsia="Bookman Old Style" w:hAnsi="Book Antiqua" w:cs="Bookman Old Style"/>
          <w:color w:val="000000"/>
          <w:sz w:val="22"/>
          <w:szCs w:val="22"/>
          <w:highlight w:val="white"/>
        </w:rPr>
        <w:t xml:space="preserve"> de los recursos recaudados por concepto de multas y sanciones por infracciones de tránsito, en aras de lograr una estabilidad financiera de los organismos de tránsito, que garantice la continuidad de las actividades de educación vial, cultura ciudadana, r</w:t>
      </w:r>
      <w:r w:rsidRPr="00EF3FAC">
        <w:rPr>
          <w:rFonts w:ascii="Book Antiqua" w:eastAsia="Bookman Old Style" w:hAnsi="Book Antiqua" w:cs="Bookman Old Style"/>
          <w:color w:val="000000"/>
          <w:sz w:val="22"/>
          <w:szCs w:val="22"/>
          <w:highlight w:val="white"/>
        </w:rPr>
        <w:t>egulación de la circulación vehicular y peatonal, vigilancia, control e intervención en el cumplimiento de las normas de tránsito y transporte; actividades que son su fin principal, incluso por sobre las relacionadas con la actualización del registro autom</w:t>
      </w:r>
      <w:r w:rsidRPr="00EF3FAC">
        <w:rPr>
          <w:rFonts w:ascii="Book Antiqua" w:eastAsia="Bookman Old Style" w:hAnsi="Book Antiqua" w:cs="Bookman Old Style"/>
          <w:color w:val="000000"/>
          <w:sz w:val="22"/>
          <w:szCs w:val="22"/>
          <w:highlight w:val="white"/>
        </w:rPr>
        <w:t>otor. Lo anterior, en desarrollo de lo dispuesto por el artículo 24 Constitucional.</w:t>
      </w:r>
    </w:p>
    <w:p w:rsidR="00A302DD" w:rsidRPr="00EF3FAC" w:rsidRDefault="00A302DD">
      <w:pPr>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Sobre este asunto ha señalado el Consejo de Estado (2019):</w:t>
      </w:r>
    </w:p>
    <w:p w:rsidR="00A302DD" w:rsidRPr="00EF3FAC" w:rsidRDefault="00E21E6F">
      <w:pPr>
        <w:tabs>
          <w:tab w:val="left" w:pos="4308"/>
        </w:tabs>
        <w:ind w:left="708"/>
        <w:jc w:val="both"/>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t>“No cualquier interés configura la causal de desinvestidura en comento, pues se sabe que sólo lo será aquél del que se pueda predicar que es directo, esto es, que per se el alegado beneficio, provecho o utilidad encuentre su fuente en el asunto que fue con</w:t>
      </w:r>
      <w:r w:rsidRPr="00EF3FAC">
        <w:rPr>
          <w:rFonts w:ascii="Book Antiqua" w:eastAsia="Bookman Old Style" w:hAnsi="Book Antiqua" w:cs="Bookman Old Style"/>
          <w:i/>
          <w:color w:val="000000"/>
          <w:sz w:val="22"/>
          <w:szCs w:val="22"/>
          <w:highlight w:val="white"/>
        </w:rPr>
        <w:t>ocido por el legislador; particular, que el mismo sea específico o personal, bien para el congresista o quienes se encuentren relacionados con él; y actual o inmediato, que concurra para el momento en que ocurrió la participación o votación del congresista</w:t>
      </w:r>
      <w:r w:rsidRPr="00EF3FAC">
        <w:rPr>
          <w:rFonts w:ascii="Book Antiqua" w:eastAsia="Bookman Old Style" w:hAnsi="Book Antiqua" w:cs="Bookman Old Style"/>
          <w:i/>
          <w:color w:val="000000"/>
          <w:sz w:val="22"/>
          <w:szCs w:val="22"/>
          <w:highlight w:val="white"/>
        </w:rPr>
        <w:t>, lo que excluye sucesos contingentes, futuros o imprevisibles. También se tiene noticia que el interés puede ser de cualquier naturaleza, esto es, económico o moral, sin distinción alguna”.</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De igual forma, es pertinente señalar lo que la Ley 5 de 1992 di</w:t>
      </w:r>
      <w:r w:rsidRPr="00EF3FAC">
        <w:rPr>
          <w:rFonts w:ascii="Book Antiqua" w:eastAsia="Bookman Old Style" w:hAnsi="Book Antiqua" w:cs="Bookman Old Style"/>
          <w:color w:val="000000"/>
          <w:sz w:val="22"/>
          <w:szCs w:val="22"/>
          <w:highlight w:val="white"/>
        </w:rPr>
        <w:t>spone sobre la materia en el artículo 286, modificado por el artículo 1 de la Ley 2003 de 2019:</w:t>
      </w:r>
    </w:p>
    <w:p w:rsidR="00A302DD" w:rsidRPr="00EF3FAC" w:rsidRDefault="00E21E6F">
      <w:pPr>
        <w:tabs>
          <w:tab w:val="left" w:pos="4308"/>
        </w:tabs>
        <w:ind w:left="708"/>
        <w:jc w:val="both"/>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t>“Se entiende como conflicto de interés una situación donde la discusión o votación de un proyecto de ley o acto legislativo o artículo, pueda resultar en un ben</w:t>
      </w:r>
      <w:r w:rsidRPr="00EF3FAC">
        <w:rPr>
          <w:rFonts w:ascii="Book Antiqua" w:eastAsia="Bookman Old Style" w:hAnsi="Book Antiqua" w:cs="Bookman Old Style"/>
          <w:i/>
          <w:color w:val="000000"/>
          <w:sz w:val="22"/>
          <w:szCs w:val="22"/>
          <w:highlight w:val="white"/>
        </w:rPr>
        <w:t>eficio particular, actual y directo a favor del congresista.</w:t>
      </w:r>
    </w:p>
    <w:p w:rsidR="00A302DD" w:rsidRPr="00EF3FAC" w:rsidRDefault="00E21E6F">
      <w:pPr>
        <w:tabs>
          <w:tab w:val="left" w:pos="4308"/>
        </w:tabs>
        <w:ind w:left="708"/>
        <w:jc w:val="both"/>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lastRenderedPageBreak/>
        <w:t>a) Beneficio particular: aquel que otorga un privilegio o genera ganancias o crea indemnizaciones económicas o elimina obligaciones a favor del congresista de las que no gozan el resto de los ciu</w:t>
      </w:r>
      <w:r w:rsidRPr="00EF3FAC">
        <w:rPr>
          <w:rFonts w:ascii="Book Antiqua" w:eastAsia="Bookman Old Style" w:hAnsi="Book Antiqua" w:cs="Bookman Old Style"/>
          <w:i/>
          <w:color w:val="000000"/>
          <w:sz w:val="22"/>
          <w:szCs w:val="22"/>
          <w:highlight w:val="white"/>
        </w:rPr>
        <w:t>dadanos. Modifique normas que afecten investigaciones penales, disciplinarias, fiscales o administrativas a las que se encuentre formalmente vinculado.</w:t>
      </w:r>
    </w:p>
    <w:p w:rsidR="00A302DD" w:rsidRPr="00EF3FAC" w:rsidRDefault="00E21E6F">
      <w:pPr>
        <w:tabs>
          <w:tab w:val="left" w:pos="4308"/>
        </w:tabs>
        <w:ind w:left="708"/>
        <w:jc w:val="both"/>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t>b) Beneficio actual: aquel que efectivamente se configura en las circunstancias presentes y existentes a</w:t>
      </w:r>
      <w:r w:rsidRPr="00EF3FAC">
        <w:rPr>
          <w:rFonts w:ascii="Book Antiqua" w:eastAsia="Bookman Old Style" w:hAnsi="Book Antiqua" w:cs="Bookman Old Style"/>
          <w:i/>
          <w:color w:val="000000"/>
          <w:sz w:val="22"/>
          <w:szCs w:val="22"/>
          <w:highlight w:val="white"/>
        </w:rPr>
        <w:t xml:space="preserve">l momento en el que el congresista participa de la decisión. </w:t>
      </w:r>
    </w:p>
    <w:p w:rsidR="00A302DD" w:rsidRPr="00EF3FAC" w:rsidRDefault="00E21E6F">
      <w:pPr>
        <w:tabs>
          <w:tab w:val="left" w:pos="4308"/>
        </w:tabs>
        <w:ind w:left="708"/>
        <w:jc w:val="both"/>
        <w:rPr>
          <w:rFonts w:ascii="Book Antiqua" w:eastAsia="Bookman Old Style" w:hAnsi="Book Antiqua" w:cs="Bookman Old Style"/>
          <w:i/>
          <w:color w:val="000000"/>
          <w:sz w:val="22"/>
          <w:szCs w:val="22"/>
          <w:highlight w:val="white"/>
        </w:rPr>
      </w:pPr>
      <w:r w:rsidRPr="00EF3FAC">
        <w:rPr>
          <w:rFonts w:ascii="Book Antiqua" w:eastAsia="Bookman Old Style" w:hAnsi="Book Antiqua" w:cs="Bookman Old Style"/>
          <w:i/>
          <w:color w:val="000000"/>
          <w:sz w:val="22"/>
          <w:szCs w:val="22"/>
          <w:highlight w:val="white"/>
        </w:rPr>
        <w:t>c) Beneficio directo: aquel que se produzca de forma específica respecto del congresista, de su cónyuge, compañero o compañera permanente, o parientes dentro del segundo grado de consanguinidad,</w:t>
      </w:r>
      <w:r w:rsidRPr="00EF3FAC">
        <w:rPr>
          <w:rFonts w:ascii="Book Antiqua" w:eastAsia="Bookman Old Style" w:hAnsi="Book Antiqua" w:cs="Bookman Old Style"/>
          <w:i/>
          <w:color w:val="000000"/>
          <w:sz w:val="22"/>
          <w:szCs w:val="22"/>
          <w:highlight w:val="white"/>
        </w:rPr>
        <w:t xml:space="preserve"> segundo de afinidad o primero civil.”</w:t>
      </w:r>
    </w:p>
    <w:p w:rsidR="00A302DD" w:rsidRPr="00EF3FAC" w:rsidRDefault="00A302DD">
      <w:pPr>
        <w:tabs>
          <w:tab w:val="left" w:pos="4308"/>
        </w:tabs>
        <w:ind w:left="708"/>
        <w:jc w:val="both"/>
        <w:rPr>
          <w:rFonts w:ascii="Book Antiqua" w:eastAsia="Bookman Old Style" w:hAnsi="Book Antiqua" w:cs="Bookman Old Style"/>
          <w:i/>
          <w:color w:val="000000"/>
          <w:sz w:val="22"/>
          <w:szCs w:val="22"/>
          <w:highlight w:val="white"/>
        </w:rPr>
      </w:pPr>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Se recuerda que la descripción de los posibles conflictos de interés que se puedan presentar frente al trámite del presente proyecto de ley, conforme a lo dispuesto en el artículo 291 de la ley 5 de 1992 modificado p</w:t>
      </w:r>
      <w:r w:rsidRPr="00EF3FAC">
        <w:rPr>
          <w:rFonts w:ascii="Book Antiqua" w:eastAsia="Bookman Old Style" w:hAnsi="Book Antiqua" w:cs="Bookman Old Style"/>
          <w:color w:val="000000"/>
          <w:sz w:val="22"/>
          <w:szCs w:val="22"/>
          <w:highlight w:val="white"/>
        </w:rPr>
        <w:t>or la ley 2003 de 2019, no exime al Congresista de identificar causales adicionales.</w:t>
      </w: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A302DD">
      <w:pPr>
        <w:pBdr>
          <w:top w:val="nil"/>
          <w:left w:val="nil"/>
          <w:bottom w:val="nil"/>
          <w:right w:val="nil"/>
          <w:between w:val="nil"/>
        </w:pBdr>
        <w:spacing w:after="160" w:line="259" w:lineRule="auto"/>
        <w:ind w:left="720"/>
        <w:jc w:val="center"/>
        <w:rPr>
          <w:rFonts w:ascii="Book Antiqua" w:eastAsia="Bookman Old Style" w:hAnsi="Book Antiqua" w:cs="Bookman Old Style"/>
          <w:b/>
          <w:sz w:val="22"/>
          <w:szCs w:val="22"/>
          <w:highlight w:val="white"/>
        </w:rPr>
      </w:pPr>
    </w:p>
    <w:p w:rsidR="00A302DD" w:rsidRPr="00EF3FAC" w:rsidRDefault="00E21E6F">
      <w:pPr>
        <w:pBdr>
          <w:top w:val="nil"/>
          <w:left w:val="nil"/>
          <w:bottom w:val="nil"/>
          <w:right w:val="nil"/>
          <w:between w:val="nil"/>
        </w:pBdr>
        <w:spacing w:after="160" w:line="259" w:lineRule="auto"/>
        <w:ind w:left="720"/>
        <w:jc w:val="center"/>
        <w:rPr>
          <w:rFonts w:ascii="Book Antiqua" w:eastAsia="Bookman Old Style" w:hAnsi="Book Antiqua" w:cs="Bookman Old Style"/>
          <w:b/>
          <w:color w:val="000000"/>
          <w:sz w:val="22"/>
          <w:szCs w:val="22"/>
          <w:highlight w:val="white"/>
        </w:rPr>
      </w:pPr>
      <w:r w:rsidRPr="00EF3FAC">
        <w:rPr>
          <w:rFonts w:ascii="Book Antiqua" w:eastAsia="Bookman Old Style" w:hAnsi="Book Antiqua" w:cs="Bookman Old Style"/>
          <w:b/>
          <w:sz w:val="22"/>
          <w:szCs w:val="22"/>
          <w:highlight w:val="white"/>
        </w:rPr>
        <w:t xml:space="preserve">7. </w:t>
      </w:r>
      <w:r w:rsidRPr="00EF3FAC">
        <w:rPr>
          <w:rFonts w:ascii="Book Antiqua" w:eastAsia="Bookman Old Style" w:hAnsi="Book Antiqua" w:cs="Bookman Old Style"/>
          <w:b/>
          <w:color w:val="000000"/>
          <w:sz w:val="22"/>
          <w:szCs w:val="22"/>
          <w:highlight w:val="white"/>
        </w:rPr>
        <w:t>Bibliografía</w:t>
      </w:r>
    </w:p>
    <w:p w:rsidR="00A302DD" w:rsidRPr="00EF3FAC" w:rsidRDefault="00A302DD">
      <w:pPr>
        <w:rPr>
          <w:rFonts w:ascii="Book Antiqua" w:eastAsia="Bookman Old Style" w:hAnsi="Book Antiqua" w:cs="Bookman Old Style"/>
          <w:i/>
          <w:color w:val="000000"/>
          <w:sz w:val="22"/>
          <w:szCs w:val="22"/>
          <w:highlight w:val="white"/>
        </w:rPr>
      </w:pPr>
    </w:p>
    <w:p w:rsidR="00A302DD" w:rsidRPr="00EF3FAC" w:rsidRDefault="00E21E6F">
      <w:pPr>
        <w:numPr>
          <w:ilvl w:val="0"/>
          <w:numId w:val="2"/>
        </w:numPr>
        <w:pBdr>
          <w:top w:val="nil"/>
          <w:left w:val="nil"/>
          <w:bottom w:val="nil"/>
          <w:right w:val="nil"/>
          <w:between w:val="nil"/>
        </w:pBdr>
        <w:spacing w:line="259" w:lineRule="auto"/>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Constitución Política de Colombia [</w:t>
      </w:r>
      <w:proofErr w:type="spellStart"/>
      <w:r w:rsidRPr="00EF3FAC">
        <w:rPr>
          <w:rFonts w:ascii="Book Antiqua" w:eastAsia="Bookman Old Style" w:hAnsi="Book Antiqua" w:cs="Bookman Old Style"/>
          <w:color w:val="000000"/>
          <w:sz w:val="22"/>
          <w:szCs w:val="22"/>
          <w:highlight w:val="white"/>
        </w:rPr>
        <w:t>Const</w:t>
      </w:r>
      <w:proofErr w:type="spellEnd"/>
      <w:r w:rsidRPr="00EF3FAC">
        <w:rPr>
          <w:rFonts w:ascii="Book Antiqua" w:eastAsia="Bookman Old Style" w:hAnsi="Book Antiqua" w:cs="Bookman Old Style"/>
          <w:color w:val="000000"/>
          <w:sz w:val="22"/>
          <w:szCs w:val="22"/>
          <w:highlight w:val="white"/>
        </w:rPr>
        <w:t>]. Art. 1,24,278,150 de julio de 1991 (Colombia).</w:t>
      </w:r>
    </w:p>
    <w:p w:rsidR="00A302DD" w:rsidRPr="00EF3FAC" w:rsidRDefault="00E21E6F">
      <w:pPr>
        <w:numPr>
          <w:ilvl w:val="0"/>
          <w:numId w:val="2"/>
        </w:numPr>
        <w:pBdr>
          <w:top w:val="nil"/>
          <w:left w:val="nil"/>
          <w:bottom w:val="nil"/>
          <w:right w:val="nil"/>
          <w:between w:val="nil"/>
        </w:pBdr>
        <w:tabs>
          <w:tab w:val="left" w:pos="4308"/>
        </w:tabs>
        <w:spacing w:line="259" w:lineRule="auto"/>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Ley 105 de 1993. Por la cual se dictan disposiciones básicas sobre el transporte, se redistribuyen competencias y recursos entre la Nación y las Entidades Territoriales, se reglamenta la planeación en el sector transporte y se dictan otras disposiciones.30</w:t>
      </w:r>
      <w:r w:rsidRPr="00EF3FAC">
        <w:rPr>
          <w:rFonts w:ascii="Book Antiqua" w:eastAsia="Bookman Old Style" w:hAnsi="Book Antiqua" w:cs="Bookman Old Style"/>
          <w:color w:val="000000"/>
          <w:sz w:val="22"/>
          <w:szCs w:val="22"/>
          <w:highlight w:val="white"/>
        </w:rPr>
        <w:t xml:space="preserve"> de </w:t>
      </w:r>
      <w:r w:rsidRPr="00EF3FAC">
        <w:rPr>
          <w:rFonts w:ascii="Book Antiqua" w:eastAsia="Bookman Old Style" w:hAnsi="Book Antiqua" w:cs="Bookman Old Style"/>
          <w:sz w:val="22"/>
          <w:szCs w:val="22"/>
          <w:highlight w:val="white"/>
        </w:rPr>
        <w:t>diciembre</w:t>
      </w:r>
      <w:r w:rsidRPr="00EF3FAC">
        <w:rPr>
          <w:rFonts w:ascii="Book Antiqua" w:eastAsia="Bookman Old Style" w:hAnsi="Book Antiqua" w:cs="Bookman Old Style"/>
          <w:color w:val="000000"/>
          <w:sz w:val="22"/>
          <w:szCs w:val="22"/>
          <w:highlight w:val="white"/>
        </w:rPr>
        <w:t xml:space="preserve"> de 1993.</w:t>
      </w:r>
      <w:r w:rsidRPr="00EF3FAC">
        <w:rPr>
          <w:rFonts w:ascii="Book Antiqua" w:eastAsia="Calibri" w:hAnsi="Book Antiqua" w:cs="Calibri"/>
          <w:color w:val="000000"/>
          <w:sz w:val="22"/>
          <w:szCs w:val="22"/>
        </w:rPr>
        <w:t xml:space="preserve"> </w:t>
      </w:r>
      <w:r w:rsidRPr="00EF3FAC">
        <w:rPr>
          <w:rFonts w:ascii="Book Antiqua" w:eastAsia="Bookman Old Style" w:hAnsi="Book Antiqua" w:cs="Bookman Old Style"/>
          <w:color w:val="000000"/>
          <w:sz w:val="22"/>
          <w:szCs w:val="22"/>
          <w:highlight w:val="white"/>
        </w:rPr>
        <w:t>D.O No. 41.158.</w:t>
      </w:r>
    </w:p>
    <w:p w:rsidR="00A302DD" w:rsidRPr="00EF3FAC" w:rsidRDefault="00E21E6F">
      <w:pPr>
        <w:numPr>
          <w:ilvl w:val="0"/>
          <w:numId w:val="2"/>
        </w:numPr>
        <w:pBdr>
          <w:top w:val="nil"/>
          <w:left w:val="nil"/>
          <w:bottom w:val="nil"/>
          <w:right w:val="nil"/>
          <w:between w:val="nil"/>
        </w:pBdr>
        <w:tabs>
          <w:tab w:val="left" w:pos="4308"/>
        </w:tabs>
        <w:spacing w:line="259" w:lineRule="auto"/>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Ley 336 de 1996. Estatuto General de Transporte.20 de </w:t>
      </w:r>
      <w:proofErr w:type="gramStart"/>
      <w:r w:rsidRPr="00EF3FAC">
        <w:rPr>
          <w:rFonts w:ascii="Book Antiqua" w:eastAsia="Bookman Old Style" w:hAnsi="Book Antiqua" w:cs="Bookman Old Style"/>
          <w:color w:val="000000"/>
          <w:sz w:val="22"/>
          <w:szCs w:val="22"/>
          <w:highlight w:val="white"/>
        </w:rPr>
        <w:t>Diciembre</w:t>
      </w:r>
      <w:proofErr w:type="gramEnd"/>
      <w:r w:rsidRPr="00EF3FAC">
        <w:rPr>
          <w:rFonts w:ascii="Book Antiqua" w:eastAsia="Bookman Old Style" w:hAnsi="Book Antiqua" w:cs="Bookman Old Style"/>
          <w:color w:val="000000"/>
          <w:sz w:val="22"/>
          <w:szCs w:val="22"/>
          <w:highlight w:val="white"/>
        </w:rPr>
        <w:t xml:space="preserve"> de 1996. D.O No. 42.948.</w:t>
      </w:r>
    </w:p>
    <w:p w:rsidR="00A302DD" w:rsidRPr="00EF3FAC" w:rsidRDefault="00E21E6F">
      <w:pPr>
        <w:numPr>
          <w:ilvl w:val="0"/>
          <w:numId w:val="2"/>
        </w:numPr>
        <w:pBdr>
          <w:top w:val="nil"/>
          <w:left w:val="nil"/>
          <w:bottom w:val="nil"/>
          <w:right w:val="nil"/>
          <w:between w:val="nil"/>
        </w:pBdr>
        <w:tabs>
          <w:tab w:val="left" w:pos="4308"/>
        </w:tabs>
        <w:spacing w:line="259" w:lineRule="auto"/>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 xml:space="preserve">Ley 617 de 2000. Por la cual se reforma parcialmente la Ley 136 de 1994, el Decreto Extraordinario 1222 de 1986, se adiciona la </w:t>
      </w:r>
      <w:r w:rsidRPr="00EF3FAC">
        <w:rPr>
          <w:rFonts w:ascii="Book Antiqua" w:eastAsia="Bookman Old Style" w:hAnsi="Book Antiqua" w:cs="Bookman Old Style"/>
          <w:color w:val="000000"/>
          <w:sz w:val="22"/>
          <w:szCs w:val="22"/>
          <w:highlight w:val="white"/>
        </w:rPr>
        <w:t xml:space="preserve">Ley Orgánica de Presupuesto, el Decreto 1421 de 1993, se dictan otras normas tendientes a fortalecer la descentralización, y se dictan normas para la racionalización del gasto público nacional. 06 de </w:t>
      </w:r>
      <w:proofErr w:type="gramStart"/>
      <w:r w:rsidRPr="00EF3FAC">
        <w:rPr>
          <w:rFonts w:ascii="Book Antiqua" w:eastAsia="Bookman Old Style" w:hAnsi="Book Antiqua" w:cs="Bookman Old Style"/>
          <w:color w:val="000000"/>
          <w:sz w:val="22"/>
          <w:szCs w:val="22"/>
          <w:highlight w:val="white"/>
        </w:rPr>
        <w:t>Octubre</w:t>
      </w:r>
      <w:proofErr w:type="gramEnd"/>
      <w:r w:rsidRPr="00EF3FAC">
        <w:rPr>
          <w:rFonts w:ascii="Book Antiqua" w:eastAsia="Bookman Old Style" w:hAnsi="Book Antiqua" w:cs="Bookman Old Style"/>
          <w:color w:val="000000"/>
          <w:sz w:val="22"/>
          <w:szCs w:val="22"/>
          <w:highlight w:val="white"/>
        </w:rPr>
        <w:t xml:space="preserve"> de 2000. D.O. No. 44.188.</w:t>
      </w:r>
    </w:p>
    <w:p w:rsidR="00A302DD" w:rsidRPr="00EF3FAC" w:rsidRDefault="00E21E6F">
      <w:pPr>
        <w:numPr>
          <w:ilvl w:val="0"/>
          <w:numId w:val="2"/>
        </w:numPr>
        <w:pBdr>
          <w:top w:val="nil"/>
          <w:left w:val="nil"/>
          <w:bottom w:val="nil"/>
          <w:right w:val="nil"/>
          <w:between w:val="nil"/>
        </w:pBdr>
        <w:spacing w:line="259" w:lineRule="auto"/>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Código Nacional de Trá</w:t>
      </w:r>
      <w:r w:rsidRPr="00EF3FAC">
        <w:rPr>
          <w:rFonts w:ascii="Book Antiqua" w:eastAsia="Bookman Old Style" w:hAnsi="Book Antiqua" w:cs="Bookman Old Style"/>
          <w:color w:val="000000"/>
          <w:sz w:val="22"/>
          <w:szCs w:val="22"/>
          <w:highlight w:val="white"/>
        </w:rPr>
        <w:t>nsito Terrestre [CNTT]. Ley 769 de 2002. 6 de julio de 2002 (Colombia).</w:t>
      </w:r>
    </w:p>
    <w:p w:rsidR="00A302DD" w:rsidRPr="00EF3FAC" w:rsidRDefault="00A302DD">
      <w:pPr>
        <w:pBdr>
          <w:top w:val="nil"/>
          <w:left w:val="nil"/>
          <w:bottom w:val="nil"/>
          <w:right w:val="nil"/>
          <w:between w:val="nil"/>
        </w:pBdr>
        <w:tabs>
          <w:tab w:val="left" w:pos="4308"/>
        </w:tabs>
        <w:spacing w:line="259" w:lineRule="auto"/>
        <w:ind w:left="720"/>
        <w:jc w:val="both"/>
        <w:rPr>
          <w:rFonts w:ascii="Book Antiqua" w:eastAsia="Bookman Old Style" w:hAnsi="Book Antiqua" w:cs="Bookman Old Style"/>
          <w:color w:val="000000"/>
          <w:sz w:val="22"/>
          <w:szCs w:val="22"/>
          <w:highlight w:val="white"/>
        </w:rPr>
      </w:pPr>
    </w:p>
    <w:p w:rsidR="00A302DD" w:rsidRPr="00EF3FAC" w:rsidRDefault="00E21E6F">
      <w:pPr>
        <w:numPr>
          <w:ilvl w:val="0"/>
          <w:numId w:val="2"/>
        </w:numPr>
        <w:pBdr>
          <w:top w:val="nil"/>
          <w:left w:val="nil"/>
          <w:bottom w:val="nil"/>
          <w:right w:val="nil"/>
          <w:between w:val="nil"/>
        </w:pBdr>
        <w:tabs>
          <w:tab w:val="left" w:pos="4308"/>
        </w:tabs>
        <w:spacing w:line="259" w:lineRule="auto"/>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Ley 1310 de 2009. Mediante la cual se unifican normas sobre agentes de tránsito y transporte y grupos de control vial de las entidades territoriales y se dictan otras disposiciones.26</w:t>
      </w:r>
      <w:r w:rsidRPr="00EF3FAC">
        <w:rPr>
          <w:rFonts w:ascii="Book Antiqua" w:eastAsia="Bookman Old Style" w:hAnsi="Book Antiqua" w:cs="Bookman Old Style"/>
          <w:color w:val="000000"/>
          <w:sz w:val="22"/>
          <w:szCs w:val="22"/>
          <w:highlight w:val="white"/>
        </w:rPr>
        <w:t xml:space="preserve"> de </w:t>
      </w:r>
      <w:proofErr w:type="gramStart"/>
      <w:r w:rsidRPr="00EF3FAC">
        <w:rPr>
          <w:rFonts w:ascii="Book Antiqua" w:eastAsia="Bookman Old Style" w:hAnsi="Book Antiqua" w:cs="Bookman Old Style"/>
          <w:color w:val="000000"/>
          <w:sz w:val="22"/>
          <w:szCs w:val="22"/>
          <w:highlight w:val="white"/>
        </w:rPr>
        <w:t>Junio</w:t>
      </w:r>
      <w:proofErr w:type="gramEnd"/>
      <w:r w:rsidRPr="00EF3FAC">
        <w:rPr>
          <w:rFonts w:ascii="Book Antiqua" w:eastAsia="Bookman Old Style" w:hAnsi="Book Antiqua" w:cs="Bookman Old Style"/>
          <w:color w:val="000000"/>
          <w:sz w:val="22"/>
          <w:szCs w:val="22"/>
          <w:highlight w:val="white"/>
        </w:rPr>
        <w:t xml:space="preserve"> de 2009. D.O No. 47.392.</w:t>
      </w:r>
    </w:p>
    <w:p w:rsidR="00A302DD" w:rsidRPr="00EF3FAC" w:rsidRDefault="00E21E6F">
      <w:pPr>
        <w:numPr>
          <w:ilvl w:val="0"/>
          <w:numId w:val="2"/>
        </w:numPr>
        <w:pBdr>
          <w:top w:val="nil"/>
          <w:left w:val="nil"/>
          <w:bottom w:val="nil"/>
          <w:right w:val="nil"/>
          <w:between w:val="nil"/>
        </w:pBdr>
        <w:tabs>
          <w:tab w:val="left" w:pos="4308"/>
        </w:tabs>
        <w:spacing w:line="259" w:lineRule="auto"/>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lastRenderedPageBreak/>
        <w:t>Resolución 3027 de 2010 [Ministerio de Transporte]. por la cual se actualiza la codificación de las infracciones de tránsito, de conformidad con lo establecido en la Ley 1383 de 2010, se adopta el Manual de Infracciones y</w:t>
      </w:r>
      <w:r w:rsidRPr="00EF3FAC">
        <w:rPr>
          <w:rFonts w:ascii="Book Antiqua" w:eastAsia="Bookman Old Style" w:hAnsi="Book Antiqua" w:cs="Bookman Old Style"/>
          <w:color w:val="000000"/>
          <w:sz w:val="22"/>
          <w:szCs w:val="22"/>
          <w:highlight w:val="white"/>
        </w:rPr>
        <w:t xml:space="preserve"> se dictan otras disposiciones. 29 de julio de 2010.</w:t>
      </w:r>
    </w:p>
    <w:p w:rsidR="00A302DD" w:rsidRPr="00EF3FAC" w:rsidRDefault="00E21E6F">
      <w:pPr>
        <w:numPr>
          <w:ilvl w:val="0"/>
          <w:numId w:val="2"/>
        </w:numPr>
        <w:pBdr>
          <w:top w:val="nil"/>
          <w:left w:val="nil"/>
          <w:bottom w:val="nil"/>
          <w:right w:val="nil"/>
          <w:between w:val="nil"/>
        </w:pBdr>
        <w:tabs>
          <w:tab w:val="left" w:pos="4308"/>
        </w:tabs>
        <w:spacing w:line="259" w:lineRule="auto"/>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Decreto 1079 de 2015 [Ministerio de Transporte].</w:t>
      </w:r>
      <w:r w:rsidRPr="00EF3FAC">
        <w:rPr>
          <w:rFonts w:ascii="Book Antiqua" w:eastAsia="Calibri" w:hAnsi="Book Antiqua" w:cs="Calibri"/>
          <w:color w:val="000000"/>
          <w:sz w:val="22"/>
          <w:szCs w:val="22"/>
        </w:rPr>
        <w:t xml:space="preserve"> </w:t>
      </w:r>
      <w:r w:rsidRPr="00EF3FAC">
        <w:rPr>
          <w:rFonts w:ascii="Book Antiqua" w:eastAsia="Bookman Old Style" w:hAnsi="Book Antiqua" w:cs="Bookman Old Style"/>
          <w:color w:val="000000"/>
          <w:sz w:val="22"/>
          <w:szCs w:val="22"/>
          <w:highlight w:val="white"/>
        </w:rPr>
        <w:t>por medio del cual se expide el Decreto Único Reglamentario del Sector Transporte. 26 de mayo de 2015.</w:t>
      </w:r>
    </w:p>
    <w:p w:rsidR="00A302DD" w:rsidRPr="00EF3FAC" w:rsidRDefault="00E21E6F">
      <w:pPr>
        <w:numPr>
          <w:ilvl w:val="0"/>
          <w:numId w:val="2"/>
        </w:numPr>
        <w:pBdr>
          <w:top w:val="nil"/>
          <w:left w:val="nil"/>
          <w:bottom w:val="nil"/>
          <w:right w:val="nil"/>
          <w:between w:val="nil"/>
        </w:pBdr>
        <w:spacing w:line="259" w:lineRule="auto"/>
        <w:rPr>
          <w:rFonts w:ascii="Book Antiqua" w:eastAsia="Calibri" w:hAnsi="Book Antiqua" w:cs="Calibri"/>
          <w:color w:val="000000"/>
          <w:sz w:val="22"/>
          <w:szCs w:val="22"/>
        </w:rPr>
      </w:pPr>
      <w:r w:rsidRPr="00EF3FAC">
        <w:rPr>
          <w:rFonts w:ascii="Book Antiqua" w:eastAsia="Bookman Old Style" w:hAnsi="Book Antiqua" w:cs="Bookman Old Style"/>
          <w:color w:val="000000"/>
          <w:sz w:val="22"/>
          <w:szCs w:val="22"/>
          <w:highlight w:val="white"/>
        </w:rPr>
        <w:t xml:space="preserve">ANDEMOS: Asociación Nacional de Movilidad Sostenible. </w:t>
      </w:r>
      <w:hyperlink r:id="rId14">
        <w:r w:rsidRPr="00EF3FAC">
          <w:rPr>
            <w:rFonts w:ascii="Book Antiqua" w:eastAsia="Bookman Old Style" w:hAnsi="Book Antiqua" w:cs="Bookman Old Style"/>
            <w:color w:val="000000"/>
            <w:sz w:val="22"/>
            <w:szCs w:val="22"/>
            <w:highlight w:val="white"/>
          </w:rPr>
          <w:t>https://www.andemos.org/index.php/cifras-y-estadisticas-version-2/</w:t>
        </w:r>
      </w:hyperlink>
      <w:r w:rsidRPr="00EF3FAC">
        <w:rPr>
          <w:rFonts w:ascii="Book Antiqua" w:eastAsia="Bookman Old Style" w:hAnsi="Book Antiqua" w:cs="Bookman Old Style"/>
          <w:color w:val="000000"/>
          <w:sz w:val="22"/>
          <w:szCs w:val="22"/>
          <w:highlight w:val="white"/>
        </w:rPr>
        <w:t xml:space="preserve"> </w:t>
      </w:r>
      <w:r w:rsidRPr="00EF3FAC">
        <w:rPr>
          <w:rFonts w:ascii="Book Antiqua" w:eastAsia="Arial" w:hAnsi="Book Antiqua" w:cs="Arial"/>
          <w:color w:val="000000"/>
          <w:sz w:val="22"/>
          <w:szCs w:val="22"/>
        </w:rPr>
        <w:t xml:space="preserve"> </w:t>
      </w:r>
    </w:p>
    <w:p w:rsidR="00A302DD" w:rsidRDefault="00A302DD">
      <w:pPr>
        <w:pBdr>
          <w:top w:val="nil"/>
          <w:left w:val="nil"/>
          <w:bottom w:val="nil"/>
          <w:right w:val="nil"/>
          <w:between w:val="nil"/>
        </w:pBdr>
        <w:tabs>
          <w:tab w:val="left" w:pos="4308"/>
        </w:tabs>
        <w:spacing w:after="160" w:line="259" w:lineRule="auto"/>
        <w:ind w:left="720"/>
        <w:jc w:val="both"/>
        <w:rPr>
          <w:rFonts w:ascii="Book Antiqua" w:eastAsia="Bookman Old Style" w:hAnsi="Book Antiqua" w:cs="Bookman Old Style"/>
          <w:color w:val="000000"/>
          <w:sz w:val="22"/>
          <w:szCs w:val="22"/>
          <w:highlight w:val="white"/>
        </w:rPr>
      </w:pPr>
    </w:p>
    <w:p w:rsidR="00EF3FAC" w:rsidRPr="00EF3FAC" w:rsidRDefault="00EF3FAC">
      <w:pPr>
        <w:pBdr>
          <w:top w:val="nil"/>
          <w:left w:val="nil"/>
          <w:bottom w:val="nil"/>
          <w:right w:val="nil"/>
          <w:between w:val="nil"/>
        </w:pBdr>
        <w:tabs>
          <w:tab w:val="left" w:pos="4308"/>
        </w:tabs>
        <w:spacing w:after="160" w:line="259" w:lineRule="auto"/>
        <w:ind w:left="720"/>
        <w:jc w:val="both"/>
        <w:rPr>
          <w:rFonts w:ascii="Book Antiqua" w:eastAsia="Bookman Old Style" w:hAnsi="Book Antiqua" w:cs="Bookman Old Style"/>
          <w:color w:val="000000"/>
          <w:sz w:val="22"/>
          <w:szCs w:val="22"/>
          <w:highlight w:val="white"/>
        </w:rPr>
      </w:pPr>
      <w:bookmarkStart w:id="2" w:name="_GoBack"/>
      <w:bookmarkEnd w:id="2"/>
    </w:p>
    <w:p w:rsidR="00A302DD" w:rsidRPr="00EF3FAC" w:rsidRDefault="00E21E6F">
      <w:pPr>
        <w:tabs>
          <w:tab w:val="left" w:pos="4308"/>
        </w:tabs>
        <w:jc w:val="both"/>
        <w:rPr>
          <w:rFonts w:ascii="Book Antiqua" w:eastAsia="Bookman Old Style" w:hAnsi="Book Antiqua" w:cs="Bookman Old Style"/>
          <w:color w:val="000000"/>
          <w:sz w:val="22"/>
          <w:szCs w:val="22"/>
          <w:highlight w:val="white"/>
        </w:rPr>
      </w:pPr>
      <w:r w:rsidRPr="00EF3FAC">
        <w:rPr>
          <w:rFonts w:ascii="Book Antiqua" w:eastAsia="Bookman Old Style" w:hAnsi="Book Antiqua" w:cs="Bookman Old Style"/>
          <w:color w:val="000000"/>
          <w:sz w:val="22"/>
          <w:szCs w:val="22"/>
          <w:highlight w:val="white"/>
        </w:rPr>
        <w:t>Del honorable congresista,</w:t>
      </w:r>
    </w:p>
    <w:p w:rsidR="00A302DD" w:rsidRPr="00EF3FAC" w:rsidRDefault="00A302DD">
      <w:pPr>
        <w:tabs>
          <w:tab w:val="left" w:pos="4308"/>
        </w:tabs>
        <w:jc w:val="both"/>
        <w:rPr>
          <w:rFonts w:ascii="Book Antiqua" w:eastAsia="Bookman Old Style" w:hAnsi="Book Antiqua" w:cs="Bookman Old Style"/>
          <w:sz w:val="22"/>
          <w:szCs w:val="22"/>
          <w:highlight w:val="white"/>
        </w:rPr>
      </w:pPr>
    </w:p>
    <w:p w:rsidR="00A302DD" w:rsidRPr="00EF3FAC" w:rsidRDefault="00A302DD">
      <w:pPr>
        <w:tabs>
          <w:tab w:val="left" w:pos="4308"/>
        </w:tabs>
        <w:jc w:val="both"/>
        <w:rPr>
          <w:rFonts w:ascii="Book Antiqua" w:eastAsia="Bookman Old Style" w:hAnsi="Book Antiqua" w:cs="Bookman Old Style"/>
          <w:sz w:val="22"/>
          <w:szCs w:val="22"/>
          <w:highlight w:val="white"/>
        </w:rPr>
      </w:pPr>
    </w:p>
    <w:p w:rsidR="00A302DD" w:rsidRPr="00EF3FAC" w:rsidRDefault="00A302DD">
      <w:pPr>
        <w:tabs>
          <w:tab w:val="left" w:pos="4308"/>
        </w:tabs>
        <w:jc w:val="both"/>
        <w:rPr>
          <w:rFonts w:ascii="Book Antiqua" w:eastAsia="Bookman Old Style" w:hAnsi="Book Antiqua" w:cs="Bookman Old Style"/>
          <w:sz w:val="22"/>
          <w:szCs w:val="22"/>
          <w:highlight w:val="white"/>
        </w:rPr>
      </w:pP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A302DD">
      <w:pPr>
        <w:tabs>
          <w:tab w:val="left" w:pos="4308"/>
        </w:tabs>
        <w:jc w:val="both"/>
        <w:rPr>
          <w:rFonts w:ascii="Book Antiqua" w:eastAsia="Bookman Old Style" w:hAnsi="Book Antiqua" w:cs="Bookman Old Style"/>
          <w:color w:val="000000"/>
          <w:sz w:val="22"/>
          <w:szCs w:val="22"/>
          <w:highlight w:val="white"/>
        </w:rPr>
      </w:pPr>
    </w:p>
    <w:p w:rsidR="00A302DD" w:rsidRPr="00EF3FAC" w:rsidRDefault="00E21E6F">
      <w:pPr>
        <w:jc w:val="both"/>
        <w:rPr>
          <w:rFonts w:ascii="Book Antiqua" w:eastAsia="Bookman Old Style" w:hAnsi="Book Antiqua" w:cs="Bookman Old Style"/>
          <w:b/>
          <w:color w:val="000000"/>
          <w:sz w:val="22"/>
          <w:szCs w:val="22"/>
        </w:rPr>
      </w:pPr>
      <w:r w:rsidRPr="00EF3FAC">
        <w:rPr>
          <w:rFonts w:ascii="Book Antiqua" w:eastAsia="Bookman Old Style" w:hAnsi="Book Antiqua" w:cs="Bookman Old Style"/>
          <w:b/>
          <w:color w:val="000000"/>
          <w:sz w:val="22"/>
          <w:szCs w:val="22"/>
        </w:rPr>
        <w:t>ALVARO LEONEL RUEDA CABALLERO</w:t>
      </w:r>
    </w:p>
    <w:p w:rsidR="00A302DD" w:rsidRPr="00EF3FAC" w:rsidRDefault="00E21E6F">
      <w:pPr>
        <w:jc w:val="both"/>
        <w:rPr>
          <w:rFonts w:ascii="Book Antiqua" w:eastAsia="Bookman Old Style" w:hAnsi="Book Antiqua" w:cs="Bookman Old Style"/>
          <w:color w:val="000000"/>
          <w:sz w:val="22"/>
          <w:szCs w:val="22"/>
        </w:rPr>
      </w:pPr>
      <w:r w:rsidRPr="00EF3FAC">
        <w:rPr>
          <w:rFonts w:ascii="Book Antiqua" w:eastAsia="Bookman Old Style" w:hAnsi="Book Antiqua" w:cs="Bookman Old Style"/>
          <w:color w:val="000000"/>
          <w:sz w:val="22"/>
          <w:szCs w:val="22"/>
        </w:rPr>
        <w:t>Representante a la Cámara por Santander.</w:t>
      </w:r>
    </w:p>
    <w:p w:rsidR="00A302DD" w:rsidRPr="00EF3FAC" w:rsidRDefault="00A302DD">
      <w:pPr>
        <w:jc w:val="both"/>
        <w:rPr>
          <w:rFonts w:ascii="Book Antiqua" w:eastAsia="Bookman Old Style" w:hAnsi="Book Antiqua" w:cs="Bookman Old Style"/>
          <w:sz w:val="22"/>
          <w:szCs w:val="22"/>
        </w:rPr>
      </w:pPr>
    </w:p>
    <w:sectPr w:rsidR="00A302DD" w:rsidRPr="00EF3FAC">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6F" w:rsidRDefault="00E21E6F">
      <w:r>
        <w:separator/>
      </w:r>
    </w:p>
  </w:endnote>
  <w:endnote w:type="continuationSeparator" w:id="0">
    <w:p w:rsidR="00E21E6F" w:rsidRDefault="00E2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DD" w:rsidRDefault="00E21E6F">
    <w:pPr>
      <w:spacing w:before="240" w:after="240"/>
      <w:ind w:left="20"/>
      <w:jc w:val="center"/>
    </w:pPr>
    <w:r>
      <w:rPr>
        <w:rFonts w:ascii="Arial" w:eastAsia="Arial" w:hAnsi="Arial" w:cs="Arial"/>
        <w:sz w:val="16"/>
        <w:szCs w:val="16"/>
      </w:rPr>
      <w:t xml:space="preserve">Edificio Nuevo del Congreso. </w:t>
    </w:r>
    <w:proofErr w:type="spellStart"/>
    <w:r>
      <w:rPr>
        <w:rFonts w:ascii="Arial" w:eastAsia="Arial" w:hAnsi="Arial" w:cs="Arial"/>
        <w:sz w:val="16"/>
        <w:szCs w:val="16"/>
      </w:rPr>
      <w:t>Cra</w:t>
    </w:r>
    <w:proofErr w:type="spellEnd"/>
    <w:r>
      <w:rPr>
        <w:rFonts w:ascii="Arial" w:eastAsia="Arial" w:hAnsi="Arial" w:cs="Arial"/>
        <w:sz w:val="16"/>
        <w:szCs w:val="16"/>
      </w:rPr>
      <w:t xml:space="preserve"> 7 N° 8 - 68. Bogotá D.C</w:t>
    </w:r>
    <w:r>
      <w:rPr>
        <w:rFonts w:ascii="Arial" w:eastAsia="Arial" w:hAnsi="Arial" w:cs="Arial"/>
        <w:sz w:val="16"/>
        <w:szCs w:val="16"/>
      </w:rPr>
      <w:br/>
    </w:r>
    <w:r>
      <w:rPr>
        <w:rFonts w:ascii="Arial" w:eastAsia="Arial" w:hAnsi="Arial" w:cs="Arial"/>
        <w:sz w:val="16"/>
        <w:szCs w:val="16"/>
      </w:rPr>
      <w:t xml:space="preserve">Oficina N° 3 </w:t>
    </w:r>
    <w:proofErr w:type="spellStart"/>
    <w:r>
      <w:rPr>
        <w:rFonts w:ascii="Arial" w:eastAsia="Arial" w:hAnsi="Arial" w:cs="Arial"/>
        <w:sz w:val="16"/>
        <w:szCs w:val="16"/>
      </w:rPr>
      <w:t>Mezzanine</w:t>
    </w:r>
    <w:proofErr w:type="spellEnd"/>
    <w:r>
      <w:rPr>
        <w:rFonts w:ascii="Arial" w:eastAsia="Arial" w:hAnsi="Arial" w:cs="Arial"/>
        <w:sz w:val="16"/>
        <w:szCs w:val="16"/>
      </w:rPr>
      <w:t xml:space="preserve"> Norte. Teléfono (+57) 4325100. Ext 3174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6F" w:rsidRDefault="00E21E6F">
      <w:r>
        <w:separator/>
      </w:r>
    </w:p>
  </w:footnote>
  <w:footnote w:type="continuationSeparator" w:id="0">
    <w:p w:rsidR="00E21E6F" w:rsidRDefault="00E21E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DD" w:rsidRDefault="00E21E6F">
    <w:pPr>
      <w:pBdr>
        <w:top w:val="nil"/>
        <w:left w:val="nil"/>
        <w:bottom w:val="nil"/>
        <w:right w:val="nil"/>
        <w:between w:val="nil"/>
      </w:pBdr>
      <w:tabs>
        <w:tab w:val="center" w:pos="4419"/>
        <w:tab w:val="right" w:pos="8838"/>
      </w:tabs>
      <w:rPr>
        <w:rFonts w:ascii="Calibri" w:eastAsia="Calibri" w:hAnsi="Calibri" w:cs="Calibri"/>
        <w:sz w:val="22"/>
        <w:szCs w:val="22"/>
      </w:rPr>
    </w:pPr>
    <w:r>
      <w:rPr>
        <w:noProof/>
        <w:lang w:eastAsia="es-CO"/>
      </w:rPr>
      <w:drawing>
        <wp:anchor distT="114300" distB="114300" distL="114300" distR="114300" simplePos="0" relativeHeight="251658240" behindDoc="1" locked="0" layoutInCell="1" hidden="0" allowOverlap="1">
          <wp:simplePos x="0" y="0"/>
          <wp:positionH relativeFrom="column">
            <wp:posOffset>619125</wp:posOffset>
          </wp:positionH>
          <wp:positionV relativeFrom="paragraph">
            <wp:posOffset>-76199</wp:posOffset>
          </wp:positionV>
          <wp:extent cx="2505075" cy="80962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r>
      <w:rPr>
        <w:noProof/>
        <w:lang w:eastAsia="es-CO"/>
      </w:rPr>
      <w:drawing>
        <wp:anchor distT="0" distB="0" distL="114300" distR="114300" simplePos="0" relativeHeight="251659264" behindDoc="1" locked="0" layoutInCell="1" hidden="0" allowOverlap="1">
          <wp:simplePos x="0" y="0"/>
          <wp:positionH relativeFrom="column">
            <wp:posOffset>3124200</wp:posOffset>
          </wp:positionH>
          <wp:positionV relativeFrom="paragraph">
            <wp:posOffset>19050</wp:posOffset>
          </wp:positionV>
          <wp:extent cx="2001202" cy="881359"/>
          <wp:effectExtent l="0" t="0" r="0" b="0"/>
          <wp:wrapNone/>
          <wp:docPr id="10" name="image3.png" descr="D:\AINARA LUCIA\Downloads\Logo _Color.png"/>
          <wp:cNvGraphicFramePr/>
          <a:graphic xmlns:a="http://schemas.openxmlformats.org/drawingml/2006/main">
            <a:graphicData uri="http://schemas.openxmlformats.org/drawingml/2006/picture">
              <pic:pic xmlns:pic="http://schemas.openxmlformats.org/drawingml/2006/picture">
                <pic:nvPicPr>
                  <pic:cNvPr id="0" name="image3.png" descr="D:\AINARA LUCIA\Downloads\Logo _Color.png"/>
                  <pic:cNvPicPr preferRelativeResize="0"/>
                </pic:nvPicPr>
                <pic:blipFill>
                  <a:blip r:embed="rId2"/>
                  <a:srcRect l="18802" t="31833" b="26745"/>
                  <a:stretch>
                    <a:fillRect/>
                  </a:stretch>
                </pic:blipFill>
                <pic:spPr>
                  <a:xfrm>
                    <a:off x="0" y="0"/>
                    <a:ext cx="2001202" cy="881359"/>
                  </a:xfrm>
                  <a:prstGeom prst="rect">
                    <a:avLst/>
                  </a:prstGeom>
                  <a:ln/>
                </pic:spPr>
              </pic:pic>
            </a:graphicData>
          </a:graphic>
        </wp:anchor>
      </w:drawing>
    </w:r>
  </w:p>
  <w:p w:rsidR="00A302DD" w:rsidRDefault="00A302DD">
    <w:pPr>
      <w:pBdr>
        <w:top w:val="nil"/>
        <w:left w:val="nil"/>
        <w:bottom w:val="nil"/>
        <w:right w:val="nil"/>
        <w:between w:val="nil"/>
      </w:pBdr>
      <w:tabs>
        <w:tab w:val="center" w:pos="4419"/>
        <w:tab w:val="right" w:pos="8838"/>
      </w:tabs>
      <w:rPr>
        <w:rFonts w:ascii="Calibri" w:eastAsia="Calibri" w:hAnsi="Calibri" w:cs="Calibri"/>
        <w:sz w:val="22"/>
        <w:szCs w:val="22"/>
      </w:rPr>
    </w:pPr>
  </w:p>
  <w:p w:rsidR="00A302DD" w:rsidRDefault="00A302DD">
    <w:pPr>
      <w:pBdr>
        <w:top w:val="nil"/>
        <w:left w:val="nil"/>
        <w:bottom w:val="nil"/>
        <w:right w:val="nil"/>
        <w:between w:val="nil"/>
      </w:pBdr>
      <w:tabs>
        <w:tab w:val="center" w:pos="4419"/>
        <w:tab w:val="right" w:pos="8838"/>
      </w:tabs>
      <w:rPr>
        <w:rFonts w:ascii="Calibri" w:eastAsia="Calibri" w:hAnsi="Calibri" w:cs="Calibri"/>
        <w:sz w:val="22"/>
        <w:szCs w:val="22"/>
      </w:rPr>
    </w:pPr>
  </w:p>
  <w:p w:rsidR="00A302DD" w:rsidRDefault="00A302DD">
    <w:pPr>
      <w:pBdr>
        <w:top w:val="nil"/>
        <w:left w:val="nil"/>
        <w:bottom w:val="nil"/>
        <w:right w:val="nil"/>
        <w:between w:val="nil"/>
      </w:pBdr>
      <w:tabs>
        <w:tab w:val="center" w:pos="4419"/>
        <w:tab w:val="right" w:pos="8838"/>
      </w:tabs>
      <w:rPr>
        <w:rFonts w:ascii="Calibri" w:eastAsia="Calibri" w:hAnsi="Calibri" w:cs="Calibri"/>
        <w:sz w:val="22"/>
        <w:szCs w:val="22"/>
      </w:rPr>
    </w:pPr>
  </w:p>
  <w:p w:rsidR="00A302DD" w:rsidRDefault="00A302DD">
    <w:pPr>
      <w:pBdr>
        <w:top w:val="nil"/>
        <w:left w:val="nil"/>
        <w:bottom w:val="nil"/>
        <w:right w:val="nil"/>
        <w:between w:val="nil"/>
      </w:pBdr>
      <w:tabs>
        <w:tab w:val="center" w:pos="4419"/>
        <w:tab w:val="right" w:pos="8838"/>
      </w:tabs>
      <w:rPr>
        <w:rFonts w:ascii="Calibri" w:eastAsia="Calibri" w:hAnsi="Calibri" w:cs="Calibri"/>
        <w:sz w:val="22"/>
        <w:szCs w:val="22"/>
      </w:rPr>
    </w:pPr>
  </w:p>
  <w:p w:rsidR="00A302DD" w:rsidRDefault="00A302DD">
    <w:pPr>
      <w:pBdr>
        <w:top w:val="nil"/>
        <w:left w:val="nil"/>
        <w:bottom w:val="nil"/>
        <w:right w:val="nil"/>
        <w:between w:val="nil"/>
      </w:pBdr>
      <w:tabs>
        <w:tab w:val="center" w:pos="4419"/>
        <w:tab w:val="right" w:pos="8838"/>
      </w:tabs>
      <w:rPr>
        <w:rFonts w:ascii="Calibri" w:eastAsia="Calibri" w:hAnsi="Calibri" w:cs="Calibri"/>
        <w:sz w:val="22"/>
        <w:szCs w:val="22"/>
      </w:rPr>
    </w:pPr>
  </w:p>
  <w:p w:rsidR="00A302DD" w:rsidRDefault="00A302DD">
    <w:pPr>
      <w:pBdr>
        <w:top w:val="nil"/>
        <w:left w:val="nil"/>
        <w:bottom w:val="nil"/>
        <w:right w:val="nil"/>
        <w:between w:val="nil"/>
      </w:pBdr>
      <w:tabs>
        <w:tab w:val="center" w:pos="4419"/>
        <w:tab w:val="right" w:pos="8838"/>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57EA3"/>
    <w:multiLevelType w:val="multilevel"/>
    <w:tmpl w:val="1F3CB5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05B6BE5"/>
    <w:multiLevelType w:val="multilevel"/>
    <w:tmpl w:val="F68CE84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4FDC663C"/>
    <w:multiLevelType w:val="multilevel"/>
    <w:tmpl w:val="CBD08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9A4A22"/>
    <w:multiLevelType w:val="multilevel"/>
    <w:tmpl w:val="62AE15D0"/>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DD"/>
    <w:rsid w:val="00A302DD"/>
    <w:rsid w:val="00E21E6F"/>
    <w:rsid w:val="00EF3F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E69F"/>
  <w15:docId w15:val="{84452C3D-8CD9-4CA4-AA21-001FEE19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C7"/>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3242C"/>
    <w:pPr>
      <w:spacing w:before="100" w:beforeAutospacing="1" w:after="100" w:afterAutospacing="1"/>
    </w:pPr>
    <w:rPr>
      <w:lang w:val="es-CR" w:eastAsia="es-CR"/>
    </w:rPr>
  </w:style>
  <w:style w:type="character" w:styleId="Hipervnculo">
    <w:name w:val="Hyperlink"/>
    <w:basedOn w:val="Fuentedeprrafopredeter"/>
    <w:uiPriority w:val="99"/>
    <w:semiHidden/>
    <w:unhideWhenUsed/>
    <w:rsid w:val="0024202C"/>
    <w:rPr>
      <w:color w:val="0000FF"/>
      <w:u w:val="single"/>
    </w:rPr>
  </w:style>
  <w:style w:type="character" w:customStyle="1" w:styleId="baj">
    <w:name w:val="b_aj"/>
    <w:basedOn w:val="Fuentedeprrafopredeter"/>
    <w:rsid w:val="0024202C"/>
  </w:style>
  <w:style w:type="paragraph" w:styleId="Encabezado">
    <w:name w:val="header"/>
    <w:basedOn w:val="Normal"/>
    <w:link w:val="EncabezadoCar"/>
    <w:uiPriority w:val="99"/>
    <w:unhideWhenUsed/>
    <w:rsid w:val="00BE2AA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BE2AA4"/>
  </w:style>
  <w:style w:type="paragraph" w:styleId="Piedepgina">
    <w:name w:val="footer"/>
    <w:basedOn w:val="Normal"/>
    <w:link w:val="PiedepginaCar"/>
    <w:uiPriority w:val="99"/>
    <w:unhideWhenUsed/>
    <w:rsid w:val="00BE2AA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BE2AA4"/>
  </w:style>
  <w:style w:type="paragraph" w:styleId="Prrafodelista">
    <w:name w:val="List Paragraph"/>
    <w:basedOn w:val="Normal"/>
    <w:uiPriority w:val="34"/>
    <w:qFormat/>
    <w:rsid w:val="001F0B68"/>
    <w:pPr>
      <w:spacing w:after="160" w:line="259" w:lineRule="auto"/>
      <w:ind w:left="720"/>
      <w:contextualSpacing/>
    </w:pPr>
    <w:rPr>
      <w:rFonts w:asciiTheme="minorHAnsi" w:eastAsiaTheme="minorHAnsi" w:hAnsiTheme="minorHAnsi" w:cstheme="minorBidi"/>
      <w:sz w:val="22"/>
      <w:szCs w:val="22"/>
      <w:lang w:val="es-CR"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F3F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FAC"/>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demos.org/index.php/cifras-y-estadisticas-versio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TuLmSwd9ATZwWlnNFDcqAuhSig==">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5545</Words>
  <Characters>30499</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damaris viviana</dc:creator>
  <cp:lastModifiedBy>Ainara Lucia  Sanchez Melendez UTL</cp:lastModifiedBy>
  <cp:revision>2</cp:revision>
  <cp:lastPrinted>2023-08-29T16:07:00Z</cp:lastPrinted>
  <dcterms:created xsi:type="dcterms:W3CDTF">2022-07-27T22:07:00Z</dcterms:created>
  <dcterms:modified xsi:type="dcterms:W3CDTF">2023-08-29T16:11:00Z</dcterms:modified>
</cp:coreProperties>
</file>