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9C8C" w14:textId="3373524C" w:rsidR="004F271A" w:rsidRPr="00CF50D4" w:rsidRDefault="004F271A" w:rsidP="00CF50D4">
      <w:pPr>
        <w:pStyle w:val="Ttulo1"/>
        <w:numPr>
          <w:ilvl w:val="0"/>
          <w:numId w:val="0"/>
        </w:numPr>
        <w:jc w:val="both"/>
        <w:rPr>
          <w:rFonts w:ascii="Times New Roman" w:hAnsi="Times New Roman" w:cs="Times New Roman"/>
          <w:b w:val="0"/>
          <w:bCs/>
          <w:color w:val="auto"/>
          <w:sz w:val="23"/>
          <w:szCs w:val="23"/>
        </w:rPr>
      </w:pPr>
      <w:r w:rsidRPr="00CF50D4">
        <w:rPr>
          <w:rFonts w:ascii="Times New Roman" w:hAnsi="Times New Roman" w:cs="Times New Roman"/>
          <w:b w:val="0"/>
          <w:bCs/>
          <w:color w:val="auto"/>
          <w:sz w:val="23"/>
          <w:szCs w:val="23"/>
        </w:rPr>
        <w:t xml:space="preserve">Bogotá D.C., </w:t>
      </w:r>
      <w:r w:rsidR="00F8143A" w:rsidRPr="00CF50D4">
        <w:rPr>
          <w:rFonts w:ascii="Times New Roman" w:hAnsi="Times New Roman" w:cs="Times New Roman"/>
          <w:b w:val="0"/>
          <w:bCs/>
          <w:color w:val="auto"/>
          <w:sz w:val="23"/>
          <w:szCs w:val="23"/>
        </w:rPr>
        <w:t>2</w:t>
      </w:r>
      <w:r w:rsidR="00020B2C" w:rsidRPr="00CF50D4">
        <w:rPr>
          <w:rFonts w:ascii="Times New Roman" w:hAnsi="Times New Roman" w:cs="Times New Roman"/>
          <w:b w:val="0"/>
          <w:bCs/>
          <w:color w:val="auto"/>
          <w:sz w:val="23"/>
          <w:szCs w:val="23"/>
        </w:rPr>
        <w:t>5</w:t>
      </w:r>
      <w:r w:rsidRPr="00CF50D4">
        <w:rPr>
          <w:rFonts w:ascii="Times New Roman" w:hAnsi="Times New Roman" w:cs="Times New Roman"/>
          <w:b w:val="0"/>
          <w:bCs/>
          <w:color w:val="auto"/>
          <w:sz w:val="23"/>
          <w:szCs w:val="23"/>
        </w:rPr>
        <w:t xml:space="preserve"> de </w:t>
      </w:r>
      <w:r w:rsidR="00F8143A" w:rsidRPr="00CF50D4">
        <w:rPr>
          <w:rFonts w:ascii="Times New Roman" w:hAnsi="Times New Roman" w:cs="Times New Roman"/>
          <w:b w:val="0"/>
          <w:bCs/>
          <w:color w:val="auto"/>
          <w:sz w:val="23"/>
          <w:szCs w:val="23"/>
        </w:rPr>
        <w:t>julio</w:t>
      </w:r>
      <w:r w:rsidRPr="00CF50D4">
        <w:rPr>
          <w:rFonts w:ascii="Times New Roman" w:hAnsi="Times New Roman" w:cs="Times New Roman"/>
          <w:b w:val="0"/>
          <w:bCs/>
          <w:color w:val="auto"/>
          <w:sz w:val="23"/>
          <w:szCs w:val="23"/>
        </w:rPr>
        <w:t xml:space="preserve"> de 2023</w:t>
      </w:r>
    </w:p>
    <w:p w14:paraId="6E59641C" w14:textId="76627AFB" w:rsidR="004F271A" w:rsidRPr="00CF50D4" w:rsidRDefault="004F271A" w:rsidP="004F271A">
      <w:pPr>
        <w:rPr>
          <w:rFonts w:ascii="Times New Roman" w:hAnsi="Times New Roman" w:cs="Times New Roman"/>
          <w:sz w:val="23"/>
          <w:szCs w:val="23"/>
        </w:rPr>
      </w:pPr>
    </w:p>
    <w:p w14:paraId="3B14F648" w14:textId="2E38EED1" w:rsidR="004F271A" w:rsidRPr="00CF50D4" w:rsidRDefault="004F271A" w:rsidP="004F271A">
      <w:pPr>
        <w:rPr>
          <w:rFonts w:ascii="Times New Roman" w:hAnsi="Times New Roman" w:cs="Times New Roman"/>
          <w:sz w:val="23"/>
          <w:szCs w:val="23"/>
        </w:rPr>
      </w:pPr>
    </w:p>
    <w:p w14:paraId="592E866A" w14:textId="57EE4C4F"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Señor</w:t>
      </w:r>
    </w:p>
    <w:p w14:paraId="13A21604" w14:textId="4B4C6938" w:rsidR="00856C56" w:rsidRPr="00CF50D4" w:rsidRDefault="00856C56" w:rsidP="004F271A">
      <w:pPr>
        <w:rPr>
          <w:rFonts w:ascii="Times New Roman" w:hAnsi="Times New Roman" w:cs="Times New Roman"/>
          <w:b/>
          <w:bCs/>
          <w:sz w:val="23"/>
          <w:szCs w:val="23"/>
        </w:rPr>
      </w:pPr>
      <w:r w:rsidRPr="00CF50D4">
        <w:rPr>
          <w:rFonts w:ascii="Times New Roman" w:hAnsi="Times New Roman" w:cs="Times New Roman"/>
          <w:b/>
          <w:bCs/>
          <w:sz w:val="23"/>
          <w:szCs w:val="23"/>
        </w:rPr>
        <w:t>ANDRÉS DAVID CALLE AGUAS</w:t>
      </w:r>
    </w:p>
    <w:p w14:paraId="170BE460" w14:textId="4FE808B0"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Presidente</w:t>
      </w:r>
    </w:p>
    <w:p w14:paraId="11C233FC" w14:textId="77410232"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Cámara de Representantes</w:t>
      </w:r>
    </w:p>
    <w:p w14:paraId="13FE2EC7" w14:textId="1303B315"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Ciudad</w:t>
      </w:r>
    </w:p>
    <w:p w14:paraId="0FF9DFCF" w14:textId="000BBE01" w:rsidR="004F271A" w:rsidRPr="00CF50D4" w:rsidRDefault="004F271A" w:rsidP="004F271A">
      <w:pPr>
        <w:rPr>
          <w:rFonts w:ascii="Times New Roman" w:hAnsi="Times New Roman" w:cs="Times New Roman"/>
          <w:sz w:val="23"/>
          <w:szCs w:val="23"/>
        </w:rPr>
      </w:pPr>
    </w:p>
    <w:p w14:paraId="4393DF3A" w14:textId="77777777" w:rsidR="00BB4A7B" w:rsidRPr="00CF50D4" w:rsidRDefault="00BB4A7B" w:rsidP="004F271A">
      <w:pPr>
        <w:rPr>
          <w:rFonts w:ascii="Times New Roman" w:hAnsi="Times New Roman" w:cs="Times New Roman"/>
          <w:b/>
          <w:bCs/>
          <w:sz w:val="23"/>
          <w:szCs w:val="23"/>
        </w:rPr>
      </w:pPr>
    </w:p>
    <w:p w14:paraId="5D84C982" w14:textId="0EF12314" w:rsidR="004F271A" w:rsidRPr="00CF50D4" w:rsidRDefault="004F271A" w:rsidP="004F271A">
      <w:pPr>
        <w:rPr>
          <w:rFonts w:ascii="Times New Roman" w:hAnsi="Times New Roman" w:cs="Times New Roman"/>
          <w:b/>
          <w:bCs/>
          <w:sz w:val="23"/>
          <w:szCs w:val="23"/>
        </w:rPr>
      </w:pPr>
      <w:r w:rsidRPr="00CF50D4">
        <w:rPr>
          <w:rFonts w:ascii="Times New Roman" w:hAnsi="Times New Roman" w:cs="Times New Roman"/>
          <w:b/>
          <w:bCs/>
          <w:sz w:val="23"/>
          <w:szCs w:val="23"/>
        </w:rPr>
        <w:t xml:space="preserve">REF: Radicación proyecto de ley “Por la cual se </w:t>
      </w:r>
      <w:r w:rsidR="001C6450" w:rsidRPr="00CF50D4">
        <w:rPr>
          <w:rFonts w:ascii="Times New Roman" w:hAnsi="Times New Roman" w:cs="Times New Roman"/>
          <w:b/>
          <w:bCs/>
          <w:sz w:val="23"/>
          <w:szCs w:val="23"/>
        </w:rPr>
        <w:t>autoriza la creación</w:t>
      </w:r>
      <w:r w:rsidRPr="00CF50D4">
        <w:rPr>
          <w:rFonts w:ascii="Times New Roman" w:hAnsi="Times New Roman" w:cs="Times New Roman"/>
          <w:b/>
          <w:bCs/>
          <w:sz w:val="23"/>
          <w:szCs w:val="23"/>
        </w:rPr>
        <w:t xml:space="preserve"> </w:t>
      </w:r>
      <w:r w:rsidR="001C6450" w:rsidRPr="00CF50D4">
        <w:rPr>
          <w:rFonts w:ascii="Times New Roman" w:hAnsi="Times New Roman" w:cs="Times New Roman"/>
          <w:b/>
          <w:bCs/>
          <w:sz w:val="23"/>
          <w:szCs w:val="23"/>
        </w:rPr>
        <w:t>d</w:t>
      </w:r>
      <w:r w:rsidRPr="00CF50D4">
        <w:rPr>
          <w:rFonts w:ascii="Times New Roman" w:hAnsi="Times New Roman" w:cs="Times New Roman"/>
          <w:b/>
          <w:bCs/>
          <w:sz w:val="23"/>
          <w:szCs w:val="23"/>
        </w:rPr>
        <w:t xml:space="preserve">el fondo Manizales </w:t>
      </w:r>
      <w:r w:rsidR="00020B2C" w:rsidRPr="00CF50D4">
        <w:rPr>
          <w:rFonts w:ascii="Times New Roman" w:hAnsi="Times New Roman" w:cs="Times New Roman"/>
          <w:b/>
          <w:bCs/>
          <w:sz w:val="23"/>
          <w:szCs w:val="23"/>
        </w:rPr>
        <w:t>eje</w:t>
      </w:r>
      <w:r w:rsidRPr="00CF50D4">
        <w:rPr>
          <w:rFonts w:ascii="Times New Roman" w:hAnsi="Times New Roman" w:cs="Times New Roman"/>
          <w:b/>
          <w:bCs/>
          <w:sz w:val="23"/>
          <w:szCs w:val="23"/>
        </w:rPr>
        <w:t xml:space="preserve"> del conocimiento y se dictan otras disposiciones”.</w:t>
      </w:r>
    </w:p>
    <w:p w14:paraId="42CC347A" w14:textId="2F060FE7" w:rsidR="004F271A" w:rsidRPr="00CF50D4" w:rsidRDefault="004F271A" w:rsidP="004F271A">
      <w:pPr>
        <w:rPr>
          <w:rFonts w:ascii="Times New Roman" w:hAnsi="Times New Roman" w:cs="Times New Roman"/>
          <w:sz w:val="23"/>
          <w:szCs w:val="23"/>
        </w:rPr>
      </w:pPr>
    </w:p>
    <w:p w14:paraId="52EA91BE" w14:textId="77777777" w:rsidR="00BB4A7B" w:rsidRPr="00CF50D4" w:rsidRDefault="00BB4A7B" w:rsidP="004F271A">
      <w:pPr>
        <w:rPr>
          <w:rFonts w:ascii="Times New Roman" w:hAnsi="Times New Roman" w:cs="Times New Roman"/>
          <w:sz w:val="23"/>
          <w:szCs w:val="23"/>
        </w:rPr>
      </w:pPr>
    </w:p>
    <w:p w14:paraId="21AC8F44" w14:textId="022EA7DE"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Respetado Presidente,</w:t>
      </w:r>
    </w:p>
    <w:p w14:paraId="025496ED" w14:textId="77777777" w:rsidR="00BB4A7B" w:rsidRPr="00CF50D4" w:rsidRDefault="00BB4A7B" w:rsidP="004F271A">
      <w:pPr>
        <w:rPr>
          <w:rFonts w:ascii="Times New Roman" w:hAnsi="Times New Roman" w:cs="Times New Roman"/>
          <w:sz w:val="23"/>
          <w:szCs w:val="23"/>
        </w:rPr>
      </w:pPr>
    </w:p>
    <w:p w14:paraId="12FF94A9" w14:textId="77777777" w:rsidR="00BB4A7B" w:rsidRPr="00CF50D4" w:rsidRDefault="00BB4A7B" w:rsidP="004F271A">
      <w:pPr>
        <w:rPr>
          <w:rFonts w:ascii="Times New Roman" w:hAnsi="Times New Roman" w:cs="Times New Roman"/>
          <w:sz w:val="23"/>
          <w:szCs w:val="23"/>
        </w:rPr>
      </w:pPr>
    </w:p>
    <w:p w14:paraId="7400E0D7" w14:textId="3ACFF84B"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En uso de las facultades que me confiere la Constitución Política y la ley 5 de 1992, presento a consideración de</w:t>
      </w:r>
      <w:r w:rsidR="00BB4A7B" w:rsidRPr="00CF50D4">
        <w:rPr>
          <w:rFonts w:ascii="Times New Roman" w:hAnsi="Times New Roman" w:cs="Times New Roman"/>
          <w:sz w:val="23"/>
          <w:szCs w:val="23"/>
        </w:rPr>
        <w:t xml:space="preserve"> </w:t>
      </w:r>
      <w:r w:rsidRPr="00CF50D4">
        <w:rPr>
          <w:rFonts w:ascii="Times New Roman" w:hAnsi="Times New Roman" w:cs="Times New Roman"/>
          <w:sz w:val="23"/>
          <w:szCs w:val="23"/>
        </w:rPr>
        <w:t>l</w:t>
      </w:r>
      <w:r w:rsidR="00BB4A7B" w:rsidRPr="00CF50D4">
        <w:rPr>
          <w:rFonts w:ascii="Times New Roman" w:hAnsi="Times New Roman" w:cs="Times New Roman"/>
          <w:sz w:val="23"/>
          <w:szCs w:val="23"/>
        </w:rPr>
        <w:t>a</w:t>
      </w:r>
      <w:r w:rsidRPr="00CF50D4">
        <w:rPr>
          <w:rFonts w:ascii="Times New Roman" w:hAnsi="Times New Roman" w:cs="Times New Roman"/>
          <w:sz w:val="23"/>
          <w:szCs w:val="23"/>
        </w:rPr>
        <w:t xml:space="preserve"> Honorable </w:t>
      </w:r>
      <w:r w:rsidR="00BB4A7B" w:rsidRPr="00CF50D4">
        <w:rPr>
          <w:rFonts w:ascii="Times New Roman" w:hAnsi="Times New Roman" w:cs="Times New Roman"/>
          <w:sz w:val="23"/>
          <w:szCs w:val="23"/>
        </w:rPr>
        <w:t>Cámara de Representantes</w:t>
      </w:r>
      <w:r w:rsidRPr="00CF50D4">
        <w:rPr>
          <w:rFonts w:ascii="Times New Roman" w:hAnsi="Times New Roman" w:cs="Times New Roman"/>
          <w:sz w:val="23"/>
          <w:szCs w:val="23"/>
        </w:rPr>
        <w:t xml:space="preserve"> el proyecto de ley “</w:t>
      </w:r>
      <w:r w:rsidR="001C6450" w:rsidRPr="00CF50D4">
        <w:rPr>
          <w:rFonts w:ascii="Times New Roman" w:hAnsi="Times New Roman" w:cs="Times New Roman"/>
          <w:sz w:val="23"/>
          <w:szCs w:val="23"/>
        </w:rPr>
        <w:t xml:space="preserve">Por la cual se autoriza la creación del fondo Manizales </w:t>
      </w:r>
      <w:r w:rsidR="00020B2C" w:rsidRPr="00CF50D4">
        <w:rPr>
          <w:rFonts w:ascii="Times New Roman" w:hAnsi="Times New Roman" w:cs="Times New Roman"/>
          <w:sz w:val="23"/>
          <w:szCs w:val="23"/>
        </w:rPr>
        <w:t>eje</w:t>
      </w:r>
      <w:r w:rsidR="001C6450" w:rsidRPr="00CF50D4">
        <w:rPr>
          <w:rFonts w:ascii="Times New Roman" w:hAnsi="Times New Roman" w:cs="Times New Roman"/>
          <w:sz w:val="23"/>
          <w:szCs w:val="23"/>
        </w:rPr>
        <w:t xml:space="preserve"> del conocimiento y se dictan otras disposiciones</w:t>
      </w:r>
      <w:r w:rsidRPr="00CF50D4">
        <w:rPr>
          <w:rFonts w:ascii="Times New Roman" w:hAnsi="Times New Roman" w:cs="Times New Roman"/>
          <w:sz w:val="23"/>
          <w:szCs w:val="23"/>
        </w:rPr>
        <w:t>”.</w:t>
      </w:r>
    </w:p>
    <w:p w14:paraId="1EFBD60F" w14:textId="77777777" w:rsidR="004F271A" w:rsidRPr="00CF50D4" w:rsidRDefault="004F271A" w:rsidP="004F271A">
      <w:pPr>
        <w:rPr>
          <w:rFonts w:ascii="Times New Roman" w:hAnsi="Times New Roman" w:cs="Times New Roman"/>
          <w:sz w:val="23"/>
          <w:szCs w:val="23"/>
        </w:rPr>
      </w:pPr>
    </w:p>
    <w:p w14:paraId="79F73AC0" w14:textId="77777777" w:rsidR="00BB4A7B" w:rsidRPr="00CF50D4" w:rsidRDefault="00BB4A7B" w:rsidP="004F271A">
      <w:pPr>
        <w:rPr>
          <w:rFonts w:ascii="Times New Roman" w:hAnsi="Times New Roman" w:cs="Times New Roman"/>
          <w:sz w:val="23"/>
          <w:szCs w:val="23"/>
        </w:rPr>
      </w:pPr>
    </w:p>
    <w:p w14:paraId="60BEA0B3" w14:textId="7C3E5E62"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Firma,</w:t>
      </w:r>
    </w:p>
    <w:p w14:paraId="79DAFAA4" w14:textId="78D20012" w:rsidR="00362F88" w:rsidRPr="00CF50D4" w:rsidRDefault="00362F88" w:rsidP="004F271A">
      <w:pPr>
        <w:rPr>
          <w:rFonts w:ascii="Times New Roman" w:hAnsi="Times New Roman" w:cs="Times New Roman"/>
          <w:sz w:val="23"/>
          <w:szCs w:val="23"/>
        </w:rPr>
      </w:pPr>
    </w:p>
    <w:p w14:paraId="66913917" w14:textId="416E912A" w:rsidR="00362F88" w:rsidRPr="00CF50D4" w:rsidRDefault="00362F88" w:rsidP="004F271A">
      <w:pPr>
        <w:rPr>
          <w:rFonts w:ascii="Times New Roman" w:hAnsi="Times New Roman" w:cs="Times New Roman"/>
          <w:sz w:val="23"/>
          <w:szCs w:val="23"/>
        </w:rPr>
      </w:pPr>
    </w:p>
    <w:p w14:paraId="153743C2" w14:textId="0D0FFC59" w:rsidR="004F271A" w:rsidRPr="00CF50D4" w:rsidRDefault="004F271A" w:rsidP="004F271A">
      <w:pPr>
        <w:rPr>
          <w:rFonts w:ascii="Times New Roman" w:hAnsi="Times New Roman" w:cs="Times New Roman"/>
          <w:sz w:val="23"/>
          <w:szCs w:val="23"/>
        </w:rPr>
      </w:pPr>
    </w:p>
    <w:p w14:paraId="22B23D8F" w14:textId="77777777" w:rsidR="004F271A" w:rsidRPr="00CF50D4" w:rsidRDefault="004F271A" w:rsidP="004F271A">
      <w:pPr>
        <w:rPr>
          <w:rFonts w:ascii="Times New Roman" w:hAnsi="Times New Roman" w:cs="Times New Roman"/>
          <w:sz w:val="23"/>
          <w:szCs w:val="23"/>
        </w:rPr>
      </w:pPr>
    </w:p>
    <w:p w14:paraId="0C27D1F7" w14:textId="042F3934" w:rsidR="004F271A" w:rsidRPr="00CF50D4" w:rsidRDefault="004F271A" w:rsidP="004F271A">
      <w:pPr>
        <w:rPr>
          <w:rFonts w:ascii="Times New Roman" w:hAnsi="Times New Roman" w:cs="Times New Roman"/>
          <w:b/>
          <w:bCs/>
          <w:sz w:val="23"/>
          <w:szCs w:val="23"/>
        </w:rPr>
      </w:pPr>
      <w:r w:rsidRPr="00CF50D4">
        <w:rPr>
          <w:rFonts w:ascii="Times New Roman" w:hAnsi="Times New Roman" w:cs="Times New Roman"/>
          <w:b/>
          <w:bCs/>
          <w:sz w:val="23"/>
          <w:szCs w:val="23"/>
        </w:rPr>
        <w:t>GUIDO ECHEVERRI PIEDRAHITA</w:t>
      </w:r>
    </w:p>
    <w:p w14:paraId="169CD3C2" w14:textId="7EF4379D" w:rsidR="004F271A" w:rsidRPr="00CF50D4" w:rsidRDefault="004F271A" w:rsidP="004F271A">
      <w:pPr>
        <w:rPr>
          <w:rFonts w:ascii="Times New Roman" w:hAnsi="Times New Roman" w:cs="Times New Roman"/>
          <w:sz w:val="23"/>
          <w:szCs w:val="23"/>
        </w:rPr>
      </w:pPr>
      <w:r w:rsidRPr="00CF50D4">
        <w:rPr>
          <w:rFonts w:ascii="Times New Roman" w:hAnsi="Times New Roman" w:cs="Times New Roman"/>
          <w:sz w:val="23"/>
          <w:szCs w:val="23"/>
        </w:rPr>
        <w:t>Senador de la República</w:t>
      </w:r>
    </w:p>
    <w:p w14:paraId="156CDDD1" w14:textId="4D6D6581" w:rsidR="00BB4A7B" w:rsidRDefault="00BB4A7B" w:rsidP="004F271A"/>
    <w:p w14:paraId="78DBEFBC" w14:textId="2888F263" w:rsidR="00856C56" w:rsidRDefault="00856C56" w:rsidP="004F271A"/>
    <w:p w14:paraId="6EA9FA18" w14:textId="09EC4C81" w:rsidR="00CF50D4" w:rsidRDefault="00CF50D4" w:rsidP="004F271A"/>
    <w:p w14:paraId="07A3FC01" w14:textId="77777777" w:rsidR="00BB4A7B" w:rsidRPr="00CF50D4" w:rsidRDefault="00BB4A7B" w:rsidP="00CF50D4">
      <w:pPr>
        <w:spacing w:line="276" w:lineRule="auto"/>
        <w:jc w:val="center"/>
        <w:rPr>
          <w:rFonts w:ascii="Times New Roman" w:hAnsi="Times New Roman" w:cs="Times New Roman"/>
          <w:b/>
          <w:bCs/>
          <w:sz w:val="23"/>
          <w:szCs w:val="23"/>
        </w:rPr>
      </w:pPr>
      <w:r w:rsidRPr="00CF50D4">
        <w:rPr>
          <w:rFonts w:ascii="Times New Roman" w:hAnsi="Times New Roman" w:cs="Times New Roman"/>
          <w:b/>
          <w:bCs/>
          <w:sz w:val="23"/>
          <w:szCs w:val="23"/>
        </w:rPr>
        <w:lastRenderedPageBreak/>
        <w:t xml:space="preserve">Proyecto de ley </w:t>
      </w:r>
      <w:proofErr w:type="spellStart"/>
      <w:r w:rsidRPr="00CF50D4">
        <w:rPr>
          <w:rFonts w:ascii="Times New Roman" w:hAnsi="Times New Roman" w:cs="Times New Roman"/>
          <w:b/>
          <w:bCs/>
          <w:sz w:val="23"/>
          <w:szCs w:val="23"/>
        </w:rPr>
        <w:t>Nº</w:t>
      </w:r>
      <w:proofErr w:type="spellEnd"/>
      <w:r w:rsidRPr="00CF50D4">
        <w:rPr>
          <w:rFonts w:ascii="Times New Roman" w:hAnsi="Times New Roman" w:cs="Times New Roman"/>
          <w:b/>
          <w:bCs/>
          <w:sz w:val="23"/>
          <w:szCs w:val="23"/>
        </w:rPr>
        <w:t xml:space="preserve"> _____ de 2023</w:t>
      </w:r>
    </w:p>
    <w:p w14:paraId="3A464478" w14:textId="77777777" w:rsidR="00BB4A7B" w:rsidRPr="00CF50D4" w:rsidRDefault="00BB4A7B" w:rsidP="00CF50D4">
      <w:pPr>
        <w:spacing w:line="276" w:lineRule="auto"/>
        <w:jc w:val="center"/>
        <w:rPr>
          <w:rFonts w:ascii="Times New Roman" w:hAnsi="Times New Roman" w:cs="Times New Roman"/>
          <w:b/>
          <w:bCs/>
          <w:sz w:val="23"/>
          <w:szCs w:val="23"/>
        </w:rPr>
      </w:pPr>
    </w:p>
    <w:p w14:paraId="1F7B7184" w14:textId="3404B362" w:rsidR="00BB4A7B" w:rsidRPr="00CF50D4" w:rsidRDefault="00BB4A7B" w:rsidP="00CF50D4">
      <w:pPr>
        <w:spacing w:line="276" w:lineRule="auto"/>
        <w:jc w:val="center"/>
        <w:rPr>
          <w:rFonts w:ascii="Times New Roman" w:hAnsi="Times New Roman" w:cs="Times New Roman"/>
          <w:b/>
          <w:bCs/>
          <w:sz w:val="23"/>
          <w:szCs w:val="23"/>
        </w:rPr>
      </w:pPr>
      <w:r w:rsidRPr="00CF50D4">
        <w:rPr>
          <w:rFonts w:ascii="Times New Roman" w:hAnsi="Times New Roman" w:cs="Times New Roman"/>
          <w:b/>
          <w:bCs/>
          <w:sz w:val="23"/>
          <w:szCs w:val="23"/>
        </w:rPr>
        <w:t>“</w:t>
      </w:r>
      <w:r w:rsidR="001C6450" w:rsidRPr="00CF50D4">
        <w:rPr>
          <w:rFonts w:ascii="Times New Roman" w:hAnsi="Times New Roman" w:cs="Times New Roman"/>
          <w:b/>
          <w:bCs/>
          <w:sz w:val="23"/>
          <w:szCs w:val="23"/>
        </w:rPr>
        <w:t xml:space="preserve">Por la cual se autoriza la creación del fondo Manizales </w:t>
      </w:r>
      <w:r w:rsidR="00020B2C" w:rsidRPr="00CF50D4">
        <w:rPr>
          <w:rFonts w:ascii="Times New Roman" w:hAnsi="Times New Roman" w:cs="Times New Roman"/>
          <w:b/>
          <w:bCs/>
          <w:sz w:val="23"/>
          <w:szCs w:val="23"/>
        </w:rPr>
        <w:t>eje</w:t>
      </w:r>
      <w:r w:rsidR="001C6450" w:rsidRPr="00CF50D4">
        <w:rPr>
          <w:rFonts w:ascii="Times New Roman" w:hAnsi="Times New Roman" w:cs="Times New Roman"/>
          <w:b/>
          <w:bCs/>
          <w:sz w:val="23"/>
          <w:szCs w:val="23"/>
        </w:rPr>
        <w:t xml:space="preserve"> del conocimiento y se dictan otras disposiciones</w:t>
      </w:r>
      <w:r w:rsidRPr="00CF50D4">
        <w:rPr>
          <w:rFonts w:ascii="Times New Roman" w:hAnsi="Times New Roman" w:cs="Times New Roman"/>
          <w:b/>
          <w:bCs/>
          <w:sz w:val="23"/>
          <w:szCs w:val="23"/>
        </w:rPr>
        <w:t>”</w:t>
      </w:r>
    </w:p>
    <w:p w14:paraId="1A54B63E" w14:textId="34BD78A6" w:rsidR="00BB4A7B" w:rsidRPr="00CF50D4" w:rsidRDefault="00BB4A7B" w:rsidP="00CF50D4">
      <w:pPr>
        <w:spacing w:line="276" w:lineRule="auto"/>
        <w:jc w:val="center"/>
        <w:rPr>
          <w:rFonts w:ascii="Times New Roman" w:hAnsi="Times New Roman" w:cs="Times New Roman"/>
          <w:sz w:val="23"/>
          <w:szCs w:val="23"/>
        </w:rPr>
      </w:pPr>
    </w:p>
    <w:p w14:paraId="63CA55F7" w14:textId="51BE1D39" w:rsidR="00BB4A7B" w:rsidRPr="00CF50D4" w:rsidRDefault="00BB4A7B" w:rsidP="00CF50D4">
      <w:pPr>
        <w:spacing w:line="276" w:lineRule="auto"/>
        <w:jc w:val="center"/>
        <w:rPr>
          <w:rFonts w:ascii="Times New Roman" w:hAnsi="Times New Roman" w:cs="Times New Roman"/>
          <w:sz w:val="23"/>
          <w:szCs w:val="23"/>
        </w:rPr>
      </w:pPr>
      <w:r w:rsidRPr="00CF50D4">
        <w:rPr>
          <w:rFonts w:ascii="Times New Roman" w:hAnsi="Times New Roman" w:cs="Times New Roman"/>
          <w:sz w:val="23"/>
          <w:szCs w:val="23"/>
        </w:rPr>
        <w:t>EL CONGRESO DE COLOMBIA</w:t>
      </w:r>
    </w:p>
    <w:p w14:paraId="0573EC34" w14:textId="4B3927DC" w:rsidR="00BB4A7B" w:rsidRPr="00CF50D4" w:rsidRDefault="00BB4A7B" w:rsidP="00CF50D4">
      <w:pPr>
        <w:spacing w:line="276" w:lineRule="auto"/>
        <w:jc w:val="center"/>
        <w:rPr>
          <w:rFonts w:ascii="Times New Roman" w:hAnsi="Times New Roman" w:cs="Times New Roman"/>
          <w:sz w:val="23"/>
          <w:szCs w:val="23"/>
        </w:rPr>
      </w:pPr>
    </w:p>
    <w:p w14:paraId="6ABAF9C3" w14:textId="6E8E944F" w:rsidR="00BB4A7B" w:rsidRPr="00CF50D4" w:rsidRDefault="00BB4A7B" w:rsidP="00CF50D4">
      <w:pPr>
        <w:spacing w:line="276" w:lineRule="auto"/>
        <w:jc w:val="center"/>
        <w:rPr>
          <w:rFonts w:ascii="Times New Roman" w:hAnsi="Times New Roman" w:cs="Times New Roman"/>
          <w:sz w:val="23"/>
          <w:szCs w:val="23"/>
        </w:rPr>
      </w:pPr>
      <w:r w:rsidRPr="00CF50D4">
        <w:rPr>
          <w:rFonts w:ascii="Times New Roman" w:hAnsi="Times New Roman" w:cs="Times New Roman"/>
          <w:sz w:val="23"/>
          <w:szCs w:val="23"/>
        </w:rPr>
        <w:t>DECRETA</w:t>
      </w:r>
    </w:p>
    <w:p w14:paraId="73F91FE4" w14:textId="374974C6" w:rsidR="00BB4A7B" w:rsidRPr="00CF50D4" w:rsidRDefault="00BB4A7B" w:rsidP="00CF50D4">
      <w:pPr>
        <w:spacing w:line="276" w:lineRule="auto"/>
        <w:jc w:val="center"/>
        <w:rPr>
          <w:rFonts w:ascii="Times New Roman" w:hAnsi="Times New Roman" w:cs="Times New Roman"/>
          <w:sz w:val="23"/>
          <w:szCs w:val="23"/>
        </w:rPr>
      </w:pPr>
    </w:p>
    <w:p w14:paraId="274A9684" w14:textId="3180F159"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1. Objeto.</w:t>
      </w:r>
      <w:r w:rsidRPr="00CF50D4">
        <w:rPr>
          <w:rFonts w:ascii="Times New Roman" w:hAnsi="Times New Roman" w:cs="Times New Roman"/>
          <w:sz w:val="23"/>
          <w:szCs w:val="23"/>
        </w:rPr>
        <w:t xml:space="preserve"> La presente ley </w:t>
      </w:r>
      <w:r w:rsidR="00F8143A" w:rsidRPr="00CF50D4">
        <w:rPr>
          <w:rFonts w:ascii="Times New Roman" w:hAnsi="Times New Roman" w:cs="Times New Roman"/>
          <w:sz w:val="23"/>
          <w:szCs w:val="23"/>
        </w:rPr>
        <w:t xml:space="preserve">faculta </w:t>
      </w:r>
      <w:r w:rsidR="00566451" w:rsidRPr="00CF50D4">
        <w:rPr>
          <w:rFonts w:ascii="Times New Roman" w:hAnsi="Times New Roman" w:cs="Times New Roman"/>
          <w:sz w:val="23"/>
          <w:szCs w:val="23"/>
        </w:rPr>
        <w:t xml:space="preserve">al municipio de Manizales </w:t>
      </w:r>
      <w:r w:rsidR="00F8143A" w:rsidRPr="00CF50D4">
        <w:rPr>
          <w:rFonts w:ascii="Times New Roman" w:hAnsi="Times New Roman" w:cs="Times New Roman"/>
          <w:sz w:val="23"/>
          <w:szCs w:val="23"/>
        </w:rPr>
        <w:t xml:space="preserve">para </w:t>
      </w:r>
      <w:r w:rsidRPr="00CF50D4">
        <w:rPr>
          <w:rFonts w:ascii="Times New Roman" w:hAnsi="Times New Roman" w:cs="Times New Roman"/>
          <w:sz w:val="23"/>
          <w:szCs w:val="23"/>
        </w:rPr>
        <w:t>crea</w:t>
      </w:r>
      <w:r w:rsidR="00F8143A" w:rsidRPr="00CF50D4">
        <w:rPr>
          <w:rFonts w:ascii="Times New Roman" w:hAnsi="Times New Roman" w:cs="Times New Roman"/>
          <w:sz w:val="23"/>
          <w:szCs w:val="23"/>
        </w:rPr>
        <w:t>r</w:t>
      </w:r>
      <w:r w:rsidRPr="00CF50D4">
        <w:rPr>
          <w:rFonts w:ascii="Times New Roman" w:hAnsi="Times New Roman" w:cs="Times New Roman"/>
          <w:sz w:val="23"/>
          <w:szCs w:val="23"/>
        </w:rPr>
        <w:t xml:space="preserve"> el </w:t>
      </w:r>
      <w:r w:rsidR="00CF50D4" w:rsidRPr="00CF50D4">
        <w:rPr>
          <w:rFonts w:ascii="Times New Roman" w:hAnsi="Times New Roman" w:cs="Times New Roman"/>
          <w:sz w:val="23"/>
          <w:szCs w:val="23"/>
        </w:rPr>
        <w:t>‘F</w:t>
      </w:r>
      <w:r w:rsidRPr="00CF50D4">
        <w:rPr>
          <w:rFonts w:ascii="Times New Roman" w:hAnsi="Times New Roman" w:cs="Times New Roman"/>
          <w:sz w:val="23"/>
          <w:szCs w:val="23"/>
        </w:rPr>
        <w:t xml:space="preserve">ondo Manizales </w:t>
      </w:r>
      <w:r w:rsidR="00020B2C" w:rsidRPr="00CF50D4">
        <w:rPr>
          <w:rFonts w:ascii="Times New Roman" w:hAnsi="Times New Roman" w:cs="Times New Roman"/>
          <w:sz w:val="23"/>
          <w:szCs w:val="23"/>
        </w:rPr>
        <w:t>eje</w:t>
      </w:r>
      <w:r w:rsidRPr="00CF50D4">
        <w:rPr>
          <w:rFonts w:ascii="Times New Roman" w:hAnsi="Times New Roman" w:cs="Times New Roman"/>
          <w:sz w:val="23"/>
          <w:szCs w:val="23"/>
        </w:rPr>
        <w:t xml:space="preserve"> del </w:t>
      </w:r>
      <w:r w:rsidR="00CF50D4" w:rsidRPr="00CF50D4">
        <w:rPr>
          <w:rFonts w:ascii="Times New Roman" w:hAnsi="Times New Roman" w:cs="Times New Roman"/>
          <w:sz w:val="23"/>
          <w:szCs w:val="23"/>
        </w:rPr>
        <w:t>c</w:t>
      </w:r>
      <w:r w:rsidRPr="00CF50D4">
        <w:rPr>
          <w:rFonts w:ascii="Times New Roman" w:hAnsi="Times New Roman" w:cs="Times New Roman"/>
          <w:sz w:val="23"/>
          <w:szCs w:val="23"/>
        </w:rPr>
        <w:t>onocimiento</w:t>
      </w:r>
      <w:r w:rsidR="00CF50D4" w:rsidRPr="00CF50D4">
        <w:rPr>
          <w:rFonts w:ascii="Times New Roman" w:hAnsi="Times New Roman" w:cs="Times New Roman"/>
          <w:sz w:val="23"/>
          <w:szCs w:val="23"/>
        </w:rPr>
        <w:t>’</w:t>
      </w:r>
      <w:r w:rsidRPr="00CF50D4">
        <w:rPr>
          <w:rFonts w:ascii="Times New Roman" w:hAnsi="Times New Roman" w:cs="Times New Roman"/>
          <w:sz w:val="23"/>
          <w:szCs w:val="23"/>
        </w:rPr>
        <w:t>,</w:t>
      </w:r>
      <w:r w:rsidR="00F8143A" w:rsidRPr="00CF50D4">
        <w:rPr>
          <w:rFonts w:ascii="Times New Roman" w:hAnsi="Times New Roman" w:cs="Times New Roman"/>
          <w:sz w:val="23"/>
          <w:szCs w:val="23"/>
        </w:rPr>
        <w:t xml:space="preserve"> con concurrencia de la nación,</w:t>
      </w:r>
      <w:r w:rsidRPr="00CF50D4">
        <w:rPr>
          <w:rFonts w:ascii="Times New Roman" w:hAnsi="Times New Roman" w:cs="Times New Roman"/>
          <w:sz w:val="23"/>
          <w:szCs w:val="23"/>
        </w:rPr>
        <w:t xml:space="preserve"> </w:t>
      </w:r>
      <w:r w:rsidR="0078450D" w:rsidRPr="00CF50D4">
        <w:rPr>
          <w:rFonts w:ascii="Times New Roman" w:hAnsi="Times New Roman" w:cs="Times New Roman"/>
          <w:sz w:val="23"/>
          <w:szCs w:val="23"/>
        </w:rPr>
        <w:t>cuyo</w:t>
      </w:r>
      <w:r w:rsidRPr="00CF50D4">
        <w:rPr>
          <w:rFonts w:ascii="Times New Roman" w:hAnsi="Times New Roman" w:cs="Times New Roman"/>
          <w:sz w:val="23"/>
          <w:szCs w:val="23"/>
        </w:rPr>
        <w:t xml:space="preserve"> fin </w:t>
      </w:r>
      <w:r w:rsidR="00F8143A" w:rsidRPr="00CF50D4">
        <w:rPr>
          <w:rFonts w:ascii="Times New Roman" w:hAnsi="Times New Roman" w:cs="Times New Roman"/>
          <w:sz w:val="23"/>
          <w:szCs w:val="23"/>
        </w:rPr>
        <w:t>es</w:t>
      </w:r>
      <w:r w:rsidRPr="00CF50D4">
        <w:rPr>
          <w:rFonts w:ascii="Times New Roman" w:hAnsi="Times New Roman" w:cs="Times New Roman"/>
          <w:sz w:val="23"/>
          <w:szCs w:val="23"/>
        </w:rPr>
        <w:t xml:space="preserve"> promover el acceso y la permanencia en el sistema de educación superior en los niveles de tecnólogo, tecnológico</w:t>
      </w:r>
      <w:r w:rsidR="00C21BBC" w:rsidRPr="00CF50D4">
        <w:rPr>
          <w:rFonts w:ascii="Times New Roman" w:hAnsi="Times New Roman" w:cs="Times New Roman"/>
          <w:sz w:val="23"/>
          <w:szCs w:val="23"/>
        </w:rPr>
        <w:t xml:space="preserve">, </w:t>
      </w:r>
      <w:r w:rsidRPr="00CF50D4">
        <w:rPr>
          <w:rFonts w:ascii="Times New Roman" w:hAnsi="Times New Roman" w:cs="Times New Roman"/>
          <w:sz w:val="23"/>
          <w:szCs w:val="23"/>
        </w:rPr>
        <w:t>universitario</w:t>
      </w:r>
      <w:r w:rsidR="00F8143A" w:rsidRPr="00CF50D4">
        <w:rPr>
          <w:rFonts w:ascii="Times New Roman" w:hAnsi="Times New Roman" w:cs="Times New Roman"/>
          <w:sz w:val="23"/>
          <w:szCs w:val="23"/>
        </w:rPr>
        <w:t xml:space="preserve">, </w:t>
      </w:r>
      <w:r w:rsidRPr="00CF50D4">
        <w:rPr>
          <w:rFonts w:ascii="Times New Roman" w:hAnsi="Times New Roman" w:cs="Times New Roman"/>
          <w:sz w:val="23"/>
          <w:szCs w:val="23"/>
        </w:rPr>
        <w:t>especialización, maestría y doctorado, así como también la promoción y ejecución de alianzas</w:t>
      </w:r>
      <w:r w:rsidR="0078450D" w:rsidRPr="00CF50D4">
        <w:rPr>
          <w:rFonts w:ascii="Times New Roman" w:hAnsi="Times New Roman" w:cs="Times New Roman"/>
          <w:sz w:val="23"/>
          <w:szCs w:val="23"/>
        </w:rPr>
        <w:t xml:space="preserve">, </w:t>
      </w:r>
      <w:r w:rsidRPr="00CF50D4">
        <w:rPr>
          <w:rFonts w:ascii="Times New Roman" w:hAnsi="Times New Roman" w:cs="Times New Roman"/>
          <w:sz w:val="23"/>
          <w:szCs w:val="23"/>
        </w:rPr>
        <w:t>convenios</w:t>
      </w:r>
      <w:r w:rsidR="0078450D" w:rsidRPr="00CF50D4">
        <w:rPr>
          <w:rFonts w:ascii="Times New Roman" w:hAnsi="Times New Roman" w:cs="Times New Roman"/>
          <w:sz w:val="23"/>
          <w:szCs w:val="23"/>
        </w:rPr>
        <w:t xml:space="preserve"> y/o contratos con </w:t>
      </w:r>
      <w:r w:rsidR="0037668E" w:rsidRPr="00CF50D4">
        <w:rPr>
          <w:rFonts w:ascii="Times New Roman" w:hAnsi="Times New Roman" w:cs="Times New Roman"/>
          <w:sz w:val="23"/>
          <w:szCs w:val="23"/>
        </w:rPr>
        <w:t xml:space="preserve">otras entidades territoriales, </w:t>
      </w:r>
      <w:r w:rsidR="0078450D" w:rsidRPr="00CF50D4">
        <w:rPr>
          <w:rFonts w:ascii="Times New Roman" w:hAnsi="Times New Roman" w:cs="Times New Roman"/>
          <w:sz w:val="23"/>
          <w:szCs w:val="23"/>
        </w:rPr>
        <w:t>instituciones de educación superior y entidades públicas o personas jurídicas con competencia en ciencia y tecnología</w:t>
      </w:r>
      <w:r w:rsidRPr="00CF50D4">
        <w:rPr>
          <w:rFonts w:ascii="Times New Roman" w:hAnsi="Times New Roman" w:cs="Times New Roman"/>
          <w:sz w:val="23"/>
          <w:szCs w:val="23"/>
        </w:rPr>
        <w:t>.</w:t>
      </w:r>
    </w:p>
    <w:p w14:paraId="737D0617" w14:textId="77777777" w:rsidR="00BB4A7B" w:rsidRPr="00CF50D4" w:rsidRDefault="00BB4A7B" w:rsidP="00CF50D4">
      <w:pPr>
        <w:spacing w:line="276" w:lineRule="auto"/>
        <w:rPr>
          <w:rFonts w:ascii="Times New Roman" w:hAnsi="Times New Roman" w:cs="Times New Roman"/>
          <w:sz w:val="23"/>
          <w:szCs w:val="23"/>
        </w:rPr>
      </w:pPr>
    </w:p>
    <w:p w14:paraId="52A881D6" w14:textId="7C288DFE"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2. Creación del fondo.</w:t>
      </w:r>
      <w:r w:rsidRPr="00CF50D4">
        <w:rPr>
          <w:rFonts w:ascii="Times New Roman" w:hAnsi="Times New Roman" w:cs="Times New Roman"/>
          <w:sz w:val="23"/>
          <w:szCs w:val="23"/>
        </w:rPr>
        <w:t xml:space="preserve"> </w:t>
      </w:r>
      <w:r w:rsidR="00CA3A76" w:rsidRPr="00CF50D4">
        <w:rPr>
          <w:rFonts w:ascii="Times New Roman" w:hAnsi="Times New Roman" w:cs="Times New Roman"/>
          <w:sz w:val="23"/>
          <w:szCs w:val="23"/>
        </w:rPr>
        <w:t>Facúltese</w:t>
      </w:r>
      <w:r w:rsidRPr="00CF50D4">
        <w:rPr>
          <w:rFonts w:ascii="Times New Roman" w:hAnsi="Times New Roman" w:cs="Times New Roman"/>
          <w:sz w:val="23"/>
          <w:szCs w:val="23"/>
        </w:rPr>
        <w:t xml:space="preserve"> </w:t>
      </w:r>
      <w:r w:rsidR="00C21BBC" w:rsidRPr="00CF50D4">
        <w:rPr>
          <w:rFonts w:ascii="Times New Roman" w:hAnsi="Times New Roman" w:cs="Times New Roman"/>
          <w:sz w:val="23"/>
          <w:szCs w:val="23"/>
        </w:rPr>
        <w:t>a</w:t>
      </w:r>
      <w:r w:rsidR="00CA3A76" w:rsidRPr="00CF50D4">
        <w:rPr>
          <w:rFonts w:ascii="Times New Roman" w:hAnsi="Times New Roman" w:cs="Times New Roman"/>
          <w:sz w:val="23"/>
          <w:szCs w:val="23"/>
        </w:rPr>
        <w:t xml:space="preserve">l </w:t>
      </w:r>
      <w:r w:rsidR="00C21BBC" w:rsidRPr="00CF50D4">
        <w:rPr>
          <w:rFonts w:ascii="Times New Roman" w:hAnsi="Times New Roman" w:cs="Times New Roman"/>
          <w:sz w:val="23"/>
          <w:szCs w:val="23"/>
        </w:rPr>
        <w:t>municipio</w:t>
      </w:r>
      <w:r w:rsidR="00CA3A76" w:rsidRPr="00CF50D4">
        <w:rPr>
          <w:rFonts w:ascii="Times New Roman" w:hAnsi="Times New Roman" w:cs="Times New Roman"/>
          <w:sz w:val="23"/>
          <w:szCs w:val="23"/>
        </w:rPr>
        <w:t xml:space="preserve"> para crear </w:t>
      </w:r>
      <w:r w:rsidRPr="00CF50D4">
        <w:rPr>
          <w:rFonts w:ascii="Times New Roman" w:hAnsi="Times New Roman" w:cs="Times New Roman"/>
          <w:sz w:val="23"/>
          <w:szCs w:val="23"/>
        </w:rPr>
        <w:t xml:space="preserve">el </w:t>
      </w:r>
      <w:r w:rsidR="00CF50D4" w:rsidRPr="00CF50D4">
        <w:rPr>
          <w:rFonts w:ascii="Times New Roman" w:hAnsi="Times New Roman" w:cs="Times New Roman"/>
          <w:sz w:val="23"/>
          <w:szCs w:val="23"/>
        </w:rPr>
        <w:t>‘F</w:t>
      </w:r>
      <w:r w:rsidRPr="00CF50D4">
        <w:rPr>
          <w:rFonts w:ascii="Times New Roman" w:hAnsi="Times New Roman" w:cs="Times New Roman"/>
          <w:sz w:val="23"/>
          <w:szCs w:val="23"/>
        </w:rPr>
        <w:t xml:space="preserve">ondo Manizales </w:t>
      </w:r>
      <w:r w:rsidR="00CF50D4" w:rsidRPr="00CF50D4">
        <w:rPr>
          <w:rFonts w:ascii="Times New Roman" w:hAnsi="Times New Roman" w:cs="Times New Roman"/>
          <w:sz w:val="23"/>
          <w:szCs w:val="23"/>
        </w:rPr>
        <w:t>eje del conocimiento’</w:t>
      </w:r>
      <w:r w:rsidR="00C21BBC" w:rsidRPr="00CF50D4">
        <w:rPr>
          <w:rFonts w:ascii="Times New Roman" w:hAnsi="Times New Roman" w:cs="Times New Roman"/>
          <w:sz w:val="23"/>
          <w:szCs w:val="23"/>
        </w:rPr>
        <w:t>,</w:t>
      </w:r>
      <w:r w:rsidRPr="00CF50D4">
        <w:rPr>
          <w:rFonts w:ascii="Times New Roman" w:hAnsi="Times New Roman" w:cs="Times New Roman"/>
          <w:sz w:val="23"/>
          <w:szCs w:val="23"/>
        </w:rPr>
        <w:t xml:space="preserve"> como una cuenta especial sin personería jurídica y con destinación específica bajo la responsabilidad del ordenador del gasto de</w:t>
      </w:r>
      <w:r w:rsidR="00CA3A76" w:rsidRPr="00CF50D4">
        <w:rPr>
          <w:rFonts w:ascii="Times New Roman" w:hAnsi="Times New Roman" w:cs="Times New Roman"/>
          <w:sz w:val="23"/>
          <w:szCs w:val="23"/>
        </w:rPr>
        <w:t xml:space="preserve"> la entidad </w:t>
      </w:r>
      <w:r w:rsidRPr="00CF50D4">
        <w:rPr>
          <w:rFonts w:ascii="Times New Roman" w:hAnsi="Times New Roman" w:cs="Times New Roman"/>
          <w:sz w:val="23"/>
          <w:szCs w:val="23"/>
        </w:rPr>
        <w:t xml:space="preserve">territorial, para financiar las actividades objeto de esta ley </w:t>
      </w:r>
      <w:r w:rsidR="00CA3A76" w:rsidRPr="00CF50D4">
        <w:rPr>
          <w:rFonts w:ascii="Times New Roman" w:hAnsi="Times New Roman" w:cs="Times New Roman"/>
          <w:sz w:val="23"/>
          <w:szCs w:val="23"/>
        </w:rPr>
        <w:t>con</w:t>
      </w:r>
      <w:r w:rsidRPr="00CF50D4">
        <w:rPr>
          <w:rFonts w:ascii="Times New Roman" w:hAnsi="Times New Roman" w:cs="Times New Roman"/>
          <w:sz w:val="23"/>
          <w:szCs w:val="23"/>
        </w:rPr>
        <w:t xml:space="preserve"> recursos administrados a través de un patrimonio autónomo.</w:t>
      </w:r>
      <w:r w:rsidR="00CA3A76" w:rsidRPr="00CF50D4">
        <w:rPr>
          <w:rFonts w:ascii="Times New Roman" w:hAnsi="Times New Roman" w:cs="Times New Roman"/>
          <w:sz w:val="23"/>
          <w:szCs w:val="23"/>
        </w:rPr>
        <w:t xml:space="preserve"> </w:t>
      </w:r>
    </w:p>
    <w:p w14:paraId="2589DCE4" w14:textId="77777777" w:rsidR="00BB4A7B" w:rsidRPr="00CF50D4" w:rsidRDefault="00BB4A7B" w:rsidP="00CF50D4">
      <w:pPr>
        <w:spacing w:line="276" w:lineRule="auto"/>
        <w:rPr>
          <w:rFonts w:ascii="Times New Roman" w:hAnsi="Times New Roman" w:cs="Times New Roman"/>
          <w:sz w:val="23"/>
          <w:szCs w:val="23"/>
        </w:rPr>
      </w:pPr>
    </w:p>
    <w:p w14:paraId="54CE233B" w14:textId="51CF184C"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3. Autorización.</w:t>
      </w:r>
      <w:r w:rsidRPr="00CF50D4">
        <w:rPr>
          <w:rFonts w:ascii="Times New Roman" w:hAnsi="Times New Roman" w:cs="Times New Roman"/>
          <w:sz w:val="23"/>
          <w:szCs w:val="23"/>
        </w:rPr>
        <w:t xml:space="preserve"> </w:t>
      </w:r>
      <w:r w:rsidR="00CA3A76" w:rsidRPr="00CF50D4">
        <w:rPr>
          <w:rFonts w:ascii="Times New Roman" w:hAnsi="Times New Roman" w:cs="Times New Roman"/>
          <w:sz w:val="23"/>
          <w:szCs w:val="23"/>
        </w:rPr>
        <w:t>A</w:t>
      </w:r>
      <w:r w:rsidRPr="00CF50D4">
        <w:rPr>
          <w:rFonts w:ascii="Times New Roman" w:hAnsi="Times New Roman" w:cs="Times New Roman"/>
          <w:sz w:val="23"/>
          <w:szCs w:val="23"/>
        </w:rPr>
        <w:t xml:space="preserve">utorícese al gobierno del departamento de Caldas y al municipio de Manizales para suscribir convenios o contratos plan para </w:t>
      </w:r>
      <w:r w:rsidR="0037668E" w:rsidRPr="00CF50D4">
        <w:rPr>
          <w:rFonts w:ascii="Times New Roman" w:hAnsi="Times New Roman" w:cs="Times New Roman"/>
          <w:sz w:val="23"/>
          <w:szCs w:val="23"/>
        </w:rPr>
        <w:t>la ejecución de las disposiciones</w:t>
      </w:r>
      <w:r w:rsidRPr="00CF50D4">
        <w:rPr>
          <w:rFonts w:ascii="Times New Roman" w:hAnsi="Times New Roman" w:cs="Times New Roman"/>
          <w:sz w:val="23"/>
          <w:szCs w:val="23"/>
        </w:rPr>
        <w:t xml:space="preserve"> contenidas en esta ley.</w:t>
      </w:r>
      <w:r w:rsidR="00566451" w:rsidRPr="00CF50D4">
        <w:rPr>
          <w:rFonts w:ascii="Times New Roman" w:hAnsi="Times New Roman" w:cs="Times New Roman"/>
          <w:sz w:val="23"/>
          <w:szCs w:val="23"/>
        </w:rPr>
        <w:t xml:space="preserve"> </w:t>
      </w:r>
    </w:p>
    <w:p w14:paraId="0EE90058" w14:textId="77777777" w:rsidR="00BB4A7B" w:rsidRPr="00CF50D4" w:rsidRDefault="00BB4A7B" w:rsidP="00CF50D4">
      <w:pPr>
        <w:spacing w:line="276" w:lineRule="auto"/>
        <w:rPr>
          <w:rFonts w:ascii="Times New Roman" w:hAnsi="Times New Roman" w:cs="Times New Roman"/>
          <w:sz w:val="23"/>
          <w:szCs w:val="23"/>
        </w:rPr>
      </w:pPr>
    </w:p>
    <w:p w14:paraId="1A84E1C7" w14:textId="3EAE0BCA"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 xml:space="preserve">Artículo </w:t>
      </w:r>
      <w:r w:rsidR="00CA3A76" w:rsidRPr="00CF50D4">
        <w:rPr>
          <w:rFonts w:ascii="Times New Roman" w:hAnsi="Times New Roman" w:cs="Times New Roman"/>
          <w:b/>
          <w:bCs/>
          <w:sz w:val="23"/>
          <w:szCs w:val="23"/>
        </w:rPr>
        <w:t>4</w:t>
      </w:r>
      <w:r w:rsidRPr="00CF50D4">
        <w:rPr>
          <w:rFonts w:ascii="Times New Roman" w:hAnsi="Times New Roman" w:cs="Times New Roman"/>
          <w:b/>
          <w:bCs/>
          <w:sz w:val="23"/>
          <w:szCs w:val="23"/>
        </w:rPr>
        <w:t>. Administración del fondo.</w:t>
      </w:r>
      <w:r w:rsidRPr="00CF50D4">
        <w:rPr>
          <w:rFonts w:ascii="Times New Roman" w:hAnsi="Times New Roman" w:cs="Times New Roman"/>
          <w:sz w:val="23"/>
          <w:szCs w:val="23"/>
        </w:rPr>
        <w:t xml:space="preserve"> Las operaciones presupuestales, financieras y contables de los recursos del "Fondo Manizales </w:t>
      </w:r>
      <w:r w:rsidR="00CF50D4" w:rsidRPr="00CF50D4">
        <w:rPr>
          <w:rFonts w:ascii="Times New Roman" w:hAnsi="Times New Roman" w:cs="Times New Roman"/>
          <w:sz w:val="23"/>
          <w:szCs w:val="23"/>
        </w:rPr>
        <w:t xml:space="preserve">eje </w:t>
      </w:r>
      <w:r w:rsidRPr="00CF50D4">
        <w:rPr>
          <w:rFonts w:ascii="Times New Roman" w:hAnsi="Times New Roman" w:cs="Times New Roman"/>
          <w:sz w:val="23"/>
          <w:szCs w:val="23"/>
        </w:rPr>
        <w:t xml:space="preserve">del </w:t>
      </w:r>
      <w:r w:rsidR="00CF50D4" w:rsidRPr="00CF50D4">
        <w:rPr>
          <w:rFonts w:ascii="Times New Roman" w:hAnsi="Times New Roman" w:cs="Times New Roman"/>
          <w:sz w:val="23"/>
          <w:szCs w:val="23"/>
        </w:rPr>
        <w:t>c</w:t>
      </w:r>
      <w:r w:rsidRPr="00CF50D4">
        <w:rPr>
          <w:rFonts w:ascii="Times New Roman" w:hAnsi="Times New Roman" w:cs="Times New Roman"/>
          <w:sz w:val="23"/>
          <w:szCs w:val="23"/>
        </w:rPr>
        <w:t xml:space="preserve">onocimiento " estarán a cargo de la </w:t>
      </w:r>
      <w:r w:rsidR="0037668E" w:rsidRPr="00CF50D4">
        <w:rPr>
          <w:rFonts w:ascii="Times New Roman" w:hAnsi="Times New Roman" w:cs="Times New Roman"/>
          <w:sz w:val="23"/>
          <w:szCs w:val="23"/>
        </w:rPr>
        <w:t>s</w:t>
      </w:r>
      <w:r w:rsidRPr="00CF50D4">
        <w:rPr>
          <w:rFonts w:ascii="Times New Roman" w:hAnsi="Times New Roman" w:cs="Times New Roman"/>
          <w:sz w:val="23"/>
          <w:szCs w:val="23"/>
        </w:rPr>
        <w:t xml:space="preserve">ecretaría </w:t>
      </w:r>
      <w:r w:rsidR="0037668E" w:rsidRPr="00CF50D4">
        <w:rPr>
          <w:rFonts w:ascii="Times New Roman" w:hAnsi="Times New Roman" w:cs="Times New Roman"/>
          <w:sz w:val="23"/>
          <w:szCs w:val="23"/>
        </w:rPr>
        <w:t xml:space="preserve">municipal </w:t>
      </w:r>
      <w:r w:rsidRPr="00CF50D4">
        <w:rPr>
          <w:rFonts w:ascii="Times New Roman" w:hAnsi="Times New Roman" w:cs="Times New Roman"/>
          <w:sz w:val="23"/>
          <w:szCs w:val="23"/>
        </w:rPr>
        <w:t xml:space="preserve">autorizada por </w:t>
      </w:r>
      <w:r w:rsidR="00CA3A76" w:rsidRPr="00CF50D4">
        <w:rPr>
          <w:rFonts w:ascii="Times New Roman" w:hAnsi="Times New Roman" w:cs="Times New Roman"/>
          <w:sz w:val="23"/>
          <w:szCs w:val="23"/>
        </w:rPr>
        <w:t>el</w:t>
      </w:r>
      <w:r w:rsidRPr="00CF50D4">
        <w:rPr>
          <w:rFonts w:ascii="Times New Roman" w:hAnsi="Times New Roman" w:cs="Times New Roman"/>
          <w:sz w:val="23"/>
          <w:szCs w:val="23"/>
        </w:rPr>
        <w:t xml:space="preserve"> Acuerdo. </w:t>
      </w:r>
      <w:r w:rsidR="0037668E" w:rsidRPr="00CF50D4">
        <w:rPr>
          <w:rFonts w:ascii="Times New Roman" w:hAnsi="Times New Roman" w:cs="Times New Roman"/>
          <w:sz w:val="23"/>
          <w:szCs w:val="23"/>
        </w:rPr>
        <w:t>De igual forma, lo estará l</w:t>
      </w:r>
      <w:r w:rsidRPr="00CF50D4">
        <w:rPr>
          <w:rFonts w:ascii="Times New Roman" w:hAnsi="Times New Roman" w:cs="Times New Roman"/>
          <w:sz w:val="23"/>
          <w:szCs w:val="23"/>
        </w:rPr>
        <w:t xml:space="preserve">a administración, distribución y asignación de estos recursos, acorde con </w:t>
      </w:r>
      <w:r w:rsidR="00CA3A76" w:rsidRPr="00CF50D4">
        <w:rPr>
          <w:rFonts w:ascii="Times New Roman" w:hAnsi="Times New Roman" w:cs="Times New Roman"/>
          <w:sz w:val="23"/>
          <w:szCs w:val="23"/>
        </w:rPr>
        <w:t xml:space="preserve">la reglamentación que </w:t>
      </w:r>
      <w:r w:rsidR="00566451" w:rsidRPr="00CF50D4">
        <w:rPr>
          <w:rFonts w:ascii="Times New Roman" w:hAnsi="Times New Roman" w:cs="Times New Roman"/>
          <w:sz w:val="23"/>
          <w:szCs w:val="23"/>
        </w:rPr>
        <w:t xml:space="preserve">para tal efecto </w:t>
      </w:r>
      <w:r w:rsidR="00CA3A76" w:rsidRPr="00CF50D4">
        <w:rPr>
          <w:rFonts w:ascii="Times New Roman" w:hAnsi="Times New Roman" w:cs="Times New Roman"/>
          <w:sz w:val="23"/>
          <w:szCs w:val="23"/>
        </w:rPr>
        <w:t xml:space="preserve">expida </w:t>
      </w:r>
      <w:r w:rsidR="0037668E" w:rsidRPr="00CF50D4">
        <w:rPr>
          <w:rFonts w:ascii="Times New Roman" w:hAnsi="Times New Roman" w:cs="Times New Roman"/>
          <w:sz w:val="23"/>
          <w:szCs w:val="23"/>
        </w:rPr>
        <w:t xml:space="preserve">la entidad territorial </w:t>
      </w:r>
      <w:r w:rsidR="00CA3A76" w:rsidRPr="00CF50D4">
        <w:rPr>
          <w:rFonts w:ascii="Times New Roman" w:hAnsi="Times New Roman" w:cs="Times New Roman"/>
          <w:sz w:val="23"/>
          <w:szCs w:val="23"/>
        </w:rPr>
        <w:t>en el marco de su autonomía</w:t>
      </w:r>
      <w:r w:rsidRPr="00CF50D4">
        <w:rPr>
          <w:rFonts w:ascii="Times New Roman" w:hAnsi="Times New Roman" w:cs="Times New Roman"/>
          <w:sz w:val="23"/>
          <w:szCs w:val="23"/>
        </w:rPr>
        <w:t>.</w:t>
      </w:r>
    </w:p>
    <w:p w14:paraId="76D66083" w14:textId="77777777" w:rsidR="00BB4A7B" w:rsidRPr="00CF50D4" w:rsidRDefault="00BB4A7B" w:rsidP="00CF50D4">
      <w:pPr>
        <w:spacing w:line="276" w:lineRule="auto"/>
        <w:rPr>
          <w:rFonts w:ascii="Times New Roman" w:hAnsi="Times New Roman" w:cs="Times New Roman"/>
          <w:sz w:val="23"/>
          <w:szCs w:val="23"/>
        </w:rPr>
      </w:pPr>
    </w:p>
    <w:p w14:paraId="1E7F641C" w14:textId="77777777" w:rsidR="002420F9" w:rsidRPr="00CF50D4" w:rsidRDefault="00CA3A76"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 xml:space="preserve">Artículo 5. Ejecución. </w:t>
      </w:r>
      <w:r w:rsidR="00BB4A7B" w:rsidRPr="00CF50D4">
        <w:rPr>
          <w:rFonts w:ascii="Times New Roman" w:hAnsi="Times New Roman" w:cs="Times New Roman"/>
          <w:sz w:val="23"/>
          <w:szCs w:val="23"/>
        </w:rPr>
        <w:t xml:space="preserve">Los recursos ingresados a este Fondo se deberán ejecutar mediante la suscripción de convenios, alianzas o contratos con instituciones de educación superior y entidades o personas jurídicas con competencia en ciencia y tecnología. </w:t>
      </w:r>
    </w:p>
    <w:p w14:paraId="11B25258" w14:textId="1BBFA61B" w:rsidR="002420F9" w:rsidRPr="00CF50D4" w:rsidRDefault="002420F9" w:rsidP="00CF50D4">
      <w:pPr>
        <w:spacing w:line="276" w:lineRule="auto"/>
        <w:rPr>
          <w:rFonts w:ascii="Times New Roman" w:hAnsi="Times New Roman" w:cs="Times New Roman"/>
          <w:sz w:val="23"/>
          <w:szCs w:val="23"/>
        </w:rPr>
      </w:pPr>
    </w:p>
    <w:p w14:paraId="271E7856" w14:textId="75FF7EC9" w:rsidR="002420F9" w:rsidRPr="00CF50D4" w:rsidRDefault="002420F9"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 xml:space="preserve">La reglamentación expedida por las entidades territoriales en el marco de su autonomía, determinará la distribución de los aportes </w:t>
      </w:r>
      <w:r w:rsidR="00BB4A7B" w:rsidRPr="00CF50D4">
        <w:rPr>
          <w:rFonts w:ascii="Times New Roman" w:hAnsi="Times New Roman" w:cs="Times New Roman"/>
          <w:sz w:val="23"/>
          <w:szCs w:val="23"/>
        </w:rPr>
        <w:t xml:space="preserve">económicos captados en este </w:t>
      </w:r>
      <w:r w:rsidRPr="00CF50D4">
        <w:rPr>
          <w:rFonts w:ascii="Times New Roman" w:hAnsi="Times New Roman" w:cs="Times New Roman"/>
          <w:sz w:val="23"/>
          <w:szCs w:val="23"/>
        </w:rPr>
        <w:t>f</w:t>
      </w:r>
      <w:r w:rsidR="00BB4A7B" w:rsidRPr="00CF50D4">
        <w:rPr>
          <w:rFonts w:ascii="Times New Roman" w:hAnsi="Times New Roman" w:cs="Times New Roman"/>
          <w:sz w:val="23"/>
          <w:szCs w:val="23"/>
        </w:rPr>
        <w:t>ondo</w:t>
      </w:r>
      <w:r w:rsidRPr="00CF50D4">
        <w:rPr>
          <w:rFonts w:ascii="Times New Roman" w:hAnsi="Times New Roman" w:cs="Times New Roman"/>
          <w:sz w:val="23"/>
          <w:szCs w:val="23"/>
        </w:rPr>
        <w:t>, incluyendo donaciones y demás fuentes de financiación contenidas en esta ley.</w:t>
      </w:r>
    </w:p>
    <w:p w14:paraId="0087A139" w14:textId="77777777" w:rsidR="00BB4A7B" w:rsidRPr="00CF50D4" w:rsidRDefault="00BB4A7B" w:rsidP="00CF50D4">
      <w:pPr>
        <w:spacing w:line="276" w:lineRule="auto"/>
        <w:rPr>
          <w:rFonts w:ascii="Times New Roman" w:hAnsi="Times New Roman" w:cs="Times New Roman"/>
          <w:sz w:val="23"/>
          <w:szCs w:val="23"/>
        </w:rPr>
      </w:pPr>
    </w:p>
    <w:p w14:paraId="42F27BEA" w14:textId="77777777"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6. Fuentes de financiación.</w:t>
      </w:r>
      <w:r w:rsidRPr="00CF50D4">
        <w:rPr>
          <w:rFonts w:ascii="Times New Roman" w:hAnsi="Times New Roman" w:cs="Times New Roman"/>
          <w:sz w:val="23"/>
          <w:szCs w:val="23"/>
        </w:rPr>
        <w:t xml:space="preserve"> Los recursos del Fondo podrán provenir de las siguientes fuentes:</w:t>
      </w:r>
    </w:p>
    <w:p w14:paraId="6B888F0E" w14:textId="77777777" w:rsidR="00BB4A7B" w:rsidRPr="00CF50D4" w:rsidRDefault="00BB4A7B" w:rsidP="00CF50D4">
      <w:pPr>
        <w:spacing w:line="276" w:lineRule="auto"/>
        <w:rPr>
          <w:rFonts w:ascii="Times New Roman" w:hAnsi="Times New Roman" w:cs="Times New Roman"/>
          <w:sz w:val="23"/>
          <w:szCs w:val="23"/>
        </w:rPr>
      </w:pPr>
    </w:p>
    <w:p w14:paraId="70E4FE20" w14:textId="2D64431D"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1. Apropiaciones del Presupuesto General de la Nación.</w:t>
      </w:r>
    </w:p>
    <w:p w14:paraId="343066A8" w14:textId="0D253B76" w:rsidR="00495801"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 xml:space="preserve">2. </w:t>
      </w:r>
      <w:r w:rsidR="009E11D8" w:rsidRPr="00CF50D4">
        <w:rPr>
          <w:rFonts w:ascii="Times New Roman" w:hAnsi="Times New Roman" w:cs="Times New Roman"/>
          <w:sz w:val="23"/>
          <w:szCs w:val="23"/>
        </w:rPr>
        <w:t>R</w:t>
      </w:r>
      <w:r w:rsidRPr="00CF50D4">
        <w:rPr>
          <w:rFonts w:ascii="Times New Roman" w:hAnsi="Times New Roman" w:cs="Times New Roman"/>
          <w:sz w:val="23"/>
          <w:szCs w:val="23"/>
        </w:rPr>
        <w:t xml:space="preserve">ecursos aportados por entidades públicas, del nivel nacional y territorial. </w:t>
      </w:r>
    </w:p>
    <w:p w14:paraId="0046A254" w14:textId="609937E4" w:rsidR="00495801"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lastRenderedPageBreak/>
        <w:t>3</w:t>
      </w:r>
      <w:r w:rsidR="00BB4A7B" w:rsidRPr="00CF50D4">
        <w:rPr>
          <w:rFonts w:ascii="Times New Roman" w:hAnsi="Times New Roman" w:cs="Times New Roman"/>
          <w:sz w:val="23"/>
          <w:szCs w:val="23"/>
        </w:rPr>
        <w:t>.</w:t>
      </w:r>
      <w:r w:rsidRPr="00CF50D4">
        <w:rPr>
          <w:rFonts w:ascii="Times New Roman" w:hAnsi="Times New Roman" w:cs="Times New Roman"/>
          <w:sz w:val="23"/>
          <w:szCs w:val="23"/>
        </w:rPr>
        <w:t xml:space="preserve"> </w:t>
      </w:r>
      <w:r w:rsidR="009E11D8" w:rsidRPr="00CF50D4">
        <w:rPr>
          <w:rFonts w:ascii="Times New Roman" w:hAnsi="Times New Roman" w:cs="Times New Roman"/>
          <w:sz w:val="23"/>
          <w:szCs w:val="23"/>
        </w:rPr>
        <w:t>A</w:t>
      </w:r>
      <w:r w:rsidRPr="00CF50D4">
        <w:rPr>
          <w:rFonts w:ascii="Times New Roman" w:hAnsi="Times New Roman" w:cs="Times New Roman"/>
          <w:sz w:val="23"/>
          <w:szCs w:val="23"/>
        </w:rPr>
        <w:t>portes y/o donaciones que a cualquier título realicen personas jurídicas de derecho privado de origen nacional o extranjero, de acuerdo con la normatividad vigente.</w:t>
      </w:r>
    </w:p>
    <w:p w14:paraId="1BF5FD26" w14:textId="326D067A" w:rsidR="00BB4A7B"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 xml:space="preserve">4. </w:t>
      </w:r>
      <w:r w:rsidR="009E11D8" w:rsidRPr="00CF50D4">
        <w:rPr>
          <w:rFonts w:ascii="Times New Roman" w:hAnsi="Times New Roman" w:cs="Times New Roman"/>
          <w:sz w:val="23"/>
          <w:szCs w:val="23"/>
        </w:rPr>
        <w:t>R</w:t>
      </w:r>
      <w:r w:rsidR="00BB4A7B" w:rsidRPr="00CF50D4">
        <w:rPr>
          <w:rFonts w:ascii="Times New Roman" w:hAnsi="Times New Roman" w:cs="Times New Roman"/>
          <w:sz w:val="23"/>
          <w:szCs w:val="23"/>
        </w:rPr>
        <w:t xml:space="preserve">endimientos financieros que genere el mismo Fondo, los cuales pueden utilizarse para sufragar los costos de administración de este. </w:t>
      </w:r>
      <w:r w:rsidR="009E11D8" w:rsidRPr="00CF50D4">
        <w:rPr>
          <w:rFonts w:ascii="Times New Roman" w:hAnsi="Times New Roman" w:cs="Times New Roman"/>
          <w:sz w:val="23"/>
          <w:szCs w:val="23"/>
        </w:rPr>
        <w:t>R</w:t>
      </w:r>
      <w:r w:rsidR="00BB4A7B" w:rsidRPr="00CF50D4">
        <w:rPr>
          <w:rFonts w:ascii="Times New Roman" w:hAnsi="Times New Roman" w:cs="Times New Roman"/>
          <w:sz w:val="23"/>
          <w:szCs w:val="23"/>
        </w:rPr>
        <w:t>endimientos de las inversiones temporales que se efectúen con los recursos del Fondo en títulos de deuda emitidos, aceptados, avalados o garantizados en cualquier otra forma por la Nación, o en valores de alta rentabilidad, seguridad y liquidez expedidos por el Banco de la República y otros establecimientos financieros.</w:t>
      </w:r>
    </w:p>
    <w:p w14:paraId="39F9D74D" w14:textId="21EC3849" w:rsidR="002420F9"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5</w:t>
      </w:r>
      <w:r w:rsidR="00BB4A7B" w:rsidRPr="00CF50D4">
        <w:rPr>
          <w:rFonts w:ascii="Times New Roman" w:hAnsi="Times New Roman" w:cs="Times New Roman"/>
          <w:sz w:val="23"/>
          <w:szCs w:val="23"/>
        </w:rPr>
        <w:t xml:space="preserve">. </w:t>
      </w:r>
      <w:r w:rsidR="009E11D8" w:rsidRPr="00CF50D4">
        <w:rPr>
          <w:rFonts w:ascii="Times New Roman" w:hAnsi="Times New Roman" w:cs="Times New Roman"/>
          <w:sz w:val="23"/>
          <w:szCs w:val="23"/>
        </w:rPr>
        <w:t>R</w:t>
      </w:r>
      <w:r w:rsidR="00BB4A7B" w:rsidRPr="00CF50D4">
        <w:rPr>
          <w:rFonts w:ascii="Times New Roman" w:hAnsi="Times New Roman" w:cs="Times New Roman"/>
          <w:sz w:val="23"/>
          <w:szCs w:val="23"/>
        </w:rPr>
        <w:t>eintegros económicos hechos por los beneficiarios del Fondo.</w:t>
      </w:r>
    </w:p>
    <w:p w14:paraId="39B2DBD9" w14:textId="73A0EB4E" w:rsidR="00495801"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6. Las demás que determine la entidad territorial en el marco de su autonomía.</w:t>
      </w:r>
    </w:p>
    <w:p w14:paraId="57C94723" w14:textId="77777777" w:rsidR="00BB4A7B" w:rsidRPr="00CF50D4" w:rsidRDefault="00BB4A7B" w:rsidP="00CF50D4">
      <w:pPr>
        <w:spacing w:line="276" w:lineRule="auto"/>
        <w:rPr>
          <w:rFonts w:ascii="Times New Roman" w:hAnsi="Times New Roman" w:cs="Times New Roman"/>
          <w:sz w:val="23"/>
          <w:szCs w:val="23"/>
        </w:rPr>
      </w:pPr>
    </w:p>
    <w:p w14:paraId="5FBAF277" w14:textId="6878E49F" w:rsidR="00BB4A7B" w:rsidRPr="00CF50D4" w:rsidRDefault="002420F9"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7</w:t>
      </w:r>
      <w:r w:rsidR="00BB4A7B" w:rsidRPr="00CF50D4">
        <w:rPr>
          <w:rFonts w:ascii="Times New Roman" w:hAnsi="Times New Roman" w:cs="Times New Roman"/>
          <w:b/>
          <w:bCs/>
          <w:sz w:val="23"/>
          <w:szCs w:val="23"/>
        </w:rPr>
        <w:t>.</w:t>
      </w:r>
      <w:r w:rsidR="00BB4A7B" w:rsidRPr="00CF50D4">
        <w:rPr>
          <w:rFonts w:ascii="Times New Roman" w:hAnsi="Times New Roman" w:cs="Times New Roman"/>
          <w:sz w:val="23"/>
          <w:szCs w:val="23"/>
        </w:rPr>
        <w:t xml:space="preserve"> El </w:t>
      </w:r>
      <w:r w:rsidR="00CF50D4" w:rsidRPr="00CF50D4">
        <w:rPr>
          <w:rFonts w:ascii="Times New Roman" w:hAnsi="Times New Roman" w:cs="Times New Roman"/>
          <w:sz w:val="23"/>
          <w:szCs w:val="23"/>
        </w:rPr>
        <w:t>‘</w:t>
      </w:r>
      <w:r w:rsidR="00BB4A7B" w:rsidRPr="00CF50D4">
        <w:rPr>
          <w:rFonts w:ascii="Times New Roman" w:hAnsi="Times New Roman" w:cs="Times New Roman"/>
          <w:sz w:val="23"/>
          <w:szCs w:val="23"/>
        </w:rPr>
        <w:t xml:space="preserve">Fondo Manizales </w:t>
      </w:r>
      <w:r w:rsidR="00020B2C" w:rsidRPr="00CF50D4">
        <w:rPr>
          <w:rFonts w:ascii="Times New Roman" w:hAnsi="Times New Roman" w:cs="Times New Roman"/>
          <w:sz w:val="23"/>
          <w:szCs w:val="23"/>
        </w:rPr>
        <w:t>eje</w:t>
      </w:r>
      <w:r w:rsidR="00BB4A7B" w:rsidRPr="00CF50D4">
        <w:rPr>
          <w:rFonts w:ascii="Times New Roman" w:hAnsi="Times New Roman" w:cs="Times New Roman"/>
          <w:sz w:val="23"/>
          <w:szCs w:val="23"/>
        </w:rPr>
        <w:t xml:space="preserve"> del </w:t>
      </w:r>
      <w:r w:rsidR="00CF50D4" w:rsidRPr="00CF50D4">
        <w:rPr>
          <w:rFonts w:ascii="Times New Roman" w:hAnsi="Times New Roman" w:cs="Times New Roman"/>
          <w:sz w:val="23"/>
          <w:szCs w:val="23"/>
        </w:rPr>
        <w:t>c</w:t>
      </w:r>
      <w:r w:rsidR="00BB4A7B" w:rsidRPr="00CF50D4">
        <w:rPr>
          <w:rFonts w:ascii="Times New Roman" w:hAnsi="Times New Roman" w:cs="Times New Roman"/>
          <w:sz w:val="23"/>
          <w:szCs w:val="23"/>
        </w:rPr>
        <w:t>onocimiento</w:t>
      </w:r>
      <w:r w:rsidR="00CF50D4" w:rsidRPr="00CF50D4">
        <w:rPr>
          <w:rFonts w:ascii="Times New Roman" w:hAnsi="Times New Roman" w:cs="Times New Roman"/>
          <w:sz w:val="23"/>
          <w:szCs w:val="23"/>
        </w:rPr>
        <w:t>’</w:t>
      </w:r>
      <w:r w:rsidR="00BB4A7B" w:rsidRPr="00CF50D4">
        <w:rPr>
          <w:rFonts w:ascii="Times New Roman" w:hAnsi="Times New Roman" w:cs="Times New Roman"/>
          <w:sz w:val="23"/>
          <w:szCs w:val="23"/>
        </w:rPr>
        <w:t xml:space="preserve"> podrá recibir préstamos </w:t>
      </w:r>
      <w:r w:rsidRPr="00CF50D4">
        <w:rPr>
          <w:rFonts w:ascii="Times New Roman" w:hAnsi="Times New Roman" w:cs="Times New Roman"/>
          <w:sz w:val="23"/>
          <w:szCs w:val="23"/>
        </w:rPr>
        <w:t xml:space="preserve">con entidades del orden nacional y/o organizaciones sin ánimo de lucro nacionales o extranjeras, </w:t>
      </w:r>
      <w:r w:rsidR="00BB4A7B" w:rsidRPr="00CF50D4">
        <w:rPr>
          <w:rFonts w:ascii="Times New Roman" w:hAnsi="Times New Roman" w:cs="Times New Roman"/>
          <w:sz w:val="23"/>
          <w:szCs w:val="23"/>
        </w:rPr>
        <w:t xml:space="preserve">de acuerdo con las normas </w:t>
      </w:r>
      <w:r w:rsidR="0007109A" w:rsidRPr="00CF50D4">
        <w:rPr>
          <w:rFonts w:ascii="Times New Roman" w:hAnsi="Times New Roman" w:cs="Times New Roman"/>
          <w:sz w:val="23"/>
          <w:szCs w:val="23"/>
        </w:rPr>
        <w:t xml:space="preserve">vigentes </w:t>
      </w:r>
      <w:r w:rsidR="00BB4A7B" w:rsidRPr="00CF50D4">
        <w:rPr>
          <w:rFonts w:ascii="Times New Roman" w:hAnsi="Times New Roman" w:cs="Times New Roman"/>
          <w:sz w:val="23"/>
          <w:szCs w:val="23"/>
        </w:rPr>
        <w:t>de crédito público.</w:t>
      </w:r>
    </w:p>
    <w:p w14:paraId="6AAA42CA" w14:textId="77777777" w:rsidR="0007109A" w:rsidRPr="00CF50D4" w:rsidRDefault="0007109A" w:rsidP="00CF50D4">
      <w:pPr>
        <w:spacing w:line="276" w:lineRule="auto"/>
        <w:rPr>
          <w:rFonts w:ascii="Times New Roman" w:hAnsi="Times New Roman" w:cs="Times New Roman"/>
          <w:sz w:val="23"/>
          <w:szCs w:val="23"/>
        </w:rPr>
      </w:pPr>
    </w:p>
    <w:p w14:paraId="3F3F5D9C" w14:textId="1EA1B431"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Parágrafo</w:t>
      </w:r>
      <w:r w:rsidR="002420F9" w:rsidRPr="00CF50D4">
        <w:rPr>
          <w:rFonts w:ascii="Times New Roman" w:hAnsi="Times New Roman" w:cs="Times New Roman"/>
          <w:b/>
          <w:bCs/>
          <w:sz w:val="23"/>
          <w:szCs w:val="23"/>
        </w:rPr>
        <w:t xml:space="preserve"> 1</w:t>
      </w:r>
      <w:r w:rsidRPr="00CF50D4">
        <w:rPr>
          <w:rFonts w:ascii="Times New Roman" w:hAnsi="Times New Roman" w:cs="Times New Roman"/>
          <w:b/>
          <w:bCs/>
          <w:sz w:val="23"/>
          <w:szCs w:val="23"/>
        </w:rPr>
        <w:t>.</w:t>
      </w:r>
      <w:r w:rsidRPr="00CF50D4">
        <w:rPr>
          <w:rFonts w:ascii="Times New Roman" w:hAnsi="Times New Roman" w:cs="Times New Roman"/>
          <w:sz w:val="23"/>
          <w:szCs w:val="23"/>
        </w:rPr>
        <w:t xml:space="preserve"> </w:t>
      </w:r>
      <w:r w:rsidR="0007109A" w:rsidRPr="00CF50D4">
        <w:rPr>
          <w:rFonts w:ascii="Times New Roman" w:hAnsi="Times New Roman" w:cs="Times New Roman"/>
          <w:sz w:val="23"/>
          <w:szCs w:val="23"/>
        </w:rPr>
        <w:t>L</w:t>
      </w:r>
      <w:r w:rsidRPr="00CF50D4">
        <w:rPr>
          <w:rFonts w:ascii="Times New Roman" w:hAnsi="Times New Roman" w:cs="Times New Roman"/>
          <w:sz w:val="23"/>
          <w:szCs w:val="23"/>
        </w:rPr>
        <w:t xml:space="preserve">os recursos que reciba el </w:t>
      </w:r>
      <w:r w:rsidR="00CF50D4" w:rsidRPr="00CF50D4">
        <w:rPr>
          <w:rFonts w:ascii="Times New Roman" w:hAnsi="Times New Roman" w:cs="Times New Roman"/>
          <w:sz w:val="23"/>
          <w:szCs w:val="23"/>
        </w:rPr>
        <w:t>‘</w:t>
      </w:r>
      <w:r w:rsidRPr="00CF50D4">
        <w:rPr>
          <w:rFonts w:ascii="Times New Roman" w:hAnsi="Times New Roman" w:cs="Times New Roman"/>
          <w:sz w:val="23"/>
          <w:szCs w:val="23"/>
        </w:rPr>
        <w:t xml:space="preserve">Fondo Manizales </w:t>
      </w:r>
      <w:r w:rsidR="00CF50D4" w:rsidRPr="00CF50D4">
        <w:rPr>
          <w:rFonts w:ascii="Times New Roman" w:hAnsi="Times New Roman" w:cs="Times New Roman"/>
          <w:sz w:val="23"/>
          <w:szCs w:val="23"/>
        </w:rPr>
        <w:t xml:space="preserve">eje del conocimiento’ </w:t>
      </w:r>
      <w:r w:rsidR="0007109A" w:rsidRPr="00CF50D4">
        <w:rPr>
          <w:rFonts w:ascii="Times New Roman" w:hAnsi="Times New Roman" w:cs="Times New Roman"/>
          <w:sz w:val="23"/>
          <w:szCs w:val="23"/>
        </w:rPr>
        <w:t xml:space="preserve">no </w:t>
      </w:r>
      <w:r w:rsidRPr="00CF50D4">
        <w:rPr>
          <w:rFonts w:ascii="Times New Roman" w:hAnsi="Times New Roman" w:cs="Times New Roman"/>
          <w:sz w:val="23"/>
          <w:szCs w:val="23"/>
        </w:rPr>
        <w:t xml:space="preserve">podrán ser </w:t>
      </w:r>
      <w:r w:rsidR="00495801" w:rsidRPr="00CF50D4">
        <w:rPr>
          <w:rFonts w:ascii="Times New Roman" w:hAnsi="Times New Roman" w:cs="Times New Roman"/>
          <w:sz w:val="23"/>
          <w:szCs w:val="23"/>
        </w:rPr>
        <w:t>destinados</w:t>
      </w:r>
      <w:r w:rsidRPr="00CF50D4">
        <w:rPr>
          <w:rFonts w:ascii="Times New Roman" w:hAnsi="Times New Roman" w:cs="Times New Roman"/>
          <w:sz w:val="23"/>
          <w:szCs w:val="23"/>
        </w:rPr>
        <w:t xml:space="preserve"> </w:t>
      </w:r>
      <w:r w:rsidR="00495801" w:rsidRPr="00CF50D4">
        <w:rPr>
          <w:rFonts w:ascii="Times New Roman" w:hAnsi="Times New Roman" w:cs="Times New Roman"/>
          <w:sz w:val="23"/>
          <w:szCs w:val="23"/>
        </w:rPr>
        <w:t>a asumir</w:t>
      </w:r>
      <w:r w:rsidRPr="00CF50D4">
        <w:rPr>
          <w:rFonts w:ascii="Times New Roman" w:hAnsi="Times New Roman" w:cs="Times New Roman"/>
          <w:sz w:val="23"/>
          <w:szCs w:val="23"/>
        </w:rPr>
        <w:t xml:space="preserve"> costos que no </w:t>
      </w:r>
      <w:r w:rsidR="00495801" w:rsidRPr="00CF50D4">
        <w:rPr>
          <w:rFonts w:ascii="Times New Roman" w:hAnsi="Times New Roman" w:cs="Times New Roman"/>
          <w:sz w:val="23"/>
          <w:szCs w:val="23"/>
        </w:rPr>
        <w:t xml:space="preserve">estén </w:t>
      </w:r>
      <w:r w:rsidRPr="00CF50D4">
        <w:rPr>
          <w:rFonts w:ascii="Times New Roman" w:hAnsi="Times New Roman" w:cs="Times New Roman"/>
          <w:sz w:val="23"/>
          <w:szCs w:val="23"/>
        </w:rPr>
        <w:t>relacionados con el objeto de esta ley.</w:t>
      </w:r>
    </w:p>
    <w:p w14:paraId="7CF6F5B8" w14:textId="77777777" w:rsidR="00BB4A7B" w:rsidRPr="00CF50D4" w:rsidRDefault="00BB4A7B" w:rsidP="00CF50D4">
      <w:pPr>
        <w:spacing w:line="276" w:lineRule="auto"/>
        <w:rPr>
          <w:rFonts w:ascii="Times New Roman" w:hAnsi="Times New Roman" w:cs="Times New Roman"/>
          <w:sz w:val="23"/>
          <w:szCs w:val="23"/>
        </w:rPr>
      </w:pPr>
    </w:p>
    <w:p w14:paraId="3C7EE9FF" w14:textId="06E2976A"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 xml:space="preserve">Artículo </w:t>
      </w:r>
      <w:r w:rsidR="00495801" w:rsidRPr="00CF50D4">
        <w:rPr>
          <w:rFonts w:ascii="Times New Roman" w:hAnsi="Times New Roman" w:cs="Times New Roman"/>
          <w:b/>
          <w:bCs/>
          <w:sz w:val="23"/>
          <w:szCs w:val="23"/>
        </w:rPr>
        <w:t>8</w:t>
      </w:r>
      <w:r w:rsidRPr="00CF50D4">
        <w:rPr>
          <w:rFonts w:ascii="Times New Roman" w:hAnsi="Times New Roman" w:cs="Times New Roman"/>
          <w:b/>
          <w:bCs/>
          <w:sz w:val="23"/>
          <w:szCs w:val="23"/>
        </w:rPr>
        <w:t xml:space="preserve">. Garantía de funcionamiento del </w:t>
      </w:r>
      <w:r w:rsidR="0037668E" w:rsidRPr="00CF50D4">
        <w:rPr>
          <w:rFonts w:ascii="Times New Roman" w:hAnsi="Times New Roman" w:cs="Times New Roman"/>
          <w:b/>
          <w:bCs/>
          <w:sz w:val="23"/>
          <w:szCs w:val="23"/>
        </w:rPr>
        <w:t>f</w:t>
      </w:r>
      <w:r w:rsidRPr="00CF50D4">
        <w:rPr>
          <w:rFonts w:ascii="Times New Roman" w:hAnsi="Times New Roman" w:cs="Times New Roman"/>
          <w:b/>
          <w:bCs/>
          <w:sz w:val="23"/>
          <w:szCs w:val="23"/>
        </w:rPr>
        <w:t>ondo.</w:t>
      </w:r>
      <w:r w:rsidRPr="00CF50D4">
        <w:rPr>
          <w:rFonts w:ascii="Times New Roman" w:hAnsi="Times New Roman" w:cs="Times New Roman"/>
          <w:sz w:val="23"/>
          <w:szCs w:val="23"/>
        </w:rPr>
        <w:t xml:space="preserve"> Para garantizar su sostenibilidad, el Fondo Manizales </w:t>
      </w:r>
      <w:r w:rsidR="00020B2C" w:rsidRPr="00CF50D4">
        <w:rPr>
          <w:rFonts w:ascii="Times New Roman" w:hAnsi="Times New Roman" w:cs="Times New Roman"/>
          <w:sz w:val="23"/>
          <w:szCs w:val="23"/>
        </w:rPr>
        <w:t>Eje</w:t>
      </w:r>
      <w:r w:rsidRPr="00CF50D4">
        <w:rPr>
          <w:rFonts w:ascii="Times New Roman" w:hAnsi="Times New Roman" w:cs="Times New Roman"/>
          <w:sz w:val="23"/>
          <w:szCs w:val="23"/>
        </w:rPr>
        <w:t xml:space="preserve"> del Conocimiento podrá celebrar operaciones de cobertura y </w:t>
      </w:r>
      <w:r w:rsidR="00495801" w:rsidRPr="00CF50D4">
        <w:rPr>
          <w:rFonts w:ascii="Times New Roman" w:hAnsi="Times New Roman" w:cs="Times New Roman"/>
          <w:sz w:val="23"/>
          <w:szCs w:val="23"/>
        </w:rPr>
        <w:t>aseguramiento</w:t>
      </w:r>
      <w:r w:rsidRPr="00CF50D4">
        <w:rPr>
          <w:rFonts w:ascii="Times New Roman" w:hAnsi="Times New Roman" w:cs="Times New Roman"/>
          <w:sz w:val="23"/>
          <w:szCs w:val="23"/>
        </w:rPr>
        <w:t>, que de acuerdo con las disposiciones vigentes y con la política de gestión del riesgo financiero diseñada e implementada por su comité directivo, garanticen su viabilidad financiera en el corto, mediano y largo plazo.</w:t>
      </w:r>
    </w:p>
    <w:p w14:paraId="6BE3BF97" w14:textId="77777777" w:rsidR="00BB4A7B" w:rsidRPr="00CF50D4" w:rsidRDefault="00BB4A7B" w:rsidP="00CF50D4">
      <w:pPr>
        <w:spacing w:line="276" w:lineRule="auto"/>
        <w:rPr>
          <w:rFonts w:ascii="Times New Roman" w:hAnsi="Times New Roman" w:cs="Times New Roman"/>
          <w:sz w:val="23"/>
          <w:szCs w:val="23"/>
        </w:rPr>
      </w:pPr>
    </w:p>
    <w:p w14:paraId="1D492A04" w14:textId="2E77EF45"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8. Distribución de los recursos.</w:t>
      </w:r>
      <w:r w:rsidRPr="00CF50D4">
        <w:rPr>
          <w:rFonts w:ascii="Times New Roman" w:hAnsi="Times New Roman" w:cs="Times New Roman"/>
          <w:sz w:val="23"/>
          <w:szCs w:val="23"/>
        </w:rPr>
        <w:t xml:space="preserve"> Los recursos depositados en el Fondo Manizales </w:t>
      </w:r>
      <w:r w:rsidR="00020B2C" w:rsidRPr="00CF50D4">
        <w:rPr>
          <w:rFonts w:ascii="Times New Roman" w:hAnsi="Times New Roman" w:cs="Times New Roman"/>
          <w:sz w:val="23"/>
          <w:szCs w:val="23"/>
        </w:rPr>
        <w:t>Eje</w:t>
      </w:r>
      <w:r w:rsidRPr="00CF50D4">
        <w:rPr>
          <w:rFonts w:ascii="Times New Roman" w:hAnsi="Times New Roman" w:cs="Times New Roman"/>
          <w:sz w:val="23"/>
          <w:szCs w:val="23"/>
        </w:rPr>
        <w:t xml:space="preserve"> del Conocimiento se distribuirán </w:t>
      </w:r>
      <w:r w:rsidR="00495801" w:rsidRPr="00CF50D4">
        <w:rPr>
          <w:rFonts w:ascii="Times New Roman" w:hAnsi="Times New Roman" w:cs="Times New Roman"/>
          <w:sz w:val="23"/>
          <w:szCs w:val="23"/>
        </w:rPr>
        <w:t xml:space="preserve">de acuerdo con la reglamentación que expida </w:t>
      </w:r>
      <w:r w:rsidRPr="00CF50D4">
        <w:rPr>
          <w:rFonts w:ascii="Times New Roman" w:hAnsi="Times New Roman" w:cs="Times New Roman"/>
          <w:sz w:val="23"/>
          <w:szCs w:val="23"/>
        </w:rPr>
        <w:t xml:space="preserve">el </w:t>
      </w:r>
      <w:r w:rsidR="00495801" w:rsidRPr="00CF50D4">
        <w:rPr>
          <w:rFonts w:ascii="Times New Roman" w:hAnsi="Times New Roman" w:cs="Times New Roman"/>
          <w:sz w:val="23"/>
          <w:szCs w:val="23"/>
        </w:rPr>
        <w:t>comité directivo creado por el departamento y el municipio.</w:t>
      </w:r>
    </w:p>
    <w:p w14:paraId="1ADDA4E3" w14:textId="77777777" w:rsidR="00BB4A7B" w:rsidRPr="00CF50D4" w:rsidRDefault="00BB4A7B" w:rsidP="00CF50D4">
      <w:pPr>
        <w:spacing w:line="276" w:lineRule="auto"/>
        <w:rPr>
          <w:rFonts w:ascii="Times New Roman" w:hAnsi="Times New Roman" w:cs="Times New Roman"/>
          <w:sz w:val="23"/>
          <w:szCs w:val="23"/>
        </w:rPr>
      </w:pPr>
    </w:p>
    <w:p w14:paraId="0078ADB6" w14:textId="2C6F6EB1"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 xml:space="preserve">Artículo 9. Comité Directivo del </w:t>
      </w:r>
      <w:r w:rsidR="00DB2FF8" w:rsidRPr="00CF50D4">
        <w:rPr>
          <w:rFonts w:ascii="Times New Roman" w:hAnsi="Times New Roman" w:cs="Times New Roman"/>
          <w:b/>
          <w:bCs/>
          <w:sz w:val="23"/>
          <w:szCs w:val="23"/>
        </w:rPr>
        <w:t>f</w:t>
      </w:r>
      <w:r w:rsidRPr="00CF50D4">
        <w:rPr>
          <w:rFonts w:ascii="Times New Roman" w:hAnsi="Times New Roman" w:cs="Times New Roman"/>
          <w:b/>
          <w:bCs/>
          <w:sz w:val="23"/>
          <w:szCs w:val="23"/>
        </w:rPr>
        <w:t>ondo.</w:t>
      </w:r>
      <w:r w:rsidRPr="00CF50D4">
        <w:rPr>
          <w:rFonts w:ascii="Times New Roman" w:hAnsi="Times New Roman" w:cs="Times New Roman"/>
          <w:sz w:val="23"/>
          <w:szCs w:val="23"/>
        </w:rPr>
        <w:t xml:space="preserve"> El Fondo Manizales </w:t>
      </w:r>
      <w:r w:rsidR="00020B2C" w:rsidRPr="00CF50D4">
        <w:rPr>
          <w:rFonts w:ascii="Times New Roman" w:hAnsi="Times New Roman" w:cs="Times New Roman"/>
          <w:sz w:val="23"/>
          <w:szCs w:val="23"/>
        </w:rPr>
        <w:t>Eje</w:t>
      </w:r>
      <w:r w:rsidRPr="00CF50D4">
        <w:rPr>
          <w:rFonts w:ascii="Times New Roman" w:hAnsi="Times New Roman" w:cs="Times New Roman"/>
          <w:sz w:val="23"/>
          <w:szCs w:val="23"/>
        </w:rPr>
        <w:t xml:space="preserve"> del Conocimiento dispondrá de un Comité Directivo conformado por </w:t>
      </w:r>
      <w:r w:rsidR="00495801" w:rsidRPr="00CF50D4">
        <w:rPr>
          <w:rFonts w:ascii="Times New Roman" w:hAnsi="Times New Roman" w:cs="Times New Roman"/>
          <w:sz w:val="23"/>
          <w:szCs w:val="23"/>
        </w:rPr>
        <w:t>tres</w:t>
      </w:r>
      <w:r w:rsidRPr="00CF50D4">
        <w:rPr>
          <w:rFonts w:ascii="Times New Roman" w:hAnsi="Times New Roman" w:cs="Times New Roman"/>
          <w:sz w:val="23"/>
          <w:szCs w:val="23"/>
        </w:rPr>
        <w:t xml:space="preserve"> (</w:t>
      </w:r>
      <w:r w:rsidR="00495801" w:rsidRPr="00CF50D4">
        <w:rPr>
          <w:rFonts w:ascii="Times New Roman" w:hAnsi="Times New Roman" w:cs="Times New Roman"/>
          <w:sz w:val="23"/>
          <w:szCs w:val="23"/>
        </w:rPr>
        <w:t>3</w:t>
      </w:r>
      <w:r w:rsidRPr="00CF50D4">
        <w:rPr>
          <w:rFonts w:ascii="Times New Roman" w:hAnsi="Times New Roman" w:cs="Times New Roman"/>
          <w:sz w:val="23"/>
          <w:szCs w:val="23"/>
        </w:rPr>
        <w:t>) miembros, así:</w:t>
      </w:r>
    </w:p>
    <w:p w14:paraId="30ACC1A9" w14:textId="77777777" w:rsidR="00BB4A7B" w:rsidRPr="00CF50D4" w:rsidRDefault="00BB4A7B" w:rsidP="00CF50D4">
      <w:pPr>
        <w:spacing w:line="276" w:lineRule="auto"/>
        <w:rPr>
          <w:rFonts w:ascii="Times New Roman" w:hAnsi="Times New Roman" w:cs="Times New Roman"/>
          <w:sz w:val="23"/>
          <w:szCs w:val="23"/>
        </w:rPr>
      </w:pPr>
    </w:p>
    <w:p w14:paraId="3B070EB8" w14:textId="514710A5" w:rsidR="00970C6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1.</w:t>
      </w:r>
      <w:r w:rsidRPr="00CF50D4">
        <w:rPr>
          <w:rFonts w:ascii="Times New Roman" w:hAnsi="Times New Roman" w:cs="Times New Roman"/>
          <w:sz w:val="23"/>
          <w:szCs w:val="23"/>
        </w:rPr>
        <w:tab/>
      </w:r>
      <w:r w:rsidR="00495801" w:rsidRPr="00CF50D4">
        <w:rPr>
          <w:rFonts w:ascii="Times New Roman" w:hAnsi="Times New Roman" w:cs="Times New Roman"/>
          <w:sz w:val="23"/>
          <w:szCs w:val="23"/>
        </w:rPr>
        <w:t>Un delegado</w:t>
      </w:r>
      <w:r w:rsidRPr="00CF50D4">
        <w:rPr>
          <w:rFonts w:ascii="Times New Roman" w:hAnsi="Times New Roman" w:cs="Times New Roman"/>
          <w:sz w:val="23"/>
          <w:szCs w:val="23"/>
        </w:rPr>
        <w:t xml:space="preserve"> </w:t>
      </w:r>
      <w:r w:rsidR="00970C6B" w:rsidRPr="00CF50D4">
        <w:rPr>
          <w:rFonts w:ascii="Times New Roman" w:hAnsi="Times New Roman" w:cs="Times New Roman"/>
          <w:sz w:val="23"/>
          <w:szCs w:val="23"/>
        </w:rPr>
        <w:t>de la Gobernación</w:t>
      </w:r>
      <w:r w:rsidR="00813ABD" w:rsidRPr="00CF50D4">
        <w:rPr>
          <w:rFonts w:ascii="Times New Roman" w:hAnsi="Times New Roman" w:cs="Times New Roman"/>
          <w:sz w:val="23"/>
          <w:szCs w:val="23"/>
        </w:rPr>
        <w:t xml:space="preserve"> del departamento de Caldas</w:t>
      </w:r>
      <w:r w:rsidR="00970C6B" w:rsidRPr="00CF50D4">
        <w:rPr>
          <w:rFonts w:ascii="Times New Roman" w:hAnsi="Times New Roman" w:cs="Times New Roman"/>
          <w:sz w:val="23"/>
          <w:szCs w:val="23"/>
        </w:rPr>
        <w:t>.</w:t>
      </w:r>
      <w:r w:rsidRPr="00CF50D4">
        <w:rPr>
          <w:rFonts w:ascii="Times New Roman" w:hAnsi="Times New Roman" w:cs="Times New Roman"/>
          <w:sz w:val="23"/>
          <w:szCs w:val="23"/>
        </w:rPr>
        <w:t xml:space="preserve"> </w:t>
      </w:r>
    </w:p>
    <w:p w14:paraId="6E8E401E" w14:textId="147BA850" w:rsidR="00BB4A7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2.</w:t>
      </w:r>
      <w:r w:rsidRPr="00CF50D4">
        <w:rPr>
          <w:rFonts w:ascii="Times New Roman" w:hAnsi="Times New Roman" w:cs="Times New Roman"/>
          <w:sz w:val="23"/>
          <w:szCs w:val="23"/>
        </w:rPr>
        <w:tab/>
        <w:t>Un delegado del municipio</w:t>
      </w:r>
      <w:r w:rsidR="00813ABD" w:rsidRPr="00CF50D4">
        <w:rPr>
          <w:rFonts w:ascii="Times New Roman" w:hAnsi="Times New Roman" w:cs="Times New Roman"/>
          <w:sz w:val="23"/>
          <w:szCs w:val="23"/>
        </w:rPr>
        <w:t xml:space="preserve"> de Manizales</w:t>
      </w:r>
      <w:r w:rsidR="00BB4A7B" w:rsidRPr="00CF50D4">
        <w:rPr>
          <w:rFonts w:ascii="Times New Roman" w:hAnsi="Times New Roman" w:cs="Times New Roman"/>
          <w:sz w:val="23"/>
          <w:szCs w:val="23"/>
        </w:rPr>
        <w:t>.</w:t>
      </w:r>
    </w:p>
    <w:p w14:paraId="49C7D967" w14:textId="174334D8" w:rsidR="00DB2FF8" w:rsidRPr="00CF50D4" w:rsidRDefault="009E11D8"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3</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r>
      <w:r w:rsidR="00495801" w:rsidRPr="00CF50D4">
        <w:rPr>
          <w:rFonts w:ascii="Times New Roman" w:hAnsi="Times New Roman" w:cs="Times New Roman"/>
          <w:sz w:val="23"/>
          <w:szCs w:val="23"/>
        </w:rPr>
        <w:t>Un</w:t>
      </w:r>
      <w:r w:rsidR="00BB4A7B" w:rsidRPr="00CF50D4">
        <w:rPr>
          <w:rFonts w:ascii="Times New Roman" w:hAnsi="Times New Roman" w:cs="Times New Roman"/>
          <w:sz w:val="23"/>
          <w:szCs w:val="23"/>
        </w:rPr>
        <w:t xml:space="preserve"> delegado </w:t>
      </w:r>
      <w:r w:rsidR="00856C56" w:rsidRPr="00CF50D4">
        <w:rPr>
          <w:rFonts w:ascii="Times New Roman" w:hAnsi="Times New Roman" w:cs="Times New Roman"/>
          <w:sz w:val="23"/>
          <w:szCs w:val="23"/>
        </w:rPr>
        <w:t xml:space="preserve">de las instituciones de educación superior </w:t>
      </w:r>
      <w:r w:rsidR="00813ABD" w:rsidRPr="00CF50D4">
        <w:rPr>
          <w:rFonts w:ascii="Times New Roman" w:hAnsi="Times New Roman" w:cs="Times New Roman"/>
          <w:sz w:val="23"/>
          <w:szCs w:val="23"/>
        </w:rPr>
        <w:t>con sede en</w:t>
      </w:r>
      <w:r w:rsidR="00856C56" w:rsidRPr="00CF50D4">
        <w:rPr>
          <w:rFonts w:ascii="Times New Roman" w:hAnsi="Times New Roman" w:cs="Times New Roman"/>
          <w:sz w:val="23"/>
          <w:szCs w:val="23"/>
        </w:rPr>
        <w:t xml:space="preserve"> Manizales.</w:t>
      </w:r>
    </w:p>
    <w:p w14:paraId="60E2C0FA" w14:textId="77777777" w:rsidR="009E11D8" w:rsidRPr="00CF50D4" w:rsidRDefault="009E11D8" w:rsidP="00CF50D4">
      <w:pPr>
        <w:spacing w:line="276" w:lineRule="auto"/>
        <w:rPr>
          <w:rFonts w:ascii="Times New Roman" w:hAnsi="Times New Roman" w:cs="Times New Roman"/>
          <w:b/>
          <w:bCs/>
          <w:sz w:val="23"/>
          <w:szCs w:val="23"/>
        </w:rPr>
      </w:pPr>
    </w:p>
    <w:p w14:paraId="552FEF67" w14:textId="734CA68B" w:rsidR="00DB2FF8" w:rsidRPr="00CF50D4" w:rsidRDefault="00DB2FF8"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Parágrafo 1.</w:t>
      </w:r>
      <w:r w:rsidRPr="00CF50D4">
        <w:rPr>
          <w:rFonts w:ascii="Times New Roman" w:hAnsi="Times New Roman" w:cs="Times New Roman"/>
          <w:sz w:val="23"/>
          <w:szCs w:val="23"/>
        </w:rPr>
        <w:t xml:space="preserve"> Bajo el principio de concurrencia, la nación a través de las entidades del Sistema Nacional de Educación y el Sistema Nacional de Ciencia y Tecnología asesorará</w:t>
      </w:r>
      <w:r w:rsidR="009E11D8" w:rsidRPr="00CF50D4">
        <w:rPr>
          <w:rFonts w:ascii="Times New Roman" w:hAnsi="Times New Roman" w:cs="Times New Roman"/>
          <w:sz w:val="23"/>
          <w:szCs w:val="23"/>
        </w:rPr>
        <w:t>n</w:t>
      </w:r>
      <w:r w:rsidRPr="00CF50D4">
        <w:rPr>
          <w:rFonts w:ascii="Times New Roman" w:hAnsi="Times New Roman" w:cs="Times New Roman"/>
          <w:sz w:val="23"/>
          <w:szCs w:val="23"/>
        </w:rPr>
        <w:t xml:space="preserve"> al comité directivo del fondo.</w:t>
      </w:r>
    </w:p>
    <w:p w14:paraId="17ED08D2" w14:textId="77777777" w:rsidR="00DB2FF8" w:rsidRPr="00CF50D4" w:rsidRDefault="00DB2FF8" w:rsidP="00CF50D4">
      <w:pPr>
        <w:spacing w:line="276" w:lineRule="auto"/>
        <w:rPr>
          <w:rFonts w:ascii="Times New Roman" w:hAnsi="Times New Roman" w:cs="Times New Roman"/>
          <w:sz w:val="23"/>
          <w:szCs w:val="23"/>
        </w:rPr>
      </w:pPr>
    </w:p>
    <w:p w14:paraId="08B730D5" w14:textId="18D3F738" w:rsidR="00BB4A7B" w:rsidRPr="00CF50D4" w:rsidRDefault="0007109A"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Parágrafo</w:t>
      </w:r>
      <w:r w:rsidR="00DB2FF8" w:rsidRPr="00CF50D4">
        <w:rPr>
          <w:rFonts w:ascii="Times New Roman" w:hAnsi="Times New Roman" w:cs="Times New Roman"/>
          <w:b/>
          <w:bCs/>
          <w:sz w:val="23"/>
          <w:szCs w:val="23"/>
        </w:rPr>
        <w:t xml:space="preserve"> 2</w:t>
      </w:r>
      <w:r w:rsidRPr="00CF50D4">
        <w:rPr>
          <w:rFonts w:ascii="Times New Roman" w:hAnsi="Times New Roman" w:cs="Times New Roman"/>
          <w:b/>
          <w:bCs/>
          <w:sz w:val="23"/>
          <w:szCs w:val="23"/>
        </w:rPr>
        <w:t>.</w:t>
      </w:r>
      <w:r w:rsidRPr="00CF50D4">
        <w:rPr>
          <w:rFonts w:ascii="Times New Roman" w:hAnsi="Times New Roman" w:cs="Times New Roman"/>
          <w:sz w:val="23"/>
          <w:szCs w:val="23"/>
        </w:rPr>
        <w:t xml:space="preserve"> </w:t>
      </w:r>
      <w:r w:rsidR="00BB4A7B" w:rsidRPr="00CF50D4">
        <w:rPr>
          <w:rFonts w:ascii="Times New Roman" w:hAnsi="Times New Roman" w:cs="Times New Roman"/>
          <w:sz w:val="23"/>
          <w:szCs w:val="23"/>
        </w:rPr>
        <w:t xml:space="preserve">La Secretaría Técnica del Comité Directivo será ejercida por quien designe </w:t>
      </w:r>
      <w:r w:rsidR="00813ABD" w:rsidRPr="00CF50D4">
        <w:rPr>
          <w:rFonts w:ascii="Times New Roman" w:hAnsi="Times New Roman" w:cs="Times New Roman"/>
          <w:sz w:val="23"/>
          <w:szCs w:val="23"/>
        </w:rPr>
        <w:t>el</w:t>
      </w:r>
      <w:r w:rsidR="00BB4A7B" w:rsidRPr="00CF50D4">
        <w:rPr>
          <w:rFonts w:ascii="Times New Roman" w:hAnsi="Times New Roman" w:cs="Times New Roman"/>
          <w:sz w:val="23"/>
          <w:szCs w:val="23"/>
        </w:rPr>
        <w:t xml:space="preserve"> </w:t>
      </w:r>
      <w:r w:rsidR="00813ABD" w:rsidRPr="00CF50D4">
        <w:rPr>
          <w:rFonts w:ascii="Times New Roman" w:hAnsi="Times New Roman" w:cs="Times New Roman"/>
          <w:sz w:val="23"/>
          <w:szCs w:val="23"/>
        </w:rPr>
        <w:t>a</w:t>
      </w:r>
      <w:r w:rsidR="00BB4A7B" w:rsidRPr="00CF50D4">
        <w:rPr>
          <w:rFonts w:ascii="Times New Roman" w:hAnsi="Times New Roman" w:cs="Times New Roman"/>
          <w:sz w:val="23"/>
          <w:szCs w:val="23"/>
        </w:rPr>
        <w:t>cuerdo</w:t>
      </w:r>
      <w:r w:rsidR="00813ABD" w:rsidRPr="00CF50D4">
        <w:rPr>
          <w:rFonts w:ascii="Times New Roman" w:hAnsi="Times New Roman" w:cs="Times New Roman"/>
          <w:sz w:val="23"/>
          <w:szCs w:val="23"/>
        </w:rPr>
        <w:t xml:space="preserve"> municipal</w:t>
      </w:r>
      <w:r w:rsidR="00BB4A7B" w:rsidRPr="00CF50D4">
        <w:rPr>
          <w:rFonts w:ascii="Times New Roman" w:hAnsi="Times New Roman" w:cs="Times New Roman"/>
          <w:sz w:val="23"/>
          <w:szCs w:val="23"/>
        </w:rPr>
        <w:t>.</w:t>
      </w:r>
    </w:p>
    <w:p w14:paraId="22E063F3" w14:textId="15672923" w:rsidR="00970C6B" w:rsidRPr="00CF50D4" w:rsidRDefault="00970C6B" w:rsidP="00CF50D4">
      <w:pPr>
        <w:spacing w:line="276" w:lineRule="auto"/>
        <w:rPr>
          <w:rFonts w:ascii="Times New Roman" w:hAnsi="Times New Roman" w:cs="Times New Roman"/>
          <w:sz w:val="23"/>
          <w:szCs w:val="23"/>
        </w:rPr>
      </w:pPr>
    </w:p>
    <w:p w14:paraId="1A0464E4" w14:textId="098EAC63" w:rsidR="00970C6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Parágrafo 3.</w:t>
      </w:r>
      <w:r w:rsidRPr="00CF50D4">
        <w:rPr>
          <w:rFonts w:ascii="Times New Roman" w:hAnsi="Times New Roman" w:cs="Times New Roman"/>
          <w:sz w:val="23"/>
          <w:szCs w:val="23"/>
        </w:rPr>
        <w:t xml:space="preserve"> El comité directivo del fondo promoverá el diálogo y la consulta con personas jurídicas de naturaleza pública o privada con competencia en el sector de la ciencia</w:t>
      </w:r>
      <w:r w:rsidR="00813ABD" w:rsidRPr="00CF50D4">
        <w:rPr>
          <w:rFonts w:ascii="Times New Roman" w:hAnsi="Times New Roman" w:cs="Times New Roman"/>
          <w:sz w:val="23"/>
          <w:szCs w:val="23"/>
        </w:rPr>
        <w:t xml:space="preserve">, </w:t>
      </w:r>
      <w:r w:rsidRPr="00CF50D4">
        <w:rPr>
          <w:rFonts w:ascii="Times New Roman" w:hAnsi="Times New Roman" w:cs="Times New Roman"/>
          <w:sz w:val="23"/>
          <w:szCs w:val="23"/>
        </w:rPr>
        <w:t>la tecnología</w:t>
      </w:r>
      <w:r w:rsidR="00813ABD" w:rsidRPr="00CF50D4">
        <w:rPr>
          <w:rFonts w:ascii="Times New Roman" w:hAnsi="Times New Roman" w:cs="Times New Roman"/>
          <w:sz w:val="23"/>
          <w:szCs w:val="23"/>
        </w:rPr>
        <w:t xml:space="preserve"> y la innovación</w:t>
      </w:r>
      <w:r w:rsidRPr="00CF50D4">
        <w:rPr>
          <w:rFonts w:ascii="Times New Roman" w:hAnsi="Times New Roman" w:cs="Times New Roman"/>
          <w:sz w:val="23"/>
          <w:szCs w:val="23"/>
        </w:rPr>
        <w:t>.</w:t>
      </w:r>
    </w:p>
    <w:p w14:paraId="04C7625B" w14:textId="77777777" w:rsidR="0007109A" w:rsidRPr="00CF50D4" w:rsidRDefault="0007109A" w:rsidP="00CF50D4">
      <w:pPr>
        <w:spacing w:line="276" w:lineRule="auto"/>
        <w:rPr>
          <w:rFonts w:ascii="Times New Roman" w:hAnsi="Times New Roman" w:cs="Times New Roman"/>
          <w:sz w:val="23"/>
          <w:szCs w:val="23"/>
        </w:rPr>
      </w:pPr>
    </w:p>
    <w:p w14:paraId="32CB33DB" w14:textId="49F63C11"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lastRenderedPageBreak/>
        <w:t>Artículo 10. Funciones del Comité Directivo.</w:t>
      </w:r>
      <w:r w:rsidRPr="00CF50D4">
        <w:rPr>
          <w:rFonts w:ascii="Times New Roman" w:hAnsi="Times New Roman" w:cs="Times New Roman"/>
          <w:sz w:val="23"/>
          <w:szCs w:val="23"/>
        </w:rPr>
        <w:t xml:space="preserve"> El Comité Directivo del Fondo Manizales Eje del Conocimiento tendrá las siguientes funciones:</w:t>
      </w:r>
    </w:p>
    <w:p w14:paraId="38911541" w14:textId="77777777" w:rsidR="00BB4A7B" w:rsidRPr="00CF50D4" w:rsidRDefault="00BB4A7B" w:rsidP="00CF50D4">
      <w:pPr>
        <w:spacing w:line="276" w:lineRule="auto"/>
        <w:rPr>
          <w:rFonts w:ascii="Times New Roman" w:hAnsi="Times New Roman" w:cs="Times New Roman"/>
          <w:sz w:val="23"/>
          <w:szCs w:val="23"/>
        </w:rPr>
      </w:pPr>
    </w:p>
    <w:p w14:paraId="48225D4E" w14:textId="58ABB048" w:rsidR="00DB2FF8"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a.</w:t>
      </w:r>
      <w:r w:rsidRPr="00CF50D4">
        <w:rPr>
          <w:rFonts w:ascii="Times New Roman" w:hAnsi="Times New Roman" w:cs="Times New Roman"/>
          <w:sz w:val="23"/>
          <w:szCs w:val="23"/>
        </w:rPr>
        <w:tab/>
      </w:r>
      <w:r w:rsidR="00DB2FF8" w:rsidRPr="00CF50D4">
        <w:rPr>
          <w:rFonts w:ascii="Times New Roman" w:hAnsi="Times New Roman" w:cs="Times New Roman"/>
          <w:sz w:val="23"/>
          <w:szCs w:val="23"/>
        </w:rPr>
        <w:t xml:space="preserve">Dictarse su </w:t>
      </w:r>
      <w:r w:rsidR="00813ABD" w:rsidRPr="00CF50D4">
        <w:rPr>
          <w:rFonts w:ascii="Times New Roman" w:hAnsi="Times New Roman" w:cs="Times New Roman"/>
          <w:sz w:val="23"/>
          <w:szCs w:val="23"/>
        </w:rPr>
        <w:t xml:space="preserve">propio </w:t>
      </w:r>
      <w:r w:rsidR="00DB2FF8" w:rsidRPr="00CF50D4">
        <w:rPr>
          <w:rFonts w:ascii="Times New Roman" w:hAnsi="Times New Roman" w:cs="Times New Roman"/>
          <w:sz w:val="23"/>
          <w:szCs w:val="23"/>
        </w:rPr>
        <w:t>reglamento.</w:t>
      </w:r>
    </w:p>
    <w:p w14:paraId="457413FA" w14:textId="49F48900" w:rsidR="00970C6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b.</w:t>
      </w:r>
      <w:r w:rsidRPr="00CF50D4">
        <w:rPr>
          <w:rFonts w:ascii="Times New Roman" w:hAnsi="Times New Roman" w:cs="Times New Roman"/>
          <w:sz w:val="23"/>
          <w:szCs w:val="23"/>
        </w:rPr>
        <w:tab/>
        <w:t>Determinar la distribución de los recursos cada año.</w:t>
      </w:r>
    </w:p>
    <w:p w14:paraId="4538A07D" w14:textId="0921FA9E" w:rsidR="00970C6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c.</w:t>
      </w:r>
      <w:r w:rsidRPr="00CF50D4">
        <w:rPr>
          <w:rFonts w:ascii="Times New Roman" w:hAnsi="Times New Roman" w:cs="Times New Roman"/>
          <w:sz w:val="23"/>
          <w:szCs w:val="23"/>
        </w:rPr>
        <w:tab/>
        <w:t>Trazar la política de inversión del fondo.</w:t>
      </w:r>
    </w:p>
    <w:p w14:paraId="6D3CE2A4" w14:textId="2693B9A6" w:rsidR="00970C6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d.</w:t>
      </w:r>
      <w:r w:rsidRPr="00CF50D4">
        <w:rPr>
          <w:rFonts w:ascii="Times New Roman" w:hAnsi="Times New Roman" w:cs="Times New Roman"/>
          <w:sz w:val="23"/>
          <w:szCs w:val="23"/>
        </w:rPr>
        <w:tab/>
        <w:t>Definir la política de diálogo y consulta señalada en el artículo anterior.</w:t>
      </w:r>
    </w:p>
    <w:p w14:paraId="30E92289" w14:textId="3ACAC26C" w:rsidR="00BB4A7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e</w:t>
      </w:r>
      <w:r w:rsidR="00DB2FF8" w:rsidRPr="00CF50D4">
        <w:rPr>
          <w:rFonts w:ascii="Times New Roman" w:hAnsi="Times New Roman" w:cs="Times New Roman"/>
          <w:sz w:val="23"/>
          <w:szCs w:val="23"/>
        </w:rPr>
        <w:t>.</w:t>
      </w:r>
      <w:r w:rsidR="00DB2FF8" w:rsidRPr="00CF50D4">
        <w:rPr>
          <w:rFonts w:ascii="Times New Roman" w:hAnsi="Times New Roman" w:cs="Times New Roman"/>
          <w:sz w:val="23"/>
          <w:szCs w:val="23"/>
        </w:rPr>
        <w:tab/>
      </w:r>
      <w:r w:rsidR="00BB4A7B" w:rsidRPr="00CF50D4">
        <w:rPr>
          <w:rFonts w:ascii="Times New Roman" w:hAnsi="Times New Roman" w:cs="Times New Roman"/>
          <w:sz w:val="23"/>
          <w:szCs w:val="23"/>
        </w:rPr>
        <w:t xml:space="preserve">Aprobar los estados financieros del </w:t>
      </w:r>
      <w:r w:rsidR="0007109A" w:rsidRPr="00CF50D4">
        <w:rPr>
          <w:rFonts w:ascii="Times New Roman" w:hAnsi="Times New Roman" w:cs="Times New Roman"/>
          <w:sz w:val="23"/>
          <w:szCs w:val="23"/>
        </w:rPr>
        <w:t>f</w:t>
      </w:r>
      <w:r w:rsidR="00BB4A7B" w:rsidRPr="00CF50D4">
        <w:rPr>
          <w:rFonts w:ascii="Times New Roman" w:hAnsi="Times New Roman" w:cs="Times New Roman"/>
          <w:sz w:val="23"/>
          <w:szCs w:val="23"/>
        </w:rPr>
        <w:t>ondo, al menos una vez al año.</w:t>
      </w:r>
    </w:p>
    <w:p w14:paraId="7ADEC1AD" w14:textId="5A953623" w:rsidR="00BB4A7B" w:rsidRPr="00CF50D4" w:rsidRDefault="00970C6B" w:rsidP="00CF50D4">
      <w:pPr>
        <w:spacing w:line="276" w:lineRule="auto"/>
        <w:rPr>
          <w:rFonts w:ascii="Times New Roman" w:hAnsi="Times New Roman" w:cs="Times New Roman"/>
          <w:sz w:val="23"/>
          <w:szCs w:val="23"/>
        </w:rPr>
      </w:pPr>
      <w:r w:rsidRPr="00CF50D4">
        <w:rPr>
          <w:rFonts w:ascii="Times New Roman" w:hAnsi="Times New Roman" w:cs="Times New Roman"/>
          <w:sz w:val="23"/>
          <w:szCs w:val="23"/>
        </w:rPr>
        <w:t>f</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t xml:space="preserve">Hacer seguimiento al desempeño del </w:t>
      </w:r>
      <w:r w:rsidR="0007109A" w:rsidRPr="00CF50D4">
        <w:rPr>
          <w:rFonts w:ascii="Times New Roman" w:hAnsi="Times New Roman" w:cs="Times New Roman"/>
          <w:sz w:val="23"/>
          <w:szCs w:val="23"/>
        </w:rPr>
        <w:t>f</w:t>
      </w:r>
      <w:r w:rsidR="00BB4A7B" w:rsidRPr="00CF50D4">
        <w:rPr>
          <w:rFonts w:ascii="Times New Roman" w:hAnsi="Times New Roman" w:cs="Times New Roman"/>
          <w:sz w:val="23"/>
          <w:szCs w:val="23"/>
        </w:rPr>
        <w:t>ondo y a las políticas establecidas.</w:t>
      </w:r>
    </w:p>
    <w:p w14:paraId="4EB8F6DE" w14:textId="32AED2BC" w:rsidR="00BB4A7B" w:rsidRPr="00CF50D4" w:rsidRDefault="00970C6B" w:rsidP="00CF50D4">
      <w:pPr>
        <w:spacing w:line="276" w:lineRule="auto"/>
        <w:ind w:left="700" w:hanging="700"/>
        <w:rPr>
          <w:rFonts w:ascii="Times New Roman" w:hAnsi="Times New Roman" w:cs="Times New Roman"/>
          <w:sz w:val="23"/>
          <w:szCs w:val="23"/>
        </w:rPr>
      </w:pPr>
      <w:r w:rsidRPr="00CF50D4">
        <w:rPr>
          <w:rFonts w:ascii="Times New Roman" w:hAnsi="Times New Roman" w:cs="Times New Roman"/>
          <w:sz w:val="23"/>
          <w:szCs w:val="23"/>
        </w:rPr>
        <w:t>g</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t xml:space="preserve">Expedir el reglamento operativo del </w:t>
      </w:r>
      <w:r w:rsidR="0007109A" w:rsidRPr="00CF50D4">
        <w:rPr>
          <w:rFonts w:ascii="Times New Roman" w:hAnsi="Times New Roman" w:cs="Times New Roman"/>
          <w:sz w:val="23"/>
          <w:szCs w:val="23"/>
        </w:rPr>
        <w:t>f</w:t>
      </w:r>
      <w:r w:rsidR="00BB4A7B" w:rsidRPr="00CF50D4">
        <w:rPr>
          <w:rFonts w:ascii="Times New Roman" w:hAnsi="Times New Roman" w:cs="Times New Roman"/>
          <w:sz w:val="23"/>
          <w:szCs w:val="23"/>
        </w:rPr>
        <w:t>ondo y de los mecanismos que se adopten para su operación.</w:t>
      </w:r>
    </w:p>
    <w:p w14:paraId="28E38794" w14:textId="15BAB379" w:rsidR="00BB4A7B" w:rsidRPr="00CF50D4" w:rsidRDefault="00970C6B" w:rsidP="00CF50D4">
      <w:pPr>
        <w:spacing w:line="276" w:lineRule="auto"/>
        <w:ind w:left="700" w:hanging="700"/>
        <w:rPr>
          <w:rFonts w:ascii="Times New Roman" w:hAnsi="Times New Roman" w:cs="Times New Roman"/>
          <w:sz w:val="23"/>
          <w:szCs w:val="23"/>
        </w:rPr>
      </w:pPr>
      <w:r w:rsidRPr="00CF50D4">
        <w:rPr>
          <w:rFonts w:ascii="Times New Roman" w:hAnsi="Times New Roman" w:cs="Times New Roman"/>
          <w:sz w:val="23"/>
          <w:szCs w:val="23"/>
        </w:rPr>
        <w:t>h</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t xml:space="preserve">Crear las subcuentas que sean necesarias para la ejecución de </w:t>
      </w:r>
      <w:r w:rsidR="0007109A" w:rsidRPr="00CF50D4">
        <w:rPr>
          <w:rFonts w:ascii="Times New Roman" w:hAnsi="Times New Roman" w:cs="Times New Roman"/>
          <w:sz w:val="23"/>
          <w:szCs w:val="23"/>
        </w:rPr>
        <w:t xml:space="preserve">las </w:t>
      </w:r>
      <w:r w:rsidR="00BB4A7B" w:rsidRPr="00CF50D4">
        <w:rPr>
          <w:rFonts w:ascii="Times New Roman" w:hAnsi="Times New Roman" w:cs="Times New Roman"/>
          <w:sz w:val="23"/>
          <w:szCs w:val="23"/>
        </w:rPr>
        <w:t xml:space="preserve">operaciones tendientes a cumplir con el objeto del </w:t>
      </w:r>
      <w:r w:rsidR="0007109A" w:rsidRPr="00CF50D4">
        <w:rPr>
          <w:rFonts w:ascii="Times New Roman" w:hAnsi="Times New Roman" w:cs="Times New Roman"/>
          <w:sz w:val="23"/>
          <w:szCs w:val="23"/>
        </w:rPr>
        <w:t>f</w:t>
      </w:r>
      <w:r w:rsidR="00BB4A7B" w:rsidRPr="00CF50D4">
        <w:rPr>
          <w:rFonts w:ascii="Times New Roman" w:hAnsi="Times New Roman" w:cs="Times New Roman"/>
          <w:sz w:val="23"/>
          <w:szCs w:val="23"/>
        </w:rPr>
        <w:t>ondo.</w:t>
      </w:r>
    </w:p>
    <w:p w14:paraId="7651CBD5" w14:textId="7E19440F" w:rsidR="00BB4A7B" w:rsidRPr="00CF50D4" w:rsidRDefault="00970C6B" w:rsidP="00CF50D4">
      <w:pPr>
        <w:spacing w:line="276" w:lineRule="auto"/>
        <w:ind w:left="700" w:hanging="700"/>
        <w:rPr>
          <w:rFonts w:ascii="Times New Roman" w:hAnsi="Times New Roman" w:cs="Times New Roman"/>
          <w:sz w:val="23"/>
          <w:szCs w:val="23"/>
        </w:rPr>
      </w:pPr>
      <w:r w:rsidRPr="00CF50D4">
        <w:rPr>
          <w:rFonts w:ascii="Times New Roman" w:hAnsi="Times New Roman" w:cs="Times New Roman"/>
          <w:sz w:val="23"/>
          <w:szCs w:val="23"/>
        </w:rPr>
        <w:t>i</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t>Estudiar para su implementación las recomendaciones que formulen entidades del orden nacional y territorial competentes en materia de educación, ciencia y tecnología.</w:t>
      </w:r>
    </w:p>
    <w:p w14:paraId="3B05B00D" w14:textId="16D7EDA5" w:rsidR="00BB4A7B" w:rsidRPr="00CF50D4" w:rsidRDefault="00970C6B" w:rsidP="00CF50D4">
      <w:pPr>
        <w:spacing w:line="276" w:lineRule="auto"/>
        <w:ind w:left="700" w:hanging="700"/>
        <w:rPr>
          <w:rFonts w:ascii="Times New Roman" w:hAnsi="Times New Roman" w:cs="Times New Roman"/>
          <w:sz w:val="23"/>
          <w:szCs w:val="23"/>
        </w:rPr>
      </w:pPr>
      <w:r w:rsidRPr="00CF50D4">
        <w:rPr>
          <w:rFonts w:ascii="Times New Roman" w:hAnsi="Times New Roman" w:cs="Times New Roman"/>
          <w:sz w:val="23"/>
          <w:szCs w:val="23"/>
        </w:rPr>
        <w:t>j</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t xml:space="preserve">Las demás funciones inherentes a la naturaleza y a los fines del </w:t>
      </w:r>
      <w:r w:rsidR="0007109A" w:rsidRPr="00CF50D4">
        <w:rPr>
          <w:rFonts w:ascii="Times New Roman" w:hAnsi="Times New Roman" w:cs="Times New Roman"/>
          <w:sz w:val="23"/>
          <w:szCs w:val="23"/>
        </w:rPr>
        <w:t>f</w:t>
      </w:r>
      <w:r w:rsidR="00BB4A7B" w:rsidRPr="00CF50D4">
        <w:rPr>
          <w:rFonts w:ascii="Times New Roman" w:hAnsi="Times New Roman" w:cs="Times New Roman"/>
          <w:sz w:val="23"/>
          <w:szCs w:val="23"/>
        </w:rPr>
        <w:t>ondo</w:t>
      </w:r>
      <w:r w:rsidR="0007109A" w:rsidRPr="00CF50D4">
        <w:rPr>
          <w:rFonts w:ascii="Times New Roman" w:hAnsi="Times New Roman" w:cs="Times New Roman"/>
          <w:sz w:val="23"/>
          <w:szCs w:val="23"/>
        </w:rPr>
        <w:t xml:space="preserve"> que se determinen en el reglamento operativo</w:t>
      </w:r>
      <w:r w:rsidR="00BB4A7B" w:rsidRPr="00CF50D4">
        <w:rPr>
          <w:rFonts w:ascii="Times New Roman" w:hAnsi="Times New Roman" w:cs="Times New Roman"/>
          <w:sz w:val="23"/>
          <w:szCs w:val="23"/>
        </w:rPr>
        <w:t>.</w:t>
      </w:r>
    </w:p>
    <w:p w14:paraId="643FBE5C" w14:textId="26C4C191" w:rsidR="00BB4A7B" w:rsidRPr="00CF50D4" w:rsidRDefault="00970C6B" w:rsidP="00CF50D4">
      <w:pPr>
        <w:spacing w:line="276" w:lineRule="auto"/>
        <w:ind w:left="700" w:hanging="700"/>
        <w:rPr>
          <w:rFonts w:ascii="Times New Roman" w:hAnsi="Times New Roman" w:cs="Times New Roman"/>
          <w:sz w:val="23"/>
          <w:szCs w:val="23"/>
        </w:rPr>
      </w:pPr>
      <w:r w:rsidRPr="00CF50D4">
        <w:rPr>
          <w:rFonts w:ascii="Times New Roman" w:hAnsi="Times New Roman" w:cs="Times New Roman"/>
          <w:sz w:val="23"/>
          <w:szCs w:val="23"/>
        </w:rPr>
        <w:t>k</w:t>
      </w:r>
      <w:r w:rsidR="00BB4A7B" w:rsidRPr="00CF50D4">
        <w:rPr>
          <w:rFonts w:ascii="Times New Roman" w:hAnsi="Times New Roman" w:cs="Times New Roman"/>
          <w:sz w:val="23"/>
          <w:szCs w:val="23"/>
        </w:rPr>
        <w:t>.</w:t>
      </w:r>
      <w:r w:rsidR="00BB4A7B" w:rsidRPr="00CF50D4">
        <w:rPr>
          <w:rFonts w:ascii="Times New Roman" w:hAnsi="Times New Roman" w:cs="Times New Roman"/>
          <w:sz w:val="23"/>
          <w:szCs w:val="23"/>
        </w:rPr>
        <w:tab/>
      </w:r>
      <w:r w:rsidR="007A2596" w:rsidRPr="00CF50D4">
        <w:rPr>
          <w:rFonts w:ascii="Times New Roman" w:hAnsi="Times New Roman" w:cs="Times New Roman"/>
          <w:sz w:val="23"/>
          <w:szCs w:val="23"/>
        </w:rPr>
        <w:t>Articular acciones</w:t>
      </w:r>
      <w:r w:rsidR="00BB4A7B" w:rsidRPr="00CF50D4">
        <w:rPr>
          <w:rFonts w:ascii="Times New Roman" w:hAnsi="Times New Roman" w:cs="Times New Roman"/>
          <w:sz w:val="23"/>
          <w:szCs w:val="23"/>
        </w:rPr>
        <w:t xml:space="preserve"> con el </w:t>
      </w:r>
      <w:r w:rsidR="00813ABD" w:rsidRPr="00CF50D4">
        <w:rPr>
          <w:rFonts w:ascii="Times New Roman" w:hAnsi="Times New Roman" w:cs="Times New Roman"/>
          <w:sz w:val="23"/>
          <w:szCs w:val="23"/>
        </w:rPr>
        <w:t>Sistema Nacional de Ciencia, Tecnología e Innovación</w:t>
      </w:r>
      <w:r w:rsidR="00BB4A7B" w:rsidRPr="00CF50D4">
        <w:rPr>
          <w:rFonts w:ascii="Times New Roman" w:hAnsi="Times New Roman" w:cs="Times New Roman"/>
          <w:sz w:val="23"/>
          <w:szCs w:val="23"/>
        </w:rPr>
        <w:t>.</w:t>
      </w:r>
    </w:p>
    <w:p w14:paraId="7C76AEE1" w14:textId="77777777" w:rsidR="00BB4A7B" w:rsidRPr="00CF50D4" w:rsidRDefault="00BB4A7B" w:rsidP="00CF50D4">
      <w:pPr>
        <w:spacing w:line="276" w:lineRule="auto"/>
        <w:rPr>
          <w:rFonts w:ascii="Times New Roman" w:hAnsi="Times New Roman" w:cs="Times New Roman"/>
          <w:sz w:val="23"/>
          <w:szCs w:val="23"/>
        </w:rPr>
      </w:pPr>
    </w:p>
    <w:p w14:paraId="1093EF5B" w14:textId="157CF4CA"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11. Control.</w:t>
      </w:r>
      <w:r w:rsidRPr="00CF50D4">
        <w:rPr>
          <w:rFonts w:ascii="Times New Roman" w:hAnsi="Times New Roman" w:cs="Times New Roman"/>
          <w:sz w:val="23"/>
          <w:szCs w:val="23"/>
        </w:rPr>
        <w:t xml:space="preserve"> La entidad administradora del </w:t>
      </w:r>
      <w:r w:rsidR="00970C6B" w:rsidRPr="00CF50D4">
        <w:rPr>
          <w:rFonts w:ascii="Times New Roman" w:hAnsi="Times New Roman" w:cs="Times New Roman"/>
          <w:sz w:val="23"/>
          <w:szCs w:val="23"/>
        </w:rPr>
        <w:t>fondo</w:t>
      </w:r>
      <w:r w:rsidRPr="00CF50D4">
        <w:rPr>
          <w:rFonts w:ascii="Times New Roman" w:hAnsi="Times New Roman" w:cs="Times New Roman"/>
          <w:sz w:val="23"/>
          <w:szCs w:val="23"/>
        </w:rPr>
        <w:t xml:space="preserve"> rendirá cuentas a la Contraloría General de la República sobre la destinación y uso de los recursos. Para el ejercicio de control fiscal referido, la Contraloría adoptará sistemas adecuados a la naturaleza del </w:t>
      </w:r>
      <w:r w:rsidR="007A2596" w:rsidRPr="00CF50D4">
        <w:rPr>
          <w:rFonts w:ascii="Times New Roman" w:hAnsi="Times New Roman" w:cs="Times New Roman"/>
          <w:sz w:val="23"/>
          <w:szCs w:val="23"/>
        </w:rPr>
        <w:t>f</w:t>
      </w:r>
      <w:r w:rsidRPr="00CF50D4">
        <w:rPr>
          <w:rFonts w:ascii="Times New Roman" w:hAnsi="Times New Roman" w:cs="Times New Roman"/>
          <w:sz w:val="23"/>
          <w:szCs w:val="23"/>
        </w:rPr>
        <w:t>ondo y de su entidad administradora, de ser necesario.</w:t>
      </w:r>
    </w:p>
    <w:p w14:paraId="640A0F59" w14:textId="75C7AEEA" w:rsidR="00495801" w:rsidRPr="00CF50D4" w:rsidRDefault="00495801" w:rsidP="00CF50D4">
      <w:pPr>
        <w:spacing w:line="276" w:lineRule="auto"/>
        <w:rPr>
          <w:rFonts w:ascii="Times New Roman" w:hAnsi="Times New Roman" w:cs="Times New Roman"/>
          <w:b/>
          <w:bCs/>
          <w:sz w:val="23"/>
          <w:szCs w:val="23"/>
        </w:rPr>
      </w:pPr>
    </w:p>
    <w:p w14:paraId="036D011B" w14:textId="77AD61C8" w:rsidR="00495801" w:rsidRPr="00CF50D4" w:rsidRDefault="00495801"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 xml:space="preserve">Artículo </w:t>
      </w:r>
      <w:r w:rsidR="00970C6B" w:rsidRPr="00CF50D4">
        <w:rPr>
          <w:rFonts w:ascii="Times New Roman" w:hAnsi="Times New Roman" w:cs="Times New Roman"/>
          <w:b/>
          <w:bCs/>
          <w:sz w:val="23"/>
          <w:szCs w:val="23"/>
        </w:rPr>
        <w:t>12</w:t>
      </w:r>
      <w:r w:rsidRPr="00CF50D4">
        <w:rPr>
          <w:rFonts w:ascii="Times New Roman" w:hAnsi="Times New Roman" w:cs="Times New Roman"/>
          <w:b/>
          <w:bCs/>
          <w:sz w:val="23"/>
          <w:szCs w:val="23"/>
        </w:rPr>
        <w:t>. Beneficiarios.</w:t>
      </w:r>
      <w:r w:rsidRPr="00CF50D4">
        <w:rPr>
          <w:rFonts w:ascii="Times New Roman" w:hAnsi="Times New Roman" w:cs="Times New Roman"/>
          <w:sz w:val="23"/>
          <w:szCs w:val="23"/>
        </w:rPr>
        <w:t xml:space="preserve"> Para ser beneficiario del fondo se debe acreditar la vinculación a cualquier programa de educación, proyecto de investigación, proyecto de ciencia y tecnología o de otra naturaleza que sea ofrecido por las instituciones de educación superior e instituciones de ciencia y tecnología del orden municipal, departamental y/o nacional.</w:t>
      </w:r>
      <w:r w:rsidR="00970C6B" w:rsidRPr="00CF50D4">
        <w:rPr>
          <w:rFonts w:ascii="Times New Roman" w:hAnsi="Times New Roman" w:cs="Times New Roman"/>
          <w:sz w:val="23"/>
          <w:szCs w:val="23"/>
        </w:rPr>
        <w:t xml:space="preserve"> La reglamentación </w:t>
      </w:r>
      <w:r w:rsidR="00813ABD" w:rsidRPr="00CF50D4">
        <w:rPr>
          <w:rFonts w:ascii="Times New Roman" w:hAnsi="Times New Roman" w:cs="Times New Roman"/>
          <w:sz w:val="23"/>
          <w:szCs w:val="23"/>
        </w:rPr>
        <w:t xml:space="preserve">que realice la entidad territorial </w:t>
      </w:r>
      <w:r w:rsidR="00970C6B" w:rsidRPr="00CF50D4">
        <w:rPr>
          <w:rFonts w:ascii="Times New Roman" w:hAnsi="Times New Roman" w:cs="Times New Roman"/>
          <w:sz w:val="23"/>
          <w:szCs w:val="23"/>
        </w:rPr>
        <w:t>definirá la implementación</w:t>
      </w:r>
      <w:r w:rsidR="00813ABD" w:rsidRPr="00CF50D4">
        <w:rPr>
          <w:rFonts w:ascii="Times New Roman" w:hAnsi="Times New Roman" w:cs="Times New Roman"/>
          <w:sz w:val="23"/>
          <w:szCs w:val="23"/>
        </w:rPr>
        <w:t xml:space="preserve">, </w:t>
      </w:r>
      <w:r w:rsidR="00970C6B" w:rsidRPr="00CF50D4">
        <w:rPr>
          <w:rFonts w:ascii="Times New Roman" w:hAnsi="Times New Roman" w:cs="Times New Roman"/>
          <w:sz w:val="23"/>
          <w:szCs w:val="23"/>
        </w:rPr>
        <w:t xml:space="preserve">el seguimiento </w:t>
      </w:r>
      <w:r w:rsidR="00813ABD" w:rsidRPr="00CF50D4">
        <w:rPr>
          <w:rFonts w:ascii="Times New Roman" w:hAnsi="Times New Roman" w:cs="Times New Roman"/>
          <w:sz w:val="23"/>
          <w:szCs w:val="23"/>
        </w:rPr>
        <w:t xml:space="preserve">y las causales de pérdida </w:t>
      </w:r>
      <w:r w:rsidR="00970C6B" w:rsidRPr="00CF50D4">
        <w:rPr>
          <w:rFonts w:ascii="Times New Roman" w:hAnsi="Times New Roman" w:cs="Times New Roman"/>
          <w:sz w:val="23"/>
          <w:szCs w:val="23"/>
        </w:rPr>
        <w:t>de los beneficios.</w:t>
      </w:r>
    </w:p>
    <w:p w14:paraId="7872B802" w14:textId="77777777" w:rsidR="00495801" w:rsidRPr="00CF50D4" w:rsidRDefault="00495801" w:rsidP="00CF50D4">
      <w:pPr>
        <w:spacing w:line="276" w:lineRule="auto"/>
        <w:rPr>
          <w:rFonts w:ascii="Times New Roman" w:hAnsi="Times New Roman" w:cs="Times New Roman"/>
          <w:sz w:val="23"/>
          <w:szCs w:val="23"/>
        </w:rPr>
      </w:pPr>
    </w:p>
    <w:p w14:paraId="1CD487E2" w14:textId="1659647F" w:rsidR="00BB4A7B" w:rsidRPr="00CF50D4" w:rsidRDefault="00BB4A7B" w:rsidP="00CF50D4">
      <w:pPr>
        <w:spacing w:line="276" w:lineRule="auto"/>
        <w:rPr>
          <w:rFonts w:ascii="Times New Roman" w:hAnsi="Times New Roman" w:cs="Times New Roman"/>
          <w:sz w:val="23"/>
          <w:szCs w:val="23"/>
        </w:rPr>
      </w:pPr>
      <w:r w:rsidRPr="00CF50D4">
        <w:rPr>
          <w:rFonts w:ascii="Times New Roman" w:hAnsi="Times New Roman" w:cs="Times New Roman"/>
          <w:b/>
          <w:bCs/>
          <w:sz w:val="23"/>
          <w:szCs w:val="23"/>
        </w:rPr>
        <w:t>Artículo 12. Vigencia.</w:t>
      </w:r>
      <w:r w:rsidRPr="00CF50D4">
        <w:rPr>
          <w:rFonts w:ascii="Times New Roman" w:hAnsi="Times New Roman" w:cs="Times New Roman"/>
          <w:sz w:val="23"/>
          <w:szCs w:val="23"/>
        </w:rPr>
        <w:t xml:space="preserve"> La presente ley rige a partir de su </w:t>
      </w:r>
      <w:r w:rsidR="007A2596" w:rsidRPr="00CF50D4">
        <w:rPr>
          <w:rFonts w:ascii="Times New Roman" w:hAnsi="Times New Roman" w:cs="Times New Roman"/>
          <w:sz w:val="23"/>
          <w:szCs w:val="23"/>
        </w:rPr>
        <w:t>publicación</w:t>
      </w:r>
      <w:r w:rsidRPr="00CF50D4">
        <w:rPr>
          <w:rFonts w:ascii="Times New Roman" w:hAnsi="Times New Roman" w:cs="Times New Roman"/>
          <w:sz w:val="23"/>
          <w:szCs w:val="23"/>
        </w:rPr>
        <w:t xml:space="preserve"> y deroga las disposiciones que le sean contrarias.</w:t>
      </w:r>
    </w:p>
    <w:p w14:paraId="5709605B" w14:textId="1DC25F39" w:rsidR="00BB4A7B" w:rsidRPr="00CF50D4" w:rsidRDefault="00BB4A7B" w:rsidP="00CF50D4">
      <w:pPr>
        <w:spacing w:line="276" w:lineRule="auto"/>
        <w:rPr>
          <w:rFonts w:ascii="Times New Roman" w:hAnsi="Times New Roman" w:cs="Times New Roman"/>
          <w:sz w:val="23"/>
          <w:szCs w:val="23"/>
        </w:rPr>
      </w:pPr>
    </w:p>
    <w:p w14:paraId="4B2A074A" w14:textId="7FB7D666" w:rsidR="00362F88" w:rsidRPr="00CF50D4" w:rsidRDefault="00362F88" w:rsidP="00CF50D4">
      <w:pPr>
        <w:spacing w:line="276" w:lineRule="auto"/>
        <w:rPr>
          <w:sz w:val="23"/>
          <w:szCs w:val="23"/>
        </w:rPr>
      </w:pPr>
      <w:r w:rsidRPr="00CF50D4">
        <w:rPr>
          <w:sz w:val="23"/>
          <w:szCs w:val="23"/>
        </w:rPr>
        <w:t>Firma,</w:t>
      </w:r>
    </w:p>
    <w:p w14:paraId="26667C66" w14:textId="77777777" w:rsidR="00362F88" w:rsidRPr="00CF50D4" w:rsidRDefault="00362F88" w:rsidP="00CF50D4">
      <w:pPr>
        <w:spacing w:line="276" w:lineRule="auto"/>
        <w:rPr>
          <w:sz w:val="23"/>
          <w:szCs w:val="23"/>
        </w:rPr>
      </w:pPr>
    </w:p>
    <w:p w14:paraId="44BF18B7" w14:textId="77777777" w:rsidR="00362F88" w:rsidRPr="00CF50D4" w:rsidRDefault="00362F88" w:rsidP="00CF50D4">
      <w:pPr>
        <w:spacing w:line="276" w:lineRule="auto"/>
        <w:rPr>
          <w:sz w:val="23"/>
          <w:szCs w:val="23"/>
        </w:rPr>
      </w:pPr>
    </w:p>
    <w:p w14:paraId="7223FF24" w14:textId="77777777" w:rsidR="00362F88" w:rsidRPr="00CF50D4" w:rsidRDefault="00362F88" w:rsidP="00CF50D4">
      <w:pPr>
        <w:spacing w:line="276" w:lineRule="auto"/>
        <w:rPr>
          <w:sz w:val="23"/>
          <w:szCs w:val="23"/>
        </w:rPr>
      </w:pPr>
    </w:p>
    <w:p w14:paraId="6A000009" w14:textId="77777777" w:rsidR="00362F88" w:rsidRPr="00CF50D4" w:rsidRDefault="00362F88" w:rsidP="00CF50D4">
      <w:pPr>
        <w:spacing w:line="276" w:lineRule="auto"/>
        <w:rPr>
          <w:sz w:val="23"/>
          <w:szCs w:val="23"/>
        </w:rPr>
      </w:pPr>
    </w:p>
    <w:p w14:paraId="1D0E5222" w14:textId="77777777" w:rsidR="00362F88" w:rsidRPr="00CF50D4" w:rsidRDefault="00362F88" w:rsidP="00CF50D4">
      <w:pPr>
        <w:spacing w:line="276" w:lineRule="auto"/>
        <w:rPr>
          <w:b/>
          <w:bCs/>
          <w:sz w:val="23"/>
          <w:szCs w:val="23"/>
        </w:rPr>
      </w:pPr>
      <w:r w:rsidRPr="00CF50D4">
        <w:rPr>
          <w:b/>
          <w:bCs/>
          <w:sz w:val="23"/>
          <w:szCs w:val="23"/>
        </w:rPr>
        <w:t>GUIDO ECHEVERRI PIEDRAHITA</w:t>
      </w:r>
    </w:p>
    <w:p w14:paraId="4971954D" w14:textId="77777777" w:rsidR="00362F88" w:rsidRPr="00CF50D4" w:rsidRDefault="00362F88" w:rsidP="00CF50D4">
      <w:pPr>
        <w:spacing w:line="276" w:lineRule="auto"/>
        <w:rPr>
          <w:sz w:val="23"/>
          <w:szCs w:val="23"/>
        </w:rPr>
      </w:pPr>
      <w:r w:rsidRPr="00CF50D4">
        <w:rPr>
          <w:sz w:val="23"/>
          <w:szCs w:val="23"/>
        </w:rPr>
        <w:t>Senador de la República</w:t>
      </w:r>
    </w:p>
    <w:p w14:paraId="1F720932" w14:textId="5E9E14D6" w:rsidR="00362F88" w:rsidRDefault="00362F88" w:rsidP="00FA3E62">
      <w:pPr>
        <w:pStyle w:val="Ttulo1"/>
        <w:numPr>
          <w:ilvl w:val="0"/>
          <w:numId w:val="0"/>
        </w:numPr>
        <w:ind w:left="431"/>
        <w:rPr>
          <w:rFonts w:ascii="Times New Roman" w:hAnsi="Times New Roman" w:cs="Times New Roman"/>
        </w:rPr>
      </w:pPr>
    </w:p>
    <w:p w14:paraId="61ED1608" w14:textId="77777777" w:rsidR="009E11D8" w:rsidRPr="009E11D8" w:rsidRDefault="009E11D8" w:rsidP="009E11D8"/>
    <w:p w14:paraId="71B7185E" w14:textId="27CEBEEF" w:rsidR="007A2596" w:rsidRPr="00CF50D4" w:rsidRDefault="007A2596" w:rsidP="00CF50D4">
      <w:pPr>
        <w:pStyle w:val="Ttulo1"/>
        <w:numPr>
          <w:ilvl w:val="0"/>
          <w:numId w:val="0"/>
        </w:numPr>
        <w:ind w:left="431" w:hanging="431"/>
        <w:rPr>
          <w:rFonts w:ascii="Times New Roman" w:hAnsi="Times New Roman" w:cs="Times New Roman"/>
          <w:color w:val="auto"/>
          <w:sz w:val="23"/>
          <w:szCs w:val="23"/>
        </w:rPr>
      </w:pPr>
      <w:r w:rsidRPr="00CF50D4">
        <w:rPr>
          <w:rFonts w:ascii="Times New Roman" w:hAnsi="Times New Roman" w:cs="Times New Roman"/>
          <w:color w:val="auto"/>
          <w:sz w:val="23"/>
          <w:szCs w:val="23"/>
        </w:rPr>
        <w:lastRenderedPageBreak/>
        <w:t>EXPOSICIÓN DE MOTIVOS</w:t>
      </w:r>
    </w:p>
    <w:p w14:paraId="070C4A53" w14:textId="417FA3DA" w:rsidR="007A2596" w:rsidRPr="00CF50D4" w:rsidRDefault="007A2596" w:rsidP="00CF50D4">
      <w:pPr>
        <w:jc w:val="center"/>
        <w:rPr>
          <w:rFonts w:ascii="Times New Roman" w:hAnsi="Times New Roman" w:cs="Times New Roman"/>
          <w:b/>
          <w:bCs/>
          <w:sz w:val="23"/>
          <w:szCs w:val="23"/>
        </w:rPr>
      </w:pPr>
      <w:r w:rsidRPr="00CF50D4">
        <w:rPr>
          <w:rFonts w:ascii="Times New Roman" w:hAnsi="Times New Roman" w:cs="Times New Roman"/>
          <w:b/>
          <w:bCs/>
          <w:sz w:val="23"/>
          <w:szCs w:val="23"/>
        </w:rPr>
        <w:t xml:space="preserve">Proyecto de ley </w:t>
      </w:r>
      <w:proofErr w:type="spellStart"/>
      <w:r w:rsidRPr="00CF50D4">
        <w:rPr>
          <w:rFonts w:ascii="Times New Roman" w:hAnsi="Times New Roman" w:cs="Times New Roman"/>
          <w:b/>
          <w:bCs/>
          <w:sz w:val="23"/>
          <w:szCs w:val="23"/>
        </w:rPr>
        <w:t>Nº</w:t>
      </w:r>
      <w:proofErr w:type="spellEnd"/>
      <w:r w:rsidRPr="00CF50D4">
        <w:rPr>
          <w:rFonts w:ascii="Times New Roman" w:hAnsi="Times New Roman" w:cs="Times New Roman"/>
          <w:b/>
          <w:bCs/>
          <w:sz w:val="23"/>
          <w:szCs w:val="23"/>
        </w:rPr>
        <w:t xml:space="preserve"> _____ de 2023</w:t>
      </w:r>
    </w:p>
    <w:p w14:paraId="153BC940" w14:textId="24DB0CF5" w:rsidR="007A2596" w:rsidRPr="00CF50D4" w:rsidRDefault="007A2596" w:rsidP="007A2596">
      <w:pPr>
        <w:jc w:val="center"/>
        <w:rPr>
          <w:rFonts w:ascii="Times New Roman" w:hAnsi="Times New Roman" w:cs="Times New Roman"/>
          <w:b/>
          <w:bCs/>
          <w:sz w:val="23"/>
          <w:szCs w:val="23"/>
        </w:rPr>
      </w:pPr>
      <w:r w:rsidRPr="00CF50D4">
        <w:rPr>
          <w:rFonts w:ascii="Times New Roman" w:hAnsi="Times New Roman" w:cs="Times New Roman"/>
          <w:b/>
          <w:bCs/>
          <w:sz w:val="23"/>
          <w:szCs w:val="23"/>
        </w:rPr>
        <w:t>“</w:t>
      </w:r>
      <w:r w:rsidR="001C6450" w:rsidRPr="00CF50D4">
        <w:rPr>
          <w:rFonts w:ascii="Times New Roman" w:hAnsi="Times New Roman" w:cs="Times New Roman"/>
          <w:b/>
          <w:bCs/>
          <w:sz w:val="23"/>
          <w:szCs w:val="23"/>
        </w:rPr>
        <w:t xml:space="preserve">Por la cual se autoriza la creación del fondo Manizales </w:t>
      </w:r>
      <w:r w:rsidR="00020B2C" w:rsidRPr="00CF50D4">
        <w:rPr>
          <w:rFonts w:ascii="Times New Roman" w:hAnsi="Times New Roman" w:cs="Times New Roman"/>
          <w:b/>
          <w:bCs/>
          <w:sz w:val="23"/>
          <w:szCs w:val="23"/>
        </w:rPr>
        <w:t>eje</w:t>
      </w:r>
      <w:r w:rsidR="001C6450" w:rsidRPr="00CF50D4">
        <w:rPr>
          <w:rFonts w:ascii="Times New Roman" w:hAnsi="Times New Roman" w:cs="Times New Roman"/>
          <w:b/>
          <w:bCs/>
          <w:sz w:val="23"/>
          <w:szCs w:val="23"/>
        </w:rPr>
        <w:t xml:space="preserve"> del conocimiento y se dictan otras disposiciones</w:t>
      </w:r>
      <w:r w:rsidRPr="00CF50D4">
        <w:rPr>
          <w:rFonts w:ascii="Times New Roman" w:hAnsi="Times New Roman" w:cs="Times New Roman"/>
          <w:b/>
          <w:bCs/>
          <w:sz w:val="23"/>
          <w:szCs w:val="23"/>
        </w:rPr>
        <w:t>”</w:t>
      </w:r>
    </w:p>
    <w:p w14:paraId="7C1AF65B" w14:textId="77777777" w:rsidR="009B2B57" w:rsidRPr="00CF50D4" w:rsidRDefault="009B2B57" w:rsidP="009B2B57">
      <w:pPr>
        <w:rPr>
          <w:sz w:val="23"/>
          <w:szCs w:val="23"/>
        </w:rPr>
      </w:pPr>
    </w:p>
    <w:p w14:paraId="2C7DD4CB" w14:textId="3D10FDDE" w:rsidR="00FA3E62" w:rsidRPr="00CF50D4" w:rsidRDefault="00FA3E62" w:rsidP="00FA3E62">
      <w:pPr>
        <w:pStyle w:val="Ttulo1"/>
        <w:spacing w:before="0" w:line="259" w:lineRule="auto"/>
        <w:ind w:left="0"/>
        <w:jc w:val="left"/>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 xml:space="preserve">Marco </w:t>
      </w:r>
      <w:r w:rsidR="00856C56" w:rsidRPr="00CF50D4">
        <w:rPr>
          <w:rFonts w:ascii="Times New Roman" w:hAnsi="Times New Roman" w:cs="Times New Roman"/>
          <w:color w:val="4472C4" w:themeColor="accent1"/>
          <w:sz w:val="23"/>
          <w:szCs w:val="23"/>
        </w:rPr>
        <w:t>l</w:t>
      </w:r>
      <w:r w:rsidRPr="00CF50D4">
        <w:rPr>
          <w:rFonts w:ascii="Times New Roman" w:hAnsi="Times New Roman" w:cs="Times New Roman"/>
          <w:color w:val="4472C4" w:themeColor="accent1"/>
          <w:sz w:val="23"/>
          <w:szCs w:val="23"/>
        </w:rPr>
        <w:t xml:space="preserve">egal y </w:t>
      </w:r>
      <w:r w:rsidR="00856C56" w:rsidRPr="00CF50D4">
        <w:rPr>
          <w:rFonts w:ascii="Times New Roman" w:hAnsi="Times New Roman" w:cs="Times New Roman"/>
          <w:color w:val="4472C4" w:themeColor="accent1"/>
          <w:sz w:val="23"/>
          <w:szCs w:val="23"/>
        </w:rPr>
        <w:t>c</w:t>
      </w:r>
      <w:r w:rsidRPr="00CF50D4">
        <w:rPr>
          <w:rFonts w:ascii="Times New Roman" w:hAnsi="Times New Roman" w:cs="Times New Roman"/>
          <w:color w:val="4472C4" w:themeColor="accent1"/>
          <w:sz w:val="23"/>
          <w:szCs w:val="23"/>
        </w:rPr>
        <w:t>onstitucional</w:t>
      </w:r>
      <w:r w:rsidR="007A2596" w:rsidRPr="00CF50D4">
        <w:rPr>
          <w:rFonts w:ascii="Times New Roman" w:hAnsi="Times New Roman" w:cs="Times New Roman"/>
          <w:color w:val="4472C4" w:themeColor="accent1"/>
          <w:sz w:val="23"/>
          <w:szCs w:val="23"/>
        </w:rPr>
        <w:t>:</w:t>
      </w:r>
    </w:p>
    <w:p w14:paraId="24B2EB2F" w14:textId="7EF537C5" w:rsidR="00FA3E62" w:rsidRPr="00CF50D4" w:rsidRDefault="00FA3E62" w:rsidP="00FA3E62">
      <w:pPr>
        <w:rPr>
          <w:rFonts w:ascii="Times New Roman" w:hAnsi="Times New Roman" w:cs="Times New Roman"/>
          <w:sz w:val="23"/>
          <w:szCs w:val="23"/>
        </w:rPr>
      </w:pPr>
    </w:p>
    <w:p w14:paraId="47F4F876" w14:textId="5CB9933E" w:rsidR="00FA3E62" w:rsidRPr="00CF50D4" w:rsidRDefault="007A2596" w:rsidP="007A2596">
      <w:pPr>
        <w:rPr>
          <w:rFonts w:ascii="Times New Roman" w:hAnsi="Times New Roman" w:cs="Times New Roman"/>
          <w:b/>
          <w:bCs/>
          <w:sz w:val="23"/>
          <w:szCs w:val="23"/>
        </w:rPr>
      </w:pPr>
      <w:r w:rsidRPr="00CF50D4">
        <w:rPr>
          <w:rFonts w:ascii="Times New Roman" w:hAnsi="Times New Roman" w:cs="Times New Roman"/>
          <w:sz w:val="23"/>
          <w:szCs w:val="23"/>
        </w:rPr>
        <w:t>La iniciativa se fundamenta</w:t>
      </w:r>
      <w:r w:rsidR="00FA3E62" w:rsidRPr="00CF50D4">
        <w:rPr>
          <w:rFonts w:ascii="Times New Roman" w:hAnsi="Times New Roman" w:cs="Times New Roman"/>
          <w:sz w:val="23"/>
          <w:szCs w:val="23"/>
        </w:rPr>
        <w:t xml:space="preserve"> en el artículo 67</w:t>
      </w:r>
      <w:r w:rsidRPr="00CF50D4">
        <w:rPr>
          <w:rFonts w:ascii="Times New Roman" w:hAnsi="Times New Roman" w:cs="Times New Roman"/>
          <w:sz w:val="23"/>
          <w:szCs w:val="23"/>
        </w:rPr>
        <w:t xml:space="preserve"> de la Carta Política</w:t>
      </w:r>
      <w:r w:rsidR="00FA3E62" w:rsidRPr="00CF50D4">
        <w:rPr>
          <w:rFonts w:ascii="Times New Roman" w:hAnsi="Times New Roman" w:cs="Times New Roman"/>
          <w:sz w:val="23"/>
          <w:szCs w:val="23"/>
        </w:rPr>
        <w:t>, el cual establece que</w:t>
      </w:r>
      <w:r w:rsidR="00FA3E62" w:rsidRPr="00CF50D4">
        <w:rPr>
          <w:rFonts w:ascii="Times New Roman" w:hAnsi="Times New Roman" w:cs="Times New Roman"/>
          <w:b/>
          <w:bCs/>
          <w:sz w:val="23"/>
          <w:szCs w:val="23"/>
        </w:rPr>
        <w:t xml:space="preserve"> </w:t>
      </w:r>
      <w:r w:rsidR="00FA3E62" w:rsidRPr="00CF50D4">
        <w:rPr>
          <w:rFonts w:ascii="Times New Roman" w:hAnsi="Times New Roman" w:cs="Times New Roman"/>
          <w:sz w:val="23"/>
          <w:szCs w:val="23"/>
        </w:rPr>
        <w:t xml:space="preserve">"la educación es un derecho de la persona y un servicio público que tiene una función social; con ella se busca el acceso al conocimiento, a la ciencia, a la técnica, y a los demás bienes y valores de la cultura". Adicionalmente, el artículo 68 indica que “el Estado tiene la obligación de garantizar el acceso a la educación y de promover la igualdad de oportunidades en el acceso a la educación, sin discriminación alguna”. Seguidamente, el articulo 70 de la </w:t>
      </w:r>
      <w:r w:rsidRPr="00CF50D4">
        <w:rPr>
          <w:rFonts w:ascii="Times New Roman" w:hAnsi="Times New Roman" w:cs="Times New Roman"/>
          <w:sz w:val="23"/>
          <w:szCs w:val="23"/>
        </w:rPr>
        <w:t>Constitución</w:t>
      </w:r>
      <w:r w:rsidR="00FA3E62" w:rsidRPr="00CF50D4">
        <w:rPr>
          <w:rFonts w:ascii="Times New Roman" w:hAnsi="Times New Roman" w:cs="Times New Roman"/>
          <w:sz w:val="23"/>
          <w:szCs w:val="23"/>
        </w:rPr>
        <w:t xml:space="preserve"> Política de Colombia de 1991 sostiene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1BEC9F23" w14:textId="77777777" w:rsidR="00FA3E62" w:rsidRPr="00CF50D4" w:rsidRDefault="00FA3E62" w:rsidP="00FA3E62">
      <w:pPr>
        <w:rPr>
          <w:rFonts w:ascii="Times New Roman" w:hAnsi="Times New Roman" w:cs="Times New Roman"/>
          <w:sz w:val="23"/>
          <w:szCs w:val="23"/>
        </w:rPr>
      </w:pPr>
    </w:p>
    <w:p w14:paraId="5FA1B424" w14:textId="56528E0F" w:rsidR="00FA3E62" w:rsidRPr="00CF50D4" w:rsidRDefault="00FA3E62" w:rsidP="00FA3E62">
      <w:pPr>
        <w:rPr>
          <w:rFonts w:ascii="Times New Roman" w:hAnsi="Times New Roman" w:cs="Times New Roman"/>
          <w:b/>
          <w:bCs/>
          <w:sz w:val="23"/>
          <w:szCs w:val="23"/>
        </w:rPr>
      </w:pPr>
      <w:r w:rsidRPr="00CF50D4">
        <w:rPr>
          <w:rFonts w:ascii="Times New Roman" w:hAnsi="Times New Roman" w:cs="Times New Roman"/>
          <w:b/>
          <w:bCs/>
          <w:sz w:val="23"/>
          <w:szCs w:val="23"/>
        </w:rPr>
        <w:t>Agregando a lo anterior, algunas de las leyes que contribuyen para argumentar el acceso a la educación superior son</w:t>
      </w:r>
      <w:r w:rsidR="007A2596" w:rsidRPr="00CF50D4">
        <w:rPr>
          <w:rFonts w:ascii="Times New Roman" w:hAnsi="Times New Roman" w:cs="Times New Roman"/>
          <w:b/>
          <w:bCs/>
          <w:sz w:val="23"/>
          <w:szCs w:val="23"/>
        </w:rPr>
        <w:t>:</w:t>
      </w:r>
    </w:p>
    <w:p w14:paraId="5988AC48" w14:textId="77777777" w:rsidR="00FA3E62" w:rsidRPr="00CF50D4" w:rsidRDefault="00FA3E62" w:rsidP="00FA3E62">
      <w:pPr>
        <w:rPr>
          <w:rFonts w:ascii="Times New Roman" w:hAnsi="Times New Roman" w:cs="Times New Roman"/>
          <w:sz w:val="23"/>
          <w:szCs w:val="23"/>
        </w:rPr>
      </w:pPr>
    </w:p>
    <w:p w14:paraId="6B4632E0" w14:textId="77777777" w:rsidR="00FA3E62" w:rsidRPr="00CF50D4" w:rsidRDefault="00FA3E62" w:rsidP="00FA3E62">
      <w:pPr>
        <w:rPr>
          <w:rFonts w:ascii="Times New Roman" w:hAnsi="Times New Roman" w:cs="Times New Roman"/>
          <w:sz w:val="23"/>
          <w:szCs w:val="23"/>
        </w:rPr>
      </w:pPr>
      <w:r w:rsidRPr="00CF50D4">
        <w:rPr>
          <w:rFonts w:ascii="Times New Roman" w:hAnsi="Times New Roman" w:cs="Times New Roman"/>
          <w:sz w:val="23"/>
          <w:szCs w:val="23"/>
        </w:rPr>
        <w:t>Ley 30 de 1992: La cual establece dentro de sus principios en el artículo 1 que,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 En adición, el artículo 2 señala que “La Educación Superior es un servicio público cultural, inherente a la finalidad social del Estado”.</w:t>
      </w:r>
    </w:p>
    <w:p w14:paraId="7F1AAAB7" w14:textId="77777777" w:rsidR="00FA3E62" w:rsidRPr="00CF50D4" w:rsidRDefault="00FA3E62" w:rsidP="00FA3E62">
      <w:pPr>
        <w:rPr>
          <w:rFonts w:ascii="Times New Roman" w:eastAsia="Times New Roman" w:hAnsi="Times New Roman" w:cs="Times New Roman"/>
          <w:sz w:val="23"/>
          <w:szCs w:val="23"/>
          <w:lang w:eastAsia="es-MX"/>
        </w:rPr>
      </w:pPr>
    </w:p>
    <w:p w14:paraId="3D142BB0" w14:textId="77777777" w:rsidR="00FA3E62" w:rsidRPr="00CF50D4" w:rsidRDefault="00FA3E62" w:rsidP="00FA3E62">
      <w:pPr>
        <w:rPr>
          <w:rFonts w:ascii="Times New Roman" w:eastAsiaTheme="minorHAnsi" w:hAnsi="Times New Roman" w:cs="Times New Roman"/>
          <w:kern w:val="2"/>
          <w:sz w:val="23"/>
          <w:szCs w:val="23"/>
          <w:lang w:val="es-ES_tradnl"/>
          <w14:ligatures w14:val="standardContextual"/>
        </w:rPr>
      </w:pPr>
      <w:r w:rsidRPr="00CF50D4">
        <w:rPr>
          <w:rFonts w:ascii="Times New Roman" w:hAnsi="Times New Roman" w:cs="Times New Roman"/>
          <w:sz w:val="23"/>
          <w:szCs w:val="23"/>
        </w:rPr>
        <w:t>Ley 749 de 2002: Esta ley establece medidas para promover la igualdad de oportunidades en el acceso a la educación superior y para fomentar la calidad y la excelencia académica en las instituciones de educación superior del país.</w:t>
      </w:r>
    </w:p>
    <w:p w14:paraId="49DCC67E" w14:textId="77777777" w:rsidR="00FA3E62" w:rsidRPr="00CF50D4" w:rsidRDefault="00FA3E62" w:rsidP="00FA3E62">
      <w:pPr>
        <w:rPr>
          <w:rFonts w:ascii="Times New Roman" w:hAnsi="Times New Roman" w:cs="Times New Roman"/>
          <w:sz w:val="23"/>
          <w:szCs w:val="23"/>
        </w:rPr>
      </w:pPr>
    </w:p>
    <w:p w14:paraId="2C217E03" w14:textId="4ED637AA" w:rsidR="00FA3E62" w:rsidRPr="00CF50D4" w:rsidRDefault="00FA3E62" w:rsidP="007A2596">
      <w:pPr>
        <w:rPr>
          <w:rFonts w:ascii="Times New Roman" w:hAnsi="Times New Roman" w:cs="Times New Roman"/>
          <w:sz w:val="23"/>
          <w:szCs w:val="23"/>
        </w:rPr>
      </w:pPr>
      <w:r w:rsidRPr="00CF50D4">
        <w:rPr>
          <w:rFonts w:ascii="Times New Roman" w:hAnsi="Times New Roman" w:cs="Times New Roman"/>
          <w:sz w:val="23"/>
          <w:szCs w:val="23"/>
        </w:rPr>
        <w:t>Ley 1448 de 2011: “Por la cual se dictan medidas de atención, asistencia y reparación integral a las víctimas del conflicto armado interno y se dictan otras disposiciones." Esta ley en su artículo 51 hace alusión a</w:t>
      </w:r>
      <w:r w:rsidR="007A2596" w:rsidRPr="00CF50D4">
        <w:rPr>
          <w:rFonts w:ascii="Times New Roman" w:hAnsi="Times New Roman" w:cs="Times New Roman"/>
          <w:sz w:val="23"/>
          <w:szCs w:val="23"/>
        </w:rPr>
        <w:t xml:space="preserve"> lo siguiente: </w:t>
      </w:r>
      <w:r w:rsidRPr="00CF50D4">
        <w:rPr>
          <w:rFonts w:ascii="Times New Roman" w:hAnsi="Times New Roman" w:cs="Times New Roman"/>
          <w:sz w:val="23"/>
          <w:szCs w:val="23"/>
        </w:rPr>
        <w:t>“En materia de</w:t>
      </w:r>
      <w:r w:rsidRPr="00CF50D4">
        <w:rPr>
          <w:rFonts w:ascii="Times New Roman" w:hAnsi="Times New Roman" w:cs="Times New Roman"/>
          <w:color w:val="333333"/>
          <w:sz w:val="23"/>
          <w:szCs w:val="23"/>
          <w:shd w:val="clear" w:color="auto" w:fill="FFFFFF"/>
        </w:rPr>
        <w:t xml:space="preserve"> </w:t>
      </w:r>
      <w:r w:rsidRPr="00CF50D4">
        <w:rPr>
          <w:rFonts w:ascii="Times New Roman" w:hAnsi="Times New Roman" w:cs="Times New Roman"/>
          <w:sz w:val="23"/>
          <w:szCs w:val="23"/>
        </w:rPr>
        <w:t xml:space="preserve">educación superior, las instituciones técnicas profesionales, </w:t>
      </w:r>
      <w:r w:rsidRPr="00CF50D4">
        <w:rPr>
          <w:rFonts w:ascii="Times New Roman" w:hAnsi="Times New Roman" w:cs="Times New Roman"/>
          <w:sz w:val="23"/>
          <w:szCs w:val="23"/>
        </w:rPr>
        <w:lastRenderedPageBreak/>
        <w:t>instituciones tecnológicas, instituciones universitarias o escuelas tecnológicas y universidades de naturaleza pública, en el marco de su autonomía, establecerán los procesos de selección, admisión y matrícula que posibiliten que las víctimas en los términos de la presente ley, puedan acceder a sus programas académicos ofrecidos por estas instituciones, especialmente mujeres cabeza de familia y adolescentes y población en condición de discapacidad”</w:t>
      </w:r>
    </w:p>
    <w:p w14:paraId="1BEC1421" w14:textId="77777777" w:rsidR="00FA3E62" w:rsidRPr="00CF50D4" w:rsidRDefault="00FA3E62" w:rsidP="00FA3E62">
      <w:pPr>
        <w:rPr>
          <w:rFonts w:ascii="Times New Roman" w:hAnsi="Times New Roman" w:cs="Times New Roman"/>
          <w:sz w:val="23"/>
          <w:szCs w:val="23"/>
        </w:rPr>
      </w:pPr>
    </w:p>
    <w:p w14:paraId="4ACD0410" w14:textId="5B5BDDB4" w:rsidR="00FA3E62" w:rsidRPr="00CF50D4" w:rsidRDefault="00FA3E62" w:rsidP="00FA3E62">
      <w:pPr>
        <w:rPr>
          <w:rFonts w:ascii="Times New Roman" w:hAnsi="Times New Roman" w:cs="Times New Roman"/>
          <w:sz w:val="23"/>
          <w:szCs w:val="23"/>
        </w:rPr>
      </w:pPr>
      <w:r w:rsidRPr="00CF50D4">
        <w:rPr>
          <w:rFonts w:ascii="Times New Roman" w:hAnsi="Times New Roman" w:cs="Times New Roman"/>
          <w:sz w:val="23"/>
          <w:szCs w:val="23"/>
        </w:rPr>
        <w:t>Ley 1618 de 2013: bajo esta ley se instaura</w:t>
      </w:r>
      <w:r w:rsidR="007A2596" w:rsidRPr="00CF50D4">
        <w:rPr>
          <w:rFonts w:ascii="Times New Roman" w:hAnsi="Times New Roman" w:cs="Times New Roman"/>
          <w:sz w:val="23"/>
          <w:szCs w:val="23"/>
        </w:rPr>
        <w:t xml:space="preserve">n </w:t>
      </w:r>
      <w:r w:rsidRPr="00CF50D4">
        <w:rPr>
          <w:rFonts w:ascii="Times New Roman" w:hAnsi="Times New Roman" w:cs="Times New Roman"/>
          <w:sz w:val="23"/>
          <w:szCs w:val="23"/>
        </w:rPr>
        <w:t xml:space="preserve">disposiciones para garantizar el pleno ejercicio de los derechos de las personas con discapacidad. Así mismo, </w:t>
      </w:r>
      <w:r w:rsidR="007A2596" w:rsidRPr="00CF50D4">
        <w:rPr>
          <w:rFonts w:ascii="Times New Roman" w:hAnsi="Times New Roman" w:cs="Times New Roman"/>
          <w:sz w:val="23"/>
          <w:szCs w:val="23"/>
        </w:rPr>
        <w:t>el literal k d</w:t>
      </w:r>
      <w:r w:rsidRPr="00CF50D4">
        <w:rPr>
          <w:rFonts w:ascii="Times New Roman" w:hAnsi="Times New Roman" w:cs="Times New Roman"/>
          <w:sz w:val="23"/>
          <w:szCs w:val="23"/>
        </w:rPr>
        <w:t xml:space="preserve">el artículo 11 </w:t>
      </w:r>
      <w:r w:rsidR="007A2596" w:rsidRPr="00CF50D4">
        <w:rPr>
          <w:rFonts w:ascii="Times New Roman" w:hAnsi="Times New Roman" w:cs="Times New Roman"/>
          <w:sz w:val="23"/>
          <w:szCs w:val="23"/>
        </w:rPr>
        <w:t>de esta ley</w:t>
      </w:r>
      <w:r w:rsidRPr="00CF50D4">
        <w:rPr>
          <w:rFonts w:ascii="Times New Roman" w:hAnsi="Times New Roman" w:cs="Times New Roman"/>
          <w:sz w:val="23"/>
          <w:szCs w:val="23"/>
        </w:rPr>
        <w:t xml:space="preserve"> sostiene</w:t>
      </w:r>
      <w:r w:rsidR="007A2596" w:rsidRPr="00CF50D4">
        <w:rPr>
          <w:rFonts w:ascii="Times New Roman" w:hAnsi="Times New Roman" w:cs="Times New Roman"/>
          <w:sz w:val="23"/>
          <w:szCs w:val="23"/>
        </w:rPr>
        <w:t>:</w:t>
      </w:r>
      <w:r w:rsidRPr="00CF50D4">
        <w:rPr>
          <w:rFonts w:ascii="Times New Roman" w:hAnsi="Times New Roman" w:cs="Times New Roman"/>
          <w:sz w:val="23"/>
          <w:szCs w:val="23"/>
        </w:rPr>
        <w:t xml:space="preserve"> </w:t>
      </w:r>
    </w:p>
    <w:p w14:paraId="3621BDFE" w14:textId="77777777" w:rsidR="00FA3E62" w:rsidRPr="00CF50D4" w:rsidRDefault="00FA3E62" w:rsidP="00FA3E62">
      <w:pPr>
        <w:rPr>
          <w:rFonts w:ascii="Times New Roman" w:hAnsi="Times New Roman" w:cs="Times New Roman"/>
          <w:sz w:val="23"/>
          <w:szCs w:val="23"/>
        </w:rPr>
      </w:pPr>
    </w:p>
    <w:p w14:paraId="699959D7" w14:textId="78E9CBFD" w:rsidR="00FA3E62" w:rsidRPr="00CF50D4" w:rsidRDefault="00FA3E62" w:rsidP="007A2596">
      <w:pPr>
        <w:rPr>
          <w:rFonts w:ascii="Times New Roman" w:hAnsi="Times New Roman" w:cs="Times New Roman"/>
          <w:sz w:val="23"/>
          <w:szCs w:val="23"/>
        </w:rPr>
      </w:pPr>
      <w:r w:rsidRPr="00CF50D4">
        <w:rPr>
          <w:rFonts w:ascii="Times New Roman" w:hAnsi="Times New Roman" w:cs="Times New Roman"/>
          <w:sz w:val="23"/>
          <w:szCs w:val="23"/>
        </w:rPr>
        <w:t>“</w:t>
      </w:r>
      <w:r w:rsidR="007A2596" w:rsidRPr="00CF50D4">
        <w:rPr>
          <w:rFonts w:ascii="Times New Roman" w:hAnsi="Times New Roman" w:cs="Times New Roman"/>
          <w:sz w:val="23"/>
          <w:szCs w:val="23"/>
        </w:rPr>
        <w:t>S</w:t>
      </w:r>
      <w:r w:rsidRPr="00CF50D4">
        <w:rPr>
          <w:rFonts w:ascii="Times New Roman" w:hAnsi="Times New Roman" w:cs="Times New Roman"/>
          <w:sz w:val="23"/>
          <w:szCs w:val="23"/>
        </w:rPr>
        <w:t>e debe garantizar la enseñanza primaria gratuita y obligatoria de la educación secundaria, así como asegurar que los jóvenes y adultos con discapacidad tengan acceso general a la educación superior, la formación profesional, la educación para adultos, la educación para el trabajo y el aprendizaje durante toda la vida, sin discriminación y en igualdad de condiciones con las demás.”</w:t>
      </w:r>
    </w:p>
    <w:p w14:paraId="2C29518B" w14:textId="77777777" w:rsidR="00FA3E62" w:rsidRPr="00CF50D4" w:rsidRDefault="00FA3E62" w:rsidP="00710FC1">
      <w:pPr>
        <w:spacing w:line="259" w:lineRule="auto"/>
        <w:jc w:val="left"/>
        <w:rPr>
          <w:rFonts w:ascii="Times New Roman" w:hAnsi="Times New Roman" w:cs="Times New Roman"/>
          <w:sz w:val="23"/>
          <w:szCs w:val="23"/>
        </w:rPr>
      </w:pPr>
    </w:p>
    <w:p w14:paraId="3623EC81" w14:textId="3C43A2BE" w:rsidR="00AC08A8" w:rsidRPr="00CF50D4" w:rsidRDefault="00AC08A8" w:rsidP="00710FC1">
      <w:pPr>
        <w:pStyle w:val="Ttulo1"/>
        <w:spacing w:before="0" w:line="259" w:lineRule="auto"/>
        <w:ind w:left="0"/>
        <w:jc w:val="left"/>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Caracterización de Manizales</w:t>
      </w:r>
      <w:r w:rsidR="007A2596" w:rsidRPr="00CF50D4">
        <w:rPr>
          <w:rFonts w:ascii="Times New Roman" w:hAnsi="Times New Roman" w:cs="Times New Roman"/>
          <w:color w:val="4472C4" w:themeColor="accent1"/>
          <w:sz w:val="23"/>
          <w:szCs w:val="23"/>
        </w:rPr>
        <w:t>:</w:t>
      </w:r>
    </w:p>
    <w:p w14:paraId="1B34E469" w14:textId="11C68320" w:rsidR="00AC08A8" w:rsidRPr="00CF50D4" w:rsidRDefault="00AC08A8" w:rsidP="00710FC1">
      <w:pPr>
        <w:spacing w:line="259" w:lineRule="auto"/>
        <w:rPr>
          <w:rFonts w:ascii="Times New Roman" w:hAnsi="Times New Roman" w:cs="Times New Roman"/>
          <w:sz w:val="23"/>
          <w:szCs w:val="23"/>
        </w:rPr>
      </w:pPr>
    </w:p>
    <w:p w14:paraId="572B57ED" w14:textId="62BB63B6" w:rsidR="00AC08A8" w:rsidRPr="00CF50D4" w:rsidRDefault="00AC08A8" w:rsidP="007A2596">
      <w:pPr>
        <w:rPr>
          <w:rFonts w:ascii="Times New Roman" w:hAnsi="Times New Roman" w:cs="Times New Roman"/>
          <w:sz w:val="23"/>
          <w:szCs w:val="23"/>
        </w:rPr>
      </w:pPr>
      <w:r w:rsidRPr="00CF50D4">
        <w:rPr>
          <w:rFonts w:ascii="Times New Roman" w:hAnsi="Times New Roman" w:cs="Times New Roman"/>
          <w:sz w:val="23"/>
          <w:szCs w:val="23"/>
        </w:rPr>
        <w:t xml:space="preserve">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w:t>
      </w:r>
    </w:p>
    <w:p w14:paraId="34D8F963" w14:textId="77777777" w:rsidR="00AC08A8" w:rsidRPr="00CF50D4" w:rsidRDefault="00AC08A8" w:rsidP="007A2596">
      <w:pPr>
        <w:rPr>
          <w:rFonts w:ascii="Times New Roman" w:hAnsi="Times New Roman" w:cs="Times New Roman"/>
          <w:sz w:val="23"/>
          <w:szCs w:val="23"/>
        </w:rPr>
      </w:pPr>
    </w:p>
    <w:p w14:paraId="02E42016" w14:textId="77777777" w:rsidR="00AC08A8" w:rsidRPr="00CF50D4" w:rsidRDefault="00AC08A8" w:rsidP="007A2596">
      <w:pPr>
        <w:rPr>
          <w:rFonts w:ascii="Times New Roman" w:hAnsi="Times New Roman" w:cs="Times New Roman"/>
          <w:sz w:val="23"/>
          <w:szCs w:val="23"/>
        </w:rPr>
      </w:pPr>
      <w:r w:rsidRPr="00CF50D4">
        <w:rPr>
          <w:rFonts w:ascii="Times New Roman" w:hAnsi="Times New Roman" w:cs="Times New Roman"/>
          <w:sz w:val="23"/>
          <w:szCs w:val="23"/>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14:paraId="04AFACA9" w14:textId="77777777" w:rsidR="00AC08A8" w:rsidRPr="00CF50D4" w:rsidRDefault="00AC08A8" w:rsidP="007A2596">
      <w:pPr>
        <w:rPr>
          <w:rFonts w:ascii="Times New Roman" w:hAnsi="Times New Roman" w:cs="Times New Roman"/>
          <w:sz w:val="23"/>
          <w:szCs w:val="23"/>
        </w:rPr>
      </w:pPr>
    </w:p>
    <w:p w14:paraId="627F7981" w14:textId="77777777" w:rsidR="00AC08A8" w:rsidRPr="00CF50D4" w:rsidRDefault="00AC08A8" w:rsidP="007A2596">
      <w:pPr>
        <w:rPr>
          <w:rFonts w:ascii="Times New Roman" w:hAnsi="Times New Roman" w:cs="Times New Roman"/>
          <w:sz w:val="23"/>
          <w:szCs w:val="23"/>
        </w:rPr>
      </w:pPr>
      <w:r w:rsidRPr="00CF50D4">
        <w:rPr>
          <w:rFonts w:ascii="Times New Roman" w:hAnsi="Times New Roman" w:cs="Times New Roman"/>
          <w:sz w:val="23"/>
          <w:szCs w:val="23"/>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14:paraId="4F653DD8" w14:textId="77777777" w:rsidR="00AC08A8" w:rsidRPr="00CF50D4" w:rsidRDefault="00AC08A8" w:rsidP="007A2596">
      <w:pPr>
        <w:rPr>
          <w:rFonts w:ascii="Times New Roman" w:hAnsi="Times New Roman" w:cs="Times New Roman"/>
          <w:sz w:val="23"/>
          <w:szCs w:val="23"/>
        </w:rPr>
      </w:pPr>
    </w:p>
    <w:p w14:paraId="7A0258EA" w14:textId="573B5137" w:rsidR="00AC08A8" w:rsidRPr="00CF50D4" w:rsidRDefault="00AC08A8" w:rsidP="007A2596">
      <w:pPr>
        <w:rPr>
          <w:rFonts w:ascii="Times New Roman" w:hAnsi="Times New Roman" w:cs="Times New Roman"/>
          <w:sz w:val="23"/>
          <w:szCs w:val="23"/>
        </w:rPr>
      </w:pPr>
      <w:r w:rsidRPr="00CF50D4">
        <w:rPr>
          <w:rFonts w:ascii="Times New Roman" w:hAnsi="Times New Roman" w:cs="Times New Roman"/>
          <w:sz w:val="23"/>
          <w:szCs w:val="23"/>
        </w:rPr>
        <w:lastRenderedPageBreak/>
        <w:t xml:space="preserve">En cuanto a la tasa de crecimiento por grupos </w:t>
      </w:r>
      <w:r w:rsidR="00A41F4E" w:rsidRPr="00CF50D4">
        <w:rPr>
          <w:rFonts w:ascii="Times New Roman" w:hAnsi="Times New Roman" w:cs="Times New Roman"/>
          <w:sz w:val="23"/>
          <w:szCs w:val="23"/>
        </w:rPr>
        <w:t>etarios,</w:t>
      </w:r>
      <w:r w:rsidRPr="00CF50D4">
        <w:rPr>
          <w:rFonts w:ascii="Times New Roman" w:hAnsi="Times New Roman" w:cs="Times New Roman"/>
          <w:sz w:val="23"/>
          <w:szCs w:val="23"/>
        </w:rPr>
        <w:t xml:space="preserve"> con proyección al 2020 y según información del DANE </w:t>
      </w:r>
      <w:r w:rsidR="00A41F4E" w:rsidRPr="00CF50D4">
        <w:rPr>
          <w:rFonts w:ascii="Times New Roman" w:hAnsi="Times New Roman" w:cs="Times New Roman"/>
          <w:sz w:val="23"/>
          <w:szCs w:val="23"/>
        </w:rPr>
        <w:t>que fue</w:t>
      </w:r>
      <w:r w:rsidRPr="00CF50D4">
        <w:rPr>
          <w:rFonts w:ascii="Times New Roman" w:hAnsi="Times New Roman" w:cs="Times New Roman"/>
          <w:sz w:val="23"/>
          <w:szCs w:val="23"/>
        </w:rPr>
        <w:t xml:space="preserve"> analizada por la Secretaría de Planeación Municipal en el marco </w:t>
      </w:r>
      <w:r w:rsidR="00A41F4E" w:rsidRPr="00CF50D4">
        <w:rPr>
          <w:rFonts w:ascii="Times New Roman" w:hAnsi="Times New Roman" w:cs="Times New Roman"/>
          <w:sz w:val="23"/>
          <w:szCs w:val="23"/>
        </w:rPr>
        <w:t>del trámite</w:t>
      </w:r>
      <w:r w:rsidRPr="00CF50D4">
        <w:rPr>
          <w:rFonts w:ascii="Times New Roman" w:hAnsi="Times New Roman" w:cs="Times New Roman"/>
          <w:sz w:val="23"/>
          <w:szCs w:val="23"/>
        </w:rPr>
        <w:t xml:space="preserve"> sobre el </w:t>
      </w:r>
      <w:r w:rsidR="00A41F4E" w:rsidRPr="00CF50D4">
        <w:rPr>
          <w:rFonts w:ascii="Times New Roman" w:hAnsi="Times New Roman" w:cs="Times New Roman"/>
          <w:sz w:val="23"/>
          <w:szCs w:val="23"/>
        </w:rPr>
        <w:t xml:space="preserve">Plan de Ordenamiento Territorial – </w:t>
      </w:r>
      <w:r w:rsidRPr="00CF50D4">
        <w:rPr>
          <w:rFonts w:ascii="Times New Roman" w:hAnsi="Times New Roman" w:cs="Times New Roman"/>
          <w:sz w:val="23"/>
          <w:szCs w:val="23"/>
        </w:rPr>
        <w:t xml:space="preserve">POT, se tendría un decrecimiento en la población de niños y jóvenes, fenómeno coherente con las cifras recientes de fecundidad y nacimientos; por el contrario, la población que supera los 60 años, tendrá el mayor crecimiento proyectado, </w:t>
      </w:r>
      <w:r w:rsidR="00A41F4E" w:rsidRPr="00CF50D4">
        <w:rPr>
          <w:rFonts w:ascii="Times New Roman" w:hAnsi="Times New Roman" w:cs="Times New Roman"/>
          <w:sz w:val="23"/>
          <w:szCs w:val="23"/>
        </w:rPr>
        <w:t xml:space="preserve">lo cual constituye </w:t>
      </w:r>
      <w:r w:rsidRPr="00CF50D4">
        <w:rPr>
          <w:rFonts w:ascii="Times New Roman" w:hAnsi="Times New Roman" w:cs="Times New Roman"/>
          <w:sz w:val="23"/>
          <w:szCs w:val="23"/>
        </w:rPr>
        <w:t xml:space="preserve">información de valor para focalizar los programas de intervención en los próximos años y proyectar la población a ser atendida en los diferentes programas de la </w:t>
      </w:r>
      <w:r w:rsidR="00A41F4E" w:rsidRPr="00CF50D4">
        <w:rPr>
          <w:rFonts w:ascii="Times New Roman" w:hAnsi="Times New Roman" w:cs="Times New Roman"/>
          <w:sz w:val="23"/>
          <w:szCs w:val="23"/>
        </w:rPr>
        <w:t>administración municipal</w:t>
      </w:r>
      <w:r w:rsidRPr="00CF50D4">
        <w:rPr>
          <w:rFonts w:ascii="Times New Roman" w:hAnsi="Times New Roman" w:cs="Times New Roman"/>
          <w:sz w:val="23"/>
          <w:szCs w:val="23"/>
        </w:rPr>
        <w:t>.</w:t>
      </w:r>
    </w:p>
    <w:p w14:paraId="312CF3F7" w14:textId="77777777" w:rsidR="008F6483" w:rsidRPr="00CF50D4" w:rsidRDefault="008F6483" w:rsidP="00710FC1">
      <w:pPr>
        <w:spacing w:line="259" w:lineRule="auto"/>
        <w:rPr>
          <w:rFonts w:ascii="Times New Roman" w:hAnsi="Times New Roman" w:cs="Times New Roman"/>
          <w:sz w:val="23"/>
          <w:szCs w:val="23"/>
        </w:rPr>
      </w:pPr>
    </w:p>
    <w:p w14:paraId="38586747" w14:textId="58812093" w:rsidR="008F6483" w:rsidRPr="00CF50D4" w:rsidRDefault="008F6483" w:rsidP="00710FC1">
      <w:pPr>
        <w:pStyle w:val="Grfica"/>
        <w:keepNext/>
        <w:keepLines/>
        <w:rPr>
          <w:rFonts w:ascii="Times New Roman" w:eastAsiaTheme="minorEastAsia" w:hAnsi="Times New Roman" w:cs="Times New Roman"/>
          <w:bCs/>
          <w:color w:val="auto"/>
          <w:sz w:val="23"/>
          <w:szCs w:val="23"/>
        </w:rPr>
      </w:pPr>
      <w:r w:rsidRPr="00CF50D4">
        <w:rPr>
          <w:rFonts w:ascii="Times New Roman" w:eastAsiaTheme="minorEastAsia" w:hAnsi="Times New Roman" w:cs="Times New Roman"/>
          <w:bCs/>
          <w:color w:val="auto"/>
          <w:sz w:val="23"/>
          <w:szCs w:val="23"/>
        </w:rPr>
        <w:t xml:space="preserve">Gráfica </w:t>
      </w:r>
      <w:r w:rsidRPr="00CF50D4">
        <w:rPr>
          <w:rFonts w:ascii="Times New Roman" w:eastAsiaTheme="minorEastAsia" w:hAnsi="Times New Roman" w:cs="Times New Roman"/>
          <w:bCs/>
          <w:color w:val="auto"/>
          <w:sz w:val="23"/>
          <w:szCs w:val="23"/>
        </w:rPr>
        <w:fldChar w:fldCharType="begin"/>
      </w:r>
      <w:r w:rsidRPr="00CF50D4">
        <w:rPr>
          <w:rFonts w:ascii="Times New Roman" w:eastAsiaTheme="minorEastAsia" w:hAnsi="Times New Roman" w:cs="Times New Roman"/>
          <w:bCs/>
          <w:color w:val="auto"/>
          <w:sz w:val="23"/>
          <w:szCs w:val="23"/>
        </w:rPr>
        <w:instrText xml:space="preserve"> SEQ Gráfica \* ARABIC </w:instrText>
      </w:r>
      <w:r w:rsidRPr="00CF50D4">
        <w:rPr>
          <w:rFonts w:ascii="Times New Roman" w:eastAsiaTheme="minorEastAsia" w:hAnsi="Times New Roman" w:cs="Times New Roman"/>
          <w:bCs/>
          <w:color w:val="auto"/>
          <w:sz w:val="23"/>
          <w:szCs w:val="23"/>
        </w:rPr>
        <w:fldChar w:fldCharType="separate"/>
      </w:r>
      <w:r w:rsidR="00F66B58" w:rsidRPr="00CF50D4">
        <w:rPr>
          <w:rFonts w:ascii="Times New Roman" w:eastAsiaTheme="minorEastAsia" w:hAnsi="Times New Roman" w:cs="Times New Roman"/>
          <w:bCs/>
          <w:noProof/>
          <w:color w:val="auto"/>
          <w:sz w:val="23"/>
          <w:szCs w:val="23"/>
        </w:rPr>
        <w:t>1</w:t>
      </w:r>
      <w:r w:rsidRPr="00CF50D4">
        <w:rPr>
          <w:rFonts w:ascii="Times New Roman" w:eastAsiaTheme="minorEastAsia" w:hAnsi="Times New Roman" w:cs="Times New Roman"/>
          <w:bCs/>
          <w:color w:val="auto"/>
          <w:sz w:val="23"/>
          <w:szCs w:val="23"/>
        </w:rPr>
        <w:fldChar w:fldCharType="end"/>
      </w:r>
      <w:r w:rsidRPr="00CF50D4">
        <w:rPr>
          <w:rFonts w:ascii="Times New Roman" w:eastAsiaTheme="minorEastAsia" w:hAnsi="Times New Roman" w:cs="Times New Roman"/>
          <w:bCs/>
          <w:color w:val="auto"/>
          <w:sz w:val="23"/>
          <w:szCs w:val="23"/>
        </w:rPr>
        <w:t>. Pirámide poblacional del municipio. 2022</w:t>
      </w:r>
    </w:p>
    <w:p w14:paraId="1D7CD4D3" w14:textId="798675FC" w:rsidR="008F6483" w:rsidRPr="00CF50D4" w:rsidRDefault="008F6483" w:rsidP="00710FC1">
      <w:pPr>
        <w:spacing w:line="259" w:lineRule="auto"/>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36694CFE" wp14:editId="4697F9D8">
            <wp:extent cx="5612130" cy="3799950"/>
            <wp:effectExtent l="0" t="0" r="7620" b="0"/>
            <wp:docPr id="4" name="Gráfico 4">
              <a:extLst xmlns:a="http://schemas.openxmlformats.org/drawingml/2006/main">
                <a:ext uri="{FF2B5EF4-FFF2-40B4-BE49-F238E27FC236}">
                  <a16:creationId xmlns:a16="http://schemas.microsoft.com/office/drawing/2014/main" id="{9EC6E405-702D-43B4-8DFF-BAC354830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3738D7" w14:textId="77777777" w:rsidR="008F6483" w:rsidRPr="00CF50D4" w:rsidRDefault="008F6483" w:rsidP="00710FC1">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sz w:val="23"/>
          <w:szCs w:val="23"/>
        </w:rPr>
        <w:t>Fuente: Cálculos propios con base en DANE. Censo Nacional de Población y Vivienda (2018)</w:t>
      </w:r>
    </w:p>
    <w:p w14:paraId="0A765ACF" w14:textId="77777777" w:rsidR="008F6483" w:rsidRPr="00CF50D4" w:rsidRDefault="008F6483" w:rsidP="00710FC1">
      <w:pPr>
        <w:spacing w:line="259" w:lineRule="auto"/>
        <w:rPr>
          <w:rFonts w:ascii="Times New Roman" w:hAnsi="Times New Roman" w:cs="Times New Roman"/>
          <w:sz w:val="23"/>
          <w:szCs w:val="23"/>
        </w:rPr>
      </w:pPr>
    </w:p>
    <w:p w14:paraId="4B5455D0" w14:textId="77777777" w:rsidR="00A41F4E" w:rsidRPr="00CF50D4" w:rsidRDefault="00A41F4E" w:rsidP="00A41F4E">
      <w:pPr>
        <w:rPr>
          <w:rFonts w:ascii="Times New Roman" w:hAnsi="Times New Roman" w:cs="Times New Roman"/>
          <w:sz w:val="23"/>
          <w:szCs w:val="23"/>
        </w:rPr>
      </w:pPr>
    </w:p>
    <w:p w14:paraId="49ACF34C" w14:textId="56D9EB9D"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 xml:space="preserve">Manizales Como Vamos (2020), </w:t>
      </w:r>
      <w:r w:rsidR="00A41F4E" w:rsidRPr="00CF50D4">
        <w:rPr>
          <w:rFonts w:ascii="Times New Roman" w:hAnsi="Times New Roman" w:cs="Times New Roman"/>
          <w:sz w:val="23"/>
          <w:szCs w:val="23"/>
        </w:rPr>
        <w:t>evidencia</w:t>
      </w:r>
      <w:r w:rsidRPr="00CF50D4">
        <w:rPr>
          <w:rFonts w:ascii="Times New Roman" w:hAnsi="Times New Roman" w:cs="Times New Roman"/>
          <w:sz w:val="23"/>
          <w:szCs w:val="23"/>
        </w:rPr>
        <w:t xml:space="preserve"> en su informe el nivel educativo de la población de la ciudad con 25 años o más. Este es un indicador de impacto, de largo plazo, puesto que incrementar el nivel educativo de la población, no es un resultado que tenga un efecto inmediato. </w:t>
      </w:r>
    </w:p>
    <w:p w14:paraId="2A67DB14" w14:textId="77777777" w:rsidR="00710FC1" w:rsidRPr="00CF50D4" w:rsidRDefault="00710FC1" w:rsidP="00A41F4E">
      <w:pPr>
        <w:rPr>
          <w:rFonts w:ascii="Times New Roman" w:hAnsi="Times New Roman" w:cs="Times New Roman"/>
          <w:sz w:val="23"/>
          <w:szCs w:val="23"/>
        </w:rPr>
      </w:pPr>
    </w:p>
    <w:p w14:paraId="0AFE832E" w14:textId="77777777"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 xml:space="preserve">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w:t>
      </w:r>
      <w:r w:rsidRPr="00CF50D4">
        <w:rPr>
          <w:rFonts w:ascii="Times New Roman" w:hAnsi="Times New Roman" w:cs="Times New Roman"/>
          <w:sz w:val="23"/>
          <w:szCs w:val="23"/>
        </w:rPr>
        <w:lastRenderedPageBreak/>
        <w:t xml:space="preserve">de la mitad de la población tenía hasta secundaria incompleta, en 2020 este porcentaje se redujo al 35,5%. Por el contrario, la proporción de la población con niveles más elevados de educación pasó del 21,8% al 34,4%. </w:t>
      </w:r>
    </w:p>
    <w:p w14:paraId="60FB23A5" w14:textId="77777777" w:rsidR="00AC08A8" w:rsidRPr="00CF50D4" w:rsidRDefault="00AC08A8" w:rsidP="00710FC1">
      <w:pPr>
        <w:spacing w:line="259" w:lineRule="auto"/>
        <w:rPr>
          <w:rFonts w:ascii="Times New Roman" w:hAnsi="Times New Roman" w:cs="Times New Roman"/>
          <w:sz w:val="23"/>
          <w:szCs w:val="23"/>
        </w:rPr>
      </w:pPr>
    </w:p>
    <w:p w14:paraId="1D936A07" w14:textId="67792B87" w:rsidR="00AC08A8" w:rsidRPr="00CF50D4" w:rsidRDefault="008E612E" w:rsidP="00710FC1">
      <w:pPr>
        <w:keepNext/>
        <w:keepLines/>
        <w:spacing w:line="259" w:lineRule="auto"/>
        <w:rPr>
          <w:rFonts w:ascii="Times New Roman" w:hAnsi="Times New Roman" w:cs="Times New Roman"/>
          <w:b/>
          <w:sz w:val="23"/>
          <w:szCs w:val="23"/>
        </w:rPr>
      </w:pPr>
      <w:r w:rsidRPr="00CF50D4">
        <w:rPr>
          <w:rFonts w:ascii="Times New Roman" w:hAnsi="Times New Roman" w:cs="Times New Roman"/>
          <w:b/>
          <w:sz w:val="23"/>
          <w:szCs w:val="23"/>
        </w:rPr>
        <w:t xml:space="preserve">Gráfica </w:t>
      </w:r>
      <w:r w:rsidRPr="00CF50D4">
        <w:rPr>
          <w:rFonts w:ascii="Times New Roman" w:hAnsi="Times New Roman" w:cs="Times New Roman"/>
          <w:b/>
          <w:sz w:val="23"/>
          <w:szCs w:val="23"/>
        </w:rPr>
        <w:fldChar w:fldCharType="begin"/>
      </w:r>
      <w:r w:rsidRPr="00CF50D4">
        <w:rPr>
          <w:rFonts w:ascii="Times New Roman" w:hAnsi="Times New Roman" w:cs="Times New Roman"/>
          <w:b/>
          <w:sz w:val="23"/>
          <w:szCs w:val="23"/>
        </w:rPr>
        <w:instrText xml:space="preserve"> SEQ Gráfica \* ARABIC </w:instrText>
      </w:r>
      <w:r w:rsidRPr="00CF50D4">
        <w:rPr>
          <w:rFonts w:ascii="Times New Roman" w:hAnsi="Times New Roman" w:cs="Times New Roman"/>
          <w:b/>
          <w:sz w:val="23"/>
          <w:szCs w:val="23"/>
        </w:rPr>
        <w:fldChar w:fldCharType="separate"/>
      </w:r>
      <w:r w:rsidR="00F66B58" w:rsidRPr="00CF50D4">
        <w:rPr>
          <w:rFonts w:ascii="Times New Roman" w:hAnsi="Times New Roman" w:cs="Times New Roman"/>
          <w:b/>
          <w:noProof/>
          <w:sz w:val="23"/>
          <w:szCs w:val="23"/>
        </w:rPr>
        <w:t>2</w:t>
      </w:r>
      <w:r w:rsidRPr="00CF50D4">
        <w:rPr>
          <w:rFonts w:ascii="Times New Roman" w:hAnsi="Times New Roman" w:cs="Times New Roman"/>
          <w:b/>
          <w:sz w:val="23"/>
          <w:szCs w:val="23"/>
        </w:rPr>
        <w:fldChar w:fldCharType="end"/>
      </w:r>
      <w:r w:rsidRPr="00CF50D4">
        <w:rPr>
          <w:rFonts w:ascii="Times New Roman" w:hAnsi="Times New Roman" w:cs="Times New Roman"/>
          <w:b/>
          <w:sz w:val="23"/>
          <w:szCs w:val="23"/>
        </w:rPr>
        <w:t xml:space="preserve">. </w:t>
      </w:r>
      <w:r w:rsidR="00AC08A8" w:rsidRPr="00CF50D4">
        <w:rPr>
          <w:rFonts w:ascii="Times New Roman" w:hAnsi="Times New Roman" w:cs="Times New Roman"/>
          <w:b/>
          <w:sz w:val="23"/>
          <w:szCs w:val="23"/>
        </w:rPr>
        <w:t>Nivel educativo alcanzado en Manizales en población de 25 años o más</w:t>
      </w:r>
    </w:p>
    <w:p w14:paraId="3B575666" w14:textId="77777777" w:rsidR="00AC08A8" w:rsidRPr="00CF50D4" w:rsidRDefault="00AC08A8" w:rsidP="00710FC1">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noProof/>
          <w:color w:val="000000"/>
          <w:sz w:val="23"/>
          <w:szCs w:val="23"/>
          <w:lang w:eastAsia="es-CO"/>
        </w:rPr>
        <w:drawing>
          <wp:inline distT="0" distB="0" distL="0" distR="0" wp14:anchorId="24DB1405" wp14:editId="039BD2DF">
            <wp:extent cx="4704713" cy="2416236"/>
            <wp:effectExtent l="0" t="0" r="127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398" cy="2424292"/>
                    </a:xfrm>
                    <a:prstGeom prst="rect">
                      <a:avLst/>
                    </a:prstGeom>
                    <a:noFill/>
                    <a:ln>
                      <a:noFill/>
                    </a:ln>
                  </pic:spPr>
                </pic:pic>
              </a:graphicData>
            </a:graphic>
          </wp:inline>
        </w:drawing>
      </w:r>
    </w:p>
    <w:p w14:paraId="209A6850" w14:textId="797ADAC5" w:rsidR="00AC08A8" w:rsidRPr="00CF50D4" w:rsidRDefault="00710FC1" w:rsidP="00710FC1">
      <w:pPr>
        <w:keepNext/>
        <w:keepLines/>
        <w:spacing w:line="259" w:lineRule="auto"/>
        <w:jc w:val="center"/>
        <w:rPr>
          <w:rStyle w:val="Referenciasutil"/>
          <w:rFonts w:ascii="Times New Roman" w:hAnsi="Times New Roman" w:cs="Times New Roman"/>
          <w:i w:val="0"/>
          <w:iCs w:val="0"/>
          <w:smallCaps w:val="0"/>
          <w:sz w:val="23"/>
          <w:szCs w:val="23"/>
        </w:rPr>
      </w:pPr>
      <w:r w:rsidRPr="00CF50D4">
        <w:rPr>
          <w:rStyle w:val="Referenciasutil"/>
          <w:rFonts w:ascii="Times New Roman" w:hAnsi="Times New Roman" w:cs="Times New Roman"/>
          <w:i w:val="0"/>
          <w:iCs w:val="0"/>
          <w:smallCaps w:val="0"/>
          <w:sz w:val="23"/>
          <w:szCs w:val="23"/>
        </w:rPr>
        <w:t>Fuente: Cálculos MCV con base en Ministerio De Educación Nacional y DANE</w:t>
      </w:r>
    </w:p>
    <w:p w14:paraId="6A62B655" w14:textId="4E6BA297" w:rsidR="008E612E" w:rsidRPr="00CF50D4" w:rsidRDefault="008E612E" w:rsidP="00710FC1">
      <w:pPr>
        <w:spacing w:line="259" w:lineRule="auto"/>
        <w:rPr>
          <w:rFonts w:ascii="Times New Roman" w:hAnsi="Times New Roman" w:cs="Times New Roman"/>
          <w:sz w:val="23"/>
          <w:szCs w:val="23"/>
        </w:rPr>
      </w:pPr>
    </w:p>
    <w:p w14:paraId="2037D9E0" w14:textId="46325207" w:rsidR="008E612E" w:rsidRPr="00CF50D4" w:rsidRDefault="008E612E" w:rsidP="00A41F4E">
      <w:pPr>
        <w:rPr>
          <w:rFonts w:ascii="Times New Roman" w:hAnsi="Times New Roman" w:cs="Times New Roman"/>
          <w:sz w:val="23"/>
          <w:szCs w:val="23"/>
        </w:rPr>
      </w:pPr>
      <w:r w:rsidRPr="00CF50D4">
        <w:rPr>
          <w:rFonts w:ascii="Times New Roman" w:hAnsi="Times New Roman" w:cs="Times New Roman"/>
          <w:sz w:val="23"/>
          <w:szCs w:val="23"/>
        </w:rPr>
        <w:t>Estos esfuerzos también se reflejan en otro indicador educativo de largo plazo como lo es la tasa de alfabetismo. Esta presenta un porcentaje de alfabetismo del 94% (Censo, 2018). De toda la población censada, las mujeres que manifiestan no saber leer y escribir correspond</w:t>
      </w:r>
      <w:r w:rsidR="00A01E9A" w:rsidRPr="00CF50D4">
        <w:rPr>
          <w:rFonts w:ascii="Times New Roman" w:hAnsi="Times New Roman" w:cs="Times New Roman"/>
          <w:sz w:val="23"/>
          <w:szCs w:val="23"/>
        </w:rPr>
        <w:t>ió</w:t>
      </w:r>
      <w:r w:rsidRPr="00CF50D4">
        <w:rPr>
          <w:rFonts w:ascii="Times New Roman" w:hAnsi="Times New Roman" w:cs="Times New Roman"/>
          <w:sz w:val="23"/>
          <w:szCs w:val="23"/>
        </w:rPr>
        <w:t xml:space="preserve"> al 2,58%</w:t>
      </w:r>
      <w:r w:rsidR="00A41F4E" w:rsidRPr="00CF50D4">
        <w:rPr>
          <w:rFonts w:ascii="Times New Roman" w:hAnsi="Times New Roman" w:cs="Times New Roman"/>
          <w:sz w:val="23"/>
          <w:szCs w:val="23"/>
        </w:rPr>
        <w:t>;</w:t>
      </w:r>
      <w:r w:rsidRPr="00CF50D4">
        <w:rPr>
          <w:rFonts w:ascii="Times New Roman" w:hAnsi="Times New Roman" w:cs="Times New Roman"/>
          <w:sz w:val="23"/>
          <w:szCs w:val="23"/>
        </w:rPr>
        <w:t xml:space="preserve"> de igual forma, sobre el total de los censados, los hombres representan casi el 3,06%</w:t>
      </w:r>
      <w:r w:rsidR="00A01E9A" w:rsidRPr="00CF50D4">
        <w:rPr>
          <w:rFonts w:ascii="Times New Roman" w:hAnsi="Times New Roman" w:cs="Times New Roman"/>
          <w:sz w:val="23"/>
          <w:szCs w:val="23"/>
        </w:rPr>
        <w:t>.</w:t>
      </w:r>
    </w:p>
    <w:p w14:paraId="19AE2E89" w14:textId="77777777" w:rsidR="008E612E" w:rsidRPr="00CF50D4" w:rsidRDefault="008E612E" w:rsidP="00A41F4E">
      <w:pPr>
        <w:rPr>
          <w:rFonts w:ascii="Times New Roman" w:hAnsi="Times New Roman" w:cs="Times New Roman"/>
          <w:sz w:val="23"/>
          <w:szCs w:val="23"/>
        </w:rPr>
      </w:pPr>
    </w:p>
    <w:p w14:paraId="4A3BEE2C" w14:textId="51D0711E" w:rsidR="008E612E" w:rsidRPr="00CF50D4" w:rsidRDefault="00A01E9A" w:rsidP="00710FC1">
      <w:pPr>
        <w:pStyle w:val="Grfica"/>
        <w:keepNext/>
        <w:keepLines/>
        <w:rPr>
          <w:rFonts w:ascii="Times New Roman" w:eastAsiaTheme="minorEastAsia" w:hAnsi="Times New Roman" w:cs="Times New Roman"/>
          <w:color w:val="auto"/>
          <w:sz w:val="23"/>
          <w:szCs w:val="23"/>
        </w:rPr>
      </w:pPr>
      <w:r w:rsidRPr="00CF50D4">
        <w:rPr>
          <w:rFonts w:ascii="Times New Roman" w:eastAsiaTheme="minorEastAsia" w:hAnsi="Times New Roman" w:cs="Times New Roman"/>
          <w:color w:val="auto"/>
          <w:sz w:val="23"/>
          <w:szCs w:val="23"/>
        </w:rPr>
        <w:t xml:space="preserve">Gráfica </w:t>
      </w:r>
      <w:r w:rsidRPr="00CF50D4">
        <w:rPr>
          <w:rFonts w:ascii="Times New Roman" w:eastAsiaTheme="minorEastAsia" w:hAnsi="Times New Roman" w:cs="Times New Roman"/>
          <w:color w:val="auto"/>
          <w:sz w:val="23"/>
          <w:szCs w:val="23"/>
        </w:rPr>
        <w:fldChar w:fldCharType="begin"/>
      </w:r>
      <w:r w:rsidRPr="00CF50D4">
        <w:rPr>
          <w:rFonts w:ascii="Times New Roman" w:eastAsiaTheme="minorEastAsia" w:hAnsi="Times New Roman" w:cs="Times New Roman"/>
          <w:color w:val="auto"/>
          <w:sz w:val="23"/>
          <w:szCs w:val="23"/>
        </w:rPr>
        <w:instrText xml:space="preserve"> SEQ Gráfica \* ARABIC </w:instrText>
      </w:r>
      <w:r w:rsidRPr="00CF50D4">
        <w:rPr>
          <w:rFonts w:ascii="Times New Roman" w:eastAsiaTheme="minorEastAsia" w:hAnsi="Times New Roman" w:cs="Times New Roman"/>
          <w:color w:val="auto"/>
          <w:sz w:val="23"/>
          <w:szCs w:val="23"/>
        </w:rPr>
        <w:fldChar w:fldCharType="separate"/>
      </w:r>
      <w:r w:rsidR="00F66B58" w:rsidRPr="00CF50D4">
        <w:rPr>
          <w:rFonts w:ascii="Times New Roman" w:eastAsiaTheme="minorEastAsia" w:hAnsi="Times New Roman" w:cs="Times New Roman"/>
          <w:noProof/>
          <w:color w:val="auto"/>
          <w:sz w:val="23"/>
          <w:szCs w:val="23"/>
        </w:rPr>
        <w:t>3</w:t>
      </w:r>
      <w:r w:rsidRPr="00CF50D4">
        <w:rPr>
          <w:rFonts w:ascii="Times New Roman" w:eastAsiaTheme="minorEastAsia" w:hAnsi="Times New Roman" w:cs="Times New Roman"/>
          <w:color w:val="auto"/>
          <w:sz w:val="23"/>
          <w:szCs w:val="23"/>
        </w:rPr>
        <w:fldChar w:fldCharType="end"/>
      </w:r>
      <w:r w:rsidRPr="00CF50D4">
        <w:rPr>
          <w:rFonts w:ascii="Times New Roman" w:eastAsiaTheme="minorEastAsia" w:hAnsi="Times New Roman" w:cs="Times New Roman"/>
          <w:color w:val="auto"/>
          <w:sz w:val="23"/>
          <w:szCs w:val="23"/>
        </w:rPr>
        <w:t xml:space="preserve">. </w:t>
      </w:r>
      <w:r w:rsidR="008E612E" w:rsidRPr="00CF50D4">
        <w:rPr>
          <w:rFonts w:ascii="Times New Roman" w:eastAsiaTheme="minorEastAsia" w:hAnsi="Times New Roman" w:cs="Times New Roman"/>
          <w:color w:val="auto"/>
          <w:sz w:val="23"/>
          <w:szCs w:val="23"/>
        </w:rPr>
        <w:t>Tasa de alfabetismo. 2018</w:t>
      </w:r>
    </w:p>
    <w:p w14:paraId="782CF4DC" w14:textId="77777777" w:rsidR="008E612E" w:rsidRPr="00CF50D4" w:rsidRDefault="008E612E" w:rsidP="00710FC1">
      <w:pPr>
        <w:spacing w:line="259" w:lineRule="auto"/>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61865184" wp14:editId="1C2B8446">
            <wp:extent cx="2851150" cy="1316736"/>
            <wp:effectExtent l="0" t="0" r="635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BA84D2" w14:textId="77777777" w:rsidR="008E612E" w:rsidRPr="00CF50D4" w:rsidRDefault="008E612E" w:rsidP="00710FC1">
      <w:pPr>
        <w:keepNext/>
        <w:keepLines/>
        <w:spacing w:line="259" w:lineRule="auto"/>
        <w:jc w:val="center"/>
        <w:rPr>
          <w:rStyle w:val="Referenciasutil"/>
          <w:rFonts w:ascii="Times New Roman" w:hAnsi="Times New Roman" w:cs="Times New Roman"/>
          <w:sz w:val="23"/>
          <w:szCs w:val="23"/>
        </w:rPr>
      </w:pPr>
      <w:r w:rsidRPr="00CF50D4">
        <w:rPr>
          <w:rStyle w:val="Referenciasutil"/>
          <w:rFonts w:ascii="Times New Roman" w:hAnsi="Times New Roman" w:cs="Times New Roman"/>
          <w:sz w:val="23"/>
          <w:szCs w:val="23"/>
        </w:rPr>
        <w:t>Fuente: Cálculos propios con base en DANE. Censo Nacional de Población y Vivienda (2018)</w:t>
      </w:r>
    </w:p>
    <w:p w14:paraId="12494710" w14:textId="70C59652" w:rsidR="008E612E" w:rsidRPr="00CF50D4" w:rsidRDefault="008E612E" w:rsidP="00710FC1">
      <w:pPr>
        <w:spacing w:line="259" w:lineRule="auto"/>
        <w:rPr>
          <w:rFonts w:ascii="Times New Roman" w:hAnsi="Times New Roman" w:cs="Times New Roman"/>
          <w:sz w:val="23"/>
          <w:szCs w:val="23"/>
        </w:rPr>
      </w:pPr>
    </w:p>
    <w:p w14:paraId="6724B748" w14:textId="77777777" w:rsidR="00710FC1" w:rsidRPr="00CF50D4" w:rsidRDefault="00710FC1" w:rsidP="00710FC1">
      <w:pPr>
        <w:spacing w:line="259" w:lineRule="auto"/>
        <w:rPr>
          <w:rFonts w:ascii="Times New Roman" w:hAnsi="Times New Roman" w:cs="Times New Roman"/>
          <w:sz w:val="23"/>
          <w:szCs w:val="23"/>
        </w:rPr>
      </w:pPr>
    </w:p>
    <w:p w14:paraId="72ACD62F" w14:textId="2C967C18" w:rsidR="00AC08A8" w:rsidRPr="00CF50D4" w:rsidRDefault="00A01E9A" w:rsidP="00A41F4E">
      <w:pPr>
        <w:pStyle w:val="Ttulo1"/>
        <w:spacing w:before="0"/>
        <w:ind w:left="0"/>
        <w:jc w:val="left"/>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Vocación universitaria de la ciudad</w:t>
      </w:r>
    </w:p>
    <w:p w14:paraId="5EEC8DAD" w14:textId="77777777" w:rsidR="00A01E9A" w:rsidRPr="00CF50D4" w:rsidRDefault="00A01E9A" w:rsidP="00A41F4E">
      <w:pPr>
        <w:rPr>
          <w:rFonts w:ascii="Times New Roman" w:hAnsi="Times New Roman" w:cs="Times New Roman"/>
          <w:sz w:val="23"/>
          <w:szCs w:val="23"/>
        </w:rPr>
      </w:pPr>
    </w:p>
    <w:p w14:paraId="29C56C22" w14:textId="63769ECD" w:rsidR="00A01E9A" w:rsidRPr="00CF50D4" w:rsidRDefault="00A41F4E" w:rsidP="00A41F4E">
      <w:pPr>
        <w:rPr>
          <w:rFonts w:ascii="Times New Roman" w:hAnsi="Times New Roman" w:cs="Times New Roman"/>
          <w:sz w:val="23"/>
          <w:szCs w:val="23"/>
        </w:rPr>
      </w:pPr>
      <w:r w:rsidRPr="00CF50D4">
        <w:rPr>
          <w:rFonts w:ascii="Times New Roman" w:hAnsi="Times New Roman" w:cs="Times New Roman"/>
          <w:sz w:val="23"/>
          <w:szCs w:val="23"/>
        </w:rPr>
        <w:t>Para el año 2021, l</w:t>
      </w:r>
      <w:r w:rsidR="00A01E9A" w:rsidRPr="00CF50D4">
        <w:rPr>
          <w:rFonts w:ascii="Times New Roman" w:hAnsi="Times New Roman" w:cs="Times New Roman"/>
          <w:sz w:val="23"/>
          <w:szCs w:val="23"/>
        </w:rPr>
        <w:t xml:space="preserve">a matrícula en educación superior llegó a </w:t>
      </w:r>
      <w:r w:rsidRPr="00CF50D4">
        <w:rPr>
          <w:rFonts w:ascii="Times New Roman" w:hAnsi="Times New Roman" w:cs="Times New Roman"/>
          <w:sz w:val="23"/>
          <w:szCs w:val="23"/>
        </w:rPr>
        <w:t xml:space="preserve">un total </w:t>
      </w:r>
      <w:r w:rsidR="00A01E9A" w:rsidRPr="00CF50D4">
        <w:rPr>
          <w:rFonts w:ascii="Times New Roman" w:hAnsi="Times New Roman" w:cs="Times New Roman"/>
          <w:sz w:val="23"/>
          <w:szCs w:val="23"/>
        </w:rPr>
        <w:t xml:space="preserve">40.994 estudiantes, altamente concentrada en el nivel de pregrado con una participación del 89,5%. La matrícula en el nivel universitario </w:t>
      </w:r>
      <w:r w:rsidR="00A01E9A" w:rsidRPr="00CF50D4">
        <w:rPr>
          <w:rFonts w:ascii="Times New Roman" w:hAnsi="Times New Roman" w:cs="Times New Roman"/>
          <w:sz w:val="23"/>
          <w:szCs w:val="23"/>
        </w:rPr>
        <w:lastRenderedPageBreak/>
        <w:t>continúa teniendo el mayor peso en la matrícula total, con el 68,9%. Además de la matrícula universitaria, la tecnológica participa con el 13,7% y la formación técnica profesional con el 6,9%. La matrícula en posgrado representó en 2021 el 10,5%, con 4.290 estudiantes. Sobresale el nivel de maestría con 2.203 matriculados, participando con el 5,4% de la matrícula total. La matrícula en doctorado aún tiene una baja participación con el 1,2%.</w:t>
      </w:r>
    </w:p>
    <w:p w14:paraId="15D22115" w14:textId="77777777" w:rsidR="00A01E9A" w:rsidRPr="00CF50D4" w:rsidRDefault="00A01E9A" w:rsidP="00710FC1">
      <w:pPr>
        <w:spacing w:line="259" w:lineRule="auto"/>
        <w:rPr>
          <w:rFonts w:ascii="Times New Roman" w:hAnsi="Times New Roman" w:cs="Times New Roman"/>
          <w:sz w:val="23"/>
          <w:szCs w:val="23"/>
        </w:rPr>
      </w:pPr>
    </w:p>
    <w:p w14:paraId="394BD61B" w14:textId="448AE1F4" w:rsidR="00A01E9A" w:rsidRPr="00CF50D4" w:rsidRDefault="00A01E9A" w:rsidP="00710FC1">
      <w:pPr>
        <w:pStyle w:val="Tabla"/>
        <w:spacing w:line="259" w:lineRule="auto"/>
        <w:rPr>
          <w:rFonts w:ascii="Times New Roman" w:hAnsi="Times New Roman" w:cs="Times New Roman"/>
          <w:sz w:val="23"/>
          <w:szCs w:val="23"/>
        </w:rPr>
      </w:pPr>
      <w:bookmarkStart w:id="0" w:name="_Toc121414001"/>
      <w:r w:rsidRPr="00CF50D4">
        <w:rPr>
          <w:rFonts w:ascii="Times New Roman" w:hAnsi="Times New Roman" w:cs="Times New Roman"/>
          <w:sz w:val="23"/>
          <w:szCs w:val="23"/>
        </w:rPr>
        <w:t xml:space="preserve">Tabla </w:t>
      </w:r>
      <w:r w:rsidRPr="00CF50D4">
        <w:rPr>
          <w:rFonts w:ascii="Times New Roman" w:hAnsi="Times New Roman" w:cs="Times New Roman"/>
          <w:sz w:val="23"/>
          <w:szCs w:val="23"/>
        </w:rPr>
        <w:fldChar w:fldCharType="begin"/>
      </w:r>
      <w:r w:rsidRPr="00CF50D4">
        <w:rPr>
          <w:rFonts w:ascii="Times New Roman" w:hAnsi="Times New Roman" w:cs="Times New Roman"/>
          <w:sz w:val="23"/>
          <w:szCs w:val="23"/>
        </w:rPr>
        <w:instrText xml:space="preserve"> SEQ Tabla \* ARABIC </w:instrText>
      </w:r>
      <w:r w:rsidRPr="00CF50D4">
        <w:rPr>
          <w:rFonts w:ascii="Times New Roman" w:hAnsi="Times New Roman" w:cs="Times New Roman"/>
          <w:sz w:val="23"/>
          <w:szCs w:val="23"/>
        </w:rPr>
        <w:fldChar w:fldCharType="separate"/>
      </w:r>
      <w:r w:rsidR="00F66B58" w:rsidRPr="00CF50D4">
        <w:rPr>
          <w:rFonts w:ascii="Times New Roman" w:hAnsi="Times New Roman" w:cs="Times New Roman"/>
          <w:noProof/>
          <w:sz w:val="23"/>
          <w:szCs w:val="23"/>
        </w:rPr>
        <w:t>1</w:t>
      </w:r>
      <w:r w:rsidRPr="00CF50D4">
        <w:rPr>
          <w:rFonts w:ascii="Times New Roman" w:hAnsi="Times New Roman" w:cs="Times New Roman"/>
          <w:noProof/>
          <w:sz w:val="23"/>
          <w:szCs w:val="23"/>
        </w:rPr>
        <w:fldChar w:fldCharType="end"/>
      </w:r>
      <w:r w:rsidRPr="00CF50D4">
        <w:rPr>
          <w:rFonts w:ascii="Times New Roman" w:hAnsi="Times New Roman" w:cs="Times New Roman"/>
          <w:sz w:val="23"/>
          <w:szCs w:val="23"/>
        </w:rPr>
        <w:t>. Manizales. Matrícula total según nivel de formación y modalidad. 2021</w:t>
      </w:r>
      <w:bookmarkEnd w:id="0"/>
    </w:p>
    <w:tbl>
      <w:tblPr>
        <w:tblW w:w="9781" w:type="dxa"/>
        <w:jc w:val="center"/>
        <w:tblCellMar>
          <w:left w:w="70" w:type="dxa"/>
          <w:right w:w="70" w:type="dxa"/>
        </w:tblCellMar>
        <w:tblLook w:val="04A0" w:firstRow="1" w:lastRow="0" w:firstColumn="1" w:lastColumn="0" w:noHBand="0" w:noVBand="1"/>
      </w:tblPr>
      <w:tblGrid>
        <w:gridCol w:w="2780"/>
        <w:gridCol w:w="906"/>
        <w:gridCol w:w="1028"/>
        <w:gridCol w:w="815"/>
        <w:gridCol w:w="1163"/>
        <w:gridCol w:w="679"/>
        <w:gridCol w:w="927"/>
        <w:gridCol w:w="773"/>
        <w:gridCol w:w="888"/>
      </w:tblGrid>
      <w:tr w:rsidR="00A01E9A" w:rsidRPr="00CF50D4" w14:paraId="223AC0C1" w14:textId="77777777" w:rsidTr="00E250FE">
        <w:trPr>
          <w:trHeight w:val="315"/>
          <w:jc w:val="center"/>
        </w:trPr>
        <w:tc>
          <w:tcPr>
            <w:tcW w:w="2780" w:type="dxa"/>
            <w:tcBorders>
              <w:top w:val="single" w:sz="8" w:space="0" w:color="auto"/>
              <w:left w:val="nil"/>
              <w:bottom w:val="single" w:sz="8" w:space="0" w:color="auto"/>
              <w:right w:val="nil"/>
            </w:tcBorders>
            <w:shd w:val="clear" w:color="000000" w:fill="C6E0B4"/>
            <w:noWrap/>
            <w:vAlign w:val="center"/>
            <w:hideMark/>
          </w:tcPr>
          <w:p w14:paraId="2D619B7B"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Nivel</w:t>
            </w:r>
          </w:p>
        </w:tc>
        <w:tc>
          <w:tcPr>
            <w:tcW w:w="1934" w:type="dxa"/>
            <w:gridSpan w:val="2"/>
            <w:tcBorders>
              <w:top w:val="single" w:sz="8" w:space="0" w:color="auto"/>
              <w:left w:val="nil"/>
              <w:bottom w:val="single" w:sz="8" w:space="0" w:color="auto"/>
              <w:right w:val="nil"/>
            </w:tcBorders>
            <w:shd w:val="clear" w:color="000000" w:fill="C6E0B4"/>
            <w:vAlign w:val="center"/>
            <w:hideMark/>
          </w:tcPr>
          <w:p w14:paraId="1496971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Presencial</w:t>
            </w:r>
          </w:p>
        </w:tc>
        <w:tc>
          <w:tcPr>
            <w:tcW w:w="1978" w:type="dxa"/>
            <w:gridSpan w:val="2"/>
            <w:tcBorders>
              <w:top w:val="single" w:sz="8" w:space="0" w:color="auto"/>
              <w:left w:val="nil"/>
              <w:bottom w:val="single" w:sz="8" w:space="0" w:color="auto"/>
              <w:right w:val="nil"/>
            </w:tcBorders>
            <w:shd w:val="clear" w:color="000000" w:fill="C6E0B4"/>
            <w:vAlign w:val="center"/>
            <w:hideMark/>
          </w:tcPr>
          <w:p w14:paraId="702E8220"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Distancia (tradicional)</w:t>
            </w:r>
          </w:p>
        </w:tc>
        <w:tc>
          <w:tcPr>
            <w:tcW w:w="1606" w:type="dxa"/>
            <w:gridSpan w:val="2"/>
            <w:tcBorders>
              <w:top w:val="single" w:sz="8" w:space="0" w:color="auto"/>
              <w:left w:val="nil"/>
              <w:bottom w:val="single" w:sz="8" w:space="0" w:color="auto"/>
              <w:right w:val="nil"/>
            </w:tcBorders>
            <w:shd w:val="clear" w:color="000000" w:fill="C6E0B4"/>
            <w:vAlign w:val="center"/>
            <w:hideMark/>
          </w:tcPr>
          <w:p w14:paraId="4342F7BE"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Distancia (virtual)</w:t>
            </w:r>
          </w:p>
        </w:tc>
        <w:tc>
          <w:tcPr>
            <w:tcW w:w="1483" w:type="dxa"/>
            <w:gridSpan w:val="2"/>
            <w:tcBorders>
              <w:top w:val="single" w:sz="8" w:space="0" w:color="auto"/>
              <w:left w:val="nil"/>
              <w:bottom w:val="single" w:sz="8" w:space="0" w:color="auto"/>
              <w:right w:val="nil"/>
            </w:tcBorders>
            <w:shd w:val="clear" w:color="000000" w:fill="C6E0B4"/>
            <w:vAlign w:val="center"/>
            <w:hideMark/>
          </w:tcPr>
          <w:p w14:paraId="7B27001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Total</w:t>
            </w:r>
          </w:p>
        </w:tc>
      </w:tr>
      <w:tr w:rsidR="00A01E9A" w:rsidRPr="00CF50D4" w14:paraId="69B0FBC1" w14:textId="77777777" w:rsidTr="00E250FE">
        <w:trPr>
          <w:trHeight w:val="300"/>
          <w:jc w:val="center"/>
        </w:trPr>
        <w:tc>
          <w:tcPr>
            <w:tcW w:w="2780" w:type="dxa"/>
            <w:tcBorders>
              <w:top w:val="nil"/>
              <w:left w:val="nil"/>
              <w:bottom w:val="nil"/>
              <w:right w:val="nil"/>
            </w:tcBorders>
            <w:shd w:val="clear" w:color="000000" w:fill="C6E0B4"/>
            <w:noWrap/>
            <w:vAlign w:val="center"/>
            <w:hideMark/>
          </w:tcPr>
          <w:p w14:paraId="43017CA9"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 </w:t>
            </w:r>
          </w:p>
        </w:tc>
        <w:tc>
          <w:tcPr>
            <w:tcW w:w="906" w:type="dxa"/>
            <w:tcBorders>
              <w:top w:val="nil"/>
              <w:left w:val="nil"/>
              <w:bottom w:val="nil"/>
              <w:right w:val="nil"/>
            </w:tcBorders>
            <w:shd w:val="clear" w:color="000000" w:fill="C6E0B4"/>
            <w:vAlign w:val="center"/>
            <w:hideMark/>
          </w:tcPr>
          <w:p w14:paraId="2B18435A"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No.</w:t>
            </w:r>
          </w:p>
        </w:tc>
        <w:tc>
          <w:tcPr>
            <w:tcW w:w="1028" w:type="dxa"/>
            <w:tcBorders>
              <w:top w:val="nil"/>
              <w:left w:val="nil"/>
              <w:bottom w:val="nil"/>
              <w:right w:val="nil"/>
            </w:tcBorders>
            <w:shd w:val="clear" w:color="000000" w:fill="C6E0B4"/>
            <w:vAlign w:val="center"/>
            <w:hideMark/>
          </w:tcPr>
          <w:p w14:paraId="5CDC9302"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w:t>
            </w:r>
          </w:p>
        </w:tc>
        <w:tc>
          <w:tcPr>
            <w:tcW w:w="815" w:type="dxa"/>
            <w:tcBorders>
              <w:top w:val="nil"/>
              <w:left w:val="nil"/>
              <w:bottom w:val="nil"/>
              <w:right w:val="nil"/>
            </w:tcBorders>
            <w:shd w:val="clear" w:color="000000" w:fill="C6E0B4"/>
            <w:vAlign w:val="center"/>
            <w:hideMark/>
          </w:tcPr>
          <w:p w14:paraId="1500A03A"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No.</w:t>
            </w:r>
          </w:p>
        </w:tc>
        <w:tc>
          <w:tcPr>
            <w:tcW w:w="1163" w:type="dxa"/>
            <w:tcBorders>
              <w:top w:val="nil"/>
              <w:left w:val="nil"/>
              <w:bottom w:val="nil"/>
              <w:right w:val="nil"/>
            </w:tcBorders>
            <w:shd w:val="clear" w:color="000000" w:fill="C6E0B4"/>
            <w:vAlign w:val="center"/>
            <w:hideMark/>
          </w:tcPr>
          <w:p w14:paraId="540F8525"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w:t>
            </w:r>
          </w:p>
        </w:tc>
        <w:tc>
          <w:tcPr>
            <w:tcW w:w="679" w:type="dxa"/>
            <w:tcBorders>
              <w:top w:val="nil"/>
              <w:left w:val="nil"/>
              <w:bottom w:val="nil"/>
              <w:right w:val="nil"/>
            </w:tcBorders>
            <w:shd w:val="clear" w:color="000000" w:fill="C6E0B4"/>
            <w:vAlign w:val="center"/>
            <w:hideMark/>
          </w:tcPr>
          <w:p w14:paraId="7273BF7E"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No.</w:t>
            </w:r>
          </w:p>
        </w:tc>
        <w:tc>
          <w:tcPr>
            <w:tcW w:w="927" w:type="dxa"/>
            <w:tcBorders>
              <w:top w:val="nil"/>
              <w:left w:val="nil"/>
              <w:bottom w:val="nil"/>
              <w:right w:val="nil"/>
            </w:tcBorders>
            <w:shd w:val="clear" w:color="000000" w:fill="C6E0B4"/>
            <w:vAlign w:val="center"/>
            <w:hideMark/>
          </w:tcPr>
          <w:p w14:paraId="5D8649EB"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w:t>
            </w:r>
          </w:p>
        </w:tc>
        <w:tc>
          <w:tcPr>
            <w:tcW w:w="702" w:type="dxa"/>
            <w:tcBorders>
              <w:top w:val="nil"/>
              <w:left w:val="nil"/>
              <w:bottom w:val="nil"/>
              <w:right w:val="nil"/>
            </w:tcBorders>
            <w:shd w:val="clear" w:color="000000" w:fill="C6E0B4"/>
            <w:vAlign w:val="center"/>
            <w:hideMark/>
          </w:tcPr>
          <w:p w14:paraId="03CEB409"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 No.</w:t>
            </w:r>
          </w:p>
        </w:tc>
        <w:tc>
          <w:tcPr>
            <w:tcW w:w="781" w:type="dxa"/>
            <w:tcBorders>
              <w:top w:val="nil"/>
              <w:left w:val="nil"/>
              <w:bottom w:val="nil"/>
              <w:right w:val="nil"/>
            </w:tcBorders>
            <w:shd w:val="clear" w:color="000000" w:fill="C6E0B4"/>
            <w:vAlign w:val="center"/>
            <w:hideMark/>
          </w:tcPr>
          <w:p w14:paraId="2BDD73D2"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w:t>
            </w:r>
          </w:p>
        </w:tc>
      </w:tr>
      <w:tr w:rsidR="00A01E9A" w:rsidRPr="00CF50D4" w14:paraId="157EE4E0"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45B70B5B" w14:textId="77777777" w:rsidR="00A01E9A" w:rsidRPr="00CF50D4" w:rsidRDefault="00A01E9A"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Pregrado</w:t>
            </w:r>
          </w:p>
        </w:tc>
        <w:tc>
          <w:tcPr>
            <w:tcW w:w="906" w:type="dxa"/>
            <w:tcBorders>
              <w:top w:val="nil"/>
              <w:left w:val="nil"/>
              <w:bottom w:val="nil"/>
              <w:right w:val="nil"/>
            </w:tcBorders>
            <w:shd w:val="clear" w:color="000000" w:fill="FFFFFF"/>
            <w:noWrap/>
            <w:vAlign w:val="center"/>
            <w:hideMark/>
          </w:tcPr>
          <w:p w14:paraId="1A3B7FA6"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31,944</w:t>
            </w:r>
          </w:p>
        </w:tc>
        <w:tc>
          <w:tcPr>
            <w:tcW w:w="1028" w:type="dxa"/>
            <w:tcBorders>
              <w:top w:val="nil"/>
              <w:left w:val="nil"/>
              <w:bottom w:val="nil"/>
              <w:right w:val="nil"/>
            </w:tcBorders>
            <w:shd w:val="clear" w:color="000000" w:fill="FFFFFF"/>
            <w:noWrap/>
            <w:vAlign w:val="center"/>
            <w:hideMark/>
          </w:tcPr>
          <w:p w14:paraId="779CB1C2"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77.9%</w:t>
            </w:r>
          </w:p>
        </w:tc>
        <w:tc>
          <w:tcPr>
            <w:tcW w:w="815" w:type="dxa"/>
            <w:tcBorders>
              <w:top w:val="nil"/>
              <w:left w:val="nil"/>
              <w:bottom w:val="nil"/>
              <w:right w:val="nil"/>
            </w:tcBorders>
            <w:shd w:val="clear" w:color="000000" w:fill="FFFFFF"/>
            <w:noWrap/>
            <w:vAlign w:val="center"/>
            <w:hideMark/>
          </w:tcPr>
          <w:p w14:paraId="515C50FE"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2,828</w:t>
            </w:r>
          </w:p>
        </w:tc>
        <w:tc>
          <w:tcPr>
            <w:tcW w:w="1163" w:type="dxa"/>
            <w:tcBorders>
              <w:top w:val="nil"/>
              <w:left w:val="nil"/>
              <w:bottom w:val="nil"/>
              <w:right w:val="nil"/>
            </w:tcBorders>
            <w:shd w:val="clear" w:color="000000" w:fill="FFFFFF"/>
            <w:noWrap/>
            <w:vAlign w:val="center"/>
            <w:hideMark/>
          </w:tcPr>
          <w:p w14:paraId="5D9C014E"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6.9%</w:t>
            </w:r>
          </w:p>
        </w:tc>
        <w:tc>
          <w:tcPr>
            <w:tcW w:w="679" w:type="dxa"/>
            <w:tcBorders>
              <w:top w:val="nil"/>
              <w:left w:val="nil"/>
              <w:bottom w:val="nil"/>
              <w:right w:val="nil"/>
            </w:tcBorders>
            <w:shd w:val="clear" w:color="000000" w:fill="FFFFFF"/>
            <w:noWrap/>
            <w:vAlign w:val="center"/>
            <w:hideMark/>
          </w:tcPr>
          <w:p w14:paraId="44EAEFCB"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1,902</w:t>
            </w:r>
          </w:p>
        </w:tc>
        <w:tc>
          <w:tcPr>
            <w:tcW w:w="927" w:type="dxa"/>
            <w:tcBorders>
              <w:top w:val="nil"/>
              <w:left w:val="nil"/>
              <w:bottom w:val="nil"/>
              <w:right w:val="nil"/>
            </w:tcBorders>
            <w:shd w:val="clear" w:color="000000" w:fill="FFFFFF"/>
            <w:noWrap/>
            <w:vAlign w:val="center"/>
            <w:hideMark/>
          </w:tcPr>
          <w:p w14:paraId="03FE0C27"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4.6%</w:t>
            </w:r>
          </w:p>
        </w:tc>
        <w:tc>
          <w:tcPr>
            <w:tcW w:w="702" w:type="dxa"/>
            <w:tcBorders>
              <w:top w:val="nil"/>
              <w:left w:val="nil"/>
              <w:bottom w:val="nil"/>
              <w:right w:val="nil"/>
            </w:tcBorders>
            <w:shd w:val="clear" w:color="000000" w:fill="FFFFFF"/>
            <w:noWrap/>
            <w:vAlign w:val="center"/>
            <w:hideMark/>
          </w:tcPr>
          <w:p w14:paraId="4424D9A2"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36,674</w:t>
            </w:r>
          </w:p>
        </w:tc>
        <w:tc>
          <w:tcPr>
            <w:tcW w:w="781" w:type="dxa"/>
            <w:tcBorders>
              <w:top w:val="nil"/>
              <w:left w:val="nil"/>
              <w:bottom w:val="nil"/>
              <w:right w:val="nil"/>
            </w:tcBorders>
            <w:shd w:val="clear" w:color="000000" w:fill="FFFFFF"/>
            <w:noWrap/>
            <w:vAlign w:val="center"/>
            <w:hideMark/>
          </w:tcPr>
          <w:p w14:paraId="54BDEECC"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89.5%</w:t>
            </w:r>
          </w:p>
        </w:tc>
      </w:tr>
      <w:tr w:rsidR="00A01E9A" w:rsidRPr="00CF50D4" w14:paraId="611FDF75"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401F13E8"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Formación técnica profesional</w:t>
            </w:r>
          </w:p>
        </w:tc>
        <w:tc>
          <w:tcPr>
            <w:tcW w:w="906" w:type="dxa"/>
            <w:tcBorders>
              <w:top w:val="nil"/>
              <w:left w:val="nil"/>
              <w:bottom w:val="nil"/>
              <w:right w:val="nil"/>
            </w:tcBorders>
            <w:shd w:val="clear" w:color="000000" w:fill="E2EFDA"/>
            <w:noWrap/>
            <w:vAlign w:val="center"/>
            <w:hideMark/>
          </w:tcPr>
          <w:p w14:paraId="034B7D6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2,787</w:t>
            </w:r>
          </w:p>
        </w:tc>
        <w:tc>
          <w:tcPr>
            <w:tcW w:w="1028" w:type="dxa"/>
            <w:tcBorders>
              <w:top w:val="nil"/>
              <w:left w:val="nil"/>
              <w:bottom w:val="nil"/>
              <w:right w:val="nil"/>
            </w:tcBorders>
            <w:shd w:val="clear" w:color="000000" w:fill="E2EFDA"/>
            <w:noWrap/>
            <w:vAlign w:val="center"/>
            <w:hideMark/>
          </w:tcPr>
          <w:p w14:paraId="0216B542"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6.8%</w:t>
            </w:r>
          </w:p>
        </w:tc>
        <w:tc>
          <w:tcPr>
            <w:tcW w:w="815" w:type="dxa"/>
            <w:tcBorders>
              <w:top w:val="nil"/>
              <w:left w:val="nil"/>
              <w:bottom w:val="nil"/>
              <w:right w:val="nil"/>
            </w:tcBorders>
            <w:shd w:val="clear" w:color="000000" w:fill="E2EFDA"/>
            <w:noWrap/>
            <w:vAlign w:val="center"/>
            <w:hideMark/>
          </w:tcPr>
          <w:p w14:paraId="3C345A7A"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20</w:t>
            </w:r>
          </w:p>
        </w:tc>
        <w:tc>
          <w:tcPr>
            <w:tcW w:w="1163" w:type="dxa"/>
            <w:tcBorders>
              <w:top w:val="nil"/>
              <w:left w:val="nil"/>
              <w:bottom w:val="nil"/>
              <w:right w:val="nil"/>
            </w:tcBorders>
            <w:shd w:val="clear" w:color="000000" w:fill="E2EFDA"/>
            <w:noWrap/>
            <w:vAlign w:val="center"/>
            <w:hideMark/>
          </w:tcPr>
          <w:p w14:paraId="3F7FDF52"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0.0%</w:t>
            </w:r>
          </w:p>
        </w:tc>
        <w:tc>
          <w:tcPr>
            <w:tcW w:w="679" w:type="dxa"/>
            <w:tcBorders>
              <w:top w:val="nil"/>
              <w:left w:val="nil"/>
              <w:bottom w:val="nil"/>
              <w:right w:val="nil"/>
            </w:tcBorders>
            <w:shd w:val="clear" w:color="000000" w:fill="E2EFDA"/>
            <w:noWrap/>
            <w:vAlign w:val="center"/>
            <w:hideMark/>
          </w:tcPr>
          <w:p w14:paraId="27A7194B"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w:t>
            </w:r>
          </w:p>
        </w:tc>
        <w:tc>
          <w:tcPr>
            <w:tcW w:w="927" w:type="dxa"/>
            <w:tcBorders>
              <w:top w:val="nil"/>
              <w:left w:val="nil"/>
              <w:bottom w:val="nil"/>
              <w:right w:val="nil"/>
            </w:tcBorders>
            <w:shd w:val="clear" w:color="000000" w:fill="E2EFDA"/>
            <w:noWrap/>
            <w:vAlign w:val="center"/>
            <w:hideMark/>
          </w:tcPr>
          <w:p w14:paraId="5082172E"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0.1%</w:t>
            </w:r>
          </w:p>
        </w:tc>
        <w:tc>
          <w:tcPr>
            <w:tcW w:w="702" w:type="dxa"/>
            <w:tcBorders>
              <w:top w:val="nil"/>
              <w:left w:val="nil"/>
              <w:bottom w:val="nil"/>
              <w:right w:val="nil"/>
            </w:tcBorders>
            <w:shd w:val="clear" w:color="000000" w:fill="E2EFDA"/>
            <w:noWrap/>
            <w:vAlign w:val="center"/>
            <w:hideMark/>
          </w:tcPr>
          <w:p w14:paraId="29C01DBF"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2,832</w:t>
            </w:r>
          </w:p>
        </w:tc>
        <w:tc>
          <w:tcPr>
            <w:tcW w:w="781" w:type="dxa"/>
            <w:tcBorders>
              <w:top w:val="nil"/>
              <w:left w:val="nil"/>
              <w:bottom w:val="nil"/>
              <w:right w:val="nil"/>
            </w:tcBorders>
            <w:shd w:val="clear" w:color="000000" w:fill="E2EFDA"/>
            <w:noWrap/>
            <w:vAlign w:val="center"/>
            <w:hideMark/>
          </w:tcPr>
          <w:p w14:paraId="4A4200A7"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6.9%</w:t>
            </w:r>
          </w:p>
        </w:tc>
      </w:tr>
      <w:tr w:rsidR="00A01E9A" w:rsidRPr="00CF50D4" w14:paraId="0B32E813"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1ECC6EB6"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Tecnológica</w:t>
            </w:r>
          </w:p>
        </w:tc>
        <w:tc>
          <w:tcPr>
            <w:tcW w:w="906" w:type="dxa"/>
            <w:tcBorders>
              <w:top w:val="nil"/>
              <w:left w:val="nil"/>
              <w:bottom w:val="nil"/>
              <w:right w:val="nil"/>
            </w:tcBorders>
            <w:shd w:val="clear" w:color="000000" w:fill="FFFFFF"/>
            <w:noWrap/>
            <w:vAlign w:val="center"/>
            <w:hideMark/>
          </w:tcPr>
          <w:p w14:paraId="23C0027A"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4,304</w:t>
            </w:r>
          </w:p>
        </w:tc>
        <w:tc>
          <w:tcPr>
            <w:tcW w:w="1028" w:type="dxa"/>
            <w:tcBorders>
              <w:top w:val="nil"/>
              <w:left w:val="nil"/>
              <w:bottom w:val="nil"/>
              <w:right w:val="nil"/>
            </w:tcBorders>
            <w:shd w:val="clear" w:color="000000" w:fill="FFFFFF"/>
            <w:noWrap/>
            <w:vAlign w:val="center"/>
            <w:hideMark/>
          </w:tcPr>
          <w:p w14:paraId="182BCB4E"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10.5%</w:t>
            </w:r>
          </w:p>
        </w:tc>
        <w:tc>
          <w:tcPr>
            <w:tcW w:w="815" w:type="dxa"/>
            <w:tcBorders>
              <w:top w:val="nil"/>
              <w:left w:val="nil"/>
              <w:bottom w:val="nil"/>
              <w:right w:val="nil"/>
            </w:tcBorders>
            <w:shd w:val="clear" w:color="000000" w:fill="FFFFFF"/>
            <w:noWrap/>
            <w:vAlign w:val="center"/>
            <w:hideMark/>
          </w:tcPr>
          <w:p w14:paraId="63231FAA"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867</w:t>
            </w:r>
          </w:p>
        </w:tc>
        <w:tc>
          <w:tcPr>
            <w:tcW w:w="1163" w:type="dxa"/>
            <w:tcBorders>
              <w:top w:val="nil"/>
              <w:left w:val="nil"/>
              <w:bottom w:val="nil"/>
              <w:right w:val="nil"/>
            </w:tcBorders>
            <w:shd w:val="clear" w:color="000000" w:fill="FFFFFF"/>
            <w:noWrap/>
            <w:vAlign w:val="center"/>
            <w:hideMark/>
          </w:tcPr>
          <w:p w14:paraId="55829CAA"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2.1%</w:t>
            </w:r>
          </w:p>
        </w:tc>
        <w:tc>
          <w:tcPr>
            <w:tcW w:w="679" w:type="dxa"/>
            <w:tcBorders>
              <w:top w:val="nil"/>
              <w:left w:val="nil"/>
              <w:bottom w:val="nil"/>
              <w:right w:val="nil"/>
            </w:tcBorders>
            <w:shd w:val="clear" w:color="000000" w:fill="FFFFFF"/>
            <w:noWrap/>
            <w:vAlign w:val="center"/>
            <w:hideMark/>
          </w:tcPr>
          <w:p w14:paraId="0EC112C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442</w:t>
            </w:r>
          </w:p>
        </w:tc>
        <w:tc>
          <w:tcPr>
            <w:tcW w:w="927" w:type="dxa"/>
            <w:tcBorders>
              <w:top w:val="nil"/>
              <w:left w:val="nil"/>
              <w:bottom w:val="nil"/>
              <w:right w:val="nil"/>
            </w:tcBorders>
            <w:shd w:val="clear" w:color="000000" w:fill="FFFFFF"/>
            <w:noWrap/>
            <w:vAlign w:val="center"/>
            <w:hideMark/>
          </w:tcPr>
          <w:p w14:paraId="1FFA4126"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1.1%</w:t>
            </w:r>
          </w:p>
        </w:tc>
        <w:tc>
          <w:tcPr>
            <w:tcW w:w="702" w:type="dxa"/>
            <w:tcBorders>
              <w:top w:val="nil"/>
              <w:left w:val="nil"/>
              <w:bottom w:val="nil"/>
              <w:right w:val="nil"/>
            </w:tcBorders>
            <w:shd w:val="clear" w:color="000000" w:fill="FFFFFF"/>
            <w:noWrap/>
            <w:vAlign w:val="center"/>
            <w:hideMark/>
          </w:tcPr>
          <w:p w14:paraId="5EA21503"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5,613</w:t>
            </w:r>
          </w:p>
        </w:tc>
        <w:tc>
          <w:tcPr>
            <w:tcW w:w="781" w:type="dxa"/>
            <w:tcBorders>
              <w:top w:val="nil"/>
              <w:left w:val="nil"/>
              <w:bottom w:val="nil"/>
              <w:right w:val="nil"/>
            </w:tcBorders>
            <w:shd w:val="clear" w:color="000000" w:fill="FFFFFF"/>
            <w:noWrap/>
            <w:vAlign w:val="center"/>
            <w:hideMark/>
          </w:tcPr>
          <w:p w14:paraId="0B0CF580"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13.7%</w:t>
            </w:r>
          </w:p>
        </w:tc>
      </w:tr>
      <w:tr w:rsidR="00A01E9A" w:rsidRPr="00CF50D4" w14:paraId="5CB60297"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3AFDD9B3"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Universitaria</w:t>
            </w:r>
          </w:p>
        </w:tc>
        <w:tc>
          <w:tcPr>
            <w:tcW w:w="906" w:type="dxa"/>
            <w:tcBorders>
              <w:top w:val="nil"/>
              <w:left w:val="nil"/>
              <w:bottom w:val="nil"/>
              <w:right w:val="nil"/>
            </w:tcBorders>
            <w:shd w:val="clear" w:color="000000" w:fill="E2EFDA"/>
            <w:noWrap/>
            <w:vAlign w:val="center"/>
            <w:hideMark/>
          </w:tcPr>
          <w:p w14:paraId="379575BB"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24,853</w:t>
            </w:r>
          </w:p>
        </w:tc>
        <w:tc>
          <w:tcPr>
            <w:tcW w:w="1028" w:type="dxa"/>
            <w:tcBorders>
              <w:top w:val="nil"/>
              <w:left w:val="nil"/>
              <w:bottom w:val="nil"/>
              <w:right w:val="nil"/>
            </w:tcBorders>
            <w:shd w:val="clear" w:color="000000" w:fill="E2EFDA"/>
            <w:noWrap/>
            <w:vAlign w:val="center"/>
            <w:hideMark/>
          </w:tcPr>
          <w:p w14:paraId="7BD24845"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60.6%</w:t>
            </w:r>
          </w:p>
        </w:tc>
        <w:tc>
          <w:tcPr>
            <w:tcW w:w="815" w:type="dxa"/>
            <w:tcBorders>
              <w:top w:val="nil"/>
              <w:left w:val="nil"/>
              <w:bottom w:val="nil"/>
              <w:right w:val="nil"/>
            </w:tcBorders>
            <w:shd w:val="clear" w:color="000000" w:fill="E2EFDA"/>
            <w:noWrap/>
            <w:vAlign w:val="center"/>
            <w:hideMark/>
          </w:tcPr>
          <w:p w14:paraId="4D2B67E4"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1,941</w:t>
            </w:r>
          </w:p>
        </w:tc>
        <w:tc>
          <w:tcPr>
            <w:tcW w:w="1163" w:type="dxa"/>
            <w:tcBorders>
              <w:top w:val="nil"/>
              <w:left w:val="nil"/>
              <w:bottom w:val="nil"/>
              <w:right w:val="nil"/>
            </w:tcBorders>
            <w:shd w:val="clear" w:color="000000" w:fill="E2EFDA"/>
            <w:noWrap/>
            <w:vAlign w:val="center"/>
            <w:hideMark/>
          </w:tcPr>
          <w:p w14:paraId="153D742A"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4.7%</w:t>
            </w:r>
          </w:p>
        </w:tc>
        <w:tc>
          <w:tcPr>
            <w:tcW w:w="679" w:type="dxa"/>
            <w:tcBorders>
              <w:top w:val="nil"/>
              <w:left w:val="nil"/>
              <w:bottom w:val="nil"/>
              <w:right w:val="nil"/>
            </w:tcBorders>
            <w:shd w:val="clear" w:color="000000" w:fill="E2EFDA"/>
            <w:noWrap/>
            <w:vAlign w:val="center"/>
            <w:hideMark/>
          </w:tcPr>
          <w:p w14:paraId="719E3D0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1,435</w:t>
            </w:r>
          </w:p>
        </w:tc>
        <w:tc>
          <w:tcPr>
            <w:tcW w:w="927" w:type="dxa"/>
            <w:tcBorders>
              <w:top w:val="nil"/>
              <w:left w:val="nil"/>
              <w:bottom w:val="nil"/>
              <w:right w:val="nil"/>
            </w:tcBorders>
            <w:shd w:val="clear" w:color="000000" w:fill="E2EFDA"/>
            <w:noWrap/>
            <w:vAlign w:val="center"/>
            <w:hideMark/>
          </w:tcPr>
          <w:p w14:paraId="5E984A93"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3.5%</w:t>
            </w:r>
          </w:p>
        </w:tc>
        <w:tc>
          <w:tcPr>
            <w:tcW w:w="702" w:type="dxa"/>
            <w:tcBorders>
              <w:top w:val="nil"/>
              <w:left w:val="nil"/>
              <w:bottom w:val="nil"/>
              <w:right w:val="nil"/>
            </w:tcBorders>
            <w:shd w:val="clear" w:color="000000" w:fill="E2EFDA"/>
            <w:noWrap/>
            <w:vAlign w:val="center"/>
            <w:hideMark/>
          </w:tcPr>
          <w:p w14:paraId="1371CE2F"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28,229</w:t>
            </w:r>
          </w:p>
        </w:tc>
        <w:tc>
          <w:tcPr>
            <w:tcW w:w="781" w:type="dxa"/>
            <w:tcBorders>
              <w:top w:val="nil"/>
              <w:left w:val="nil"/>
              <w:bottom w:val="nil"/>
              <w:right w:val="nil"/>
            </w:tcBorders>
            <w:shd w:val="clear" w:color="000000" w:fill="E2EFDA"/>
            <w:noWrap/>
            <w:vAlign w:val="center"/>
            <w:hideMark/>
          </w:tcPr>
          <w:p w14:paraId="0FFFA051"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68.9%</w:t>
            </w:r>
          </w:p>
        </w:tc>
      </w:tr>
      <w:tr w:rsidR="00A01E9A" w:rsidRPr="00CF50D4" w14:paraId="3A1511B1"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4D8E396A" w14:textId="77777777" w:rsidR="00A01E9A" w:rsidRPr="00CF50D4" w:rsidRDefault="00A01E9A"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Posgrado</w:t>
            </w:r>
          </w:p>
        </w:tc>
        <w:tc>
          <w:tcPr>
            <w:tcW w:w="906" w:type="dxa"/>
            <w:tcBorders>
              <w:top w:val="nil"/>
              <w:left w:val="nil"/>
              <w:bottom w:val="nil"/>
              <w:right w:val="nil"/>
            </w:tcBorders>
            <w:shd w:val="clear" w:color="000000" w:fill="FFFFFF"/>
            <w:noWrap/>
            <w:vAlign w:val="center"/>
            <w:hideMark/>
          </w:tcPr>
          <w:p w14:paraId="643D7A30"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3,109</w:t>
            </w:r>
          </w:p>
        </w:tc>
        <w:tc>
          <w:tcPr>
            <w:tcW w:w="1028" w:type="dxa"/>
            <w:tcBorders>
              <w:top w:val="nil"/>
              <w:left w:val="nil"/>
              <w:bottom w:val="nil"/>
              <w:right w:val="nil"/>
            </w:tcBorders>
            <w:shd w:val="clear" w:color="000000" w:fill="FFFFFF"/>
            <w:noWrap/>
            <w:vAlign w:val="center"/>
            <w:hideMark/>
          </w:tcPr>
          <w:p w14:paraId="258565BF"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7.6%</w:t>
            </w:r>
          </w:p>
        </w:tc>
        <w:tc>
          <w:tcPr>
            <w:tcW w:w="815" w:type="dxa"/>
            <w:tcBorders>
              <w:top w:val="nil"/>
              <w:left w:val="nil"/>
              <w:bottom w:val="nil"/>
              <w:right w:val="nil"/>
            </w:tcBorders>
            <w:shd w:val="clear" w:color="000000" w:fill="FFFFFF"/>
            <w:noWrap/>
            <w:vAlign w:val="center"/>
            <w:hideMark/>
          </w:tcPr>
          <w:p w14:paraId="099D0FDB"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595</w:t>
            </w:r>
          </w:p>
        </w:tc>
        <w:tc>
          <w:tcPr>
            <w:tcW w:w="1163" w:type="dxa"/>
            <w:tcBorders>
              <w:top w:val="nil"/>
              <w:left w:val="nil"/>
              <w:bottom w:val="nil"/>
              <w:right w:val="nil"/>
            </w:tcBorders>
            <w:shd w:val="clear" w:color="000000" w:fill="FFFFFF"/>
            <w:noWrap/>
            <w:vAlign w:val="center"/>
            <w:hideMark/>
          </w:tcPr>
          <w:p w14:paraId="6975F24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1.5%</w:t>
            </w:r>
          </w:p>
        </w:tc>
        <w:tc>
          <w:tcPr>
            <w:tcW w:w="679" w:type="dxa"/>
            <w:tcBorders>
              <w:top w:val="nil"/>
              <w:left w:val="nil"/>
              <w:bottom w:val="nil"/>
              <w:right w:val="nil"/>
            </w:tcBorders>
            <w:shd w:val="clear" w:color="000000" w:fill="FFFFFF"/>
            <w:noWrap/>
            <w:vAlign w:val="center"/>
            <w:hideMark/>
          </w:tcPr>
          <w:p w14:paraId="6CDBECE6"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586</w:t>
            </w:r>
          </w:p>
        </w:tc>
        <w:tc>
          <w:tcPr>
            <w:tcW w:w="927" w:type="dxa"/>
            <w:tcBorders>
              <w:top w:val="nil"/>
              <w:left w:val="nil"/>
              <w:bottom w:val="nil"/>
              <w:right w:val="nil"/>
            </w:tcBorders>
            <w:shd w:val="clear" w:color="000000" w:fill="FFFFFF"/>
            <w:noWrap/>
            <w:vAlign w:val="center"/>
            <w:hideMark/>
          </w:tcPr>
          <w:p w14:paraId="4C1C175C"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1.4%</w:t>
            </w:r>
          </w:p>
        </w:tc>
        <w:tc>
          <w:tcPr>
            <w:tcW w:w="702" w:type="dxa"/>
            <w:tcBorders>
              <w:top w:val="nil"/>
              <w:left w:val="nil"/>
              <w:bottom w:val="nil"/>
              <w:right w:val="nil"/>
            </w:tcBorders>
            <w:shd w:val="clear" w:color="000000" w:fill="FFFFFF"/>
            <w:noWrap/>
            <w:vAlign w:val="center"/>
            <w:hideMark/>
          </w:tcPr>
          <w:p w14:paraId="6CB8FC29"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4,290</w:t>
            </w:r>
          </w:p>
        </w:tc>
        <w:tc>
          <w:tcPr>
            <w:tcW w:w="781" w:type="dxa"/>
            <w:tcBorders>
              <w:top w:val="nil"/>
              <w:left w:val="nil"/>
              <w:bottom w:val="nil"/>
              <w:right w:val="nil"/>
            </w:tcBorders>
            <w:shd w:val="clear" w:color="000000" w:fill="FFFFFF"/>
            <w:noWrap/>
            <w:vAlign w:val="center"/>
            <w:hideMark/>
          </w:tcPr>
          <w:p w14:paraId="0FAEA5A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10.5%</w:t>
            </w:r>
          </w:p>
        </w:tc>
      </w:tr>
      <w:tr w:rsidR="00A01E9A" w:rsidRPr="00CF50D4" w14:paraId="372A8F6F"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555484F9"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Especialización</w:t>
            </w:r>
          </w:p>
        </w:tc>
        <w:tc>
          <w:tcPr>
            <w:tcW w:w="906" w:type="dxa"/>
            <w:tcBorders>
              <w:top w:val="nil"/>
              <w:left w:val="nil"/>
              <w:bottom w:val="nil"/>
              <w:right w:val="nil"/>
            </w:tcBorders>
            <w:shd w:val="clear" w:color="000000" w:fill="E2EFDA"/>
            <w:noWrap/>
            <w:vAlign w:val="center"/>
            <w:hideMark/>
          </w:tcPr>
          <w:p w14:paraId="267E1DD9"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1,188</w:t>
            </w:r>
          </w:p>
        </w:tc>
        <w:tc>
          <w:tcPr>
            <w:tcW w:w="1028" w:type="dxa"/>
            <w:tcBorders>
              <w:top w:val="nil"/>
              <w:left w:val="nil"/>
              <w:bottom w:val="nil"/>
              <w:right w:val="nil"/>
            </w:tcBorders>
            <w:shd w:val="clear" w:color="000000" w:fill="E2EFDA"/>
            <w:noWrap/>
            <w:vAlign w:val="center"/>
            <w:hideMark/>
          </w:tcPr>
          <w:p w14:paraId="4F4BDC0E"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2.9%</w:t>
            </w:r>
          </w:p>
        </w:tc>
        <w:tc>
          <w:tcPr>
            <w:tcW w:w="815" w:type="dxa"/>
            <w:tcBorders>
              <w:top w:val="nil"/>
              <w:left w:val="nil"/>
              <w:bottom w:val="nil"/>
              <w:right w:val="nil"/>
            </w:tcBorders>
            <w:shd w:val="clear" w:color="000000" w:fill="E2EFDA"/>
            <w:noWrap/>
            <w:vAlign w:val="center"/>
            <w:hideMark/>
          </w:tcPr>
          <w:p w14:paraId="2C45F734"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333</w:t>
            </w:r>
          </w:p>
        </w:tc>
        <w:tc>
          <w:tcPr>
            <w:tcW w:w="1163" w:type="dxa"/>
            <w:tcBorders>
              <w:top w:val="nil"/>
              <w:left w:val="nil"/>
              <w:bottom w:val="nil"/>
              <w:right w:val="nil"/>
            </w:tcBorders>
            <w:shd w:val="clear" w:color="000000" w:fill="E2EFDA"/>
            <w:noWrap/>
            <w:vAlign w:val="center"/>
            <w:hideMark/>
          </w:tcPr>
          <w:p w14:paraId="132951DF"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0.8%</w:t>
            </w:r>
          </w:p>
        </w:tc>
        <w:tc>
          <w:tcPr>
            <w:tcW w:w="679" w:type="dxa"/>
            <w:tcBorders>
              <w:top w:val="nil"/>
              <w:left w:val="nil"/>
              <w:bottom w:val="nil"/>
              <w:right w:val="nil"/>
            </w:tcBorders>
            <w:shd w:val="clear" w:color="000000" w:fill="E2EFDA"/>
            <w:noWrap/>
            <w:vAlign w:val="center"/>
            <w:hideMark/>
          </w:tcPr>
          <w:p w14:paraId="3336928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58</w:t>
            </w:r>
          </w:p>
        </w:tc>
        <w:tc>
          <w:tcPr>
            <w:tcW w:w="927" w:type="dxa"/>
            <w:tcBorders>
              <w:top w:val="nil"/>
              <w:left w:val="nil"/>
              <w:bottom w:val="nil"/>
              <w:right w:val="nil"/>
            </w:tcBorders>
            <w:shd w:val="clear" w:color="000000" w:fill="E2EFDA"/>
            <w:noWrap/>
            <w:vAlign w:val="center"/>
            <w:hideMark/>
          </w:tcPr>
          <w:p w14:paraId="4FA03FED"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0.1%</w:t>
            </w:r>
          </w:p>
        </w:tc>
        <w:tc>
          <w:tcPr>
            <w:tcW w:w="702" w:type="dxa"/>
            <w:tcBorders>
              <w:top w:val="nil"/>
              <w:left w:val="nil"/>
              <w:bottom w:val="nil"/>
              <w:right w:val="nil"/>
            </w:tcBorders>
            <w:shd w:val="clear" w:color="000000" w:fill="E2EFDA"/>
            <w:noWrap/>
            <w:vAlign w:val="center"/>
            <w:hideMark/>
          </w:tcPr>
          <w:p w14:paraId="51C13CBD"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1,579</w:t>
            </w:r>
          </w:p>
        </w:tc>
        <w:tc>
          <w:tcPr>
            <w:tcW w:w="781" w:type="dxa"/>
            <w:tcBorders>
              <w:top w:val="nil"/>
              <w:left w:val="nil"/>
              <w:bottom w:val="nil"/>
              <w:right w:val="nil"/>
            </w:tcBorders>
            <w:shd w:val="clear" w:color="000000" w:fill="E2EFDA"/>
            <w:noWrap/>
            <w:vAlign w:val="center"/>
            <w:hideMark/>
          </w:tcPr>
          <w:p w14:paraId="7D441019"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3.9%</w:t>
            </w:r>
          </w:p>
        </w:tc>
      </w:tr>
      <w:tr w:rsidR="00A01E9A" w:rsidRPr="00CF50D4" w14:paraId="05FB4329" w14:textId="77777777" w:rsidTr="00E250FE">
        <w:trPr>
          <w:trHeight w:val="300"/>
          <w:jc w:val="center"/>
        </w:trPr>
        <w:tc>
          <w:tcPr>
            <w:tcW w:w="2780" w:type="dxa"/>
            <w:tcBorders>
              <w:top w:val="nil"/>
              <w:left w:val="nil"/>
              <w:bottom w:val="nil"/>
              <w:right w:val="nil"/>
            </w:tcBorders>
            <w:shd w:val="clear" w:color="000000" w:fill="FFFFFF"/>
            <w:noWrap/>
            <w:vAlign w:val="center"/>
            <w:hideMark/>
          </w:tcPr>
          <w:p w14:paraId="76CD7501"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Maestría</w:t>
            </w:r>
          </w:p>
        </w:tc>
        <w:tc>
          <w:tcPr>
            <w:tcW w:w="906" w:type="dxa"/>
            <w:tcBorders>
              <w:top w:val="nil"/>
              <w:left w:val="nil"/>
              <w:bottom w:val="nil"/>
              <w:right w:val="nil"/>
            </w:tcBorders>
            <w:shd w:val="clear" w:color="000000" w:fill="FFFFFF"/>
            <w:noWrap/>
            <w:vAlign w:val="center"/>
            <w:hideMark/>
          </w:tcPr>
          <w:p w14:paraId="430EA5D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1,413</w:t>
            </w:r>
          </w:p>
        </w:tc>
        <w:tc>
          <w:tcPr>
            <w:tcW w:w="1028" w:type="dxa"/>
            <w:tcBorders>
              <w:top w:val="nil"/>
              <w:left w:val="nil"/>
              <w:bottom w:val="nil"/>
              <w:right w:val="nil"/>
            </w:tcBorders>
            <w:shd w:val="clear" w:color="000000" w:fill="FFFFFF"/>
            <w:noWrap/>
            <w:vAlign w:val="center"/>
            <w:hideMark/>
          </w:tcPr>
          <w:p w14:paraId="23FD1A53"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3.4%</w:t>
            </w:r>
          </w:p>
        </w:tc>
        <w:tc>
          <w:tcPr>
            <w:tcW w:w="815" w:type="dxa"/>
            <w:tcBorders>
              <w:top w:val="nil"/>
              <w:left w:val="nil"/>
              <w:bottom w:val="nil"/>
              <w:right w:val="nil"/>
            </w:tcBorders>
            <w:shd w:val="clear" w:color="000000" w:fill="FFFFFF"/>
            <w:noWrap/>
            <w:vAlign w:val="center"/>
            <w:hideMark/>
          </w:tcPr>
          <w:p w14:paraId="3FE7A73D"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262</w:t>
            </w:r>
          </w:p>
        </w:tc>
        <w:tc>
          <w:tcPr>
            <w:tcW w:w="1163" w:type="dxa"/>
            <w:tcBorders>
              <w:top w:val="nil"/>
              <w:left w:val="nil"/>
              <w:bottom w:val="nil"/>
              <w:right w:val="nil"/>
            </w:tcBorders>
            <w:shd w:val="clear" w:color="000000" w:fill="FFFFFF"/>
            <w:noWrap/>
            <w:vAlign w:val="center"/>
            <w:hideMark/>
          </w:tcPr>
          <w:p w14:paraId="350794C5"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0.6%</w:t>
            </w:r>
          </w:p>
        </w:tc>
        <w:tc>
          <w:tcPr>
            <w:tcW w:w="679" w:type="dxa"/>
            <w:tcBorders>
              <w:top w:val="nil"/>
              <w:left w:val="nil"/>
              <w:bottom w:val="nil"/>
              <w:right w:val="nil"/>
            </w:tcBorders>
            <w:shd w:val="clear" w:color="000000" w:fill="FFFFFF"/>
            <w:noWrap/>
            <w:vAlign w:val="center"/>
            <w:hideMark/>
          </w:tcPr>
          <w:p w14:paraId="7EE31996"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528</w:t>
            </w:r>
          </w:p>
        </w:tc>
        <w:tc>
          <w:tcPr>
            <w:tcW w:w="927" w:type="dxa"/>
            <w:tcBorders>
              <w:top w:val="nil"/>
              <w:left w:val="nil"/>
              <w:bottom w:val="nil"/>
              <w:right w:val="nil"/>
            </w:tcBorders>
            <w:shd w:val="clear" w:color="000000" w:fill="FFFFFF"/>
            <w:noWrap/>
            <w:vAlign w:val="center"/>
            <w:hideMark/>
          </w:tcPr>
          <w:p w14:paraId="69598F65"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1.3%</w:t>
            </w:r>
          </w:p>
        </w:tc>
        <w:tc>
          <w:tcPr>
            <w:tcW w:w="702" w:type="dxa"/>
            <w:tcBorders>
              <w:top w:val="nil"/>
              <w:left w:val="nil"/>
              <w:bottom w:val="nil"/>
              <w:right w:val="nil"/>
            </w:tcBorders>
            <w:shd w:val="clear" w:color="000000" w:fill="FFFFFF"/>
            <w:noWrap/>
            <w:vAlign w:val="center"/>
            <w:hideMark/>
          </w:tcPr>
          <w:p w14:paraId="2BDEF1EE"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2,203</w:t>
            </w:r>
          </w:p>
        </w:tc>
        <w:tc>
          <w:tcPr>
            <w:tcW w:w="781" w:type="dxa"/>
            <w:tcBorders>
              <w:top w:val="nil"/>
              <w:left w:val="nil"/>
              <w:bottom w:val="nil"/>
              <w:right w:val="nil"/>
            </w:tcBorders>
            <w:shd w:val="clear" w:color="000000" w:fill="FFFFFF"/>
            <w:noWrap/>
            <w:vAlign w:val="center"/>
            <w:hideMark/>
          </w:tcPr>
          <w:p w14:paraId="22F401F1"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5.4%</w:t>
            </w:r>
          </w:p>
        </w:tc>
      </w:tr>
      <w:tr w:rsidR="00A01E9A" w:rsidRPr="00CF50D4" w14:paraId="373B5CC0" w14:textId="77777777" w:rsidTr="00E250FE">
        <w:trPr>
          <w:trHeight w:val="300"/>
          <w:jc w:val="center"/>
        </w:trPr>
        <w:tc>
          <w:tcPr>
            <w:tcW w:w="2780" w:type="dxa"/>
            <w:tcBorders>
              <w:top w:val="nil"/>
              <w:left w:val="nil"/>
              <w:bottom w:val="nil"/>
              <w:right w:val="nil"/>
            </w:tcBorders>
            <w:shd w:val="clear" w:color="000000" w:fill="E2EFDA"/>
            <w:noWrap/>
            <w:vAlign w:val="center"/>
            <w:hideMark/>
          </w:tcPr>
          <w:p w14:paraId="134C2FBF" w14:textId="77777777" w:rsidR="00A01E9A" w:rsidRPr="00CF50D4" w:rsidRDefault="00A01E9A" w:rsidP="00710FC1">
            <w:pPr>
              <w:spacing w:line="259" w:lineRule="auto"/>
              <w:ind w:firstLineChars="100" w:firstLine="230"/>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Doctorado</w:t>
            </w:r>
          </w:p>
        </w:tc>
        <w:tc>
          <w:tcPr>
            <w:tcW w:w="906" w:type="dxa"/>
            <w:tcBorders>
              <w:top w:val="nil"/>
              <w:left w:val="nil"/>
              <w:bottom w:val="nil"/>
              <w:right w:val="nil"/>
            </w:tcBorders>
            <w:shd w:val="clear" w:color="000000" w:fill="E2EFDA"/>
            <w:noWrap/>
            <w:vAlign w:val="center"/>
            <w:hideMark/>
          </w:tcPr>
          <w:p w14:paraId="6CD08089"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508</w:t>
            </w:r>
          </w:p>
        </w:tc>
        <w:tc>
          <w:tcPr>
            <w:tcW w:w="1028" w:type="dxa"/>
            <w:tcBorders>
              <w:top w:val="nil"/>
              <w:left w:val="nil"/>
              <w:bottom w:val="nil"/>
              <w:right w:val="nil"/>
            </w:tcBorders>
            <w:shd w:val="clear" w:color="000000" w:fill="E2EFDA"/>
            <w:noWrap/>
            <w:vAlign w:val="center"/>
            <w:hideMark/>
          </w:tcPr>
          <w:p w14:paraId="15DFF2EB"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1.2%</w:t>
            </w:r>
          </w:p>
        </w:tc>
        <w:tc>
          <w:tcPr>
            <w:tcW w:w="815" w:type="dxa"/>
            <w:tcBorders>
              <w:top w:val="nil"/>
              <w:left w:val="nil"/>
              <w:bottom w:val="nil"/>
              <w:right w:val="nil"/>
            </w:tcBorders>
            <w:shd w:val="clear" w:color="000000" w:fill="E2EFDA"/>
            <w:noWrap/>
            <w:vAlign w:val="center"/>
            <w:hideMark/>
          </w:tcPr>
          <w:p w14:paraId="4B76F19E"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 </w:t>
            </w:r>
            <w:r w:rsidRPr="00CF50D4">
              <w:rPr>
                <w:rFonts w:ascii="Times New Roman" w:eastAsia="Times New Roman" w:hAnsi="Times New Roman" w:cs="Times New Roman"/>
                <w:color w:val="000000"/>
                <w:sz w:val="23"/>
                <w:szCs w:val="23"/>
                <w:lang w:val="es-ES"/>
              </w:rPr>
              <w:t>0.0%</w:t>
            </w:r>
          </w:p>
        </w:tc>
        <w:tc>
          <w:tcPr>
            <w:tcW w:w="1163" w:type="dxa"/>
            <w:tcBorders>
              <w:top w:val="nil"/>
              <w:left w:val="nil"/>
              <w:bottom w:val="nil"/>
              <w:right w:val="nil"/>
            </w:tcBorders>
            <w:shd w:val="clear" w:color="000000" w:fill="E2EFDA"/>
            <w:noWrap/>
            <w:vAlign w:val="center"/>
            <w:hideMark/>
          </w:tcPr>
          <w:p w14:paraId="2D2028D8"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0.0%</w:t>
            </w:r>
          </w:p>
        </w:tc>
        <w:tc>
          <w:tcPr>
            <w:tcW w:w="679" w:type="dxa"/>
            <w:tcBorders>
              <w:top w:val="nil"/>
              <w:left w:val="nil"/>
              <w:bottom w:val="nil"/>
              <w:right w:val="nil"/>
            </w:tcBorders>
            <w:shd w:val="clear" w:color="000000" w:fill="E2EFDA"/>
            <w:noWrap/>
            <w:vAlign w:val="center"/>
            <w:hideMark/>
          </w:tcPr>
          <w:p w14:paraId="45CBB644"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 </w:t>
            </w:r>
            <w:r w:rsidRPr="00CF50D4">
              <w:rPr>
                <w:rFonts w:ascii="Times New Roman" w:eastAsia="Times New Roman" w:hAnsi="Times New Roman" w:cs="Times New Roman"/>
                <w:color w:val="000000"/>
                <w:sz w:val="23"/>
                <w:szCs w:val="23"/>
                <w:lang w:val="es-ES"/>
              </w:rPr>
              <w:t>0.0%</w:t>
            </w:r>
          </w:p>
        </w:tc>
        <w:tc>
          <w:tcPr>
            <w:tcW w:w="927" w:type="dxa"/>
            <w:tcBorders>
              <w:top w:val="nil"/>
              <w:left w:val="nil"/>
              <w:bottom w:val="nil"/>
              <w:right w:val="nil"/>
            </w:tcBorders>
            <w:shd w:val="clear" w:color="000000" w:fill="E2EFDA"/>
            <w:noWrap/>
            <w:vAlign w:val="center"/>
            <w:hideMark/>
          </w:tcPr>
          <w:p w14:paraId="331C39B4"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0.0%</w:t>
            </w:r>
          </w:p>
        </w:tc>
        <w:tc>
          <w:tcPr>
            <w:tcW w:w="702" w:type="dxa"/>
            <w:tcBorders>
              <w:top w:val="nil"/>
              <w:left w:val="nil"/>
              <w:bottom w:val="nil"/>
              <w:right w:val="nil"/>
            </w:tcBorders>
            <w:shd w:val="clear" w:color="000000" w:fill="E2EFDA"/>
            <w:noWrap/>
            <w:vAlign w:val="center"/>
            <w:hideMark/>
          </w:tcPr>
          <w:p w14:paraId="5CDE708D"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508</w:t>
            </w:r>
          </w:p>
        </w:tc>
        <w:tc>
          <w:tcPr>
            <w:tcW w:w="781" w:type="dxa"/>
            <w:tcBorders>
              <w:top w:val="nil"/>
              <w:left w:val="nil"/>
              <w:bottom w:val="nil"/>
              <w:right w:val="nil"/>
            </w:tcBorders>
            <w:shd w:val="clear" w:color="000000" w:fill="E2EFDA"/>
            <w:noWrap/>
            <w:vAlign w:val="center"/>
            <w:hideMark/>
          </w:tcPr>
          <w:p w14:paraId="5C90B9F9" w14:textId="77777777" w:rsidR="00A01E9A" w:rsidRPr="00CF50D4" w:rsidRDefault="00A01E9A" w:rsidP="00710FC1">
            <w:pPr>
              <w:spacing w:line="259" w:lineRule="auto"/>
              <w:jc w:val="center"/>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lang w:val="es-ES"/>
              </w:rPr>
              <w:t>1.2%</w:t>
            </w:r>
          </w:p>
        </w:tc>
      </w:tr>
      <w:tr w:rsidR="00A01E9A" w:rsidRPr="00CF50D4" w14:paraId="172A6D15" w14:textId="77777777" w:rsidTr="00E250FE">
        <w:trPr>
          <w:trHeight w:val="315"/>
          <w:jc w:val="center"/>
        </w:trPr>
        <w:tc>
          <w:tcPr>
            <w:tcW w:w="2780" w:type="dxa"/>
            <w:tcBorders>
              <w:top w:val="nil"/>
              <w:left w:val="nil"/>
              <w:bottom w:val="single" w:sz="8" w:space="0" w:color="auto"/>
              <w:right w:val="nil"/>
            </w:tcBorders>
            <w:shd w:val="clear" w:color="000000" w:fill="FFFFFF"/>
            <w:noWrap/>
            <w:vAlign w:val="center"/>
            <w:hideMark/>
          </w:tcPr>
          <w:p w14:paraId="7B61FCAD"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Total</w:t>
            </w:r>
          </w:p>
        </w:tc>
        <w:tc>
          <w:tcPr>
            <w:tcW w:w="906" w:type="dxa"/>
            <w:tcBorders>
              <w:top w:val="nil"/>
              <w:left w:val="nil"/>
              <w:bottom w:val="single" w:sz="8" w:space="0" w:color="auto"/>
              <w:right w:val="nil"/>
            </w:tcBorders>
            <w:shd w:val="clear" w:color="000000" w:fill="FFFFFF"/>
            <w:noWrap/>
            <w:vAlign w:val="center"/>
            <w:hideMark/>
          </w:tcPr>
          <w:p w14:paraId="79276B4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35,083</w:t>
            </w:r>
          </w:p>
        </w:tc>
        <w:tc>
          <w:tcPr>
            <w:tcW w:w="1028" w:type="dxa"/>
            <w:tcBorders>
              <w:top w:val="nil"/>
              <w:left w:val="nil"/>
              <w:bottom w:val="single" w:sz="8" w:space="0" w:color="auto"/>
              <w:right w:val="nil"/>
            </w:tcBorders>
            <w:shd w:val="clear" w:color="000000" w:fill="FFFFFF"/>
            <w:noWrap/>
            <w:vAlign w:val="center"/>
            <w:hideMark/>
          </w:tcPr>
          <w:p w14:paraId="784AD143"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85.6%</w:t>
            </w:r>
          </w:p>
        </w:tc>
        <w:tc>
          <w:tcPr>
            <w:tcW w:w="815" w:type="dxa"/>
            <w:tcBorders>
              <w:top w:val="nil"/>
              <w:left w:val="nil"/>
              <w:bottom w:val="single" w:sz="8" w:space="0" w:color="auto"/>
              <w:right w:val="nil"/>
            </w:tcBorders>
            <w:shd w:val="clear" w:color="000000" w:fill="FFFFFF"/>
            <w:noWrap/>
            <w:vAlign w:val="center"/>
            <w:hideMark/>
          </w:tcPr>
          <w:p w14:paraId="694AF524"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3,423</w:t>
            </w:r>
          </w:p>
        </w:tc>
        <w:tc>
          <w:tcPr>
            <w:tcW w:w="1163" w:type="dxa"/>
            <w:tcBorders>
              <w:top w:val="nil"/>
              <w:left w:val="nil"/>
              <w:bottom w:val="single" w:sz="8" w:space="0" w:color="auto"/>
              <w:right w:val="nil"/>
            </w:tcBorders>
            <w:shd w:val="clear" w:color="000000" w:fill="FFFFFF"/>
            <w:noWrap/>
            <w:vAlign w:val="center"/>
            <w:hideMark/>
          </w:tcPr>
          <w:p w14:paraId="7BAB6561"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8.4%</w:t>
            </w:r>
          </w:p>
        </w:tc>
        <w:tc>
          <w:tcPr>
            <w:tcW w:w="679" w:type="dxa"/>
            <w:tcBorders>
              <w:top w:val="nil"/>
              <w:left w:val="nil"/>
              <w:bottom w:val="single" w:sz="8" w:space="0" w:color="auto"/>
              <w:right w:val="nil"/>
            </w:tcBorders>
            <w:shd w:val="clear" w:color="000000" w:fill="FFFFFF"/>
            <w:noWrap/>
            <w:vAlign w:val="center"/>
            <w:hideMark/>
          </w:tcPr>
          <w:p w14:paraId="795D2B60"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2,488</w:t>
            </w:r>
          </w:p>
        </w:tc>
        <w:tc>
          <w:tcPr>
            <w:tcW w:w="927" w:type="dxa"/>
            <w:tcBorders>
              <w:top w:val="nil"/>
              <w:left w:val="nil"/>
              <w:bottom w:val="single" w:sz="8" w:space="0" w:color="auto"/>
              <w:right w:val="nil"/>
            </w:tcBorders>
            <w:shd w:val="clear" w:color="000000" w:fill="FFFFFF"/>
            <w:noWrap/>
            <w:vAlign w:val="center"/>
            <w:hideMark/>
          </w:tcPr>
          <w:p w14:paraId="06560CDF"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6.1%</w:t>
            </w:r>
          </w:p>
        </w:tc>
        <w:tc>
          <w:tcPr>
            <w:tcW w:w="702" w:type="dxa"/>
            <w:tcBorders>
              <w:top w:val="nil"/>
              <w:left w:val="nil"/>
              <w:bottom w:val="single" w:sz="8" w:space="0" w:color="auto"/>
              <w:right w:val="nil"/>
            </w:tcBorders>
            <w:shd w:val="clear" w:color="000000" w:fill="FFFFFF"/>
            <w:noWrap/>
            <w:vAlign w:val="center"/>
            <w:hideMark/>
          </w:tcPr>
          <w:p w14:paraId="2E387864"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40,994</w:t>
            </w:r>
          </w:p>
        </w:tc>
        <w:tc>
          <w:tcPr>
            <w:tcW w:w="781" w:type="dxa"/>
            <w:tcBorders>
              <w:top w:val="nil"/>
              <w:left w:val="nil"/>
              <w:bottom w:val="single" w:sz="8" w:space="0" w:color="auto"/>
              <w:right w:val="nil"/>
            </w:tcBorders>
            <w:shd w:val="clear" w:color="000000" w:fill="FFFFFF"/>
            <w:noWrap/>
            <w:vAlign w:val="center"/>
            <w:hideMark/>
          </w:tcPr>
          <w:p w14:paraId="476F62B4" w14:textId="77777777" w:rsidR="00A01E9A" w:rsidRPr="00CF50D4" w:rsidRDefault="00A01E9A"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lang w:val="es-ES"/>
              </w:rPr>
              <w:t>100.0%</w:t>
            </w:r>
          </w:p>
        </w:tc>
      </w:tr>
    </w:tbl>
    <w:p w14:paraId="51A7825D" w14:textId="77777777" w:rsidR="00A01E9A" w:rsidRPr="00CF50D4" w:rsidRDefault="00A01E9A" w:rsidP="00710FC1">
      <w:pPr>
        <w:keepNext/>
        <w:keepLines/>
        <w:spacing w:line="259" w:lineRule="auto"/>
        <w:jc w:val="center"/>
        <w:rPr>
          <w:rFonts w:ascii="Times New Roman" w:hAnsi="Times New Roman" w:cs="Times New Roman"/>
          <w:color w:val="000000"/>
          <w:sz w:val="23"/>
          <w:szCs w:val="23"/>
        </w:rPr>
      </w:pPr>
      <w:r w:rsidRPr="00CF50D4">
        <w:rPr>
          <w:rFonts w:ascii="Times New Roman" w:hAnsi="Times New Roman" w:cs="Times New Roman"/>
          <w:color w:val="000000"/>
          <w:sz w:val="23"/>
          <w:szCs w:val="23"/>
        </w:rPr>
        <w:t>Fuente: MEN-SNIES</w:t>
      </w:r>
    </w:p>
    <w:p w14:paraId="7C771585" w14:textId="77777777" w:rsidR="00AC08A8" w:rsidRPr="00CF50D4" w:rsidRDefault="00AC08A8" w:rsidP="00710FC1">
      <w:pPr>
        <w:spacing w:line="259" w:lineRule="auto"/>
        <w:rPr>
          <w:rFonts w:ascii="Times New Roman" w:hAnsi="Times New Roman" w:cs="Times New Roman"/>
          <w:sz w:val="23"/>
          <w:szCs w:val="23"/>
        </w:rPr>
      </w:pPr>
    </w:p>
    <w:p w14:paraId="2E969605" w14:textId="77777777" w:rsidR="00710FC1" w:rsidRPr="00CF50D4" w:rsidRDefault="00710FC1" w:rsidP="00710FC1">
      <w:pPr>
        <w:spacing w:line="259" w:lineRule="auto"/>
        <w:rPr>
          <w:rFonts w:ascii="Times New Roman" w:hAnsi="Times New Roman" w:cs="Times New Roman"/>
          <w:sz w:val="23"/>
          <w:szCs w:val="23"/>
        </w:rPr>
      </w:pPr>
    </w:p>
    <w:p w14:paraId="1925795E" w14:textId="14F878D7" w:rsidR="00710FC1" w:rsidRPr="00CF50D4" w:rsidRDefault="00710FC1" w:rsidP="00A41F4E">
      <w:pPr>
        <w:rPr>
          <w:rFonts w:ascii="Times New Roman" w:hAnsi="Times New Roman" w:cs="Times New Roman"/>
          <w:sz w:val="23"/>
          <w:szCs w:val="23"/>
        </w:rPr>
      </w:pPr>
      <w:r w:rsidRPr="00CF50D4">
        <w:rPr>
          <w:rFonts w:ascii="Times New Roman" w:hAnsi="Times New Roman" w:cs="Times New Roman"/>
          <w:sz w:val="23"/>
          <w:szCs w:val="23"/>
        </w:rPr>
        <w:t xml:space="preserve">La Tasa de Cobertura Bruta es quizás el indicador más representativo del avance de las políticas de educación superior, ya que en ella se resumen el acceso, la ampliación de la matrícula (en valores absolutos y relativos), la permanencia en el sistema, el fortalecimiento de la formación T y T y el cierre de brechas regionales, </w:t>
      </w:r>
      <w:r w:rsidR="00A41F4E" w:rsidRPr="00CF50D4">
        <w:rPr>
          <w:rFonts w:ascii="Times New Roman" w:hAnsi="Times New Roman" w:cs="Times New Roman"/>
          <w:sz w:val="23"/>
          <w:szCs w:val="23"/>
        </w:rPr>
        <w:t>que comprende</w:t>
      </w:r>
      <w:r w:rsidRPr="00CF50D4">
        <w:rPr>
          <w:rFonts w:ascii="Times New Roman" w:hAnsi="Times New Roman" w:cs="Times New Roman"/>
          <w:sz w:val="23"/>
          <w:szCs w:val="23"/>
        </w:rPr>
        <w:t xml:space="preserve"> la proporción de matriculados en el nivel educativo de pregrado (técnico profesional, tecnológico y universitario) sobre la población de 17 a 21 años y es representada con la sigla (TCB).</w:t>
      </w:r>
    </w:p>
    <w:p w14:paraId="4DADB854" w14:textId="4A0F9C87" w:rsidR="00710FC1" w:rsidRPr="00CF50D4" w:rsidRDefault="00710FC1" w:rsidP="00A41F4E">
      <w:pPr>
        <w:autoSpaceDE w:val="0"/>
        <w:autoSpaceDN w:val="0"/>
        <w:adjustRightInd w:val="0"/>
        <w:rPr>
          <w:rFonts w:ascii="Times New Roman" w:hAnsi="Times New Roman" w:cs="Times New Roman"/>
          <w:sz w:val="23"/>
          <w:szCs w:val="23"/>
        </w:rPr>
      </w:pPr>
    </w:p>
    <w:p w14:paraId="1CCC7078" w14:textId="7AEA8EE5" w:rsidR="00710FC1" w:rsidRPr="00CF50D4" w:rsidRDefault="00710FC1" w:rsidP="00A41F4E">
      <w:pPr>
        <w:rPr>
          <w:rFonts w:ascii="Times New Roman" w:hAnsi="Times New Roman" w:cs="Times New Roman"/>
          <w:sz w:val="23"/>
          <w:szCs w:val="23"/>
        </w:rPr>
      </w:pPr>
      <w:r w:rsidRPr="00CF50D4">
        <w:rPr>
          <w:rFonts w:ascii="Times New Roman" w:hAnsi="Times New Roman" w:cs="Times New Roman"/>
          <w:sz w:val="23"/>
          <w:szCs w:val="23"/>
        </w:rPr>
        <w:t>Hasta 2016</w:t>
      </w:r>
      <w:r w:rsidR="00A41F4E" w:rsidRPr="00CF50D4">
        <w:rPr>
          <w:rFonts w:ascii="Times New Roman" w:hAnsi="Times New Roman" w:cs="Times New Roman"/>
          <w:sz w:val="23"/>
          <w:szCs w:val="23"/>
        </w:rPr>
        <w:t>,</w:t>
      </w:r>
      <w:r w:rsidRPr="00CF50D4">
        <w:rPr>
          <w:rFonts w:ascii="Times New Roman" w:hAnsi="Times New Roman" w:cs="Times New Roman"/>
          <w:sz w:val="23"/>
          <w:szCs w:val="23"/>
        </w:rPr>
        <w:t xml:space="preserve"> Manizales presentó una tasa de cobertura creciente al pasar del 78,3% en 2011 al 117,6% ese año. Esto representa un crecimiento de casi 40 puntos porcentuales en cinco años. A partir de 2016, la tasa de cobertura comienza a estabilizarse, pero se ha mantenido por encima del 100%, reflejo de la capacidad de sus instituciones de educación superior de atender no solo la demanda local sino también la demanda de otras regiones, dada la vocación de ciudad. En 2021 registró una caída leve de cinco puntos porcentuales, ubicándose en 11,5%.</w:t>
      </w:r>
      <w:bookmarkStart w:id="1" w:name="_Toc121413945"/>
    </w:p>
    <w:p w14:paraId="1378D69D" w14:textId="77777777" w:rsidR="00A41F4E" w:rsidRPr="00CF50D4" w:rsidRDefault="00A41F4E" w:rsidP="00A41F4E">
      <w:pPr>
        <w:rPr>
          <w:rFonts w:ascii="Times New Roman" w:hAnsi="Times New Roman" w:cs="Times New Roman"/>
          <w:sz w:val="23"/>
          <w:szCs w:val="23"/>
        </w:rPr>
      </w:pPr>
    </w:p>
    <w:p w14:paraId="2054A3B2" w14:textId="381F5DD0" w:rsidR="00710FC1" w:rsidRPr="00CF50D4" w:rsidRDefault="00710FC1" w:rsidP="00710FC1">
      <w:pPr>
        <w:pStyle w:val="Grfica"/>
        <w:rPr>
          <w:rFonts w:ascii="Times New Roman" w:eastAsiaTheme="minorEastAsia" w:hAnsi="Times New Roman" w:cs="Times New Roman"/>
          <w:color w:val="auto"/>
          <w:sz w:val="23"/>
          <w:szCs w:val="23"/>
        </w:rPr>
      </w:pPr>
      <w:r w:rsidRPr="00CF50D4">
        <w:rPr>
          <w:rFonts w:ascii="Times New Roman" w:eastAsiaTheme="minorEastAsia" w:hAnsi="Times New Roman" w:cs="Times New Roman"/>
          <w:color w:val="auto"/>
          <w:sz w:val="23"/>
          <w:szCs w:val="23"/>
        </w:rPr>
        <w:lastRenderedPageBreak/>
        <w:t xml:space="preserve">Gráfica </w:t>
      </w:r>
      <w:r w:rsidRPr="00CF50D4">
        <w:rPr>
          <w:rFonts w:ascii="Times New Roman" w:eastAsiaTheme="minorEastAsia" w:hAnsi="Times New Roman" w:cs="Times New Roman"/>
          <w:color w:val="auto"/>
          <w:sz w:val="23"/>
          <w:szCs w:val="23"/>
        </w:rPr>
        <w:fldChar w:fldCharType="begin"/>
      </w:r>
      <w:r w:rsidRPr="00CF50D4">
        <w:rPr>
          <w:rFonts w:ascii="Times New Roman" w:eastAsiaTheme="minorEastAsia" w:hAnsi="Times New Roman" w:cs="Times New Roman"/>
          <w:color w:val="auto"/>
          <w:sz w:val="23"/>
          <w:szCs w:val="23"/>
        </w:rPr>
        <w:instrText xml:space="preserve"> SEQ Gráfica \* ARABIC </w:instrText>
      </w:r>
      <w:r w:rsidRPr="00CF50D4">
        <w:rPr>
          <w:rFonts w:ascii="Times New Roman" w:eastAsiaTheme="minorEastAsia" w:hAnsi="Times New Roman" w:cs="Times New Roman"/>
          <w:color w:val="auto"/>
          <w:sz w:val="23"/>
          <w:szCs w:val="23"/>
        </w:rPr>
        <w:fldChar w:fldCharType="separate"/>
      </w:r>
      <w:r w:rsidR="00F66B58" w:rsidRPr="00CF50D4">
        <w:rPr>
          <w:rFonts w:ascii="Times New Roman" w:eastAsiaTheme="minorEastAsia" w:hAnsi="Times New Roman" w:cs="Times New Roman"/>
          <w:noProof/>
          <w:color w:val="auto"/>
          <w:sz w:val="23"/>
          <w:szCs w:val="23"/>
        </w:rPr>
        <w:t>4</w:t>
      </w:r>
      <w:r w:rsidRPr="00CF50D4">
        <w:rPr>
          <w:rFonts w:ascii="Times New Roman" w:eastAsiaTheme="minorEastAsia" w:hAnsi="Times New Roman" w:cs="Times New Roman"/>
          <w:color w:val="auto"/>
          <w:sz w:val="23"/>
          <w:szCs w:val="23"/>
        </w:rPr>
        <w:fldChar w:fldCharType="end"/>
      </w:r>
      <w:r w:rsidRPr="00CF50D4">
        <w:rPr>
          <w:rFonts w:ascii="Times New Roman" w:eastAsiaTheme="minorEastAsia" w:hAnsi="Times New Roman" w:cs="Times New Roman"/>
          <w:color w:val="auto"/>
          <w:sz w:val="23"/>
          <w:szCs w:val="23"/>
        </w:rPr>
        <w:t xml:space="preserve">. Manizales. Tasa de cobertura en educación superior. 2011 </w:t>
      </w:r>
      <w:r w:rsidR="00A41F4E" w:rsidRPr="00CF50D4">
        <w:rPr>
          <w:rFonts w:ascii="Times New Roman" w:eastAsiaTheme="minorEastAsia" w:hAnsi="Times New Roman" w:cs="Times New Roman"/>
          <w:color w:val="auto"/>
          <w:sz w:val="23"/>
          <w:szCs w:val="23"/>
        </w:rPr>
        <w:t>–</w:t>
      </w:r>
      <w:r w:rsidRPr="00CF50D4">
        <w:rPr>
          <w:rFonts w:ascii="Times New Roman" w:eastAsiaTheme="minorEastAsia" w:hAnsi="Times New Roman" w:cs="Times New Roman"/>
          <w:color w:val="auto"/>
          <w:sz w:val="23"/>
          <w:szCs w:val="23"/>
        </w:rPr>
        <w:t xml:space="preserve"> 2021</w:t>
      </w:r>
      <w:bookmarkEnd w:id="1"/>
    </w:p>
    <w:p w14:paraId="6A18A453" w14:textId="77777777" w:rsidR="00710FC1" w:rsidRPr="00CF50D4" w:rsidRDefault="00710FC1" w:rsidP="00710FC1">
      <w:pPr>
        <w:spacing w:line="259" w:lineRule="auto"/>
        <w:jc w:val="center"/>
        <w:rPr>
          <w:rFonts w:ascii="Times New Roman" w:hAnsi="Times New Roman" w:cs="Times New Roman"/>
          <w:b/>
          <w:color w:val="000000"/>
          <w:sz w:val="23"/>
          <w:szCs w:val="23"/>
        </w:rPr>
      </w:pPr>
      <w:r w:rsidRPr="00CF50D4">
        <w:rPr>
          <w:rFonts w:ascii="Times New Roman" w:hAnsi="Times New Roman" w:cs="Times New Roman"/>
          <w:noProof/>
          <w:sz w:val="23"/>
          <w:szCs w:val="23"/>
          <w:lang w:eastAsia="es-CO"/>
        </w:rPr>
        <w:drawing>
          <wp:inline distT="0" distB="0" distL="0" distR="0" wp14:anchorId="796E5552" wp14:editId="18CC2A05">
            <wp:extent cx="4389120" cy="2260396"/>
            <wp:effectExtent l="0" t="0" r="0" b="6985"/>
            <wp:docPr id="19" name="Gráfico 19">
              <a:extLst xmlns:a="http://schemas.openxmlformats.org/drawingml/2006/main">
                <a:ext uri="{FF2B5EF4-FFF2-40B4-BE49-F238E27FC236}">
                  <a16:creationId xmlns:a16="http://schemas.microsoft.com/office/drawing/2014/main" id="{B2E3BE02-4A38-65C8-ADF7-7DD1AFCDB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64FAFD" w14:textId="77777777" w:rsidR="00710FC1" w:rsidRPr="00CF50D4" w:rsidRDefault="00710FC1" w:rsidP="00710FC1">
      <w:pPr>
        <w:spacing w:line="259" w:lineRule="auto"/>
        <w:jc w:val="center"/>
        <w:rPr>
          <w:rFonts w:ascii="Times New Roman" w:hAnsi="Times New Roman" w:cs="Times New Roman"/>
          <w:color w:val="000000"/>
          <w:sz w:val="23"/>
          <w:szCs w:val="23"/>
        </w:rPr>
      </w:pPr>
      <w:r w:rsidRPr="00CF50D4">
        <w:rPr>
          <w:rFonts w:ascii="Times New Roman" w:hAnsi="Times New Roman" w:cs="Times New Roman"/>
          <w:color w:val="000000"/>
          <w:sz w:val="23"/>
          <w:szCs w:val="23"/>
        </w:rPr>
        <w:t>Fuente: Ministerio de Educación Nacional</w:t>
      </w:r>
    </w:p>
    <w:p w14:paraId="12FD98E6" w14:textId="77777777" w:rsidR="00710FC1" w:rsidRPr="00CF50D4" w:rsidRDefault="00710FC1" w:rsidP="00710FC1">
      <w:pPr>
        <w:spacing w:line="259" w:lineRule="auto"/>
        <w:jc w:val="center"/>
        <w:rPr>
          <w:rFonts w:ascii="Times New Roman" w:hAnsi="Times New Roman" w:cs="Times New Roman"/>
          <w:color w:val="000000"/>
          <w:sz w:val="23"/>
          <w:szCs w:val="23"/>
        </w:rPr>
      </w:pPr>
    </w:p>
    <w:p w14:paraId="6629FF64" w14:textId="25272AFD" w:rsidR="00710FC1" w:rsidRPr="00CF50D4" w:rsidRDefault="00710FC1" w:rsidP="00A41F4E">
      <w:pPr>
        <w:rPr>
          <w:rFonts w:ascii="Times New Roman" w:hAnsi="Times New Roman" w:cs="Times New Roman"/>
          <w:sz w:val="23"/>
          <w:szCs w:val="23"/>
        </w:rPr>
      </w:pPr>
      <w:r w:rsidRPr="00CF50D4">
        <w:rPr>
          <w:rFonts w:ascii="Times New Roman" w:hAnsi="Times New Roman" w:cs="Times New Roman"/>
          <w:sz w:val="23"/>
          <w:szCs w:val="23"/>
        </w:rPr>
        <w:t>La tasa de graduación es otro de los indicadores claves de la educación superior, puesto que logra reflejar la eficiencia del sistema para retener a los estudiantes hasta que logren su trayectoria educativa completa. Al respecto, las estadísticas del MEN arrojan para Manizales un aumento ininterrumpido en la población graduada que fue de 6.175 estudiantes en 2010 hasta alcanzar casi 11.000 graduados en 2019. En términos absolutos</w:t>
      </w:r>
      <w:r w:rsidR="00A41F4E" w:rsidRPr="00CF50D4">
        <w:rPr>
          <w:rFonts w:ascii="Times New Roman" w:hAnsi="Times New Roman" w:cs="Times New Roman"/>
          <w:sz w:val="23"/>
          <w:szCs w:val="23"/>
        </w:rPr>
        <w:t>,</w:t>
      </w:r>
      <w:r w:rsidRPr="00CF50D4">
        <w:rPr>
          <w:rFonts w:ascii="Times New Roman" w:hAnsi="Times New Roman" w:cs="Times New Roman"/>
          <w:sz w:val="23"/>
          <w:szCs w:val="23"/>
        </w:rPr>
        <w:t xml:space="preserve"> representa un crecimiento </w:t>
      </w:r>
      <w:r w:rsidR="00A41F4E" w:rsidRPr="00CF50D4">
        <w:rPr>
          <w:rFonts w:ascii="Times New Roman" w:hAnsi="Times New Roman" w:cs="Times New Roman"/>
          <w:sz w:val="23"/>
          <w:szCs w:val="23"/>
        </w:rPr>
        <w:t xml:space="preserve">de </w:t>
      </w:r>
      <w:r w:rsidRPr="00CF50D4">
        <w:rPr>
          <w:rFonts w:ascii="Times New Roman" w:hAnsi="Times New Roman" w:cs="Times New Roman"/>
          <w:sz w:val="23"/>
          <w:szCs w:val="23"/>
        </w:rPr>
        <w:t>casi 5.000 graduados en este período, y en términos relativos, un incremento del 70%. De acuerdo con información del MEN, en 2021 el número de graduados fue de aproximadamente la mitad del promedio de los últimos tres años, llegando a 5.682 graduados. De este total, el 76% correspondió a programas de pregrado y el 24% de posgrado.</w:t>
      </w:r>
    </w:p>
    <w:p w14:paraId="743790D7" w14:textId="77777777" w:rsidR="00710FC1" w:rsidRPr="00CF50D4" w:rsidRDefault="00710FC1" w:rsidP="00A41F4E">
      <w:pPr>
        <w:rPr>
          <w:rFonts w:ascii="Times New Roman" w:hAnsi="Times New Roman" w:cs="Times New Roman"/>
          <w:sz w:val="23"/>
          <w:szCs w:val="23"/>
        </w:rPr>
      </w:pPr>
    </w:p>
    <w:p w14:paraId="12BC8F6E" w14:textId="285D88F1" w:rsidR="00710FC1" w:rsidRPr="00CF50D4" w:rsidRDefault="00710FC1" w:rsidP="00A41F4E">
      <w:pPr>
        <w:rPr>
          <w:rFonts w:ascii="Times New Roman" w:hAnsi="Times New Roman" w:cs="Times New Roman"/>
          <w:sz w:val="23"/>
          <w:szCs w:val="23"/>
        </w:rPr>
      </w:pPr>
      <w:r w:rsidRPr="00CF50D4">
        <w:rPr>
          <w:rFonts w:ascii="Times New Roman" w:hAnsi="Times New Roman" w:cs="Times New Roman"/>
          <w:sz w:val="23"/>
          <w:szCs w:val="23"/>
        </w:rPr>
        <w:t>Esta caída fue característica de todos los niveles de formación. En términos relativos</w:t>
      </w:r>
      <w:r w:rsidR="00A41F4E" w:rsidRPr="00CF50D4">
        <w:rPr>
          <w:rFonts w:ascii="Times New Roman" w:hAnsi="Times New Roman" w:cs="Times New Roman"/>
          <w:sz w:val="23"/>
          <w:szCs w:val="23"/>
        </w:rPr>
        <w:t>,</w:t>
      </w:r>
      <w:r w:rsidRPr="00CF50D4">
        <w:rPr>
          <w:rFonts w:ascii="Times New Roman" w:hAnsi="Times New Roman" w:cs="Times New Roman"/>
          <w:sz w:val="23"/>
          <w:szCs w:val="23"/>
        </w:rPr>
        <w:t xml:space="preserve"> la mayor disminución se encontró en el nivel de doctorado con el 56%, seguido por la formación técnica profesional (50,5%), maestría (48,5%)</w:t>
      </w:r>
      <w:r w:rsidR="00A41F4E" w:rsidRPr="00CF50D4">
        <w:rPr>
          <w:rFonts w:ascii="Times New Roman" w:hAnsi="Times New Roman" w:cs="Times New Roman"/>
          <w:sz w:val="23"/>
          <w:szCs w:val="23"/>
        </w:rPr>
        <w:t xml:space="preserve"> y</w:t>
      </w:r>
      <w:r w:rsidRPr="00CF50D4">
        <w:rPr>
          <w:rFonts w:ascii="Times New Roman" w:hAnsi="Times New Roman" w:cs="Times New Roman"/>
          <w:sz w:val="23"/>
          <w:szCs w:val="23"/>
        </w:rPr>
        <w:t xml:space="preserve"> universitaria (45,4%). Las menores caídas se registraron en el nivel tecnológico (24,3%) y especialización (39,8%).</w:t>
      </w:r>
    </w:p>
    <w:p w14:paraId="66D7243C" w14:textId="77777777" w:rsidR="00710FC1" w:rsidRPr="00CF50D4" w:rsidRDefault="00710FC1" w:rsidP="00710FC1">
      <w:pPr>
        <w:spacing w:line="259" w:lineRule="auto"/>
        <w:rPr>
          <w:rFonts w:ascii="Times New Roman" w:hAnsi="Times New Roman" w:cs="Times New Roman"/>
          <w:sz w:val="23"/>
          <w:szCs w:val="23"/>
        </w:rPr>
      </w:pPr>
    </w:p>
    <w:p w14:paraId="6695F141" w14:textId="537E7EE0" w:rsidR="00710FC1" w:rsidRPr="00CF50D4" w:rsidRDefault="00710FC1" w:rsidP="00710FC1">
      <w:pPr>
        <w:pStyle w:val="Tabla"/>
        <w:spacing w:line="259" w:lineRule="auto"/>
        <w:rPr>
          <w:rFonts w:ascii="Times New Roman" w:hAnsi="Times New Roman" w:cs="Times New Roman"/>
          <w:sz w:val="23"/>
          <w:szCs w:val="23"/>
        </w:rPr>
      </w:pPr>
      <w:bookmarkStart w:id="2" w:name="_Toc121414003"/>
      <w:r w:rsidRPr="00CF50D4">
        <w:rPr>
          <w:rFonts w:ascii="Times New Roman" w:hAnsi="Times New Roman" w:cs="Times New Roman"/>
          <w:sz w:val="23"/>
          <w:szCs w:val="23"/>
        </w:rPr>
        <w:t xml:space="preserve">Tabla </w:t>
      </w:r>
      <w:r w:rsidR="00FA3E62" w:rsidRPr="00CF50D4">
        <w:rPr>
          <w:rFonts w:ascii="Times New Roman" w:hAnsi="Times New Roman" w:cs="Times New Roman"/>
          <w:sz w:val="23"/>
          <w:szCs w:val="23"/>
        </w:rPr>
        <w:fldChar w:fldCharType="begin"/>
      </w:r>
      <w:r w:rsidR="00FA3E62" w:rsidRPr="00CF50D4">
        <w:rPr>
          <w:rFonts w:ascii="Times New Roman" w:hAnsi="Times New Roman" w:cs="Times New Roman"/>
          <w:sz w:val="23"/>
          <w:szCs w:val="23"/>
        </w:rPr>
        <w:instrText xml:space="preserve"> SEQ Tabla \* ARABIC </w:instrText>
      </w:r>
      <w:r w:rsidR="00FA3E62" w:rsidRPr="00CF50D4">
        <w:rPr>
          <w:rFonts w:ascii="Times New Roman" w:hAnsi="Times New Roman" w:cs="Times New Roman"/>
          <w:sz w:val="23"/>
          <w:szCs w:val="23"/>
        </w:rPr>
        <w:fldChar w:fldCharType="separate"/>
      </w:r>
      <w:r w:rsidR="00F66B58" w:rsidRPr="00CF50D4">
        <w:rPr>
          <w:rFonts w:ascii="Times New Roman" w:hAnsi="Times New Roman" w:cs="Times New Roman"/>
          <w:noProof/>
          <w:sz w:val="23"/>
          <w:szCs w:val="23"/>
        </w:rPr>
        <w:t>2</w:t>
      </w:r>
      <w:r w:rsidR="00FA3E62" w:rsidRPr="00CF50D4">
        <w:rPr>
          <w:rFonts w:ascii="Times New Roman" w:hAnsi="Times New Roman" w:cs="Times New Roman"/>
          <w:noProof/>
          <w:sz w:val="23"/>
          <w:szCs w:val="23"/>
        </w:rPr>
        <w:fldChar w:fldCharType="end"/>
      </w:r>
      <w:r w:rsidRPr="00CF50D4">
        <w:rPr>
          <w:rFonts w:ascii="Times New Roman" w:hAnsi="Times New Roman" w:cs="Times New Roman"/>
          <w:sz w:val="23"/>
          <w:szCs w:val="23"/>
        </w:rPr>
        <w:t>. Número de graduados según nivel de formación. 2010 – 2021</w:t>
      </w:r>
      <w:bookmarkEnd w:id="2"/>
    </w:p>
    <w:tbl>
      <w:tblPr>
        <w:tblW w:w="10348" w:type="dxa"/>
        <w:jc w:val="center"/>
        <w:tblCellMar>
          <w:left w:w="70" w:type="dxa"/>
          <w:right w:w="70" w:type="dxa"/>
        </w:tblCellMar>
        <w:tblLook w:val="04A0" w:firstRow="1" w:lastRow="0" w:firstColumn="1" w:lastColumn="0" w:noHBand="0" w:noVBand="1"/>
      </w:tblPr>
      <w:tblGrid>
        <w:gridCol w:w="1747"/>
        <w:gridCol w:w="697"/>
        <w:gridCol w:w="684"/>
        <w:gridCol w:w="690"/>
        <w:gridCol w:w="691"/>
        <w:gridCol w:w="781"/>
        <w:gridCol w:w="781"/>
        <w:gridCol w:w="691"/>
        <w:gridCol w:w="691"/>
        <w:gridCol w:w="773"/>
        <w:gridCol w:w="773"/>
        <w:gridCol w:w="658"/>
        <w:gridCol w:w="691"/>
      </w:tblGrid>
      <w:tr w:rsidR="00710FC1" w:rsidRPr="00CF50D4" w14:paraId="65DCBFE6" w14:textId="77777777" w:rsidTr="00E250FE">
        <w:trPr>
          <w:trHeight w:val="392"/>
          <w:jc w:val="center"/>
        </w:trPr>
        <w:tc>
          <w:tcPr>
            <w:tcW w:w="1840" w:type="dxa"/>
            <w:tcBorders>
              <w:top w:val="nil"/>
              <w:left w:val="nil"/>
              <w:bottom w:val="nil"/>
              <w:right w:val="nil"/>
            </w:tcBorders>
            <w:shd w:val="clear" w:color="000000" w:fill="C6E0B4"/>
            <w:vAlign w:val="center"/>
            <w:hideMark/>
          </w:tcPr>
          <w:p w14:paraId="21553430"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Nivel de formación</w:t>
            </w:r>
          </w:p>
        </w:tc>
        <w:tc>
          <w:tcPr>
            <w:tcW w:w="718" w:type="dxa"/>
            <w:tcBorders>
              <w:top w:val="nil"/>
              <w:left w:val="nil"/>
              <w:bottom w:val="nil"/>
              <w:right w:val="nil"/>
            </w:tcBorders>
            <w:shd w:val="clear" w:color="000000" w:fill="C6E0B4"/>
            <w:vAlign w:val="center"/>
            <w:hideMark/>
          </w:tcPr>
          <w:p w14:paraId="5CBFECA7"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2010</w:t>
            </w:r>
          </w:p>
        </w:tc>
        <w:tc>
          <w:tcPr>
            <w:tcW w:w="699" w:type="dxa"/>
            <w:tcBorders>
              <w:top w:val="nil"/>
              <w:left w:val="nil"/>
              <w:bottom w:val="nil"/>
              <w:right w:val="nil"/>
            </w:tcBorders>
            <w:shd w:val="clear" w:color="000000" w:fill="C6E0B4"/>
            <w:vAlign w:val="center"/>
            <w:hideMark/>
          </w:tcPr>
          <w:p w14:paraId="49E6ACFE"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2011</w:t>
            </w:r>
          </w:p>
        </w:tc>
        <w:tc>
          <w:tcPr>
            <w:tcW w:w="708" w:type="dxa"/>
            <w:tcBorders>
              <w:top w:val="nil"/>
              <w:left w:val="nil"/>
              <w:bottom w:val="nil"/>
              <w:right w:val="nil"/>
            </w:tcBorders>
            <w:shd w:val="clear" w:color="000000" w:fill="C6E0B4"/>
            <w:vAlign w:val="center"/>
            <w:hideMark/>
          </w:tcPr>
          <w:p w14:paraId="31875C73"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2012</w:t>
            </w:r>
          </w:p>
        </w:tc>
        <w:tc>
          <w:tcPr>
            <w:tcW w:w="709" w:type="dxa"/>
            <w:tcBorders>
              <w:top w:val="nil"/>
              <w:left w:val="nil"/>
              <w:bottom w:val="nil"/>
              <w:right w:val="nil"/>
            </w:tcBorders>
            <w:shd w:val="clear" w:color="000000" w:fill="C6E0B4"/>
            <w:vAlign w:val="center"/>
            <w:hideMark/>
          </w:tcPr>
          <w:p w14:paraId="30F268E4"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2013</w:t>
            </w:r>
          </w:p>
        </w:tc>
        <w:tc>
          <w:tcPr>
            <w:tcW w:w="850" w:type="dxa"/>
            <w:tcBorders>
              <w:top w:val="nil"/>
              <w:left w:val="nil"/>
              <w:bottom w:val="nil"/>
              <w:right w:val="nil"/>
            </w:tcBorders>
            <w:shd w:val="clear" w:color="000000" w:fill="C6E0B4"/>
            <w:vAlign w:val="center"/>
            <w:hideMark/>
          </w:tcPr>
          <w:p w14:paraId="5EAEC6BF"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2014</w:t>
            </w:r>
          </w:p>
        </w:tc>
        <w:tc>
          <w:tcPr>
            <w:tcW w:w="849" w:type="dxa"/>
            <w:tcBorders>
              <w:top w:val="nil"/>
              <w:left w:val="nil"/>
              <w:bottom w:val="nil"/>
              <w:right w:val="nil"/>
            </w:tcBorders>
            <w:shd w:val="clear" w:color="000000" w:fill="C6E0B4"/>
            <w:vAlign w:val="center"/>
            <w:hideMark/>
          </w:tcPr>
          <w:p w14:paraId="720B7802"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2015</w:t>
            </w:r>
          </w:p>
        </w:tc>
        <w:tc>
          <w:tcPr>
            <w:tcW w:w="709" w:type="dxa"/>
            <w:tcBorders>
              <w:top w:val="nil"/>
              <w:left w:val="nil"/>
              <w:bottom w:val="nil"/>
              <w:right w:val="nil"/>
            </w:tcBorders>
            <w:shd w:val="clear" w:color="000000" w:fill="C6E0B4"/>
            <w:vAlign w:val="center"/>
            <w:hideMark/>
          </w:tcPr>
          <w:p w14:paraId="3D07D0C6"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2016</w:t>
            </w:r>
          </w:p>
        </w:tc>
        <w:tc>
          <w:tcPr>
            <w:tcW w:w="709" w:type="dxa"/>
            <w:tcBorders>
              <w:top w:val="nil"/>
              <w:left w:val="nil"/>
              <w:bottom w:val="nil"/>
              <w:right w:val="nil"/>
            </w:tcBorders>
            <w:shd w:val="clear" w:color="000000" w:fill="C6E0B4"/>
            <w:vAlign w:val="center"/>
            <w:hideMark/>
          </w:tcPr>
          <w:p w14:paraId="6FE11312"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2017</w:t>
            </w:r>
          </w:p>
        </w:tc>
        <w:tc>
          <w:tcPr>
            <w:tcW w:w="708" w:type="dxa"/>
            <w:tcBorders>
              <w:top w:val="nil"/>
              <w:left w:val="nil"/>
              <w:bottom w:val="nil"/>
              <w:right w:val="nil"/>
            </w:tcBorders>
            <w:shd w:val="clear" w:color="000000" w:fill="C6E0B4"/>
            <w:vAlign w:val="center"/>
            <w:hideMark/>
          </w:tcPr>
          <w:p w14:paraId="28A57CE5"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2018</w:t>
            </w:r>
          </w:p>
        </w:tc>
        <w:tc>
          <w:tcPr>
            <w:tcW w:w="577" w:type="dxa"/>
            <w:tcBorders>
              <w:top w:val="nil"/>
              <w:left w:val="nil"/>
              <w:bottom w:val="nil"/>
              <w:right w:val="nil"/>
            </w:tcBorders>
            <w:shd w:val="clear" w:color="000000" w:fill="C6E0B4"/>
            <w:vAlign w:val="center"/>
            <w:hideMark/>
          </w:tcPr>
          <w:p w14:paraId="6FB531A2"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2019</w:t>
            </w:r>
          </w:p>
        </w:tc>
        <w:tc>
          <w:tcPr>
            <w:tcW w:w="563" w:type="dxa"/>
            <w:tcBorders>
              <w:top w:val="nil"/>
              <w:left w:val="nil"/>
              <w:bottom w:val="nil"/>
              <w:right w:val="nil"/>
            </w:tcBorders>
            <w:shd w:val="clear" w:color="000000" w:fill="C6E0B4"/>
            <w:vAlign w:val="center"/>
            <w:hideMark/>
          </w:tcPr>
          <w:p w14:paraId="153E08E4"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2020</w:t>
            </w:r>
          </w:p>
        </w:tc>
        <w:tc>
          <w:tcPr>
            <w:tcW w:w="709" w:type="dxa"/>
            <w:tcBorders>
              <w:top w:val="nil"/>
              <w:left w:val="nil"/>
              <w:bottom w:val="nil"/>
              <w:right w:val="nil"/>
            </w:tcBorders>
            <w:shd w:val="clear" w:color="000000" w:fill="C6E0B4"/>
            <w:vAlign w:val="center"/>
            <w:hideMark/>
          </w:tcPr>
          <w:p w14:paraId="07E7E22E"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2021</w:t>
            </w:r>
          </w:p>
        </w:tc>
      </w:tr>
      <w:tr w:rsidR="00710FC1" w:rsidRPr="00CF50D4" w14:paraId="29DAADDA" w14:textId="77777777" w:rsidTr="00E250FE">
        <w:trPr>
          <w:trHeight w:val="315"/>
          <w:jc w:val="center"/>
        </w:trPr>
        <w:tc>
          <w:tcPr>
            <w:tcW w:w="1840" w:type="dxa"/>
            <w:tcBorders>
              <w:top w:val="nil"/>
              <w:left w:val="nil"/>
              <w:bottom w:val="nil"/>
              <w:right w:val="nil"/>
            </w:tcBorders>
            <w:shd w:val="clear" w:color="000000" w:fill="E2EFDA"/>
            <w:vAlign w:val="center"/>
            <w:hideMark/>
          </w:tcPr>
          <w:p w14:paraId="60BAB571" w14:textId="77777777" w:rsidR="00710FC1" w:rsidRPr="00CF50D4" w:rsidRDefault="00710FC1"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Pregrado</w:t>
            </w:r>
          </w:p>
        </w:tc>
        <w:tc>
          <w:tcPr>
            <w:tcW w:w="718" w:type="dxa"/>
            <w:tcBorders>
              <w:top w:val="nil"/>
              <w:left w:val="nil"/>
              <w:bottom w:val="nil"/>
              <w:right w:val="nil"/>
            </w:tcBorders>
            <w:shd w:val="clear" w:color="000000" w:fill="E2EFDA"/>
            <w:vAlign w:val="center"/>
            <w:hideMark/>
          </w:tcPr>
          <w:p w14:paraId="75CF968D"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3.455</w:t>
            </w:r>
          </w:p>
        </w:tc>
        <w:tc>
          <w:tcPr>
            <w:tcW w:w="699" w:type="dxa"/>
            <w:tcBorders>
              <w:top w:val="nil"/>
              <w:left w:val="nil"/>
              <w:bottom w:val="nil"/>
              <w:right w:val="nil"/>
            </w:tcBorders>
            <w:shd w:val="clear" w:color="000000" w:fill="E2EFDA"/>
            <w:vAlign w:val="center"/>
            <w:hideMark/>
          </w:tcPr>
          <w:p w14:paraId="37CF8BA5"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3.964</w:t>
            </w:r>
          </w:p>
        </w:tc>
        <w:tc>
          <w:tcPr>
            <w:tcW w:w="708" w:type="dxa"/>
            <w:tcBorders>
              <w:top w:val="nil"/>
              <w:left w:val="nil"/>
              <w:bottom w:val="nil"/>
              <w:right w:val="nil"/>
            </w:tcBorders>
            <w:shd w:val="clear" w:color="000000" w:fill="E2EFDA"/>
            <w:vAlign w:val="center"/>
            <w:hideMark/>
          </w:tcPr>
          <w:p w14:paraId="302D0C7D"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5.706</w:t>
            </w:r>
          </w:p>
        </w:tc>
        <w:tc>
          <w:tcPr>
            <w:tcW w:w="709" w:type="dxa"/>
            <w:tcBorders>
              <w:top w:val="nil"/>
              <w:left w:val="nil"/>
              <w:bottom w:val="nil"/>
              <w:right w:val="nil"/>
            </w:tcBorders>
            <w:shd w:val="clear" w:color="000000" w:fill="E2EFDA"/>
            <w:vAlign w:val="center"/>
            <w:hideMark/>
          </w:tcPr>
          <w:p w14:paraId="4B44DF31"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5.712</w:t>
            </w:r>
          </w:p>
        </w:tc>
        <w:tc>
          <w:tcPr>
            <w:tcW w:w="850" w:type="dxa"/>
            <w:tcBorders>
              <w:top w:val="nil"/>
              <w:left w:val="nil"/>
              <w:bottom w:val="nil"/>
              <w:right w:val="nil"/>
            </w:tcBorders>
            <w:shd w:val="clear" w:color="000000" w:fill="E2EFDA"/>
            <w:vAlign w:val="center"/>
            <w:hideMark/>
          </w:tcPr>
          <w:p w14:paraId="2C33351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5.937</w:t>
            </w:r>
          </w:p>
        </w:tc>
        <w:tc>
          <w:tcPr>
            <w:tcW w:w="849" w:type="dxa"/>
            <w:tcBorders>
              <w:top w:val="nil"/>
              <w:left w:val="nil"/>
              <w:bottom w:val="nil"/>
              <w:right w:val="nil"/>
            </w:tcBorders>
            <w:shd w:val="clear" w:color="000000" w:fill="E2EFDA"/>
            <w:vAlign w:val="center"/>
            <w:hideMark/>
          </w:tcPr>
          <w:p w14:paraId="43888879"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5.858</w:t>
            </w:r>
          </w:p>
        </w:tc>
        <w:tc>
          <w:tcPr>
            <w:tcW w:w="709" w:type="dxa"/>
            <w:tcBorders>
              <w:top w:val="nil"/>
              <w:left w:val="nil"/>
              <w:bottom w:val="nil"/>
              <w:right w:val="nil"/>
            </w:tcBorders>
            <w:shd w:val="clear" w:color="000000" w:fill="E2EFDA"/>
            <w:vAlign w:val="center"/>
            <w:hideMark/>
          </w:tcPr>
          <w:p w14:paraId="67E870FB"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6.739</w:t>
            </w:r>
          </w:p>
        </w:tc>
        <w:tc>
          <w:tcPr>
            <w:tcW w:w="709" w:type="dxa"/>
            <w:tcBorders>
              <w:top w:val="nil"/>
              <w:left w:val="nil"/>
              <w:bottom w:val="nil"/>
              <w:right w:val="nil"/>
            </w:tcBorders>
            <w:shd w:val="clear" w:color="000000" w:fill="E2EFDA"/>
            <w:vAlign w:val="center"/>
            <w:hideMark/>
          </w:tcPr>
          <w:p w14:paraId="5B434405"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7.171</w:t>
            </w:r>
          </w:p>
        </w:tc>
        <w:tc>
          <w:tcPr>
            <w:tcW w:w="708" w:type="dxa"/>
            <w:tcBorders>
              <w:top w:val="nil"/>
              <w:left w:val="nil"/>
              <w:bottom w:val="nil"/>
              <w:right w:val="nil"/>
            </w:tcBorders>
            <w:shd w:val="clear" w:color="000000" w:fill="E2EFDA"/>
            <w:vAlign w:val="center"/>
            <w:hideMark/>
          </w:tcPr>
          <w:p w14:paraId="3E9550CE"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7.681</w:t>
            </w:r>
          </w:p>
        </w:tc>
        <w:tc>
          <w:tcPr>
            <w:tcW w:w="577" w:type="dxa"/>
            <w:tcBorders>
              <w:top w:val="nil"/>
              <w:left w:val="nil"/>
              <w:bottom w:val="nil"/>
              <w:right w:val="nil"/>
            </w:tcBorders>
            <w:shd w:val="clear" w:color="000000" w:fill="E2EFDA"/>
            <w:vAlign w:val="center"/>
            <w:hideMark/>
          </w:tcPr>
          <w:p w14:paraId="0149B24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7.680</w:t>
            </w:r>
          </w:p>
        </w:tc>
        <w:tc>
          <w:tcPr>
            <w:tcW w:w="563" w:type="dxa"/>
            <w:tcBorders>
              <w:top w:val="nil"/>
              <w:left w:val="nil"/>
              <w:bottom w:val="nil"/>
              <w:right w:val="nil"/>
            </w:tcBorders>
            <w:shd w:val="clear" w:color="000000" w:fill="E2EFDA"/>
            <w:vAlign w:val="center"/>
            <w:hideMark/>
          </w:tcPr>
          <w:p w14:paraId="0348ED31"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7.441</w:t>
            </w:r>
          </w:p>
        </w:tc>
        <w:tc>
          <w:tcPr>
            <w:tcW w:w="709" w:type="dxa"/>
            <w:tcBorders>
              <w:top w:val="nil"/>
              <w:left w:val="nil"/>
              <w:bottom w:val="nil"/>
              <w:right w:val="nil"/>
            </w:tcBorders>
            <w:shd w:val="clear" w:color="000000" w:fill="E2EFDA"/>
            <w:vAlign w:val="center"/>
            <w:hideMark/>
          </w:tcPr>
          <w:p w14:paraId="1FC0286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4,315</w:t>
            </w:r>
          </w:p>
        </w:tc>
      </w:tr>
      <w:tr w:rsidR="00710FC1" w:rsidRPr="00CF50D4" w14:paraId="08867F39" w14:textId="77777777" w:rsidTr="00E250FE">
        <w:trPr>
          <w:trHeight w:val="293"/>
          <w:jc w:val="center"/>
        </w:trPr>
        <w:tc>
          <w:tcPr>
            <w:tcW w:w="1840" w:type="dxa"/>
            <w:tcBorders>
              <w:top w:val="nil"/>
              <w:left w:val="nil"/>
              <w:bottom w:val="nil"/>
              <w:right w:val="nil"/>
            </w:tcBorders>
            <w:shd w:val="clear" w:color="000000" w:fill="FFFFFF"/>
            <w:vAlign w:val="center"/>
            <w:hideMark/>
          </w:tcPr>
          <w:p w14:paraId="454C58C0"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Técnica profesional</w:t>
            </w:r>
          </w:p>
        </w:tc>
        <w:tc>
          <w:tcPr>
            <w:tcW w:w="718" w:type="dxa"/>
            <w:tcBorders>
              <w:top w:val="nil"/>
              <w:left w:val="nil"/>
              <w:bottom w:val="nil"/>
              <w:right w:val="nil"/>
            </w:tcBorders>
            <w:shd w:val="clear" w:color="000000" w:fill="FFFFFF"/>
            <w:vAlign w:val="center"/>
            <w:hideMark/>
          </w:tcPr>
          <w:p w14:paraId="1CF5AA1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40</w:t>
            </w:r>
          </w:p>
        </w:tc>
        <w:tc>
          <w:tcPr>
            <w:tcW w:w="699" w:type="dxa"/>
            <w:tcBorders>
              <w:top w:val="nil"/>
              <w:left w:val="nil"/>
              <w:bottom w:val="nil"/>
              <w:right w:val="nil"/>
            </w:tcBorders>
            <w:shd w:val="clear" w:color="000000" w:fill="FFFFFF"/>
            <w:vAlign w:val="center"/>
            <w:hideMark/>
          </w:tcPr>
          <w:p w14:paraId="1789DD9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w:t>
            </w:r>
          </w:p>
        </w:tc>
        <w:tc>
          <w:tcPr>
            <w:tcW w:w="708" w:type="dxa"/>
            <w:tcBorders>
              <w:top w:val="nil"/>
              <w:left w:val="nil"/>
              <w:bottom w:val="nil"/>
              <w:right w:val="nil"/>
            </w:tcBorders>
            <w:shd w:val="clear" w:color="000000" w:fill="FFFFFF"/>
            <w:vAlign w:val="center"/>
            <w:hideMark/>
          </w:tcPr>
          <w:p w14:paraId="1F07938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762</w:t>
            </w:r>
          </w:p>
        </w:tc>
        <w:tc>
          <w:tcPr>
            <w:tcW w:w="709" w:type="dxa"/>
            <w:tcBorders>
              <w:top w:val="nil"/>
              <w:left w:val="nil"/>
              <w:bottom w:val="nil"/>
              <w:right w:val="nil"/>
            </w:tcBorders>
            <w:shd w:val="clear" w:color="000000" w:fill="FFFFFF"/>
            <w:vAlign w:val="center"/>
            <w:hideMark/>
          </w:tcPr>
          <w:p w14:paraId="00B42E9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699</w:t>
            </w:r>
          </w:p>
        </w:tc>
        <w:tc>
          <w:tcPr>
            <w:tcW w:w="850" w:type="dxa"/>
            <w:tcBorders>
              <w:top w:val="nil"/>
              <w:left w:val="nil"/>
              <w:bottom w:val="nil"/>
              <w:right w:val="nil"/>
            </w:tcBorders>
            <w:shd w:val="clear" w:color="000000" w:fill="FFFFFF"/>
            <w:vAlign w:val="center"/>
            <w:hideMark/>
          </w:tcPr>
          <w:p w14:paraId="1B6C0A5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461</w:t>
            </w:r>
          </w:p>
        </w:tc>
        <w:tc>
          <w:tcPr>
            <w:tcW w:w="849" w:type="dxa"/>
            <w:tcBorders>
              <w:top w:val="nil"/>
              <w:left w:val="nil"/>
              <w:bottom w:val="nil"/>
              <w:right w:val="nil"/>
            </w:tcBorders>
            <w:shd w:val="clear" w:color="000000" w:fill="FFFFFF"/>
            <w:vAlign w:val="center"/>
            <w:hideMark/>
          </w:tcPr>
          <w:p w14:paraId="1AD5308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161</w:t>
            </w:r>
          </w:p>
        </w:tc>
        <w:tc>
          <w:tcPr>
            <w:tcW w:w="709" w:type="dxa"/>
            <w:tcBorders>
              <w:top w:val="nil"/>
              <w:left w:val="nil"/>
              <w:bottom w:val="nil"/>
              <w:right w:val="nil"/>
            </w:tcBorders>
            <w:shd w:val="clear" w:color="000000" w:fill="FFFFFF"/>
            <w:vAlign w:val="center"/>
            <w:hideMark/>
          </w:tcPr>
          <w:p w14:paraId="7FB4761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626</w:t>
            </w:r>
          </w:p>
        </w:tc>
        <w:tc>
          <w:tcPr>
            <w:tcW w:w="709" w:type="dxa"/>
            <w:tcBorders>
              <w:top w:val="nil"/>
              <w:left w:val="nil"/>
              <w:bottom w:val="nil"/>
              <w:right w:val="nil"/>
            </w:tcBorders>
            <w:shd w:val="clear" w:color="000000" w:fill="FFFFFF"/>
            <w:vAlign w:val="center"/>
            <w:hideMark/>
          </w:tcPr>
          <w:p w14:paraId="4924136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1.078</w:t>
            </w:r>
          </w:p>
        </w:tc>
        <w:tc>
          <w:tcPr>
            <w:tcW w:w="708" w:type="dxa"/>
            <w:tcBorders>
              <w:top w:val="nil"/>
              <w:left w:val="nil"/>
              <w:bottom w:val="nil"/>
              <w:right w:val="nil"/>
            </w:tcBorders>
            <w:shd w:val="clear" w:color="000000" w:fill="FFFFFF"/>
            <w:vAlign w:val="center"/>
            <w:hideMark/>
          </w:tcPr>
          <w:p w14:paraId="08096F5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947</w:t>
            </w:r>
          </w:p>
        </w:tc>
        <w:tc>
          <w:tcPr>
            <w:tcW w:w="577" w:type="dxa"/>
            <w:tcBorders>
              <w:top w:val="nil"/>
              <w:left w:val="nil"/>
              <w:bottom w:val="nil"/>
              <w:right w:val="nil"/>
            </w:tcBorders>
            <w:shd w:val="clear" w:color="000000" w:fill="FFFFFF"/>
            <w:vAlign w:val="center"/>
            <w:hideMark/>
          </w:tcPr>
          <w:p w14:paraId="6D0178C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1.078</w:t>
            </w:r>
          </w:p>
        </w:tc>
        <w:tc>
          <w:tcPr>
            <w:tcW w:w="563" w:type="dxa"/>
            <w:tcBorders>
              <w:top w:val="nil"/>
              <w:left w:val="nil"/>
              <w:bottom w:val="nil"/>
              <w:right w:val="nil"/>
            </w:tcBorders>
            <w:shd w:val="clear" w:color="000000" w:fill="FFFFFF"/>
            <w:vAlign w:val="center"/>
            <w:hideMark/>
          </w:tcPr>
          <w:p w14:paraId="6C8272A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1.521</w:t>
            </w:r>
          </w:p>
        </w:tc>
        <w:tc>
          <w:tcPr>
            <w:tcW w:w="709" w:type="dxa"/>
            <w:tcBorders>
              <w:top w:val="nil"/>
              <w:left w:val="nil"/>
              <w:bottom w:val="nil"/>
              <w:right w:val="nil"/>
            </w:tcBorders>
            <w:shd w:val="clear" w:color="000000" w:fill="FFFFFF"/>
            <w:vAlign w:val="center"/>
            <w:hideMark/>
          </w:tcPr>
          <w:p w14:paraId="637487B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753</w:t>
            </w:r>
          </w:p>
        </w:tc>
      </w:tr>
      <w:tr w:rsidR="00710FC1" w:rsidRPr="00CF50D4" w14:paraId="75DD27D8" w14:textId="77777777" w:rsidTr="00E250FE">
        <w:trPr>
          <w:trHeight w:val="315"/>
          <w:jc w:val="center"/>
        </w:trPr>
        <w:tc>
          <w:tcPr>
            <w:tcW w:w="1840" w:type="dxa"/>
            <w:tcBorders>
              <w:top w:val="nil"/>
              <w:left w:val="nil"/>
              <w:bottom w:val="nil"/>
              <w:right w:val="nil"/>
            </w:tcBorders>
            <w:shd w:val="clear" w:color="000000" w:fill="E2EFDA"/>
            <w:vAlign w:val="center"/>
            <w:hideMark/>
          </w:tcPr>
          <w:p w14:paraId="2ACB7318"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Tecnológico</w:t>
            </w:r>
          </w:p>
        </w:tc>
        <w:tc>
          <w:tcPr>
            <w:tcW w:w="718" w:type="dxa"/>
            <w:tcBorders>
              <w:top w:val="nil"/>
              <w:left w:val="nil"/>
              <w:bottom w:val="nil"/>
              <w:right w:val="nil"/>
            </w:tcBorders>
            <w:shd w:val="clear" w:color="000000" w:fill="E2EFDA"/>
            <w:vAlign w:val="center"/>
            <w:hideMark/>
          </w:tcPr>
          <w:p w14:paraId="5A0B1AD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450</w:t>
            </w:r>
          </w:p>
        </w:tc>
        <w:tc>
          <w:tcPr>
            <w:tcW w:w="699" w:type="dxa"/>
            <w:tcBorders>
              <w:top w:val="nil"/>
              <w:left w:val="nil"/>
              <w:bottom w:val="nil"/>
              <w:right w:val="nil"/>
            </w:tcBorders>
            <w:shd w:val="clear" w:color="000000" w:fill="E2EFDA"/>
            <w:vAlign w:val="center"/>
            <w:hideMark/>
          </w:tcPr>
          <w:p w14:paraId="771169A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1.443</w:t>
            </w:r>
          </w:p>
        </w:tc>
        <w:tc>
          <w:tcPr>
            <w:tcW w:w="708" w:type="dxa"/>
            <w:tcBorders>
              <w:top w:val="nil"/>
              <w:left w:val="nil"/>
              <w:bottom w:val="nil"/>
              <w:right w:val="nil"/>
            </w:tcBorders>
            <w:shd w:val="clear" w:color="000000" w:fill="E2EFDA"/>
            <w:vAlign w:val="center"/>
            <w:hideMark/>
          </w:tcPr>
          <w:p w14:paraId="720EB9F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1.393</w:t>
            </w:r>
          </w:p>
        </w:tc>
        <w:tc>
          <w:tcPr>
            <w:tcW w:w="709" w:type="dxa"/>
            <w:tcBorders>
              <w:top w:val="nil"/>
              <w:left w:val="nil"/>
              <w:bottom w:val="nil"/>
              <w:right w:val="nil"/>
            </w:tcBorders>
            <w:shd w:val="clear" w:color="000000" w:fill="E2EFDA"/>
            <w:vAlign w:val="center"/>
            <w:hideMark/>
          </w:tcPr>
          <w:p w14:paraId="3A01A05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1.534</w:t>
            </w:r>
          </w:p>
        </w:tc>
        <w:tc>
          <w:tcPr>
            <w:tcW w:w="850" w:type="dxa"/>
            <w:tcBorders>
              <w:top w:val="nil"/>
              <w:left w:val="nil"/>
              <w:bottom w:val="nil"/>
              <w:right w:val="nil"/>
            </w:tcBorders>
            <w:shd w:val="clear" w:color="000000" w:fill="E2EFDA"/>
            <w:vAlign w:val="center"/>
            <w:hideMark/>
          </w:tcPr>
          <w:p w14:paraId="6B70C81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2.026</w:t>
            </w:r>
          </w:p>
        </w:tc>
        <w:tc>
          <w:tcPr>
            <w:tcW w:w="849" w:type="dxa"/>
            <w:tcBorders>
              <w:top w:val="nil"/>
              <w:left w:val="nil"/>
              <w:bottom w:val="nil"/>
              <w:right w:val="nil"/>
            </w:tcBorders>
            <w:shd w:val="clear" w:color="000000" w:fill="E2EFDA"/>
            <w:vAlign w:val="center"/>
            <w:hideMark/>
          </w:tcPr>
          <w:p w14:paraId="60B9648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2.348</w:t>
            </w:r>
          </w:p>
        </w:tc>
        <w:tc>
          <w:tcPr>
            <w:tcW w:w="709" w:type="dxa"/>
            <w:tcBorders>
              <w:top w:val="nil"/>
              <w:left w:val="nil"/>
              <w:bottom w:val="nil"/>
              <w:right w:val="nil"/>
            </w:tcBorders>
            <w:shd w:val="clear" w:color="000000" w:fill="E2EFDA"/>
            <w:vAlign w:val="center"/>
            <w:hideMark/>
          </w:tcPr>
          <w:p w14:paraId="4351D22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2.057</w:t>
            </w:r>
          </w:p>
        </w:tc>
        <w:tc>
          <w:tcPr>
            <w:tcW w:w="709" w:type="dxa"/>
            <w:tcBorders>
              <w:top w:val="nil"/>
              <w:left w:val="nil"/>
              <w:bottom w:val="nil"/>
              <w:right w:val="nil"/>
            </w:tcBorders>
            <w:shd w:val="clear" w:color="000000" w:fill="E2EFDA"/>
            <w:vAlign w:val="center"/>
            <w:hideMark/>
          </w:tcPr>
          <w:p w14:paraId="34F6FBF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1.951</w:t>
            </w:r>
          </w:p>
        </w:tc>
        <w:tc>
          <w:tcPr>
            <w:tcW w:w="708" w:type="dxa"/>
            <w:tcBorders>
              <w:top w:val="nil"/>
              <w:left w:val="nil"/>
              <w:bottom w:val="nil"/>
              <w:right w:val="nil"/>
            </w:tcBorders>
            <w:shd w:val="clear" w:color="000000" w:fill="E2EFDA"/>
            <w:vAlign w:val="center"/>
            <w:hideMark/>
          </w:tcPr>
          <w:p w14:paraId="022D844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2.249</w:t>
            </w:r>
          </w:p>
        </w:tc>
        <w:tc>
          <w:tcPr>
            <w:tcW w:w="577" w:type="dxa"/>
            <w:tcBorders>
              <w:top w:val="nil"/>
              <w:left w:val="nil"/>
              <w:bottom w:val="nil"/>
              <w:right w:val="nil"/>
            </w:tcBorders>
            <w:shd w:val="clear" w:color="000000" w:fill="E2EFDA"/>
            <w:vAlign w:val="center"/>
            <w:hideMark/>
          </w:tcPr>
          <w:p w14:paraId="2739800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2.214</w:t>
            </w:r>
          </w:p>
        </w:tc>
        <w:tc>
          <w:tcPr>
            <w:tcW w:w="563" w:type="dxa"/>
            <w:tcBorders>
              <w:top w:val="nil"/>
              <w:left w:val="nil"/>
              <w:bottom w:val="nil"/>
              <w:right w:val="nil"/>
            </w:tcBorders>
            <w:shd w:val="clear" w:color="000000" w:fill="E2EFDA"/>
            <w:vAlign w:val="center"/>
            <w:hideMark/>
          </w:tcPr>
          <w:p w14:paraId="63F232C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1.566</w:t>
            </w:r>
          </w:p>
        </w:tc>
        <w:tc>
          <w:tcPr>
            <w:tcW w:w="709" w:type="dxa"/>
            <w:tcBorders>
              <w:top w:val="nil"/>
              <w:left w:val="nil"/>
              <w:bottom w:val="nil"/>
              <w:right w:val="nil"/>
            </w:tcBorders>
            <w:shd w:val="clear" w:color="000000" w:fill="E2EFDA"/>
            <w:vAlign w:val="center"/>
            <w:hideMark/>
          </w:tcPr>
          <w:p w14:paraId="5D93457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1,186</w:t>
            </w:r>
          </w:p>
        </w:tc>
      </w:tr>
      <w:tr w:rsidR="00710FC1" w:rsidRPr="00CF50D4" w14:paraId="77948447" w14:textId="77777777" w:rsidTr="00E250FE">
        <w:trPr>
          <w:trHeight w:val="258"/>
          <w:jc w:val="center"/>
        </w:trPr>
        <w:tc>
          <w:tcPr>
            <w:tcW w:w="1840" w:type="dxa"/>
            <w:tcBorders>
              <w:top w:val="nil"/>
              <w:left w:val="nil"/>
              <w:bottom w:val="nil"/>
              <w:right w:val="nil"/>
            </w:tcBorders>
            <w:shd w:val="clear" w:color="000000" w:fill="FFFFFF"/>
            <w:vAlign w:val="center"/>
            <w:hideMark/>
          </w:tcPr>
          <w:p w14:paraId="404E7118"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Universitaria</w:t>
            </w:r>
          </w:p>
        </w:tc>
        <w:tc>
          <w:tcPr>
            <w:tcW w:w="718" w:type="dxa"/>
            <w:tcBorders>
              <w:top w:val="nil"/>
              <w:left w:val="nil"/>
              <w:bottom w:val="nil"/>
              <w:right w:val="nil"/>
            </w:tcBorders>
            <w:shd w:val="clear" w:color="000000" w:fill="FFFFFF"/>
            <w:vAlign w:val="center"/>
            <w:hideMark/>
          </w:tcPr>
          <w:p w14:paraId="1C5587A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2.965</w:t>
            </w:r>
          </w:p>
        </w:tc>
        <w:tc>
          <w:tcPr>
            <w:tcW w:w="699" w:type="dxa"/>
            <w:tcBorders>
              <w:top w:val="nil"/>
              <w:left w:val="nil"/>
              <w:bottom w:val="nil"/>
              <w:right w:val="nil"/>
            </w:tcBorders>
            <w:shd w:val="clear" w:color="000000" w:fill="FFFFFF"/>
            <w:vAlign w:val="center"/>
            <w:hideMark/>
          </w:tcPr>
          <w:p w14:paraId="1841D4A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2.518</w:t>
            </w:r>
          </w:p>
        </w:tc>
        <w:tc>
          <w:tcPr>
            <w:tcW w:w="708" w:type="dxa"/>
            <w:tcBorders>
              <w:top w:val="nil"/>
              <w:left w:val="nil"/>
              <w:bottom w:val="nil"/>
              <w:right w:val="nil"/>
            </w:tcBorders>
            <w:shd w:val="clear" w:color="000000" w:fill="FFFFFF"/>
            <w:vAlign w:val="center"/>
            <w:hideMark/>
          </w:tcPr>
          <w:p w14:paraId="3087F35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3.551</w:t>
            </w:r>
          </w:p>
        </w:tc>
        <w:tc>
          <w:tcPr>
            <w:tcW w:w="709" w:type="dxa"/>
            <w:tcBorders>
              <w:top w:val="nil"/>
              <w:left w:val="nil"/>
              <w:bottom w:val="nil"/>
              <w:right w:val="nil"/>
            </w:tcBorders>
            <w:shd w:val="clear" w:color="000000" w:fill="FFFFFF"/>
            <w:vAlign w:val="center"/>
            <w:hideMark/>
          </w:tcPr>
          <w:p w14:paraId="6A8F474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3.479</w:t>
            </w:r>
          </w:p>
        </w:tc>
        <w:tc>
          <w:tcPr>
            <w:tcW w:w="850" w:type="dxa"/>
            <w:tcBorders>
              <w:top w:val="nil"/>
              <w:left w:val="nil"/>
              <w:bottom w:val="nil"/>
              <w:right w:val="nil"/>
            </w:tcBorders>
            <w:shd w:val="clear" w:color="000000" w:fill="FFFFFF"/>
            <w:vAlign w:val="center"/>
            <w:hideMark/>
          </w:tcPr>
          <w:p w14:paraId="15AED74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3.45</w:t>
            </w:r>
          </w:p>
        </w:tc>
        <w:tc>
          <w:tcPr>
            <w:tcW w:w="849" w:type="dxa"/>
            <w:tcBorders>
              <w:top w:val="nil"/>
              <w:left w:val="nil"/>
              <w:bottom w:val="nil"/>
              <w:right w:val="nil"/>
            </w:tcBorders>
            <w:shd w:val="clear" w:color="000000" w:fill="FFFFFF"/>
            <w:vAlign w:val="center"/>
            <w:hideMark/>
          </w:tcPr>
          <w:p w14:paraId="6F864A4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3.349</w:t>
            </w:r>
          </w:p>
        </w:tc>
        <w:tc>
          <w:tcPr>
            <w:tcW w:w="709" w:type="dxa"/>
            <w:tcBorders>
              <w:top w:val="nil"/>
              <w:left w:val="nil"/>
              <w:bottom w:val="nil"/>
              <w:right w:val="nil"/>
            </w:tcBorders>
            <w:shd w:val="clear" w:color="000000" w:fill="FFFFFF"/>
            <w:vAlign w:val="center"/>
            <w:hideMark/>
          </w:tcPr>
          <w:p w14:paraId="0DDCBDE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4.056</w:t>
            </w:r>
          </w:p>
        </w:tc>
        <w:tc>
          <w:tcPr>
            <w:tcW w:w="709" w:type="dxa"/>
            <w:tcBorders>
              <w:top w:val="nil"/>
              <w:left w:val="nil"/>
              <w:bottom w:val="nil"/>
              <w:right w:val="nil"/>
            </w:tcBorders>
            <w:shd w:val="clear" w:color="000000" w:fill="FFFFFF"/>
            <w:vAlign w:val="center"/>
            <w:hideMark/>
          </w:tcPr>
          <w:p w14:paraId="686DB8E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4.142</w:t>
            </w:r>
          </w:p>
        </w:tc>
        <w:tc>
          <w:tcPr>
            <w:tcW w:w="708" w:type="dxa"/>
            <w:tcBorders>
              <w:top w:val="nil"/>
              <w:left w:val="nil"/>
              <w:bottom w:val="nil"/>
              <w:right w:val="nil"/>
            </w:tcBorders>
            <w:shd w:val="clear" w:color="000000" w:fill="FFFFFF"/>
            <w:vAlign w:val="center"/>
            <w:hideMark/>
          </w:tcPr>
          <w:p w14:paraId="545B776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4.485</w:t>
            </w:r>
          </w:p>
        </w:tc>
        <w:tc>
          <w:tcPr>
            <w:tcW w:w="577" w:type="dxa"/>
            <w:tcBorders>
              <w:top w:val="nil"/>
              <w:left w:val="nil"/>
              <w:bottom w:val="nil"/>
              <w:right w:val="nil"/>
            </w:tcBorders>
            <w:shd w:val="clear" w:color="000000" w:fill="FFFFFF"/>
            <w:vAlign w:val="center"/>
            <w:hideMark/>
          </w:tcPr>
          <w:p w14:paraId="540032B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4.366</w:t>
            </w:r>
          </w:p>
        </w:tc>
        <w:tc>
          <w:tcPr>
            <w:tcW w:w="563" w:type="dxa"/>
            <w:tcBorders>
              <w:top w:val="nil"/>
              <w:left w:val="nil"/>
              <w:bottom w:val="nil"/>
              <w:right w:val="nil"/>
            </w:tcBorders>
            <w:shd w:val="clear" w:color="000000" w:fill="FFFFFF"/>
            <w:vAlign w:val="center"/>
            <w:hideMark/>
          </w:tcPr>
          <w:p w14:paraId="26A7365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4.354</w:t>
            </w:r>
          </w:p>
        </w:tc>
        <w:tc>
          <w:tcPr>
            <w:tcW w:w="709" w:type="dxa"/>
            <w:tcBorders>
              <w:top w:val="nil"/>
              <w:left w:val="nil"/>
              <w:bottom w:val="nil"/>
              <w:right w:val="nil"/>
            </w:tcBorders>
            <w:shd w:val="clear" w:color="000000" w:fill="FFFFFF"/>
            <w:vAlign w:val="center"/>
            <w:hideMark/>
          </w:tcPr>
          <w:p w14:paraId="77DD15A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2,376</w:t>
            </w:r>
          </w:p>
        </w:tc>
      </w:tr>
      <w:tr w:rsidR="00710FC1" w:rsidRPr="00CF50D4" w14:paraId="3ABE2BF0" w14:textId="77777777" w:rsidTr="00E250FE">
        <w:trPr>
          <w:trHeight w:val="315"/>
          <w:jc w:val="center"/>
        </w:trPr>
        <w:tc>
          <w:tcPr>
            <w:tcW w:w="1840" w:type="dxa"/>
            <w:tcBorders>
              <w:top w:val="nil"/>
              <w:left w:val="nil"/>
              <w:bottom w:val="nil"/>
              <w:right w:val="nil"/>
            </w:tcBorders>
            <w:shd w:val="clear" w:color="000000" w:fill="E2EFDA"/>
            <w:vAlign w:val="center"/>
            <w:hideMark/>
          </w:tcPr>
          <w:p w14:paraId="17A3851E" w14:textId="77777777" w:rsidR="00710FC1" w:rsidRPr="00CF50D4" w:rsidRDefault="00710FC1"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Posgrado</w:t>
            </w:r>
          </w:p>
        </w:tc>
        <w:tc>
          <w:tcPr>
            <w:tcW w:w="718" w:type="dxa"/>
            <w:tcBorders>
              <w:top w:val="nil"/>
              <w:left w:val="nil"/>
              <w:bottom w:val="nil"/>
              <w:right w:val="nil"/>
            </w:tcBorders>
            <w:shd w:val="clear" w:color="000000" w:fill="E2EFDA"/>
            <w:vAlign w:val="center"/>
            <w:hideMark/>
          </w:tcPr>
          <w:p w14:paraId="773683F8"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2.72</w:t>
            </w:r>
          </w:p>
        </w:tc>
        <w:tc>
          <w:tcPr>
            <w:tcW w:w="699" w:type="dxa"/>
            <w:tcBorders>
              <w:top w:val="nil"/>
              <w:left w:val="nil"/>
              <w:bottom w:val="nil"/>
              <w:right w:val="nil"/>
            </w:tcBorders>
            <w:shd w:val="clear" w:color="000000" w:fill="E2EFDA"/>
            <w:vAlign w:val="center"/>
            <w:hideMark/>
          </w:tcPr>
          <w:p w14:paraId="0171CA84"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1.98</w:t>
            </w:r>
          </w:p>
        </w:tc>
        <w:tc>
          <w:tcPr>
            <w:tcW w:w="708" w:type="dxa"/>
            <w:tcBorders>
              <w:top w:val="nil"/>
              <w:left w:val="nil"/>
              <w:bottom w:val="nil"/>
              <w:right w:val="nil"/>
            </w:tcBorders>
            <w:shd w:val="clear" w:color="000000" w:fill="E2EFDA"/>
            <w:vAlign w:val="center"/>
            <w:hideMark/>
          </w:tcPr>
          <w:p w14:paraId="0572E28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2.535</w:t>
            </w:r>
          </w:p>
        </w:tc>
        <w:tc>
          <w:tcPr>
            <w:tcW w:w="709" w:type="dxa"/>
            <w:tcBorders>
              <w:top w:val="nil"/>
              <w:left w:val="nil"/>
              <w:bottom w:val="nil"/>
              <w:right w:val="nil"/>
            </w:tcBorders>
            <w:shd w:val="clear" w:color="000000" w:fill="E2EFDA"/>
            <w:vAlign w:val="center"/>
            <w:hideMark/>
          </w:tcPr>
          <w:p w14:paraId="23690DD8"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2.189</w:t>
            </w:r>
          </w:p>
        </w:tc>
        <w:tc>
          <w:tcPr>
            <w:tcW w:w="850" w:type="dxa"/>
            <w:tcBorders>
              <w:top w:val="nil"/>
              <w:left w:val="nil"/>
              <w:bottom w:val="nil"/>
              <w:right w:val="nil"/>
            </w:tcBorders>
            <w:shd w:val="clear" w:color="000000" w:fill="E2EFDA"/>
            <w:vAlign w:val="center"/>
            <w:hideMark/>
          </w:tcPr>
          <w:p w14:paraId="1044CA4E"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2.028</w:t>
            </w:r>
          </w:p>
        </w:tc>
        <w:tc>
          <w:tcPr>
            <w:tcW w:w="849" w:type="dxa"/>
            <w:tcBorders>
              <w:top w:val="nil"/>
              <w:left w:val="nil"/>
              <w:bottom w:val="nil"/>
              <w:right w:val="nil"/>
            </w:tcBorders>
            <w:shd w:val="clear" w:color="000000" w:fill="E2EFDA"/>
            <w:vAlign w:val="center"/>
            <w:hideMark/>
          </w:tcPr>
          <w:p w14:paraId="3A11DAAE"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2.3</w:t>
            </w:r>
          </w:p>
        </w:tc>
        <w:tc>
          <w:tcPr>
            <w:tcW w:w="709" w:type="dxa"/>
            <w:tcBorders>
              <w:top w:val="nil"/>
              <w:left w:val="nil"/>
              <w:bottom w:val="nil"/>
              <w:right w:val="nil"/>
            </w:tcBorders>
            <w:shd w:val="clear" w:color="000000" w:fill="E2EFDA"/>
            <w:vAlign w:val="center"/>
            <w:hideMark/>
          </w:tcPr>
          <w:p w14:paraId="59FF1A3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2.386</w:t>
            </w:r>
          </w:p>
        </w:tc>
        <w:tc>
          <w:tcPr>
            <w:tcW w:w="709" w:type="dxa"/>
            <w:tcBorders>
              <w:top w:val="nil"/>
              <w:left w:val="nil"/>
              <w:bottom w:val="nil"/>
              <w:right w:val="nil"/>
            </w:tcBorders>
            <w:shd w:val="clear" w:color="000000" w:fill="E2EFDA"/>
            <w:vAlign w:val="center"/>
            <w:hideMark/>
          </w:tcPr>
          <w:p w14:paraId="2A9D9FC6"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2.564</w:t>
            </w:r>
          </w:p>
        </w:tc>
        <w:tc>
          <w:tcPr>
            <w:tcW w:w="708" w:type="dxa"/>
            <w:tcBorders>
              <w:top w:val="nil"/>
              <w:left w:val="nil"/>
              <w:bottom w:val="nil"/>
              <w:right w:val="nil"/>
            </w:tcBorders>
            <w:shd w:val="clear" w:color="000000" w:fill="E2EFDA"/>
            <w:vAlign w:val="center"/>
            <w:hideMark/>
          </w:tcPr>
          <w:p w14:paraId="7C074911"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3.275</w:t>
            </w:r>
          </w:p>
        </w:tc>
        <w:tc>
          <w:tcPr>
            <w:tcW w:w="577" w:type="dxa"/>
            <w:tcBorders>
              <w:top w:val="nil"/>
              <w:left w:val="nil"/>
              <w:bottom w:val="nil"/>
              <w:right w:val="nil"/>
            </w:tcBorders>
            <w:shd w:val="clear" w:color="000000" w:fill="E2EFDA"/>
            <w:vAlign w:val="center"/>
            <w:hideMark/>
          </w:tcPr>
          <w:p w14:paraId="3E8AFEB9"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2.644</w:t>
            </w:r>
          </w:p>
        </w:tc>
        <w:tc>
          <w:tcPr>
            <w:tcW w:w="563" w:type="dxa"/>
            <w:tcBorders>
              <w:top w:val="nil"/>
              <w:left w:val="nil"/>
              <w:bottom w:val="nil"/>
              <w:right w:val="nil"/>
            </w:tcBorders>
            <w:shd w:val="clear" w:color="000000" w:fill="E2EFDA"/>
            <w:vAlign w:val="center"/>
            <w:hideMark/>
          </w:tcPr>
          <w:p w14:paraId="755AC842"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2.423</w:t>
            </w:r>
          </w:p>
        </w:tc>
        <w:tc>
          <w:tcPr>
            <w:tcW w:w="709" w:type="dxa"/>
            <w:tcBorders>
              <w:top w:val="nil"/>
              <w:left w:val="nil"/>
              <w:bottom w:val="nil"/>
              <w:right w:val="nil"/>
            </w:tcBorders>
            <w:shd w:val="clear" w:color="000000" w:fill="E2EFDA"/>
            <w:vAlign w:val="center"/>
            <w:hideMark/>
          </w:tcPr>
          <w:p w14:paraId="36C19000"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1,367</w:t>
            </w:r>
          </w:p>
        </w:tc>
      </w:tr>
      <w:tr w:rsidR="00710FC1" w:rsidRPr="00CF50D4" w14:paraId="5E55EB42" w14:textId="77777777" w:rsidTr="00E250FE">
        <w:trPr>
          <w:trHeight w:val="252"/>
          <w:jc w:val="center"/>
        </w:trPr>
        <w:tc>
          <w:tcPr>
            <w:tcW w:w="1840" w:type="dxa"/>
            <w:tcBorders>
              <w:top w:val="nil"/>
              <w:left w:val="nil"/>
              <w:bottom w:val="nil"/>
              <w:right w:val="nil"/>
            </w:tcBorders>
            <w:shd w:val="clear" w:color="000000" w:fill="FFFFFF"/>
            <w:vAlign w:val="center"/>
            <w:hideMark/>
          </w:tcPr>
          <w:p w14:paraId="2CA86B28"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Especialización</w:t>
            </w:r>
          </w:p>
        </w:tc>
        <w:tc>
          <w:tcPr>
            <w:tcW w:w="718" w:type="dxa"/>
            <w:tcBorders>
              <w:top w:val="nil"/>
              <w:left w:val="nil"/>
              <w:bottom w:val="nil"/>
              <w:right w:val="nil"/>
            </w:tcBorders>
            <w:shd w:val="clear" w:color="000000" w:fill="FFFFFF"/>
            <w:vAlign w:val="center"/>
            <w:hideMark/>
          </w:tcPr>
          <w:p w14:paraId="5423B69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2.308</w:t>
            </w:r>
          </w:p>
        </w:tc>
        <w:tc>
          <w:tcPr>
            <w:tcW w:w="699" w:type="dxa"/>
            <w:tcBorders>
              <w:top w:val="nil"/>
              <w:left w:val="nil"/>
              <w:bottom w:val="nil"/>
              <w:right w:val="nil"/>
            </w:tcBorders>
            <w:shd w:val="clear" w:color="000000" w:fill="FFFFFF"/>
            <w:vAlign w:val="center"/>
            <w:hideMark/>
          </w:tcPr>
          <w:p w14:paraId="7921CA7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1.647</w:t>
            </w:r>
          </w:p>
        </w:tc>
        <w:tc>
          <w:tcPr>
            <w:tcW w:w="708" w:type="dxa"/>
            <w:tcBorders>
              <w:top w:val="nil"/>
              <w:left w:val="nil"/>
              <w:bottom w:val="nil"/>
              <w:right w:val="nil"/>
            </w:tcBorders>
            <w:shd w:val="clear" w:color="000000" w:fill="FFFFFF"/>
            <w:vAlign w:val="center"/>
            <w:hideMark/>
          </w:tcPr>
          <w:p w14:paraId="2061868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1.876</w:t>
            </w:r>
          </w:p>
        </w:tc>
        <w:tc>
          <w:tcPr>
            <w:tcW w:w="709" w:type="dxa"/>
            <w:tcBorders>
              <w:top w:val="nil"/>
              <w:left w:val="nil"/>
              <w:bottom w:val="nil"/>
              <w:right w:val="nil"/>
            </w:tcBorders>
            <w:shd w:val="clear" w:color="000000" w:fill="FFFFFF"/>
            <w:vAlign w:val="center"/>
            <w:hideMark/>
          </w:tcPr>
          <w:p w14:paraId="5873E68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1.24</w:t>
            </w:r>
          </w:p>
        </w:tc>
        <w:tc>
          <w:tcPr>
            <w:tcW w:w="850" w:type="dxa"/>
            <w:tcBorders>
              <w:top w:val="nil"/>
              <w:left w:val="nil"/>
              <w:bottom w:val="nil"/>
              <w:right w:val="nil"/>
            </w:tcBorders>
            <w:shd w:val="clear" w:color="000000" w:fill="FFFFFF"/>
            <w:vAlign w:val="center"/>
            <w:hideMark/>
          </w:tcPr>
          <w:p w14:paraId="715EB26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1.193</w:t>
            </w:r>
          </w:p>
        </w:tc>
        <w:tc>
          <w:tcPr>
            <w:tcW w:w="849" w:type="dxa"/>
            <w:tcBorders>
              <w:top w:val="nil"/>
              <w:left w:val="nil"/>
              <w:bottom w:val="nil"/>
              <w:right w:val="nil"/>
            </w:tcBorders>
            <w:shd w:val="clear" w:color="000000" w:fill="FFFFFF"/>
            <w:vAlign w:val="center"/>
            <w:hideMark/>
          </w:tcPr>
          <w:p w14:paraId="58F048C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1.389</w:t>
            </w:r>
          </w:p>
        </w:tc>
        <w:tc>
          <w:tcPr>
            <w:tcW w:w="709" w:type="dxa"/>
            <w:tcBorders>
              <w:top w:val="nil"/>
              <w:left w:val="nil"/>
              <w:bottom w:val="nil"/>
              <w:right w:val="nil"/>
            </w:tcBorders>
            <w:shd w:val="clear" w:color="000000" w:fill="FFFFFF"/>
            <w:vAlign w:val="center"/>
            <w:hideMark/>
          </w:tcPr>
          <w:p w14:paraId="1524EF4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1.444</w:t>
            </w:r>
          </w:p>
        </w:tc>
        <w:tc>
          <w:tcPr>
            <w:tcW w:w="709" w:type="dxa"/>
            <w:tcBorders>
              <w:top w:val="nil"/>
              <w:left w:val="nil"/>
              <w:bottom w:val="nil"/>
              <w:right w:val="nil"/>
            </w:tcBorders>
            <w:shd w:val="clear" w:color="000000" w:fill="FFFFFF"/>
            <w:vAlign w:val="center"/>
            <w:hideMark/>
          </w:tcPr>
          <w:p w14:paraId="44FB7F3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1.403</w:t>
            </w:r>
          </w:p>
        </w:tc>
        <w:tc>
          <w:tcPr>
            <w:tcW w:w="708" w:type="dxa"/>
            <w:tcBorders>
              <w:top w:val="nil"/>
              <w:left w:val="nil"/>
              <w:bottom w:val="nil"/>
              <w:right w:val="nil"/>
            </w:tcBorders>
            <w:shd w:val="clear" w:color="000000" w:fill="FFFFFF"/>
            <w:vAlign w:val="center"/>
            <w:hideMark/>
          </w:tcPr>
          <w:p w14:paraId="7F4BF1F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1.812</w:t>
            </w:r>
          </w:p>
        </w:tc>
        <w:tc>
          <w:tcPr>
            <w:tcW w:w="577" w:type="dxa"/>
            <w:tcBorders>
              <w:top w:val="nil"/>
              <w:left w:val="nil"/>
              <w:bottom w:val="nil"/>
              <w:right w:val="nil"/>
            </w:tcBorders>
            <w:shd w:val="clear" w:color="000000" w:fill="FFFFFF"/>
            <w:vAlign w:val="center"/>
            <w:hideMark/>
          </w:tcPr>
          <w:p w14:paraId="1F8F59A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1.52</w:t>
            </w:r>
          </w:p>
        </w:tc>
        <w:tc>
          <w:tcPr>
            <w:tcW w:w="563" w:type="dxa"/>
            <w:tcBorders>
              <w:top w:val="nil"/>
              <w:left w:val="nil"/>
              <w:bottom w:val="nil"/>
              <w:right w:val="nil"/>
            </w:tcBorders>
            <w:shd w:val="clear" w:color="000000" w:fill="FFFFFF"/>
            <w:vAlign w:val="center"/>
            <w:hideMark/>
          </w:tcPr>
          <w:p w14:paraId="596FB82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1.426</w:t>
            </w:r>
          </w:p>
        </w:tc>
        <w:tc>
          <w:tcPr>
            <w:tcW w:w="709" w:type="dxa"/>
            <w:tcBorders>
              <w:top w:val="nil"/>
              <w:left w:val="nil"/>
              <w:bottom w:val="nil"/>
              <w:right w:val="nil"/>
            </w:tcBorders>
            <w:shd w:val="clear" w:color="000000" w:fill="FFFFFF"/>
            <w:vAlign w:val="center"/>
            <w:hideMark/>
          </w:tcPr>
          <w:p w14:paraId="2DF9AC5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859</w:t>
            </w:r>
          </w:p>
        </w:tc>
      </w:tr>
      <w:tr w:rsidR="00710FC1" w:rsidRPr="00CF50D4" w14:paraId="18A75051" w14:textId="77777777" w:rsidTr="00E250FE">
        <w:trPr>
          <w:trHeight w:val="315"/>
          <w:jc w:val="center"/>
        </w:trPr>
        <w:tc>
          <w:tcPr>
            <w:tcW w:w="1840" w:type="dxa"/>
            <w:tcBorders>
              <w:top w:val="nil"/>
              <w:left w:val="nil"/>
              <w:bottom w:val="nil"/>
              <w:right w:val="nil"/>
            </w:tcBorders>
            <w:shd w:val="clear" w:color="000000" w:fill="E2EFDA"/>
            <w:vAlign w:val="center"/>
            <w:hideMark/>
          </w:tcPr>
          <w:p w14:paraId="212F38C4"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lastRenderedPageBreak/>
              <w:t>Maestría</w:t>
            </w:r>
          </w:p>
        </w:tc>
        <w:tc>
          <w:tcPr>
            <w:tcW w:w="718" w:type="dxa"/>
            <w:tcBorders>
              <w:top w:val="nil"/>
              <w:left w:val="nil"/>
              <w:bottom w:val="nil"/>
              <w:right w:val="nil"/>
            </w:tcBorders>
            <w:shd w:val="clear" w:color="000000" w:fill="E2EFDA"/>
            <w:vAlign w:val="center"/>
            <w:hideMark/>
          </w:tcPr>
          <w:p w14:paraId="2BA17F5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403</w:t>
            </w:r>
          </w:p>
        </w:tc>
        <w:tc>
          <w:tcPr>
            <w:tcW w:w="699" w:type="dxa"/>
            <w:tcBorders>
              <w:top w:val="nil"/>
              <w:left w:val="nil"/>
              <w:bottom w:val="nil"/>
              <w:right w:val="nil"/>
            </w:tcBorders>
            <w:shd w:val="clear" w:color="000000" w:fill="E2EFDA"/>
            <w:vAlign w:val="center"/>
            <w:hideMark/>
          </w:tcPr>
          <w:p w14:paraId="6D9FC33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317</w:t>
            </w:r>
          </w:p>
        </w:tc>
        <w:tc>
          <w:tcPr>
            <w:tcW w:w="708" w:type="dxa"/>
            <w:tcBorders>
              <w:top w:val="nil"/>
              <w:left w:val="nil"/>
              <w:bottom w:val="nil"/>
              <w:right w:val="nil"/>
            </w:tcBorders>
            <w:shd w:val="clear" w:color="000000" w:fill="E2EFDA"/>
            <w:vAlign w:val="center"/>
            <w:hideMark/>
          </w:tcPr>
          <w:p w14:paraId="250FEF5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637</w:t>
            </w:r>
          </w:p>
        </w:tc>
        <w:tc>
          <w:tcPr>
            <w:tcW w:w="709" w:type="dxa"/>
            <w:tcBorders>
              <w:top w:val="nil"/>
              <w:left w:val="nil"/>
              <w:bottom w:val="nil"/>
              <w:right w:val="nil"/>
            </w:tcBorders>
            <w:shd w:val="clear" w:color="000000" w:fill="E2EFDA"/>
            <w:vAlign w:val="center"/>
            <w:hideMark/>
          </w:tcPr>
          <w:p w14:paraId="6F5CB90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925</w:t>
            </w:r>
          </w:p>
        </w:tc>
        <w:tc>
          <w:tcPr>
            <w:tcW w:w="850" w:type="dxa"/>
            <w:tcBorders>
              <w:top w:val="nil"/>
              <w:left w:val="nil"/>
              <w:bottom w:val="nil"/>
              <w:right w:val="nil"/>
            </w:tcBorders>
            <w:shd w:val="clear" w:color="000000" w:fill="E2EFDA"/>
            <w:vAlign w:val="center"/>
            <w:hideMark/>
          </w:tcPr>
          <w:p w14:paraId="53337A7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805</w:t>
            </w:r>
          </w:p>
        </w:tc>
        <w:tc>
          <w:tcPr>
            <w:tcW w:w="849" w:type="dxa"/>
            <w:tcBorders>
              <w:top w:val="nil"/>
              <w:left w:val="nil"/>
              <w:bottom w:val="nil"/>
              <w:right w:val="nil"/>
            </w:tcBorders>
            <w:shd w:val="clear" w:color="000000" w:fill="E2EFDA"/>
            <w:vAlign w:val="center"/>
            <w:hideMark/>
          </w:tcPr>
          <w:p w14:paraId="78EE0C2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887</w:t>
            </w:r>
          </w:p>
        </w:tc>
        <w:tc>
          <w:tcPr>
            <w:tcW w:w="709" w:type="dxa"/>
            <w:tcBorders>
              <w:top w:val="nil"/>
              <w:left w:val="nil"/>
              <w:bottom w:val="nil"/>
              <w:right w:val="nil"/>
            </w:tcBorders>
            <w:shd w:val="clear" w:color="000000" w:fill="E2EFDA"/>
            <w:vAlign w:val="center"/>
            <w:hideMark/>
          </w:tcPr>
          <w:p w14:paraId="5F554E1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893</w:t>
            </w:r>
          </w:p>
        </w:tc>
        <w:tc>
          <w:tcPr>
            <w:tcW w:w="709" w:type="dxa"/>
            <w:tcBorders>
              <w:top w:val="nil"/>
              <w:left w:val="nil"/>
              <w:bottom w:val="nil"/>
              <w:right w:val="nil"/>
            </w:tcBorders>
            <w:shd w:val="clear" w:color="000000" w:fill="E2EFDA"/>
            <w:vAlign w:val="center"/>
            <w:hideMark/>
          </w:tcPr>
          <w:p w14:paraId="66A0E5F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1.119</w:t>
            </w:r>
          </w:p>
        </w:tc>
        <w:tc>
          <w:tcPr>
            <w:tcW w:w="708" w:type="dxa"/>
            <w:tcBorders>
              <w:top w:val="nil"/>
              <w:left w:val="nil"/>
              <w:bottom w:val="nil"/>
              <w:right w:val="nil"/>
            </w:tcBorders>
            <w:shd w:val="clear" w:color="000000" w:fill="E2EFDA"/>
            <w:vAlign w:val="center"/>
            <w:hideMark/>
          </w:tcPr>
          <w:p w14:paraId="45A36EB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1.399</w:t>
            </w:r>
          </w:p>
        </w:tc>
        <w:tc>
          <w:tcPr>
            <w:tcW w:w="577" w:type="dxa"/>
            <w:tcBorders>
              <w:top w:val="nil"/>
              <w:left w:val="nil"/>
              <w:bottom w:val="nil"/>
              <w:right w:val="nil"/>
            </w:tcBorders>
            <w:shd w:val="clear" w:color="000000" w:fill="E2EFDA"/>
            <w:vAlign w:val="center"/>
            <w:hideMark/>
          </w:tcPr>
          <w:p w14:paraId="29DAC2C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1.064</w:t>
            </w:r>
          </w:p>
        </w:tc>
        <w:tc>
          <w:tcPr>
            <w:tcW w:w="563" w:type="dxa"/>
            <w:tcBorders>
              <w:top w:val="nil"/>
              <w:left w:val="nil"/>
              <w:bottom w:val="nil"/>
              <w:right w:val="nil"/>
            </w:tcBorders>
            <w:shd w:val="clear" w:color="000000" w:fill="E2EFDA"/>
            <w:vAlign w:val="center"/>
            <w:hideMark/>
          </w:tcPr>
          <w:p w14:paraId="486F793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922</w:t>
            </w:r>
          </w:p>
        </w:tc>
        <w:tc>
          <w:tcPr>
            <w:tcW w:w="709" w:type="dxa"/>
            <w:tcBorders>
              <w:top w:val="nil"/>
              <w:left w:val="nil"/>
              <w:bottom w:val="nil"/>
              <w:right w:val="nil"/>
            </w:tcBorders>
            <w:shd w:val="clear" w:color="000000" w:fill="E2EFDA"/>
            <w:vAlign w:val="center"/>
            <w:hideMark/>
          </w:tcPr>
          <w:p w14:paraId="778A889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475</w:t>
            </w:r>
          </w:p>
        </w:tc>
      </w:tr>
      <w:tr w:rsidR="00710FC1" w:rsidRPr="00CF50D4" w14:paraId="45C12D25" w14:textId="77777777" w:rsidTr="00E250FE">
        <w:trPr>
          <w:trHeight w:val="315"/>
          <w:jc w:val="center"/>
        </w:trPr>
        <w:tc>
          <w:tcPr>
            <w:tcW w:w="1840" w:type="dxa"/>
            <w:tcBorders>
              <w:top w:val="nil"/>
              <w:left w:val="nil"/>
              <w:bottom w:val="nil"/>
              <w:right w:val="nil"/>
            </w:tcBorders>
            <w:shd w:val="clear" w:color="000000" w:fill="FFFFFF"/>
            <w:vAlign w:val="center"/>
            <w:hideMark/>
          </w:tcPr>
          <w:p w14:paraId="65C0FB48"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Doctorado</w:t>
            </w:r>
          </w:p>
        </w:tc>
        <w:tc>
          <w:tcPr>
            <w:tcW w:w="718" w:type="dxa"/>
            <w:tcBorders>
              <w:top w:val="nil"/>
              <w:left w:val="nil"/>
              <w:bottom w:val="nil"/>
              <w:right w:val="nil"/>
            </w:tcBorders>
            <w:shd w:val="clear" w:color="000000" w:fill="FFFFFF"/>
            <w:vAlign w:val="center"/>
            <w:hideMark/>
          </w:tcPr>
          <w:p w14:paraId="3774DA6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w:t>
            </w:r>
          </w:p>
        </w:tc>
        <w:tc>
          <w:tcPr>
            <w:tcW w:w="699" w:type="dxa"/>
            <w:tcBorders>
              <w:top w:val="nil"/>
              <w:left w:val="nil"/>
              <w:bottom w:val="nil"/>
              <w:right w:val="nil"/>
            </w:tcBorders>
            <w:shd w:val="clear" w:color="000000" w:fill="FFFFFF"/>
            <w:vAlign w:val="center"/>
            <w:hideMark/>
          </w:tcPr>
          <w:p w14:paraId="18EBE58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w:t>
            </w:r>
          </w:p>
        </w:tc>
        <w:tc>
          <w:tcPr>
            <w:tcW w:w="708" w:type="dxa"/>
            <w:tcBorders>
              <w:top w:val="nil"/>
              <w:left w:val="nil"/>
              <w:bottom w:val="nil"/>
              <w:right w:val="nil"/>
            </w:tcBorders>
            <w:shd w:val="clear" w:color="000000" w:fill="FFFFFF"/>
            <w:vAlign w:val="center"/>
            <w:hideMark/>
          </w:tcPr>
          <w:p w14:paraId="2CD06D4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22</w:t>
            </w:r>
          </w:p>
        </w:tc>
        <w:tc>
          <w:tcPr>
            <w:tcW w:w="709" w:type="dxa"/>
            <w:tcBorders>
              <w:top w:val="nil"/>
              <w:left w:val="nil"/>
              <w:bottom w:val="nil"/>
              <w:right w:val="nil"/>
            </w:tcBorders>
            <w:shd w:val="clear" w:color="000000" w:fill="FFFFFF"/>
            <w:vAlign w:val="center"/>
            <w:hideMark/>
          </w:tcPr>
          <w:p w14:paraId="52FC96A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w:t>
            </w:r>
          </w:p>
        </w:tc>
        <w:tc>
          <w:tcPr>
            <w:tcW w:w="850" w:type="dxa"/>
            <w:tcBorders>
              <w:top w:val="nil"/>
              <w:left w:val="nil"/>
              <w:bottom w:val="nil"/>
              <w:right w:val="nil"/>
            </w:tcBorders>
            <w:shd w:val="clear" w:color="000000" w:fill="FFFFFF"/>
            <w:vAlign w:val="center"/>
            <w:hideMark/>
          </w:tcPr>
          <w:p w14:paraId="3F2C736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30</w:t>
            </w:r>
          </w:p>
        </w:tc>
        <w:tc>
          <w:tcPr>
            <w:tcW w:w="849" w:type="dxa"/>
            <w:tcBorders>
              <w:top w:val="nil"/>
              <w:left w:val="nil"/>
              <w:bottom w:val="nil"/>
              <w:right w:val="nil"/>
            </w:tcBorders>
            <w:shd w:val="clear" w:color="000000" w:fill="FFFFFF"/>
            <w:vAlign w:val="center"/>
            <w:hideMark/>
          </w:tcPr>
          <w:p w14:paraId="27546ED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w:t>
            </w:r>
          </w:p>
        </w:tc>
        <w:tc>
          <w:tcPr>
            <w:tcW w:w="709" w:type="dxa"/>
            <w:tcBorders>
              <w:top w:val="nil"/>
              <w:left w:val="nil"/>
              <w:bottom w:val="nil"/>
              <w:right w:val="nil"/>
            </w:tcBorders>
            <w:shd w:val="clear" w:color="000000" w:fill="FFFFFF"/>
            <w:vAlign w:val="center"/>
            <w:hideMark/>
          </w:tcPr>
          <w:p w14:paraId="6D2C227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49</w:t>
            </w:r>
          </w:p>
        </w:tc>
        <w:tc>
          <w:tcPr>
            <w:tcW w:w="709" w:type="dxa"/>
            <w:tcBorders>
              <w:top w:val="nil"/>
              <w:left w:val="nil"/>
              <w:bottom w:val="nil"/>
              <w:right w:val="nil"/>
            </w:tcBorders>
            <w:shd w:val="clear" w:color="000000" w:fill="FFFFFF"/>
            <w:vAlign w:val="center"/>
            <w:hideMark/>
          </w:tcPr>
          <w:p w14:paraId="51320CB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42</w:t>
            </w:r>
          </w:p>
        </w:tc>
        <w:tc>
          <w:tcPr>
            <w:tcW w:w="708" w:type="dxa"/>
            <w:tcBorders>
              <w:top w:val="nil"/>
              <w:left w:val="nil"/>
              <w:bottom w:val="nil"/>
              <w:right w:val="nil"/>
            </w:tcBorders>
            <w:shd w:val="clear" w:color="000000" w:fill="FFFFFF"/>
            <w:vAlign w:val="center"/>
            <w:hideMark/>
          </w:tcPr>
          <w:p w14:paraId="081E7CD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64</w:t>
            </w:r>
          </w:p>
        </w:tc>
        <w:tc>
          <w:tcPr>
            <w:tcW w:w="577" w:type="dxa"/>
            <w:tcBorders>
              <w:top w:val="nil"/>
              <w:left w:val="nil"/>
              <w:bottom w:val="nil"/>
              <w:right w:val="nil"/>
            </w:tcBorders>
            <w:shd w:val="clear" w:color="000000" w:fill="FFFFFF"/>
            <w:vAlign w:val="center"/>
            <w:hideMark/>
          </w:tcPr>
          <w:p w14:paraId="14A8B62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60</w:t>
            </w:r>
          </w:p>
        </w:tc>
        <w:tc>
          <w:tcPr>
            <w:tcW w:w="563" w:type="dxa"/>
            <w:tcBorders>
              <w:top w:val="nil"/>
              <w:left w:val="nil"/>
              <w:bottom w:val="nil"/>
              <w:right w:val="nil"/>
            </w:tcBorders>
            <w:shd w:val="clear" w:color="000000" w:fill="FFFFFF"/>
            <w:vAlign w:val="center"/>
            <w:hideMark/>
          </w:tcPr>
          <w:p w14:paraId="275FB7E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75</w:t>
            </w:r>
          </w:p>
        </w:tc>
        <w:tc>
          <w:tcPr>
            <w:tcW w:w="709" w:type="dxa"/>
            <w:tcBorders>
              <w:top w:val="nil"/>
              <w:left w:val="nil"/>
              <w:bottom w:val="nil"/>
              <w:right w:val="nil"/>
            </w:tcBorders>
            <w:shd w:val="clear" w:color="000000" w:fill="FFFFFF"/>
            <w:vAlign w:val="center"/>
            <w:hideMark/>
          </w:tcPr>
          <w:p w14:paraId="1E1FD1D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w:t>
            </w:r>
          </w:p>
        </w:tc>
      </w:tr>
      <w:tr w:rsidR="00710FC1" w:rsidRPr="00CF50D4" w14:paraId="1A22753D" w14:textId="77777777" w:rsidTr="00E250FE">
        <w:trPr>
          <w:trHeight w:val="315"/>
          <w:jc w:val="center"/>
        </w:trPr>
        <w:tc>
          <w:tcPr>
            <w:tcW w:w="1840" w:type="dxa"/>
            <w:tcBorders>
              <w:top w:val="nil"/>
              <w:left w:val="nil"/>
              <w:bottom w:val="nil"/>
              <w:right w:val="nil"/>
            </w:tcBorders>
            <w:shd w:val="clear" w:color="000000" w:fill="E2EFDA"/>
            <w:vAlign w:val="center"/>
            <w:hideMark/>
          </w:tcPr>
          <w:p w14:paraId="1EEDC5B3" w14:textId="77777777" w:rsidR="00710FC1" w:rsidRPr="00CF50D4" w:rsidRDefault="00710FC1"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Total</w:t>
            </w:r>
          </w:p>
        </w:tc>
        <w:tc>
          <w:tcPr>
            <w:tcW w:w="718" w:type="dxa"/>
            <w:tcBorders>
              <w:top w:val="nil"/>
              <w:left w:val="nil"/>
              <w:bottom w:val="nil"/>
              <w:right w:val="nil"/>
            </w:tcBorders>
            <w:shd w:val="clear" w:color="000000" w:fill="E2EFDA"/>
            <w:vAlign w:val="center"/>
            <w:hideMark/>
          </w:tcPr>
          <w:p w14:paraId="22C6350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6.175</w:t>
            </w:r>
          </w:p>
        </w:tc>
        <w:tc>
          <w:tcPr>
            <w:tcW w:w="699" w:type="dxa"/>
            <w:tcBorders>
              <w:top w:val="nil"/>
              <w:left w:val="nil"/>
              <w:bottom w:val="nil"/>
              <w:right w:val="nil"/>
            </w:tcBorders>
            <w:shd w:val="clear" w:color="000000" w:fill="E2EFDA"/>
            <w:vAlign w:val="center"/>
            <w:hideMark/>
          </w:tcPr>
          <w:p w14:paraId="28ED0E95"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5.944</w:t>
            </w:r>
          </w:p>
        </w:tc>
        <w:tc>
          <w:tcPr>
            <w:tcW w:w="708" w:type="dxa"/>
            <w:tcBorders>
              <w:top w:val="nil"/>
              <w:left w:val="nil"/>
              <w:bottom w:val="nil"/>
              <w:right w:val="nil"/>
            </w:tcBorders>
            <w:shd w:val="clear" w:color="000000" w:fill="E2EFDA"/>
            <w:vAlign w:val="center"/>
            <w:hideMark/>
          </w:tcPr>
          <w:p w14:paraId="29553715"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8.241</w:t>
            </w:r>
          </w:p>
        </w:tc>
        <w:tc>
          <w:tcPr>
            <w:tcW w:w="709" w:type="dxa"/>
            <w:tcBorders>
              <w:top w:val="nil"/>
              <w:left w:val="nil"/>
              <w:bottom w:val="nil"/>
              <w:right w:val="nil"/>
            </w:tcBorders>
            <w:shd w:val="clear" w:color="000000" w:fill="E2EFDA"/>
            <w:vAlign w:val="center"/>
            <w:hideMark/>
          </w:tcPr>
          <w:p w14:paraId="452EE902"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7.901</w:t>
            </w:r>
          </w:p>
        </w:tc>
        <w:tc>
          <w:tcPr>
            <w:tcW w:w="850" w:type="dxa"/>
            <w:tcBorders>
              <w:top w:val="nil"/>
              <w:left w:val="nil"/>
              <w:bottom w:val="nil"/>
              <w:right w:val="nil"/>
            </w:tcBorders>
            <w:shd w:val="clear" w:color="000000" w:fill="E2EFDA"/>
            <w:vAlign w:val="center"/>
            <w:hideMark/>
          </w:tcPr>
          <w:p w14:paraId="33ADDD66"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7.965</w:t>
            </w:r>
          </w:p>
        </w:tc>
        <w:tc>
          <w:tcPr>
            <w:tcW w:w="849" w:type="dxa"/>
            <w:tcBorders>
              <w:top w:val="nil"/>
              <w:left w:val="nil"/>
              <w:bottom w:val="nil"/>
              <w:right w:val="nil"/>
            </w:tcBorders>
            <w:shd w:val="clear" w:color="000000" w:fill="E2EFDA"/>
            <w:vAlign w:val="center"/>
            <w:hideMark/>
          </w:tcPr>
          <w:p w14:paraId="30136C92"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8.158</w:t>
            </w:r>
          </w:p>
        </w:tc>
        <w:tc>
          <w:tcPr>
            <w:tcW w:w="709" w:type="dxa"/>
            <w:tcBorders>
              <w:top w:val="nil"/>
              <w:left w:val="nil"/>
              <w:bottom w:val="nil"/>
              <w:right w:val="nil"/>
            </w:tcBorders>
            <w:shd w:val="clear" w:color="000000" w:fill="E2EFDA"/>
            <w:vAlign w:val="center"/>
            <w:hideMark/>
          </w:tcPr>
          <w:p w14:paraId="7438E0B2"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9.125</w:t>
            </w:r>
          </w:p>
        </w:tc>
        <w:tc>
          <w:tcPr>
            <w:tcW w:w="709" w:type="dxa"/>
            <w:tcBorders>
              <w:top w:val="nil"/>
              <w:left w:val="nil"/>
              <w:bottom w:val="nil"/>
              <w:right w:val="nil"/>
            </w:tcBorders>
            <w:shd w:val="clear" w:color="000000" w:fill="E2EFDA"/>
            <w:vAlign w:val="center"/>
            <w:hideMark/>
          </w:tcPr>
          <w:p w14:paraId="45110DB1"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9.735</w:t>
            </w:r>
          </w:p>
        </w:tc>
        <w:tc>
          <w:tcPr>
            <w:tcW w:w="708" w:type="dxa"/>
            <w:tcBorders>
              <w:top w:val="nil"/>
              <w:left w:val="nil"/>
              <w:bottom w:val="nil"/>
              <w:right w:val="nil"/>
            </w:tcBorders>
            <w:shd w:val="clear" w:color="000000" w:fill="E2EFDA"/>
            <w:vAlign w:val="center"/>
            <w:hideMark/>
          </w:tcPr>
          <w:p w14:paraId="3A47110C"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10.956</w:t>
            </w:r>
          </w:p>
        </w:tc>
        <w:tc>
          <w:tcPr>
            <w:tcW w:w="577" w:type="dxa"/>
            <w:tcBorders>
              <w:top w:val="nil"/>
              <w:left w:val="nil"/>
              <w:bottom w:val="nil"/>
              <w:right w:val="nil"/>
            </w:tcBorders>
            <w:shd w:val="clear" w:color="000000" w:fill="E2EFDA"/>
            <w:vAlign w:val="center"/>
            <w:hideMark/>
          </w:tcPr>
          <w:p w14:paraId="5365D9B7"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10.324</w:t>
            </w:r>
          </w:p>
        </w:tc>
        <w:tc>
          <w:tcPr>
            <w:tcW w:w="563" w:type="dxa"/>
            <w:tcBorders>
              <w:top w:val="nil"/>
              <w:left w:val="nil"/>
              <w:bottom w:val="nil"/>
              <w:right w:val="nil"/>
            </w:tcBorders>
            <w:shd w:val="clear" w:color="000000" w:fill="E2EFDA"/>
            <w:vAlign w:val="center"/>
            <w:hideMark/>
          </w:tcPr>
          <w:p w14:paraId="055E31F4"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9.864</w:t>
            </w:r>
          </w:p>
        </w:tc>
        <w:tc>
          <w:tcPr>
            <w:tcW w:w="709" w:type="dxa"/>
            <w:tcBorders>
              <w:top w:val="nil"/>
              <w:left w:val="nil"/>
              <w:bottom w:val="nil"/>
              <w:right w:val="nil"/>
            </w:tcBorders>
            <w:shd w:val="clear" w:color="000000" w:fill="E2EFDA"/>
            <w:vAlign w:val="center"/>
            <w:hideMark/>
          </w:tcPr>
          <w:p w14:paraId="09AF0368"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5,682</w:t>
            </w:r>
          </w:p>
        </w:tc>
      </w:tr>
    </w:tbl>
    <w:p w14:paraId="36F87170" w14:textId="77777777" w:rsidR="00710FC1" w:rsidRPr="00CF50D4" w:rsidRDefault="00710FC1" w:rsidP="00710FC1">
      <w:pPr>
        <w:spacing w:line="259" w:lineRule="auto"/>
        <w:jc w:val="center"/>
        <w:rPr>
          <w:rFonts w:ascii="Times New Roman" w:hAnsi="Times New Roman" w:cs="Times New Roman"/>
          <w:color w:val="000000"/>
          <w:sz w:val="23"/>
          <w:szCs w:val="23"/>
        </w:rPr>
      </w:pPr>
      <w:r w:rsidRPr="00CF50D4">
        <w:rPr>
          <w:rFonts w:ascii="Times New Roman" w:hAnsi="Times New Roman" w:cs="Times New Roman"/>
          <w:color w:val="000000"/>
          <w:sz w:val="23"/>
          <w:szCs w:val="23"/>
        </w:rPr>
        <w:t>Fuente: MEN-SNIES</w:t>
      </w:r>
    </w:p>
    <w:p w14:paraId="7424AC14" w14:textId="77777777" w:rsidR="00710FC1" w:rsidRPr="00CF50D4" w:rsidRDefault="00710FC1" w:rsidP="00710FC1">
      <w:pPr>
        <w:spacing w:line="259" w:lineRule="auto"/>
        <w:rPr>
          <w:rFonts w:ascii="Times New Roman" w:hAnsi="Times New Roman" w:cs="Times New Roman"/>
          <w:color w:val="000000"/>
          <w:sz w:val="23"/>
          <w:szCs w:val="23"/>
        </w:rPr>
      </w:pPr>
    </w:p>
    <w:p w14:paraId="386B6D37" w14:textId="77777777" w:rsidR="00A41F4E" w:rsidRPr="00CF50D4" w:rsidRDefault="00A41F4E" w:rsidP="00A41F4E">
      <w:pPr>
        <w:rPr>
          <w:rFonts w:ascii="Times New Roman" w:hAnsi="Times New Roman" w:cs="Times New Roman"/>
          <w:sz w:val="23"/>
          <w:szCs w:val="23"/>
        </w:rPr>
      </w:pPr>
    </w:p>
    <w:p w14:paraId="3707A230" w14:textId="58BDB18B" w:rsidR="00A41F4E" w:rsidRPr="00CF50D4" w:rsidRDefault="00710FC1" w:rsidP="00CF50D4">
      <w:pPr>
        <w:rPr>
          <w:rFonts w:ascii="Times New Roman" w:hAnsi="Times New Roman" w:cs="Times New Roman"/>
          <w:sz w:val="23"/>
          <w:szCs w:val="23"/>
        </w:rPr>
      </w:pPr>
      <w:r w:rsidRPr="00CF50D4">
        <w:rPr>
          <w:rFonts w:ascii="Times New Roman" w:hAnsi="Times New Roman" w:cs="Times New Roman"/>
          <w:sz w:val="23"/>
          <w:szCs w:val="23"/>
        </w:rPr>
        <w:t xml:space="preserve">La siguiente gráfica muestra una recomposición de la población graduada a través de los años, especialmente en los niveles inferiores y superiores de la educación terciaria. En primer lugar, se observa una leve contracción de la población con grado universitario, cediendo espacio a la población con formación técnica y tecnológica pasando de representar el 7,9% en 2010 al 34,1% en 2021. En los niveles de posgrado, puede concluirse que cada vez </w:t>
      </w:r>
      <w:r w:rsidR="00A41F4E" w:rsidRPr="00CF50D4">
        <w:rPr>
          <w:rFonts w:ascii="Times New Roman" w:hAnsi="Times New Roman" w:cs="Times New Roman"/>
          <w:sz w:val="23"/>
          <w:szCs w:val="23"/>
        </w:rPr>
        <w:t xml:space="preserve">más </w:t>
      </w:r>
      <w:r w:rsidRPr="00CF50D4">
        <w:rPr>
          <w:rFonts w:ascii="Times New Roman" w:hAnsi="Times New Roman" w:cs="Times New Roman"/>
          <w:sz w:val="23"/>
          <w:szCs w:val="23"/>
        </w:rPr>
        <w:t>una mayor cantidad de población opta por cualificarse a través de la formación en maestría, por encima de la especialización. En efecto, esta última ha pasado de tener un peso relativo del 37,4% en 2010 al 15,1% en 2021. En este mismo período la población con título de maestría pasó de 6,5% al 8,4%:</w:t>
      </w:r>
      <w:bookmarkStart w:id="3" w:name="_Toc121413947"/>
    </w:p>
    <w:p w14:paraId="1D130F13" w14:textId="77777777" w:rsidR="00A41F4E" w:rsidRPr="00CF50D4" w:rsidRDefault="00A41F4E" w:rsidP="00710FC1">
      <w:pPr>
        <w:pStyle w:val="Grfica"/>
        <w:rPr>
          <w:rFonts w:ascii="Times New Roman" w:eastAsiaTheme="minorEastAsia" w:hAnsi="Times New Roman" w:cs="Times New Roman"/>
          <w:color w:val="auto"/>
          <w:sz w:val="23"/>
          <w:szCs w:val="23"/>
        </w:rPr>
      </w:pPr>
    </w:p>
    <w:p w14:paraId="2C94B7E9" w14:textId="4EBA108D" w:rsidR="00710FC1" w:rsidRPr="00CF50D4" w:rsidRDefault="00710FC1" w:rsidP="00710FC1">
      <w:pPr>
        <w:pStyle w:val="Grfica"/>
        <w:rPr>
          <w:rFonts w:ascii="Times New Roman" w:eastAsiaTheme="minorEastAsia" w:hAnsi="Times New Roman" w:cs="Times New Roman"/>
          <w:color w:val="auto"/>
          <w:sz w:val="23"/>
          <w:szCs w:val="23"/>
        </w:rPr>
      </w:pPr>
      <w:r w:rsidRPr="00CF50D4">
        <w:rPr>
          <w:rFonts w:ascii="Times New Roman" w:eastAsiaTheme="minorEastAsia" w:hAnsi="Times New Roman" w:cs="Times New Roman"/>
          <w:color w:val="auto"/>
          <w:sz w:val="23"/>
          <w:szCs w:val="23"/>
        </w:rPr>
        <w:t xml:space="preserve">Gráfica </w:t>
      </w:r>
      <w:r w:rsidRPr="00CF50D4">
        <w:rPr>
          <w:rFonts w:ascii="Times New Roman" w:eastAsiaTheme="minorEastAsia" w:hAnsi="Times New Roman" w:cs="Times New Roman"/>
          <w:color w:val="auto"/>
          <w:sz w:val="23"/>
          <w:szCs w:val="23"/>
        </w:rPr>
        <w:fldChar w:fldCharType="begin"/>
      </w:r>
      <w:r w:rsidRPr="00CF50D4">
        <w:rPr>
          <w:rFonts w:ascii="Times New Roman" w:eastAsiaTheme="minorEastAsia" w:hAnsi="Times New Roman" w:cs="Times New Roman"/>
          <w:color w:val="auto"/>
          <w:sz w:val="23"/>
          <w:szCs w:val="23"/>
        </w:rPr>
        <w:instrText xml:space="preserve"> SEQ Gráfica \* ARABIC </w:instrText>
      </w:r>
      <w:r w:rsidRPr="00CF50D4">
        <w:rPr>
          <w:rFonts w:ascii="Times New Roman" w:eastAsiaTheme="minorEastAsia" w:hAnsi="Times New Roman" w:cs="Times New Roman"/>
          <w:color w:val="auto"/>
          <w:sz w:val="23"/>
          <w:szCs w:val="23"/>
        </w:rPr>
        <w:fldChar w:fldCharType="separate"/>
      </w:r>
      <w:r w:rsidR="00F66B58" w:rsidRPr="00CF50D4">
        <w:rPr>
          <w:rFonts w:ascii="Times New Roman" w:eastAsiaTheme="minorEastAsia" w:hAnsi="Times New Roman" w:cs="Times New Roman"/>
          <w:noProof/>
          <w:color w:val="auto"/>
          <w:sz w:val="23"/>
          <w:szCs w:val="23"/>
        </w:rPr>
        <w:t>5</w:t>
      </w:r>
      <w:r w:rsidRPr="00CF50D4">
        <w:rPr>
          <w:rFonts w:ascii="Times New Roman" w:eastAsiaTheme="minorEastAsia" w:hAnsi="Times New Roman" w:cs="Times New Roman"/>
          <w:color w:val="auto"/>
          <w:sz w:val="23"/>
          <w:szCs w:val="23"/>
        </w:rPr>
        <w:fldChar w:fldCharType="end"/>
      </w:r>
      <w:r w:rsidRPr="00CF50D4">
        <w:rPr>
          <w:rFonts w:ascii="Times New Roman" w:eastAsiaTheme="minorEastAsia" w:hAnsi="Times New Roman" w:cs="Times New Roman"/>
          <w:color w:val="auto"/>
          <w:sz w:val="23"/>
          <w:szCs w:val="23"/>
        </w:rPr>
        <w:t>. Manizales. Participación del nivel de formación en el número total de graduados, 2010 - 2021</w:t>
      </w:r>
      <w:bookmarkEnd w:id="3"/>
    </w:p>
    <w:p w14:paraId="606039F0" w14:textId="77777777" w:rsidR="00710FC1" w:rsidRPr="00CF50D4" w:rsidRDefault="00710FC1" w:rsidP="00710FC1">
      <w:pPr>
        <w:spacing w:line="259" w:lineRule="auto"/>
        <w:jc w:val="center"/>
        <w:rPr>
          <w:rFonts w:ascii="Times New Roman" w:hAnsi="Times New Roman" w:cs="Times New Roman"/>
          <w:color w:val="000000"/>
          <w:sz w:val="23"/>
          <w:szCs w:val="23"/>
        </w:rPr>
      </w:pPr>
      <w:r w:rsidRPr="00CF50D4">
        <w:rPr>
          <w:rFonts w:ascii="Times New Roman" w:hAnsi="Times New Roman" w:cs="Times New Roman"/>
          <w:noProof/>
          <w:sz w:val="23"/>
          <w:szCs w:val="23"/>
          <w:lang w:eastAsia="es-CO"/>
        </w:rPr>
        <w:drawing>
          <wp:inline distT="0" distB="0" distL="0" distR="0" wp14:anchorId="5CC743DB" wp14:editId="63830A7D">
            <wp:extent cx="4572000" cy="2743200"/>
            <wp:effectExtent l="0" t="0" r="0" b="0"/>
            <wp:docPr id="24" name="Gráfico 24">
              <a:extLst xmlns:a="http://schemas.openxmlformats.org/drawingml/2006/main">
                <a:ext uri="{FF2B5EF4-FFF2-40B4-BE49-F238E27FC236}">
                  <a16:creationId xmlns:a16="http://schemas.microsoft.com/office/drawing/2014/main" id="{41794D28-D06F-D00E-380D-8500A63B2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F50D4">
        <w:rPr>
          <w:rFonts w:ascii="Times New Roman" w:hAnsi="Times New Roman" w:cs="Times New Roman"/>
          <w:color w:val="000000"/>
          <w:sz w:val="23"/>
          <w:szCs w:val="23"/>
        </w:rPr>
        <w:t xml:space="preserve"> </w:t>
      </w:r>
    </w:p>
    <w:p w14:paraId="669B9349" w14:textId="77777777" w:rsidR="00710FC1" w:rsidRPr="00CF50D4" w:rsidRDefault="00710FC1" w:rsidP="00710FC1">
      <w:pPr>
        <w:spacing w:line="259" w:lineRule="auto"/>
        <w:jc w:val="center"/>
        <w:rPr>
          <w:rFonts w:ascii="Times New Roman" w:hAnsi="Times New Roman" w:cs="Times New Roman"/>
          <w:color w:val="000000"/>
          <w:sz w:val="23"/>
          <w:szCs w:val="23"/>
        </w:rPr>
      </w:pPr>
      <w:r w:rsidRPr="00CF50D4">
        <w:rPr>
          <w:rFonts w:ascii="Times New Roman" w:hAnsi="Times New Roman" w:cs="Times New Roman"/>
          <w:color w:val="000000"/>
          <w:sz w:val="23"/>
          <w:szCs w:val="23"/>
        </w:rPr>
        <w:t>Fuente: Cálculos MCV con base en MEN - SNIES</w:t>
      </w:r>
    </w:p>
    <w:p w14:paraId="0FCFB81B" w14:textId="77777777" w:rsidR="00710FC1" w:rsidRPr="00CF50D4" w:rsidRDefault="00710FC1" w:rsidP="00710FC1">
      <w:pPr>
        <w:spacing w:line="259" w:lineRule="auto"/>
        <w:rPr>
          <w:rFonts w:ascii="Times New Roman" w:hAnsi="Times New Roman" w:cs="Times New Roman"/>
          <w:color w:val="808080" w:themeColor="background1" w:themeShade="80"/>
          <w:sz w:val="23"/>
          <w:szCs w:val="23"/>
        </w:rPr>
      </w:pPr>
    </w:p>
    <w:p w14:paraId="5BA9C6DA" w14:textId="186B6BC9"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14:paraId="465DEA32" w14:textId="77777777" w:rsidR="00710FC1" w:rsidRPr="00CF50D4" w:rsidRDefault="00710FC1" w:rsidP="00A41F4E">
      <w:pPr>
        <w:rPr>
          <w:rFonts w:ascii="Times New Roman" w:hAnsi="Times New Roman" w:cs="Times New Roman"/>
          <w:sz w:val="23"/>
          <w:szCs w:val="23"/>
        </w:rPr>
      </w:pPr>
    </w:p>
    <w:p w14:paraId="153E25EA" w14:textId="2AE0AE43" w:rsidR="00710FC1" w:rsidRPr="00CF50D4" w:rsidRDefault="00710FC1" w:rsidP="00A41F4E">
      <w:pPr>
        <w:rPr>
          <w:rFonts w:ascii="Times New Roman" w:hAnsi="Times New Roman" w:cs="Times New Roman"/>
          <w:sz w:val="23"/>
          <w:szCs w:val="23"/>
        </w:rPr>
      </w:pPr>
      <w:r w:rsidRPr="00CF50D4">
        <w:rPr>
          <w:rFonts w:ascii="Times New Roman" w:hAnsi="Times New Roman" w:cs="Times New Roman"/>
          <w:sz w:val="23"/>
          <w:szCs w:val="23"/>
        </w:rPr>
        <w:t xml:space="preserve">Manizales Como Vamos (2020), menciona </w:t>
      </w:r>
      <w:r w:rsidR="00A41F4E" w:rsidRPr="00CF50D4">
        <w:rPr>
          <w:rFonts w:ascii="Times New Roman" w:hAnsi="Times New Roman" w:cs="Times New Roman"/>
          <w:sz w:val="23"/>
          <w:szCs w:val="23"/>
        </w:rPr>
        <w:t xml:space="preserve">que </w:t>
      </w:r>
      <w:r w:rsidRPr="00CF50D4">
        <w:rPr>
          <w:rFonts w:ascii="Times New Roman" w:hAnsi="Times New Roman" w:cs="Times New Roman"/>
          <w:sz w:val="23"/>
          <w:szCs w:val="23"/>
        </w:rPr>
        <w:t>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14:paraId="0C413C01" w14:textId="77777777" w:rsidR="00710FC1" w:rsidRPr="00CF50D4" w:rsidRDefault="00710FC1" w:rsidP="00710FC1">
      <w:pPr>
        <w:spacing w:line="259" w:lineRule="auto"/>
        <w:rPr>
          <w:rFonts w:ascii="Times New Roman" w:hAnsi="Times New Roman" w:cs="Times New Roman"/>
          <w:sz w:val="23"/>
          <w:szCs w:val="23"/>
        </w:rPr>
      </w:pPr>
    </w:p>
    <w:p w14:paraId="59B4CE51" w14:textId="77777777" w:rsidR="00A41F4E" w:rsidRPr="00CF50D4" w:rsidRDefault="00A41F4E" w:rsidP="00710FC1">
      <w:pPr>
        <w:spacing w:line="259" w:lineRule="auto"/>
        <w:rPr>
          <w:rFonts w:ascii="Times New Roman" w:hAnsi="Times New Roman" w:cs="Times New Roman"/>
          <w:b/>
          <w:sz w:val="23"/>
          <w:szCs w:val="23"/>
        </w:rPr>
      </w:pPr>
      <w:bookmarkStart w:id="4" w:name="_Toc63666813"/>
    </w:p>
    <w:p w14:paraId="3DA7BC78" w14:textId="486B0ADB" w:rsidR="00710FC1" w:rsidRPr="00CF50D4" w:rsidRDefault="00710FC1" w:rsidP="00A41F4E">
      <w:pPr>
        <w:spacing w:line="259" w:lineRule="auto"/>
        <w:jc w:val="center"/>
        <w:rPr>
          <w:rFonts w:ascii="Times New Roman" w:hAnsi="Times New Roman" w:cs="Times New Roman"/>
          <w:b/>
          <w:sz w:val="23"/>
          <w:szCs w:val="23"/>
        </w:rPr>
      </w:pPr>
      <w:r w:rsidRPr="00CF50D4">
        <w:rPr>
          <w:rFonts w:ascii="Times New Roman" w:hAnsi="Times New Roman" w:cs="Times New Roman"/>
          <w:b/>
          <w:sz w:val="23"/>
          <w:szCs w:val="23"/>
        </w:rPr>
        <w:t xml:space="preserve">Gráfica </w:t>
      </w:r>
      <w:r w:rsidR="00A41F4E" w:rsidRPr="00CF50D4">
        <w:rPr>
          <w:rFonts w:ascii="Times New Roman" w:hAnsi="Times New Roman" w:cs="Times New Roman"/>
          <w:b/>
          <w:sz w:val="23"/>
          <w:szCs w:val="23"/>
        </w:rPr>
        <w:t>6</w:t>
      </w:r>
      <w:r w:rsidRPr="00CF50D4">
        <w:rPr>
          <w:rFonts w:ascii="Times New Roman" w:hAnsi="Times New Roman" w:cs="Times New Roman"/>
          <w:b/>
          <w:sz w:val="23"/>
          <w:szCs w:val="23"/>
        </w:rPr>
        <w:t>. Lugar de origen de los estudiantes de pregrado en Manizales (2020)</w:t>
      </w:r>
      <w:bookmarkEnd w:id="4"/>
    </w:p>
    <w:p w14:paraId="66F613B8" w14:textId="77777777" w:rsidR="00710FC1" w:rsidRPr="00CF50D4" w:rsidRDefault="00710FC1" w:rsidP="00710FC1">
      <w:pPr>
        <w:spacing w:line="259" w:lineRule="auto"/>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2C3F0E09" wp14:editId="0A0A45AA">
            <wp:extent cx="3619500" cy="21717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5F68AB" w14:textId="77777777" w:rsidR="00710FC1" w:rsidRPr="00CF50D4" w:rsidRDefault="00710FC1" w:rsidP="00710FC1">
      <w:pPr>
        <w:spacing w:line="259" w:lineRule="auto"/>
        <w:rPr>
          <w:rStyle w:val="Referenciasutil"/>
          <w:rFonts w:ascii="Times New Roman" w:hAnsi="Times New Roman" w:cs="Times New Roman"/>
          <w:sz w:val="23"/>
          <w:szCs w:val="23"/>
        </w:rPr>
      </w:pPr>
      <w:r w:rsidRPr="00CF50D4">
        <w:rPr>
          <w:rStyle w:val="Referenciasutil"/>
          <w:rFonts w:ascii="Times New Roman" w:hAnsi="Times New Roman" w:cs="Times New Roman"/>
          <w:sz w:val="23"/>
          <w:szCs w:val="23"/>
        </w:rPr>
        <w:t>Fuente: Cálculos MCV con base en información de las Oficinas de Registro Académico y de Planeación de las universidades de la ciudad</w:t>
      </w:r>
    </w:p>
    <w:p w14:paraId="1DC7CE32" w14:textId="77777777" w:rsidR="00710FC1" w:rsidRPr="00CF50D4" w:rsidRDefault="00710FC1" w:rsidP="00710FC1">
      <w:pPr>
        <w:spacing w:line="259" w:lineRule="auto"/>
        <w:rPr>
          <w:rFonts w:ascii="Times New Roman" w:hAnsi="Times New Roman" w:cs="Times New Roman"/>
          <w:sz w:val="23"/>
          <w:szCs w:val="23"/>
        </w:rPr>
      </w:pPr>
    </w:p>
    <w:p w14:paraId="680B89B9" w14:textId="79E2D367"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14:paraId="0DD51247" w14:textId="77777777" w:rsidR="00DE534C" w:rsidRPr="00CF50D4" w:rsidRDefault="00DE534C" w:rsidP="00A41F4E">
      <w:pPr>
        <w:rPr>
          <w:rFonts w:ascii="Times New Roman" w:hAnsi="Times New Roman" w:cs="Times New Roman"/>
          <w:sz w:val="23"/>
          <w:szCs w:val="23"/>
        </w:rPr>
      </w:pPr>
    </w:p>
    <w:p w14:paraId="32E55CF2" w14:textId="5EF93B4D"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w:t>
      </w:r>
      <w:r w:rsidR="009B2B57" w:rsidRPr="00CF50D4">
        <w:rPr>
          <w:rFonts w:ascii="Times New Roman" w:hAnsi="Times New Roman" w:cs="Times New Roman"/>
          <w:sz w:val="23"/>
          <w:szCs w:val="23"/>
        </w:rPr>
        <w:t>s</w:t>
      </w:r>
      <w:r w:rsidRPr="00CF50D4">
        <w:rPr>
          <w:rFonts w:ascii="Times New Roman" w:hAnsi="Times New Roman" w:cs="Times New Roman"/>
          <w:sz w:val="23"/>
          <w:szCs w:val="23"/>
        </w:rPr>
        <w:t xml:space="preserve"> comunicaci</w:t>
      </w:r>
      <w:r w:rsidR="009B2B57" w:rsidRPr="00CF50D4">
        <w:rPr>
          <w:rFonts w:ascii="Times New Roman" w:hAnsi="Times New Roman" w:cs="Times New Roman"/>
          <w:sz w:val="23"/>
          <w:szCs w:val="23"/>
        </w:rPr>
        <w:t>ones</w:t>
      </w:r>
      <w:r w:rsidRPr="00CF50D4">
        <w:rPr>
          <w:rFonts w:ascii="Times New Roman" w:hAnsi="Times New Roman" w:cs="Times New Roman"/>
          <w:sz w:val="23"/>
          <w:szCs w:val="23"/>
        </w:rPr>
        <w:t>.</w:t>
      </w:r>
    </w:p>
    <w:p w14:paraId="5F6D3BA7" w14:textId="77777777" w:rsidR="00AC08A8" w:rsidRPr="00CF50D4" w:rsidRDefault="00AC08A8" w:rsidP="00A41F4E">
      <w:pPr>
        <w:rPr>
          <w:rFonts w:ascii="Times New Roman" w:hAnsi="Times New Roman" w:cs="Times New Roman"/>
          <w:sz w:val="23"/>
          <w:szCs w:val="23"/>
        </w:rPr>
      </w:pPr>
    </w:p>
    <w:p w14:paraId="50988F59" w14:textId="77777777"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lastRenderedPageBreak/>
        <w:t xml:space="preserve">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14:paraId="07C02DD1" w14:textId="77777777" w:rsidR="00AC08A8" w:rsidRPr="00CF50D4" w:rsidRDefault="00AC08A8" w:rsidP="00A41F4E">
      <w:pPr>
        <w:rPr>
          <w:rFonts w:ascii="Times New Roman" w:hAnsi="Times New Roman" w:cs="Times New Roman"/>
          <w:sz w:val="23"/>
          <w:szCs w:val="23"/>
        </w:rPr>
      </w:pPr>
    </w:p>
    <w:p w14:paraId="72AA654B" w14:textId="42D35728"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Nueve ciudades presentaron un avance importante en este indicador, destacándose especialmente Montería</w:t>
      </w:r>
      <w:r w:rsidR="009B2B57" w:rsidRPr="00CF50D4">
        <w:rPr>
          <w:rFonts w:ascii="Times New Roman" w:hAnsi="Times New Roman" w:cs="Times New Roman"/>
          <w:sz w:val="23"/>
          <w:szCs w:val="23"/>
        </w:rPr>
        <w:t>, mientras</w:t>
      </w:r>
      <w:r w:rsidRPr="00CF50D4">
        <w:rPr>
          <w:rFonts w:ascii="Times New Roman" w:hAnsi="Times New Roman" w:cs="Times New Roman"/>
          <w:sz w:val="23"/>
          <w:szCs w:val="23"/>
        </w:rPr>
        <w:t xml:space="preserve"> Manizales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14:paraId="0DFCDB32" w14:textId="77777777" w:rsidR="00AC08A8" w:rsidRPr="00CF50D4" w:rsidRDefault="00AC08A8" w:rsidP="00A41F4E">
      <w:pPr>
        <w:rPr>
          <w:rFonts w:ascii="Times New Roman" w:hAnsi="Times New Roman" w:cs="Times New Roman"/>
          <w:sz w:val="23"/>
          <w:szCs w:val="23"/>
        </w:rPr>
      </w:pPr>
    </w:p>
    <w:p w14:paraId="3871C4D6" w14:textId="77777777" w:rsidR="00AC08A8" w:rsidRPr="00CF50D4" w:rsidRDefault="00AC08A8" w:rsidP="00A41F4E">
      <w:pPr>
        <w:rPr>
          <w:rFonts w:ascii="Times New Roman" w:hAnsi="Times New Roman" w:cs="Times New Roman"/>
          <w:sz w:val="23"/>
          <w:szCs w:val="23"/>
        </w:rPr>
      </w:pPr>
      <w:r w:rsidRPr="00CF50D4">
        <w:rPr>
          <w:rFonts w:ascii="Times New Roman" w:hAnsi="Times New Roman" w:cs="Times New Roman"/>
          <w:sz w:val="23"/>
          <w:szCs w:val="23"/>
        </w:rPr>
        <w:t>Pereira, Cali y Cúcuta presentaron un retroceso en el indicador de -3,1 y -5,5 y -4,2 puntos porcentuales. En el resto de las ciudades, el indicador permaneció relativamente estable con leves variaciones entre los años analizados.</w:t>
      </w:r>
    </w:p>
    <w:p w14:paraId="5CD0C842" w14:textId="77777777" w:rsidR="00AC08A8" w:rsidRPr="00CF50D4" w:rsidRDefault="00AC08A8" w:rsidP="00710FC1">
      <w:pPr>
        <w:spacing w:line="259" w:lineRule="auto"/>
        <w:rPr>
          <w:rFonts w:ascii="Times New Roman" w:hAnsi="Times New Roman" w:cs="Times New Roman"/>
          <w:sz w:val="23"/>
          <w:szCs w:val="23"/>
        </w:rPr>
      </w:pPr>
    </w:p>
    <w:p w14:paraId="30210B85" w14:textId="2EBD1A95" w:rsidR="00AC08A8" w:rsidRPr="00CF50D4" w:rsidRDefault="00AC08A8" w:rsidP="009B2B57">
      <w:pPr>
        <w:spacing w:line="259" w:lineRule="auto"/>
        <w:jc w:val="center"/>
        <w:rPr>
          <w:rFonts w:ascii="Times New Roman" w:hAnsi="Times New Roman" w:cs="Times New Roman"/>
          <w:b/>
          <w:sz w:val="23"/>
          <w:szCs w:val="23"/>
        </w:rPr>
      </w:pPr>
      <w:bookmarkStart w:id="5" w:name="_Toc63666820"/>
      <w:r w:rsidRPr="00CF50D4">
        <w:rPr>
          <w:rFonts w:ascii="Times New Roman" w:hAnsi="Times New Roman" w:cs="Times New Roman"/>
          <w:b/>
          <w:sz w:val="23"/>
          <w:szCs w:val="23"/>
        </w:rPr>
        <w:t xml:space="preserve">Gráfica </w:t>
      </w:r>
      <w:r w:rsidRPr="00CF50D4">
        <w:rPr>
          <w:rFonts w:ascii="Times New Roman" w:hAnsi="Times New Roman" w:cs="Times New Roman"/>
          <w:b/>
          <w:sz w:val="23"/>
          <w:szCs w:val="23"/>
        </w:rPr>
        <w:fldChar w:fldCharType="begin"/>
      </w:r>
      <w:r w:rsidRPr="00CF50D4">
        <w:rPr>
          <w:rFonts w:ascii="Times New Roman" w:hAnsi="Times New Roman" w:cs="Times New Roman"/>
          <w:b/>
          <w:sz w:val="23"/>
          <w:szCs w:val="23"/>
        </w:rPr>
        <w:instrText xml:space="preserve"> SEQ Gráfica \* ARABIC </w:instrText>
      </w:r>
      <w:r w:rsidRPr="00CF50D4">
        <w:rPr>
          <w:rFonts w:ascii="Times New Roman" w:hAnsi="Times New Roman" w:cs="Times New Roman"/>
          <w:b/>
          <w:sz w:val="23"/>
          <w:szCs w:val="23"/>
        </w:rPr>
        <w:fldChar w:fldCharType="separate"/>
      </w:r>
      <w:r w:rsidR="00F66B58" w:rsidRPr="00CF50D4">
        <w:rPr>
          <w:rFonts w:ascii="Times New Roman" w:hAnsi="Times New Roman" w:cs="Times New Roman"/>
          <w:b/>
          <w:noProof/>
          <w:sz w:val="23"/>
          <w:szCs w:val="23"/>
        </w:rPr>
        <w:t>6</w:t>
      </w:r>
      <w:r w:rsidRPr="00CF50D4">
        <w:rPr>
          <w:rFonts w:ascii="Times New Roman" w:hAnsi="Times New Roman" w:cs="Times New Roman"/>
          <w:sz w:val="23"/>
          <w:szCs w:val="23"/>
        </w:rPr>
        <w:fldChar w:fldCharType="end"/>
      </w:r>
      <w:r w:rsidRPr="00CF50D4">
        <w:rPr>
          <w:rFonts w:ascii="Times New Roman" w:hAnsi="Times New Roman" w:cs="Times New Roman"/>
          <w:b/>
          <w:sz w:val="23"/>
          <w:szCs w:val="23"/>
        </w:rPr>
        <w:t>. Proporción de estudiantes del nivel universitario presencial matriculados en IES con acreditación institucional por ciudad (2016 y 2019)</w:t>
      </w:r>
      <w:bookmarkEnd w:id="5"/>
    </w:p>
    <w:p w14:paraId="7EC3AA3B" w14:textId="77777777" w:rsidR="00AC08A8" w:rsidRPr="00CF50D4" w:rsidRDefault="00AC08A8" w:rsidP="009B2B57">
      <w:pPr>
        <w:spacing w:line="259" w:lineRule="auto"/>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76DAE257" wp14:editId="088C16AE">
            <wp:extent cx="4613910" cy="3278910"/>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668D20" w14:textId="644C3BBE" w:rsidR="00AC08A8" w:rsidRPr="00CF50D4" w:rsidRDefault="00AC08A8" w:rsidP="00710FC1">
      <w:pPr>
        <w:spacing w:line="259" w:lineRule="auto"/>
        <w:rPr>
          <w:rStyle w:val="Referenciasutil"/>
          <w:rFonts w:ascii="Times New Roman" w:hAnsi="Times New Roman" w:cs="Times New Roman"/>
          <w:sz w:val="23"/>
          <w:szCs w:val="23"/>
        </w:rPr>
      </w:pPr>
      <w:r w:rsidRPr="00CF50D4">
        <w:rPr>
          <w:rStyle w:val="Referenciasutil"/>
          <w:rFonts w:ascii="Times New Roman" w:hAnsi="Times New Roman" w:cs="Times New Roman"/>
          <w:sz w:val="23"/>
          <w:szCs w:val="23"/>
        </w:rPr>
        <w:t>Fuente: Cálculos MCV con base en MEN-SNIES</w:t>
      </w:r>
      <w:r w:rsidR="009B2B57" w:rsidRPr="00CF50D4">
        <w:rPr>
          <w:rStyle w:val="Referenciasutil"/>
          <w:rFonts w:ascii="Times New Roman" w:hAnsi="Times New Roman" w:cs="Times New Roman"/>
          <w:sz w:val="23"/>
          <w:szCs w:val="23"/>
        </w:rPr>
        <w:t>.</w:t>
      </w:r>
    </w:p>
    <w:p w14:paraId="196AD641" w14:textId="77777777" w:rsidR="00DE534C" w:rsidRPr="00CF50D4" w:rsidRDefault="00DE534C" w:rsidP="00710FC1">
      <w:pPr>
        <w:spacing w:line="259" w:lineRule="auto"/>
        <w:rPr>
          <w:rFonts w:ascii="Times New Roman" w:hAnsi="Times New Roman" w:cs="Times New Roman"/>
          <w:sz w:val="23"/>
          <w:szCs w:val="23"/>
        </w:rPr>
      </w:pPr>
    </w:p>
    <w:p w14:paraId="5D567FB6" w14:textId="0C49F85E" w:rsidR="00710FC1" w:rsidRPr="00CF50D4" w:rsidRDefault="00DE534C" w:rsidP="009B2B57">
      <w:pPr>
        <w:rPr>
          <w:rFonts w:ascii="Times New Roman" w:hAnsi="Times New Roman" w:cs="Times New Roman"/>
          <w:sz w:val="23"/>
          <w:szCs w:val="23"/>
        </w:rPr>
      </w:pPr>
      <w:r w:rsidRPr="00CF50D4">
        <w:rPr>
          <w:rFonts w:ascii="Times New Roman" w:hAnsi="Times New Roman" w:cs="Times New Roman"/>
          <w:sz w:val="23"/>
          <w:szCs w:val="23"/>
        </w:rPr>
        <w:t>En cuanto a la calidad de la educación superior en la ciudad, Manizales C</w:t>
      </w:r>
      <w:r w:rsidR="009B2B57" w:rsidRPr="00CF50D4">
        <w:rPr>
          <w:rFonts w:ascii="Times New Roman" w:hAnsi="Times New Roman" w:cs="Times New Roman"/>
          <w:sz w:val="23"/>
          <w:szCs w:val="23"/>
        </w:rPr>
        <w:t>ó</w:t>
      </w:r>
      <w:r w:rsidRPr="00CF50D4">
        <w:rPr>
          <w:rFonts w:ascii="Times New Roman" w:hAnsi="Times New Roman" w:cs="Times New Roman"/>
          <w:sz w:val="23"/>
          <w:szCs w:val="23"/>
        </w:rPr>
        <w:t>mo Vamos (2021) afirma que a</w:t>
      </w:r>
      <w:r w:rsidR="00710FC1" w:rsidRPr="00CF50D4">
        <w:rPr>
          <w:rFonts w:ascii="Times New Roman" w:hAnsi="Times New Roman" w:cs="Times New Roman"/>
          <w:sz w:val="23"/>
          <w:szCs w:val="23"/>
        </w:rPr>
        <w:t>unque se esperaría una evolución favorable año a año y una tendencia creciente en el puntaje promedio global obtenido por los estudiantes universitarios de Manizales, los resultados muestran una tendencia poco clara e incluso una caída de seis puntos en dicho puntaje entre 2020 y 2021. El comportamiento del último año, puede ser producto de un rezago de las consecuencias que a nivel del sector educativo originó la pandemia del COVID-19. Este es otro aspecto sobre el que deben seguir trabajando las universidades de la ciudad y sus estudiantes, con el fin de alcanzar esos estándares de competencias deseados.</w:t>
      </w:r>
    </w:p>
    <w:p w14:paraId="5A6E5D68" w14:textId="77777777" w:rsidR="00710FC1" w:rsidRPr="00CF50D4" w:rsidRDefault="00710FC1" w:rsidP="00710FC1">
      <w:pPr>
        <w:spacing w:line="259" w:lineRule="auto"/>
        <w:rPr>
          <w:rFonts w:ascii="Times New Roman" w:hAnsi="Times New Roman" w:cs="Times New Roman"/>
          <w:sz w:val="23"/>
          <w:szCs w:val="23"/>
        </w:rPr>
      </w:pPr>
    </w:p>
    <w:p w14:paraId="57023506" w14:textId="095EB6F3" w:rsidR="00710FC1" w:rsidRPr="00CF50D4" w:rsidRDefault="00710FC1" w:rsidP="00DE534C">
      <w:pPr>
        <w:pStyle w:val="Grfica"/>
        <w:keepNext/>
        <w:keepLines/>
        <w:rPr>
          <w:rFonts w:ascii="Times New Roman" w:hAnsi="Times New Roman" w:cs="Times New Roman"/>
          <w:sz w:val="23"/>
          <w:szCs w:val="23"/>
        </w:rPr>
      </w:pPr>
      <w:bookmarkStart w:id="6" w:name="_Toc121413952"/>
      <w:r w:rsidRPr="00CF50D4">
        <w:rPr>
          <w:rFonts w:ascii="Times New Roman" w:hAnsi="Times New Roman" w:cs="Times New Roman"/>
          <w:sz w:val="23"/>
          <w:szCs w:val="23"/>
        </w:rPr>
        <w:t xml:space="preserve">Gráfica </w:t>
      </w:r>
      <w:r w:rsidRPr="00CF50D4">
        <w:rPr>
          <w:rFonts w:ascii="Times New Roman" w:hAnsi="Times New Roman" w:cs="Times New Roman"/>
          <w:sz w:val="23"/>
          <w:szCs w:val="23"/>
        </w:rPr>
        <w:fldChar w:fldCharType="begin"/>
      </w:r>
      <w:r w:rsidRPr="00CF50D4">
        <w:rPr>
          <w:rFonts w:ascii="Times New Roman" w:hAnsi="Times New Roman" w:cs="Times New Roman"/>
          <w:sz w:val="23"/>
          <w:szCs w:val="23"/>
        </w:rPr>
        <w:instrText xml:space="preserve"> SEQ Gráfica \* ARABIC </w:instrText>
      </w:r>
      <w:r w:rsidRPr="00CF50D4">
        <w:rPr>
          <w:rFonts w:ascii="Times New Roman" w:hAnsi="Times New Roman" w:cs="Times New Roman"/>
          <w:sz w:val="23"/>
          <w:szCs w:val="23"/>
        </w:rPr>
        <w:fldChar w:fldCharType="separate"/>
      </w:r>
      <w:r w:rsidR="00F66B58" w:rsidRPr="00CF50D4">
        <w:rPr>
          <w:rFonts w:ascii="Times New Roman" w:hAnsi="Times New Roman" w:cs="Times New Roman"/>
          <w:noProof/>
          <w:sz w:val="23"/>
          <w:szCs w:val="23"/>
        </w:rPr>
        <w:t>7</w:t>
      </w:r>
      <w:r w:rsidRPr="00CF50D4">
        <w:rPr>
          <w:rFonts w:ascii="Times New Roman" w:hAnsi="Times New Roman" w:cs="Times New Roman"/>
          <w:noProof/>
          <w:sz w:val="23"/>
          <w:szCs w:val="23"/>
        </w:rPr>
        <w:fldChar w:fldCharType="end"/>
      </w:r>
      <w:r w:rsidRPr="00CF50D4">
        <w:rPr>
          <w:rFonts w:ascii="Times New Roman" w:hAnsi="Times New Roman" w:cs="Times New Roman"/>
          <w:sz w:val="23"/>
          <w:szCs w:val="23"/>
        </w:rPr>
        <w:t>. Evolución del puntaje global. 2018 - 2021</w:t>
      </w:r>
      <w:bookmarkEnd w:id="6"/>
    </w:p>
    <w:p w14:paraId="0AB903A5" w14:textId="77777777" w:rsidR="00710FC1" w:rsidRPr="00CF50D4" w:rsidRDefault="00710FC1" w:rsidP="00DE534C">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53E498B2" wp14:editId="03C2B85D">
            <wp:extent cx="3810000" cy="2076450"/>
            <wp:effectExtent l="0" t="0" r="0" b="0"/>
            <wp:docPr id="5" name="Gráfico 5">
              <a:extLst xmlns:a="http://schemas.openxmlformats.org/drawingml/2006/main">
                <a:ext uri="{FF2B5EF4-FFF2-40B4-BE49-F238E27FC236}">
                  <a16:creationId xmlns:a16="http://schemas.microsoft.com/office/drawing/2014/main" id="{509D8AF3-FDF9-748E-AD28-F6D0EDE3CB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CD89F5" w14:textId="77777777" w:rsidR="00710FC1" w:rsidRPr="00CF50D4" w:rsidRDefault="00710FC1" w:rsidP="00DE534C">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sz w:val="23"/>
          <w:szCs w:val="23"/>
        </w:rPr>
        <w:t>Fuente:</w:t>
      </w:r>
      <w:r w:rsidRPr="00CF50D4">
        <w:rPr>
          <w:rFonts w:ascii="Times New Roman" w:hAnsi="Times New Roman" w:cs="Times New Roman"/>
          <w:b/>
          <w:sz w:val="23"/>
          <w:szCs w:val="23"/>
        </w:rPr>
        <w:t xml:space="preserve"> </w:t>
      </w:r>
      <w:r w:rsidRPr="00CF50D4">
        <w:rPr>
          <w:rFonts w:ascii="Times New Roman" w:hAnsi="Times New Roman" w:cs="Times New Roman"/>
          <w:sz w:val="23"/>
          <w:szCs w:val="23"/>
        </w:rPr>
        <w:t>Cálculos MCV con base en ICFES</w:t>
      </w:r>
    </w:p>
    <w:p w14:paraId="463284F9" w14:textId="77777777" w:rsidR="00710FC1" w:rsidRPr="00CF50D4" w:rsidRDefault="00710FC1" w:rsidP="00710FC1">
      <w:pPr>
        <w:spacing w:line="259" w:lineRule="auto"/>
        <w:rPr>
          <w:rFonts w:ascii="Times New Roman" w:hAnsi="Times New Roman" w:cs="Times New Roman"/>
          <w:sz w:val="23"/>
          <w:szCs w:val="23"/>
        </w:rPr>
      </w:pPr>
    </w:p>
    <w:p w14:paraId="1B241FCC" w14:textId="77777777" w:rsidR="00710FC1" w:rsidRPr="00CF50D4" w:rsidRDefault="00710FC1" w:rsidP="009B2B57">
      <w:pPr>
        <w:rPr>
          <w:rFonts w:ascii="Times New Roman" w:hAnsi="Times New Roman" w:cs="Times New Roman"/>
          <w:sz w:val="23"/>
          <w:szCs w:val="23"/>
        </w:rPr>
      </w:pPr>
      <w:r w:rsidRPr="00CF50D4">
        <w:rPr>
          <w:rFonts w:ascii="Times New Roman" w:hAnsi="Times New Roman" w:cs="Times New Roman"/>
          <w:sz w:val="23"/>
          <w:szCs w:val="23"/>
        </w:rPr>
        <w:t>La caída observada en el puntaje global de las pruebas Saber Pro, obedecen a un retroceso en el puntaje alcanzado en cada uno de sus módulos específicos. Como muestra la siguiente tabla, la mayor disminución se dio en el módulo de competencias ciudadanas, equivalente a 9.7 puntos, módulo en el que había logrado obtener uno de los mayores puntajes en 2020. La segunda mayor caída se observó en el módulo de lectura crítica, equivalente a 7,5 puntos.</w:t>
      </w:r>
    </w:p>
    <w:p w14:paraId="0D1D3083" w14:textId="065481B7" w:rsidR="00AC08A8" w:rsidRPr="00CF50D4" w:rsidRDefault="00AC08A8" w:rsidP="009B2B57">
      <w:pPr>
        <w:rPr>
          <w:rFonts w:ascii="Times New Roman" w:hAnsi="Times New Roman" w:cs="Times New Roman"/>
          <w:sz w:val="23"/>
          <w:szCs w:val="23"/>
        </w:rPr>
      </w:pPr>
    </w:p>
    <w:p w14:paraId="07683B04" w14:textId="03F393CE" w:rsidR="00710FC1" w:rsidRPr="00CF50D4" w:rsidRDefault="00DE534C" w:rsidP="009B2B57">
      <w:pPr>
        <w:rPr>
          <w:rFonts w:ascii="Times New Roman" w:hAnsi="Times New Roman" w:cs="Times New Roman"/>
          <w:sz w:val="23"/>
          <w:szCs w:val="23"/>
        </w:rPr>
      </w:pPr>
      <w:r w:rsidRPr="00CF50D4">
        <w:rPr>
          <w:rFonts w:ascii="Times New Roman" w:hAnsi="Times New Roman" w:cs="Times New Roman"/>
          <w:sz w:val="23"/>
          <w:szCs w:val="23"/>
        </w:rPr>
        <w:t>Otro indicador de la calidad de la educación superior en Manizales se da a partir d</w:t>
      </w:r>
      <w:r w:rsidR="00710FC1" w:rsidRPr="00CF50D4">
        <w:rPr>
          <w:rFonts w:ascii="Times New Roman" w:hAnsi="Times New Roman" w:cs="Times New Roman"/>
          <w:sz w:val="23"/>
          <w:szCs w:val="23"/>
        </w:rPr>
        <w:t>e</w:t>
      </w:r>
      <w:r w:rsidRPr="00CF50D4">
        <w:rPr>
          <w:rFonts w:ascii="Times New Roman" w:hAnsi="Times New Roman" w:cs="Times New Roman"/>
          <w:sz w:val="23"/>
          <w:szCs w:val="23"/>
        </w:rPr>
        <w:t xml:space="preserve"> </w:t>
      </w:r>
      <w:r w:rsidR="00710FC1" w:rsidRPr="00CF50D4">
        <w:rPr>
          <w:rFonts w:ascii="Times New Roman" w:hAnsi="Times New Roman" w:cs="Times New Roman"/>
          <w:sz w:val="23"/>
          <w:szCs w:val="23"/>
        </w:rPr>
        <w:t>l</w:t>
      </w:r>
      <w:r w:rsidRPr="00CF50D4">
        <w:rPr>
          <w:rFonts w:ascii="Times New Roman" w:hAnsi="Times New Roman" w:cs="Times New Roman"/>
          <w:sz w:val="23"/>
          <w:szCs w:val="23"/>
        </w:rPr>
        <w:t xml:space="preserve">os esfuerzos de las universidades en promover la </w:t>
      </w:r>
      <w:r w:rsidR="00710FC1" w:rsidRPr="00CF50D4">
        <w:rPr>
          <w:rFonts w:ascii="Times New Roman" w:hAnsi="Times New Roman" w:cs="Times New Roman"/>
          <w:sz w:val="23"/>
          <w:szCs w:val="23"/>
        </w:rPr>
        <w:t>investigación</w:t>
      </w:r>
      <w:r w:rsidRPr="00CF50D4">
        <w:rPr>
          <w:rFonts w:ascii="Times New Roman" w:hAnsi="Times New Roman" w:cs="Times New Roman"/>
          <w:sz w:val="23"/>
          <w:szCs w:val="23"/>
        </w:rPr>
        <w:t>. Manizales Como Vamos (2021)</w:t>
      </w:r>
      <w:r w:rsidR="00710FC1" w:rsidRPr="00CF50D4">
        <w:rPr>
          <w:rFonts w:ascii="Times New Roman" w:hAnsi="Times New Roman" w:cs="Times New Roman"/>
          <w:sz w:val="23"/>
          <w:szCs w:val="23"/>
        </w:rPr>
        <w:t xml:space="preserve">,  recurre a la clasificación que hace </w:t>
      </w:r>
      <w:r w:rsidR="009B2B57" w:rsidRPr="00CF50D4">
        <w:rPr>
          <w:rFonts w:ascii="Times New Roman" w:hAnsi="Times New Roman" w:cs="Times New Roman"/>
          <w:sz w:val="23"/>
          <w:szCs w:val="23"/>
        </w:rPr>
        <w:t>el Ministerio de Ciencia, Tecnología e Innovación</w:t>
      </w:r>
      <w:r w:rsidR="00710FC1" w:rsidRPr="00CF50D4">
        <w:rPr>
          <w:rFonts w:ascii="Times New Roman" w:hAnsi="Times New Roman" w:cs="Times New Roman"/>
          <w:sz w:val="23"/>
          <w:szCs w:val="23"/>
        </w:rPr>
        <w:t xml:space="preserve"> para los Grupos de Investigación, Desarrollo Tecnológico o de Innovación. De acuerdo con los resultados de la última convocatoria efectuada en 2021 (Convocatoria 894 de 2021), la ciudad contaba con 171 grupos de investigación reconocidos. Del total de grupos de investigación, un poco más de la mitad (51,4%), se encuentran clasificados en las categorías A1 y A, posicionando a la ciudad en el primer lugar con el mayor peso relativo de grupos de la mayor calidad investigativa en el total.</w:t>
      </w:r>
    </w:p>
    <w:p w14:paraId="44ACC5AB" w14:textId="77777777" w:rsidR="00710FC1" w:rsidRPr="00CF50D4" w:rsidRDefault="00710FC1" w:rsidP="00710FC1">
      <w:pPr>
        <w:spacing w:line="259" w:lineRule="auto"/>
        <w:rPr>
          <w:rFonts w:ascii="Times New Roman" w:hAnsi="Times New Roman" w:cs="Times New Roman"/>
          <w:sz w:val="23"/>
          <w:szCs w:val="23"/>
        </w:rPr>
      </w:pPr>
    </w:p>
    <w:p w14:paraId="33281A52" w14:textId="58DA3E97" w:rsidR="00710FC1" w:rsidRPr="00CF50D4" w:rsidRDefault="00710FC1" w:rsidP="00710FC1">
      <w:pPr>
        <w:pStyle w:val="Tabla"/>
        <w:spacing w:line="259" w:lineRule="auto"/>
        <w:rPr>
          <w:rFonts w:ascii="Times New Roman" w:hAnsi="Times New Roman" w:cs="Times New Roman"/>
          <w:sz w:val="23"/>
          <w:szCs w:val="23"/>
        </w:rPr>
      </w:pPr>
      <w:bookmarkStart w:id="7" w:name="_Toc121414010"/>
      <w:r w:rsidRPr="00CF50D4">
        <w:rPr>
          <w:rFonts w:ascii="Times New Roman" w:hAnsi="Times New Roman" w:cs="Times New Roman"/>
          <w:sz w:val="23"/>
          <w:szCs w:val="23"/>
        </w:rPr>
        <w:t xml:space="preserve">Tabla </w:t>
      </w:r>
      <w:r w:rsidR="00FA3E62" w:rsidRPr="00CF50D4">
        <w:rPr>
          <w:rFonts w:ascii="Times New Roman" w:hAnsi="Times New Roman" w:cs="Times New Roman"/>
          <w:sz w:val="23"/>
          <w:szCs w:val="23"/>
        </w:rPr>
        <w:fldChar w:fldCharType="begin"/>
      </w:r>
      <w:r w:rsidR="00FA3E62" w:rsidRPr="00CF50D4">
        <w:rPr>
          <w:rFonts w:ascii="Times New Roman" w:hAnsi="Times New Roman" w:cs="Times New Roman"/>
          <w:sz w:val="23"/>
          <w:szCs w:val="23"/>
        </w:rPr>
        <w:instrText xml:space="preserve"> SEQ Tabla \* ARABIC </w:instrText>
      </w:r>
      <w:r w:rsidR="00FA3E62" w:rsidRPr="00CF50D4">
        <w:rPr>
          <w:rFonts w:ascii="Times New Roman" w:hAnsi="Times New Roman" w:cs="Times New Roman"/>
          <w:sz w:val="23"/>
          <w:szCs w:val="23"/>
        </w:rPr>
        <w:fldChar w:fldCharType="separate"/>
      </w:r>
      <w:r w:rsidR="00F66B58" w:rsidRPr="00CF50D4">
        <w:rPr>
          <w:rFonts w:ascii="Times New Roman" w:hAnsi="Times New Roman" w:cs="Times New Roman"/>
          <w:noProof/>
          <w:sz w:val="23"/>
          <w:szCs w:val="23"/>
        </w:rPr>
        <w:t>3</w:t>
      </w:r>
      <w:r w:rsidR="00FA3E62" w:rsidRPr="00CF50D4">
        <w:rPr>
          <w:rFonts w:ascii="Times New Roman" w:hAnsi="Times New Roman" w:cs="Times New Roman"/>
          <w:noProof/>
          <w:sz w:val="23"/>
          <w:szCs w:val="23"/>
        </w:rPr>
        <w:fldChar w:fldCharType="end"/>
      </w:r>
      <w:r w:rsidRPr="00CF50D4">
        <w:rPr>
          <w:rFonts w:ascii="Times New Roman" w:hAnsi="Times New Roman" w:cs="Times New Roman"/>
          <w:sz w:val="23"/>
          <w:szCs w:val="23"/>
        </w:rPr>
        <w:t xml:space="preserve">. Grupos reconocidos por </w:t>
      </w:r>
      <w:proofErr w:type="spellStart"/>
      <w:r w:rsidRPr="00CF50D4">
        <w:rPr>
          <w:rFonts w:ascii="Times New Roman" w:hAnsi="Times New Roman" w:cs="Times New Roman"/>
          <w:sz w:val="23"/>
          <w:szCs w:val="23"/>
        </w:rPr>
        <w:t>Minciencias</w:t>
      </w:r>
      <w:proofErr w:type="spellEnd"/>
      <w:r w:rsidRPr="00CF50D4">
        <w:rPr>
          <w:rFonts w:ascii="Times New Roman" w:hAnsi="Times New Roman" w:cs="Times New Roman"/>
          <w:sz w:val="23"/>
          <w:szCs w:val="23"/>
        </w:rPr>
        <w:t xml:space="preserve"> según clasificación. Convocatoria 894 de 2021</w:t>
      </w:r>
      <w:bookmarkEnd w:id="7"/>
    </w:p>
    <w:tbl>
      <w:tblPr>
        <w:tblW w:w="8838" w:type="dxa"/>
        <w:jc w:val="center"/>
        <w:tblCellMar>
          <w:left w:w="70" w:type="dxa"/>
          <w:right w:w="70" w:type="dxa"/>
        </w:tblCellMar>
        <w:tblLook w:val="04A0" w:firstRow="1" w:lastRow="0" w:firstColumn="1" w:lastColumn="0" w:noHBand="0" w:noVBand="1"/>
      </w:tblPr>
      <w:tblGrid>
        <w:gridCol w:w="1764"/>
        <w:gridCol w:w="1179"/>
        <w:gridCol w:w="1179"/>
        <w:gridCol w:w="1179"/>
        <w:gridCol w:w="1179"/>
        <w:gridCol w:w="1278"/>
        <w:gridCol w:w="1179"/>
      </w:tblGrid>
      <w:tr w:rsidR="00710FC1" w:rsidRPr="00CF50D4" w14:paraId="7F633DC3" w14:textId="77777777" w:rsidTr="00E250FE">
        <w:trPr>
          <w:trHeight w:val="300"/>
          <w:jc w:val="center"/>
        </w:trPr>
        <w:tc>
          <w:tcPr>
            <w:tcW w:w="1764" w:type="dxa"/>
            <w:tcBorders>
              <w:top w:val="nil"/>
              <w:left w:val="nil"/>
              <w:bottom w:val="single" w:sz="4" w:space="0" w:color="95B3D7"/>
              <w:right w:val="nil"/>
            </w:tcBorders>
            <w:shd w:val="clear" w:color="DCE6F1" w:fill="DCE6F1"/>
            <w:noWrap/>
            <w:vAlign w:val="bottom"/>
            <w:hideMark/>
          </w:tcPr>
          <w:p w14:paraId="24869687"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Ciudad</w:t>
            </w:r>
          </w:p>
        </w:tc>
        <w:tc>
          <w:tcPr>
            <w:tcW w:w="1179" w:type="dxa"/>
            <w:tcBorders>
              <w:top w:val="nil"/>
              <w:left w:val="nil"/>
              <w:bottom w:val="single" w:sz="4" w:space="0" w:color="95B3D7"/>
              <w:right w:val="nil"/>
            </w:tcBorders>
            <w:shd w:val="clear" w:color="DCE6F1" w:fill="DCE6F1"/>
            <w:noWrap/>
            <w:vAlign w:val="bottom"/>
            <w:hideMark/>
          </w:tcPr>
          <w:p w14:paraId="5A49919B"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A1</w:t>
            </w:r>
          </w:p>
        </w:tc>
        <w:tc>
          <w:tcPr>
            <w:tcW w:w="1179" w:type="dxa"/>
            <w:tcBorders>
              <w:top w:val="nil"/>
              <w:left w:val="nil"/>
              <w:bottom w:val="single" w:sz="4" w:space="0" w:color="95B3D7"/>
              <w:right w:val="nil"/>
            </w:tcBorders>
            <w:shd w:val="clear" w:color="DCE6F1" w:fill="DCE6F1"/>
            <w:noWrap/>
            <w:vAlign w:val="bottom"/>
            <w:hideMark/>
          </w:tcPr>
          <w:p w14:paraId="5363DBF9"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A</w:t>
            </w:r>
          </w:p>
        </w:tc>
        <w:tc>
          <w:tcPr>
            <w:tcW w:w="1179" w:type="dxa"/>
            <w:tcBorders>
              <w:top w:val="nil"/>
              <w:left w:val="nil"/>
              <w:bottom w:val="single" w:sz="4" w:space="0" w:color="95B3D7"/>
              <w:right w:val="nil"/>
            </w:tcBorders>
            <w:shd w:val="clear" w:color="DCE6F1" w:fill="DCE6F1"/>
            <w:noWrap/>
            <w:vAlign w:val="bottom"/>
            <w:hideMark/>
          </w:tcPr>
          <w:p w14:paraId="38FAB22E"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B</w:t>
            </w:r>
          </w:p>
        </w:tc>
        <w:tc>
          <w:tcPr>
            <w:tcW w:w="1179" w:type="dxa"/>
            <w:tcBorders>
              <w:top w:val="nil"/>
              <w:left w:val="nil"/>
              <w:bottom w:val="single" w:sz="4" w:space="0" w:color="95B3D7"/>
              <w:right w:val="nil"/>
            </w:tcBorders>
            <w:shd w:val="clear" w:color="DCE6F1" w:fill="DCE6F1"/>
            <w:noWrap/>
            <w:vAlign w:val="bottom"/>
            <w:hideMark/>
          </w:tcPr>
          <w:p w14:paraId="04925692"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C</w:t>
            </w:r>
          </w:p>
        </w:tc>
        <w:tc>
          <w:tcPr>
            <w:tcW w:w="1179" w:type="dxa"/>
            <w:tcBorders>
              <w:top w:val="nil"/>
              <w:left w:val="nil"/>
              <w:bottom w:val="single" w:sz="4" w:space="0" w:color="95B3D7"/>
              <w:right w:val="nil"/>
            </w:tcBorders>
            <w:shd w:val="clear" w:color="DCE6F1" w:fill="DCE6F1"/>
            <w:noWrap/>
            <w:vAlign w:val="bottom"/>
            <w:hideMark/>
          </w:tcPr>
          <w:p w14:paraId="7D0FD9EE"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Reconocido</w:t>
            </w:r>
          </w:p>
        </w:tc>
        <w:tc>
          <w:tcPr>
            <w:tcW w:w="1179" w:type="dxa"/>
            <w:tcBorders>
              <w:top w:val="nil"/>
              <w:left w:val="nil"/>
              <w:bottom w:val="single" w:sz="4" w:space="0" w:color="95B3D7"/>
              <w:right w:val="nil"/>
            </w:tcBorders>
            <w:shd w:val="clear" w:color="DCE6F1" w:fill="DCE6F1"/>
            <w:noWrap/>
            <w:vAlign w:val="bottom"/>
            <w:hideMark/>
          </w:tcPr>
          <w:p w14:paraId="642876D2" w14:textId="77777777" w:rsidR="00710FC1" w:rsidRPr="00CF50D4" w:rsidRDefault="00710FC1" w:rsidP="00710FC1">
            <w:pPr>
              <w:spacing w:line="259" w:lineRule="auto"/>
              <w:jc w:val="center"/>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Total general</w:t>
            </w:r>
          </w:p>
        </w:tc>
      </w:tr>
      <w:tr w:rsidR="00710FC1" w:rsidRPr="00CF50D4" w14:paraId="488C406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D455C20"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Armenia</w:t>
            </w:r>
          </w:p>
        </w:tc>
        <w:tc>
          <w:tcPr>
            <w:tcW w:w="1179" w:type="dxa"/>
            <w:tcBorders>
              <w:top w:val="nil"/>
              <w:left w:val="nil"/>
              <w:bottom w:val="nil"/>
              <w:right w:val="nil"/>
            </w:tcBorders>
            <w:shd w:val="clear" w:color="auto" w:fill="auto"/>
            <w:noWrap/>
            <w:vAlign w:val="bottom"/>
            <w:hideMark/>
          </w:tcPr>
          <w:p w14:paraId="08EBFBE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4.5%</w:t>
            </w:r>
          </w:p>
        </w:tc>
        <w:tc>
          <w:tcPr>
            <w:tcW w:w="1179" w:type="dxa"/>
            <w:tcBorders>
              <w:top w:val="nil"/>
              <w:left w:val="nil"/>
              <w:bottom w:val="nil"/>
              <w:right w:val="nil"/>
            </w:tcBorders>
            <w:shd w:val="clear" w:color="auto" w:fill="auto"/>
            <w:noWrap/>
            <w:vAlign w:val="bottom"/>
            <w:hideMark/>
          </w:tcPr>
          <w:p w14:paraId="602AF92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6.8%</w:t>
            </w:r>
          </w:p>
        </w:tc>
        <w:tc>
          <w:tcPr>
            <w:tcW w:w="1179" w:type="dxa"/>
            <w:tcBorders>
              <w:top w:val="nil"/>
              <w:left w:val="nil"/>
              <w:bottom w:val="nil"/>
              <w:right w:val="nil"/>
            </w:tcBorders>
            <w:shd w:val="clear" w:color="auto" w:fill="auto"/>
            <w:noWrap/>
            <w:vAlign w:val="bottom"/>
            <w:hideMark/>
          </w:tcPr>
          <w:p w14:paraId="6BA4FDC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27.3%</w:t>
            </w:r>
          </w:p>
        </w:tc>
        <w:tc>
          <w:tcPr>
            <w:tcW w:w="1179" w:type="dxa"/>
            <w:tcBorders>
              <w:top w:val="nil"/>
              <w:left w:val="nil"/>
              <w:bottom w:val="nil"/>
              <w:right w:val="nil"/>
            </w:tcBorders>
            <w:shd w:val="clear" w:color="auto" w:fill="auto"/>
            <w:noWrap/>
            <w:vAlign w:val="bottom"/>
            <w:hideMark/>
          </w:tcPr>
          <w:p w14:paraId="33A9508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42.0%</w:t>
            </w:r>
          </w:p>
        </w:tc>
        <w:tc>
          <w:tcPr>
            <w:tcW w:w="1179" w:type="dxa"/>
            <w:tcBorders>
              <w:top w:val="nil"/>
              <w:left w:val="nil"/>
              <w:bottom w:val="nil"/>
              <w:right w:val="nil"/>
            </w:tcBorders>
            <w:shd w:val="clear" w:color="auto" w:fill="auto"/>
            <w:noWrap/>
            <w:vAlign w:val="bottom"/>
            <w:hideMark/>
          </w:tcPr>
          <w:p w14:paraId="0183279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19.3%</w:t>
            </w:r>
          </w:p>
        </w:tc>
        <w:tc>
          <w:tcPr>
            <w:tcW w:w="1179" w:type="dxa"/>
            <w:tcBorders>
              <w:top w:val="nil"/>
              <w:left w:val="nil"/>
              <w:bottom w:val="nil"/>
              <w:right w:val="nil"/>
            </w:tcBorders>
            <w:shd w:val="clear" w:color="auto" w:fill="auto"/>
            <w:noWrap/>
            <w:vAlign w:val="bottom"/>
            <w:hideMark/>
          </w:tcPr>
          <w:p w14:paraId="1F923F1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617AAF43"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478ED6D1"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Barranquilla</w:t>
            </w:r>
          </w:p>
        </w:tc>
        <w:tc>
          <w:tcPr>
            <w:tcW w:w="1179" w:type="dxa"/>
            <w:tcBorders>
              <w:top w:val="nil"/>
              <w:left w:val="nil"/>
              <w:bottom w:val="nil"/>
              <w:right w:val="nil"/>
            </w:tcBorders>
            <w:shd w:val="clear" w:color="auto" w:fill="auto"/>
            <w:noWrap/>
            <w:vAlign w:val="bottom"/>
            <w:hideMark/>
          </w:tcPr>
          <w:p w14:paraId="4DD3DE9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23.5%</w:t>
            </w:r>
          </w:p>
        </w:tc>
        <w:tc>
          <w:tcPr>
            <w:tcW w:w="1179" w:type="dxa"/>
            <w:tcBorders>
              <w:top w:val="nil"/>
              <w:left w:val="nil"/>
              <w:bottom w:val="nil"/>
              <w:right w:val="nil"/>
            </w:tcBorders>
            <w:shd w:val="clear" w:color="auto" w:fill="auto"/>
            <w:noWrap/>
            <w:vAlign w:val="bottom"/>
            <w:hideMark/>
          </w:tcPr>
          <w:p w14:paraId="540F892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23.5%</w:t>
            </w:r>
          </w:p>
        </w:tc>
        <w:tc>
          <w:tcPr>
            <w:tcW w:w="1179" w:type="dxa"/>
            <w:tcBorders>
              <w:top w:val="nil"/>
              <w:left w:val="nil"/>
              <w:bottom w:val="nil"/>
              <w:right w:val="nil"/>
            </w:tcBorders>
            <w:shd w:val="clear" w:color="auto" w:fill="auto"/>
            <w:noWrap/>
            <w:vAlign w:val="bottom"/>
            <w:hideMark/>
          </w:tcPr>
          <w:p w14:paraId="730D2A0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16.5%</w:t>
            </w:r>
          </w:p>
        </w:tc>
        <w:tc>
          <w:tcPr>
            <w:tcW w:w="1179" w:type="dxa"/>
            <w:tcBorders>
              <w:top w:val="nil"/>
              <w:left w:val="nil"/>
              <w:bottom w:val="nil"/>
              <w:right w:val="nil"/>
            </w:tcBorders>
            <w:shd w:val="clear" w:color="auto" w:fill="auto"/>
            <w:noWrap/>
            <w:vAlign w:val="bottom"/>
            <w:hideMark/>
          </w:tcPr>
          <w:p w14:paraId="5B133E3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31.2%</w:t>
            </w:r>
          </w:p>
        </w:tc>
        <w:tc>
          <w:tcPr>
            <w:tcW w:w="1179" w:type="dxa"/>
            <w:tcBorders>
              <w:top w:val="nil"/>
              <w:left w:val="nil"/>
              <w:bottom w:val="nil"/>
              <w:right w:val="nil"/>
            </w:tcBorders>
            <w:shd w:val="clear" w:color="auto" w:fill="auto"/>
            <w:noWrap/>
            <w:vAlign w:val="bottom"/>
            <w:hideMark/>
          </w:tcPr>
          <w:p w14:paraId="0C46A9D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5.3%</w:t>
            </w:r>
          </w:p>
        </w:tc>
        <w:tc>
          <w:tcPr>
            <w:tcW w:w="1179" w:type="dxa"/>
            <w:tcBorders>
              <w:top w:val="nil"/>
              <w:left w:val="nil"/>
              <w:bottom w:val="nil"/>
              <w:right w:val="nil"/>
            </w:tcBorders>
            <w:shd w:val="clear" w:color="auto" w:fill="auto"/>
            <w:noWrap/>
            <w:vAlign w:val="bottom"/>
            <w:hideMark/>
          </w:tcPr>
          <w:p w14:paraId="0DED3E4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46EEC574"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AA28125"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Bogotá, D.C.</w:t>
            </w:r>
          </w:p>
        </w:tc>
        <w:tc>
          <w:tcPr>
            <w:tcW w:w="1179" w:type="dxa"/>
            <w:tcBorders>
              <w:top w:val="nil"/>
              <w:left w:val="nil"/>
              <w:bottom w:val="nil"/>
              <w:right w:val="nil"/>
            </w:tcBorders>
            <w:shd w:val="clear" w:color="auto" w:fill="auto"/>
            <w:noWrap/>
            <w:vAlign w:val="bottom"/>
            <w:hideMark/>
          </w:tcPr>
          <w:p w14:paraId="0741403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16.1%</w:t>
            </w:r>
          </w:p>
        </w:tc>
        <w:tc>
          <w:tcPr>
            <w:tcW w:w="1179" w:type="dxa"/>
            <w:tcBorders>
              <w:top w:val="nil"/>
              <w:left w:val="nil"/>
              <w:bottom w:val="nil"/>
              <w:right w:val="nil"/>
            </w:tcBorders>
            <w:shd w:val="clear" w:color="auto" w:fill="auto"/>
            <w:noWrap/>
            <w:vAlign w:val="bottom"/>
            <w:hideMark/>
          </w:tcPr>
          <w:p w14:paraId="6D48197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18.8%</w:t>
            </w:r>
          </w:p>
        </w:tc>
        <w:tc>
          <w:tcPr>
            <w:tcW w:w="1179" w:type="dxa"/>
            <w:tcBorders>
              <w:top w:val="nil"/>
              <w:left w:val="nil"/>
              <w:bottom w:val="nil"/>
              <w:right w:val="nil"/>
            </w:tcBorders>
            <w:shd w:val="clear" w:color="auto" w:fill="auto"/>
            <w:noWrap/>
            <w:vAlign w:val="bottom"/>
            <w:hideMark/>
          </w:tcPr>
          <w:p w14:paraId="02052A7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21.0%</w:t>
            </w:r>
          </w:p>
        </w:tc>
        <w:tc>
          <w:tcPr>
            <w:tcW w:w="1179" w:type="dxa"/>
            <w:tcBorders>
              <w:top w:val="nil"/>
              <w:left w:val="nil"/>
              <w:bottom w:val="nil"/>
              <w:right w:val="nil"/>
            </w:tcBorders>
            <w:shd w:val="clear" w:color="auto" w:fill="auto"/>
            <w:noWrap/>
            <w:vAlign w:val="bottom"/>
            <w:hideMark/>
          </w:tcPr>
          <w:p w14:paraId="1B3B016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35.7%</w:t>
            </w:r>
          </w:p>
        </w:tc>
        <w:tc>
          <w:tcPr>
            <w:tcW w:w="1179" w:type="dxa"/>
            <w:tcBorders>
              <w:top w:val="nil"/>
              <w:left w:val="nil"/>
              <w:bottom w:val="nil"/>
              <w:right w:val="nil"/>
            </w:tcBorders>
            <w:shd w:val="clear" w:color="auto" w:fill="auto"/>
            <w:noWrap/>
            <w:vAlign w:val="bottom"/>
            <w:hideMark/>
          </w:tcPr>
          <w:p w14:paraId="41B1B50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8.4%</w:t>
            </w:r>
          </w:p>
        </w:tc>
        <w:tc>
          <w:tcPr>
            <w:tcW w:w="1179" w:type="dxa"/>
            <w:tcBorders>
              <w:top w:val="nil"/>
              <w:left w:val="nil"/>
              <w:bottom w:val="nil"/>
              <w:right w:val="nil"/>
            </w:tcBorders>
            <w:shd w:val="clear" w:color="auto" w:fill="auto"/>
            <w:noWrap/>
            <w:vAlign w:val="bottom"/>
            <w:hideMark/>
          </w:tcPr>
          <w:p w14:paraId="597A612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7F9AD61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119BF44"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Bucaramanga</w:t>
            </w:r>
          </w:p>
        </w:tc>
        <w:tc>
          <w:tcPr>
            <w:tcW w:w="1179" w:type="dxa"/>
            <w:tcBorders>
              <w:top w:val="nil"/>
              <w:left w:val="nil"/>
              <w:bottom w:val="nil"/>
              <w:right w:val="nil"/>
            </w:tcBorders>
            <w:shd w:val="clear" w:color="auto" w:fill="auto"/>
            <w:noWrap/>
            <w:vAlign w:val="bottom"/>
            <w:hideMark/>
          </w:tcPr>
          <w:p w14:paraId="63CB828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11.6%</w:t>
            </w:r>
          </w:p>
        </w:tc>
        <w:tc>
          <w:tcPr>
            <w:tcW w:w="1179" w:type="dxa"/>
            <w:tcBorders>
              <w:top w:val="nil"/>
              <w:left w:val="nil"/>
              <w:bottom w:val="nil"/>
              <w:right w:val="nil"/>
            </w:tcBorders>
            <w:shd w:val="clear" w:color="auto" w:fill="auto"/>
            <w:noWrap/>
            <w:vAlign w:val="bottom"/>
            <w:hideMark/>
          </w:tcPr>
          <w:p w14:paraId="115B1AF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25.1%</w:t>
            </w:r>
          </w:p>
        </w:tc>
        <w:tc>
          <w:tcPr>
            <w:tcW w:w="1179" w:type="dxa"/>
            <w:tcBorders>
              <w:top w:val="nil"/>
              <w:left w:val="nil"/>
              <w:bottom w:val="nil"/>
              <w:right w:val="nil"/>
            </w:tcBorders>
            <w:shd w:val="clear" w:color="auto" w:fill="auto"/>
            <w:noWrap/>
            <w:vAlign w:val="bottom"/>
            <w:hideMark/>
          </w:tcPr>
          <w:p w14:paraId="6F25FF6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24.7%</w:t>
            </w:r>
          </w:p>
        </w:tc>
        <w:tc>
          <w:tcPr>
            <w:tcW w:w="1179" w:type="dxa"/>
            <w:tcBorders>
              <w:top w:val="nil"/>
              <w:left w:val="nil"/>
              <w:bottom w:val="nil"/>
              <w:right w:val="nil"/>
            </w:tcBorders>
            <w:shd w:val="clear" w:color="auto" w:fill="auto"/>
            <w:noWrap/>
            <w:vAlign w:val="bottom"/>
            <w:hideMark/>
          </w:tcPr>
          <w:p w14:paraId="1FC3B01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31.6%</w:t>
            </w:r>
          </w:p>
        </w:tc>
        <w:tc>
          <w:tcPr>
            <w:tcW w:w="1179" w:type="dxa"/>
            <w:tcBorders>
              <w:top w:val="nil"/>
              <w:left w:val="nil"/>
              <w:bottom w:val="nil"/>
              <w:right w:val="nil"/>
            </w:tcBorders>
            <w:shd w:val="clear" w:color="auto" w:fill="auto"/>
            <w:noWrap/>
            <w:vAlign w:val="bottom"/>
            <w:hideMark/>
          </w:tcPr>
          <w:p w14:paraId="3147398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7.0%</w:t>
            </w:r>
          </w:p>
        </w:tc>
        <w:tc>
          <w:tcPr>
            <w:tcW w:w="1179" w:type="dxa"/>
            <w:tcBorders>
              <w:top w:val="nil"/>
              <w:left w:val="nil"/>
              <w:bottom w:val="nil"/>
              <w:right w:val="nil"/>
            </w:tcBorders>
            <w:shd w:val="clear" w:color="auto" w:fill="auto"/>
            <w:noWrap/>
            <w:vAlign w:val="bottom"/>
            <w:hideMark/>
          </w:tcPr>
          <w:p w14:paraId="1475A07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71DC3007"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2133146"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Cali</w:t>
            </w:r>
          </w:p>
        </w:tc>
        <w:tc>
          <w:tcPr>
            <w:tcW w:w="1179" w:type="dxa"/>
            <w:tcBorders>
              <w:top w:val="nil"/>
              <w:left w:val="nil"/>
              <w:bottom w:val="nil"/>
              <w:right w:val="nil"/>
            </w:tcBorders>
            <w:shd w:val="clear" w:color="auto" w:fill="auto"/>
            <w:noWrap/>
            <w:vAlign w:val="bottom"/>
            <w:hideMark/>
          </w:tcPr>
          <w:p w14:paraId="6556483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18.0%</w:t>
            </w:r>
          </w:p>
        </w:tc>
        <w:tc>
          <w:tcPr>
            <w:tcW w:w="1179" w:type="dxa"/>
            <w:tcBorders>
              <w:top w:val="nil"/>
              <w:left w:val="nil"/>
              <w:bottom w:val="nil"/>
              <w:right w:val="nil"/>
            </w:tcBorders>
            <w:shd w:val="clear" w:color="auto" w:fill="auto"/>
            <w:noWrap/>
            <w:vAlign w:val="bottom"/>
            <w:hideMark/>
          </w:tcPr>
          <w:p w14:paraId="3A1DFEB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23.0%</w:t>
            </w:r>
          </w:p>
        </w:tc>
        <w:tc>
          <w:tcPr>
            <w:tcW w:w="1179" w:type="dxa"/>
            <w:tcBorders>
              <w:top w:val="nil"/>
              <w:left w:val="nil"/>
              <w:bottom w:val="nil"/>
              <w:right w:val="nil"/>
            </w:tcBorders>
            <w:shd w:val="clear" w:color="auto" w:fill="auto"/>
            <w:noWrap/>
            <w:vAlign w:val="bottom"/>
            <w:hideMark/>
          </w:tcPr>
          <w:p w14:paraId="2BC2637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18.3%</w:t>
            </w:r>
          </w:p>
        </w:tc>
        <w:tc>
          <w:tcPr>
            <w:tcW w:w="1179" w:type="dxa"/>
            <w:tcBorders>
              <w:top w:val="nil"/>
              <w:left w:val="nil"/>
              <w:bottom w:val="nil"/>
              <w:right w:val="nil"/>
            </w:tcBorders>
            <w:shd w:val="clear" w:color="auto" w:fill="auto"/>
            <w:noWrap/>
            <w:vAlign w:val="bottom"/>
            <w:hideMark/>
          </w:tcPr>
          <w:p w14:paraId="5B6DA42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33.3%</w:t>
            </w:r>
          </w:p>
        </w:tc>
        <w:tc>
          <w:tcPr>
            <w:tcW w:w="1179" w:type="dxa"/>
            <w:tcBorders>
              <w:top w:val="nil"/>
              <w:left w:val="nil"/>
              <w:bottom w:val="nil"/>
              <w:right w:val="nil"/>
            </w:tcBorders>
            <w:shd w:val="clear" w:color="auto" w:fill="auto"/>
            <w:noWrap/>
            <w:vAlign w:val="bottom"/>
            <w:hideMark/>
          </w:tcPr>
          <w:p w14:paraId="183FCF5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7.5%</w:t>
            </w:r>
          </w:p>
        </w:tc>
        <w:tc>
          <w:tcPr>
            <w:tcW w:w="1179" w:type="dxa"/>
            <w:tcBorders>
              <w:top w:val="nil"/>
              <w:left w:val="nil"/>
              <w:bottom w:val="nil"/>
              <w:right w:val="nil"/>
            </w:tcBorders>
            <w:shd w:val="clear" w:color="auto" w:fill="auto"/>
            <w:noWrap/>
            <w:vAlign w:val="bottom"/>
            <w:hideMark/>
          </w:tcPr>
          <w:p w14:paraId="63027F5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06F7F413"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272B6D50"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Cartagena de Indias</w:t>
            </w:r>
          </w:p>
        </w:tc>
        <w:tc>
          <w:tcPr>
            <w:tcW w:w="1179" w:type="dxa"/>
            <w:tcBorders>
              <w:top w:val="nil"/>
              <w:left w:val="nil"/>
              <w:bottom w:val="nil"/>
              <w:right w:val="nil"/>
            </w:tcBorders>
            <w:shd w:val="clear" w:color="auto" w:fill="auto"/>
            <w:noWrap/>
            <w:vAlign w:val="bottom"/>
            <w:hideMark/>
          </w:tcPr>
          <w:p w14:paraId="480D57C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7.5%</w:t>
            </w:r>
          </w:p>
        </w:tc>
        <w:tc>
          <w:tcPr>
            <w:tcW w:w="1179" w:type="dxa"/>
            <w:tcBorders>
              <w:top w:val="nil"/>
              <w:left w:val="nil"/>
              <w:bottom w:val="nil"/>
              <w:right w:val="nil"/>
            </w:tcBorders>
            <w:shd w:val="clear" w:color="auto" w:fill="auto"/>
            <w:noWrap/>
            <w:vAlign w:val="bottom"/>
            <w:hideMark/>
          </w:tcPr>
          <w:p w14:paraId="42ED2C3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16.9%</w:t>
            </w:r>
          </w:p>
        </w:tc>
        <w:tc>
          <w:tcPr>
            <w:tcW w:w="1179" w:type="dxa"/>
            <w:tcBorders>
              <w:top w:val="nil"/>
              <w:left w:val="nil"/>
              <w:bottom w:val="nil"/>
              <w:right w:val="nil"/>
            </w:tcBorders>
            <w:shd w:val="clear" w:color="auto" w:fill="auto"/>
            <w:noWrap/>
            <w:vAlign w:val="bottom"/>
            <w:hideMark/>
          </w:tcPr>
          <w:p w14:paraId="1FC6C37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23.4%</w:t>
            </w:r>
          </w:p>
        </w:tc>
        <w:tc>
          <w:tcPr>
            <w:tcW w:w="1179" w:type="dxa"/>
            <w:tcBorders>
              <w:top w:val="nil"/>
              <w:left w:val="nil"/>
              <w:bottom w:val="nil"/>
              <w:right w:val="nil"/>
            </w:tcBorders>
            <w:shd w:val="clear" w:color="auto" w:fill="auto"/>
            <w:noWrap/>
            <w:vAlign w:val="bottom"/>
            <w:hideMark/>
          </w:tcPr>
          <w:p w14:paraId="274501D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37.3%</w:t>
            </w:r>
          </w:p>
        </w:tc>
        <w:tc>
          <w:tcPr>
            <w:tcW w:w="1179" w:type="dxa"/>
            <w:tcBorders>
              <w:top w:val="nil"/>
              <w:left w:val="nil"/>
              <w:bottom w:val="nil"/>
              <w:right w:val="nil"/>
            </w:tcBorders>
            <w:shd w:val="clear" w:color="auto" w:fill="auto"/>
            <w:noWrap/>
            <w:vAlign w:val="bottom"/>
            <w:hideMark/>
          </w:tcPr>
          <w:p w14:paraId="1D63B67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14.9%</w:t>
            </w:r>
          </w:p>
        </w:tc>
        <w:tc>
          <w:tcPr>
            <w:tcW w:w="1179" w:type="dxa"/>
            <w:tcBorders>
              <w:top w:val="nil"/>
              <w:left w:val="nil"/>
              <w:bottom w:val="nil"/>
              <w:right w:val="nil"/>
            </w:tcBorders>
            <w:shd w:val="clear" w:color="auto" w:fill="auto"/>
            <w:noWrap/>
            <w:vAlign w:val="bottom"/>
            <w:hideMark/>
          </w:tcPr>
          <w:p w14:paraId="155C09F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54AF31C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15B231D"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Cúcuta</w:t>
            </w:r>
          </w:p>
        </w:tc>
        <w:tc>
          <w:tcPr>
            <w:tcW w:w="1179" w:type="dxa"/>
            <w:tcBorders>
              <w:top w:val="nil"/>
              <w:left w:val="nil"/>
              <w:bottom w:val="nil"/>
              <w:right w:val="nil"/>
            </w:tcBorders>
            <w:shd w:val="clear" w:color="auto" w:fill="auto"/>
            <w:noWrap/>
            <w:vAlign w:val="bottom"/>
            <w:hideMark/>
          </w:tcPr>
          <w:p w14:paraId="505F01C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4.9%</w:t>
            </w:r>
          </w:p>
        </w:tc>
        <w:tc>
          <w:tcPr>
            <w:tcW w:w="1179" w:type="dxa"/>
            <w:tcBorders>
              <w:top w:val="nil"/>
              <w:left w:val="nil"/>
              <w:bottom w:val="nil"/>
              <w:right w:val="nil"/>
            </w:tcBorders>
            <w:shd w:val="clear" w:color="auto" w:fill="auto"/>
            <w:noWrap/>
            <w:vAlign w:val="bottom"/>
            <w:hideMark/>
          </w:tcPr>
          <w:p w14:paraId="67D4EF7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25.9%</w:t>
            </w:r>
          </w:p>
        </w:tc>
        <w:tc>
          <w:tcPr>
            <w:tcW w:w="1179" w:type="dxa"/>
            <w:tcBorders>
              <w:top w:val="nil"/>
              <w:left w:val="nil"/>
              <w:bottom w:val="nil"/>
              <w:right w:val="nil"/>
            </w:tcBorders>
            <w:shd w:val="clear" w:color="auto" w:fill="auto"/>
            <w:noWrap/>
            <w:vAlign w:val="bottom"/>
            <w:hideMark/>
          </w:tcPr>
          <w:p w14:paraId="6EF3617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24.7%</w:t>
            </w:r>
          </w:p>
        </w:tc>
        <w:tc>
          <w:tcPr>
            <w:tcW w:w="1179" w:type="dxa"/>
            <w:tcBorders>
              <w:top w:val="nil"/>
              <w:left w:val="nil"/>
              <w:bottom w:val="nil"/>
              <w:right w:val="nil"/>
            </w:tcBorders>
            <w:shd w:val="clear" w:color="auto" w:fill="auto"/>
            <w:noWrap/>
            <w:vAlign w:val="bottom"/>
            <w:hideMark/>
          </w:tcPr>
          <w:p w14:paraId="09EF567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38.3%</w:t>
            </w:r>
          </w:p>
        </w:tc>
        <w:tc>
          <w:tcPr>
            <w:tcW w:w="1179" w:type="dxa"/>
            <w:tcBorders>
              <w:top w:val="nil"/>
              <w:left w:val="nil"/>
              <w:bottom w:val="nil"/>
              <w:right w:val="nil"/>
            </w:tcBorders>
            <w:shd w:val="clear" w:color="auto" w:fill="auto"/>
            <w:noWrap/>
            <w:vAlign w:val="bottom"/>
            <w:hideMark/>
          </w:tcPr>
          <w:p w14:paraId="3DD508A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6.2%</w:t>
            </w:r>
          </w:p>
        </w:tc>
        <w:tc>
          <w:tcPr>
            <w:tcW w:w="1179" w:type="dxa"/>
            <w:tcBorders>
              <w:top w:val="nil"/>
              <w:left w:val="nil"/>
              <w:bottom w:val="nil"/>
              <w:right w:val="nil"/>
            </w:tcBorders>
            <w:shd w:val="clear" w:color="auto" w:fill="auto"/>
            <w:noWrap/>
            <w:vAlign w:val="bottom"/>
            <w:hideMark/>
          </w:tcPr>
          <w:p w14:paraId="30B96D9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50836F59"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0153791"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Florencia</w:t>
            </w:r>
          </w:p>
        </w:tc>
        <w:tc>
          <w:tcPr>
            <w:tcW w:w="1179" w:type="dxa"/>
            <w:tcBorders>
              <w:top w:val="nil"/>
              <w:left w:val="nil"/>
              <w:bottom w:val="nil"/>
              <w:right w:val="nil"/>
            </w:tcBorders>
            <w:shd w:val="clear" w:color="auto" w:fill="auto"/>
            <w:noWrap/>
            <w:vAlign w:val="bottom"/>
            <w:hideMark/>
          </w:tcPr>
          <w:p w14:paraId="2901B02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w:t>
            </w:r>
          </w:p>
        </w:tc>
        <w:tc>
          <w:tcPr>
            <w:tcW w:w="1179" w:type="dxa"/>
            <w:tcBorders>
              <w:top w:val="nil"/>
              <w:left w:val="nil"/>
              <w:bottom w:val="nil"/>
              <w:right w:val="nil"/>
            </w:tcBorders>
            <w:shd w:val="clear" w:color="auto" w:fill="auto"/>
            <w:noWrap/>
            <w:vAlign w:val="bottom"/>
            <w:hideMark/>
          </w:tcPr>
          <w:p w14:paraId="40D0D43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10.8%</w:t>
            </w:r>
          </w:p>
        </w:tc>
        <w:tc>
          <w:tcPr>
            <w:tcW w:w="1179" w:type="dxa"/>
            <w:tcBorders>
              <w:top w:val="nil"/>
              <w:left w:val="nil"/>
              <w:bottom w:val="nil"/>
              <w:right w:val="nil"/>
            </w:tcBorders>
            <w:shd w:val="clear" w:color="auto" w:fill="auto"/>
            <w:noWrap/>
            <w:vAlign w:val="bottom"/>
            <w:hideMark/>
          </w:tcPr>
          <w:p w14:paraId="266B07D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16.2%</w:t>
            </w:r>
          </w:p>
        </w:tc>
        <w:tc>
          <w:tcPr>
            <w:tcW w:w="1179" w:type="dxa"/>
            <w:tcBorders>
              <w:top w:val="nil"/>
              <w:left w:val="nil"/>
              <w:bottom w:val="nil"/>
              <w:right w:val="nil"/>
            </w:tcBorders>
            <w:shd w:val="clear" w:color="auto" w:fill="auto"/>
            <w:noWrap/>
            <w:vAlign w:val="bottom"/>
            <w:hideMark/>
          </w:tcPr>
          <w:p w14:paraId="7318C19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45.9%</w:t>
            </w:r>
          </w:p>
        </w:tc>
        <w:tc>
          <w:tcPr>
            <w:tcW w:w="1179" w:type="dxa"/>
            <w:tcBorders>
              <w:top w:val="nil"/>
              <w:left w:val="nil"/>
              <w:bottom w:val="nil"/>
              <w:right w:val="nil"/>
            </w:tcBorders>
            <w:shd w:val="clear" w:color="auto" w:fill="auto"/>
            <w:noWrap/>
            <w:vAlign w:val="bottom"/>
            <w:hideMark/>
          </w:tcPr>
          <w:p w14:paraId="17C7625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24.3%</w:t>
            </w:r>
          </w:p>
        </w:tc>
        <w:tc>
          <w:tcPr>
            <w:tcW w:w="1179" w:type="dxa"/>
            <w:tcBorders>
              <w:top w:val="nil"/>
              <w:left w:val="nil"/>
              <w:bottom w:val="nil"/>
              <w:right w:val="nil"/>
            </w:tcBorders>
            <w:shd w:val="clear" w:color="auto" w:fill="auto"/>
            <w:noWrap/>
            <w:vAlign w:val="bottom"/>
            <w:hideMark/>
          </w:tcPr>
          <w:p w14:paraId="5714B57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092DA044"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D539B99"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Ibagué</w:t>
            </w:r>
          </w:p>
        </w:tc>
        <w:tc>
          <w:tcPr>
            <w:tcW w:w="1179" w:type="dxa"/>
            <w:tcBorders>
              <w:top w:val="nil"/>
              <w:left w:val="nil"/>
              <w:bottom w:val="nil"/>
              <w:right w:val="nil"/>
            </w:tcBorders>
            <w:shd w:val="clear" w:color="auto" w:fill="auto"/>
            <w:noWrap/>
            <w:vAlign w:val="bottom"/>
            <w:hideMark/>
          </w:tcPr>
          <w:p w14:paraId="6B85167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6.3%</w:t>
            </w:r>
          </w:p>
        </w:tc>
        <w:tc>
          <w:tcPr>
            <w:tcW w:w="1179" w:type="dxa"/>
            <w:tcBorders>
              <w:top w:val="nil"/>
              <w:left w:val="nil"/>
              <w:bottom w:val="nil"/>
              <w:right w:val="nil"/>
            </w:tcBorders>
            <w:shd w:val="clear" w:color="auto" w:fill="auto"/>
            <w:noWrap/>
            <w:vAlign w:val="bottom"/>
            <w:hideMark/>
          </w:tcPr>
          <w:p w14:paraId="6BBCDEC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14.7%</w:t>
            </w:r>
          </w:p>
        </w:tc>
        <w:tc>
          <w:tcPr>
            <w:tcW w:w="1179" w:type="dxa"/>
            <w:tcBorders>
              <w:top w:val="nil"/>
              <w:left w:val="nil"/>
              <w:bottom w:val="nil"/>
              <w:right w:val="nil"/>
            </w:tcBorders>
            <w:shd w:val="clear" w:color="auto" w:fill="auto"/>
            <w:noWrap/>
            <w:vAlign w:val="bottom"/>
            <w:hideMark/>
          </w:tcPr>
          <w:p w14:paraId="47BB4DA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21.1%</w:t>
            </w:r>
          </w:p>
        </w:tc>
        <w:tc>
          <w:tcPr>
            <w:tcW w:w="1179" w:type="dxa"/>
            <w:tcBorders>
              <w:top w:val="nil"/>
              <w:left w:val="nil"/>
              <w:bottom w:val="nil"/>
              <w:right w:val="nil"/>
            </w:tcBorders>
            <w:shd w:val="clear" w:color="auto" w:fill="auto"/>
            <w:noWrap/>
            <w:vAlign w:val="bottom"/>
            <w:hideMark/>
          </w:tcPr>
          <w:p w14:paraId="779E3BD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47.4%</w:t>
            </w:r>
          </w:p>
        </w:tc>
        <w:tc>
          <w:tcPr>
            <w:tcW w:w="1179" w:type="dxa"/>
            <w:tcBorders>
              <w:top w:val="nil"/>
              <w:left w:val="nil"/>
              <w:bottom w:val="nil"/>
              <w:right w:val="nil"/>
            </w:tcBorders>
            <w:shd w:val="clear" w:color="auto" w:fill="auto"/>
            <w:noWrap/>
            <w:vAlign w:val="bottom"/>
            <w:hideMark/>
          </w:tcPr>
          <w:p w14:paraId="0C6B320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10.5%</w:t>
            </w:r>
          </w:p>
        </w:tc>
        <w:tc>
          <w:tcPr>
            <w:tcW w:w="1179" w:type="dxa"/>
            <w:tcBorders>
              <w:top w:val="nil"/>
              <w:left w:val="nil"/>
              <w:bottom w:val="nil"/>
              <w:right w:val="nil"/>
            </w:tcBorders>
            <w:shd w:val="clear" w:color="auto" w:fill="auto"/>
            <w:noWrap/>
            <w:vAlign w:val="bottom"/>
            <w:hideMark/>
          </w:tcPr>
          <w:p w14:paraId="076A042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3FAEAEF7" w14:textId="77777777" w:rsidTr="00E250FE">
        <w:trPr>
          <w:trHeight w:val="300"/>
          <w:jc w:val="center"/>
        </w:trPr>
        <w:tc>
          <w:tcPr>
            <w:tcW w:w="1764" w:type="dxa"/>
            <w:tcBorders>
              <w:top w:val="nil"/>
              <w:left w:val="nil"/>
              <w:bottom w:val="nil"/>
              <w:right w:val="nil"/>
            </w:tcBorders>
            <w:shd w:val="clear" w:color="auto" w:fill="B4C6E7" w:themeFill="accent1" w:themeFillTint="66"/>
            <w:noWrap/>
            <w:vAlign w:val="bottom"/>
            <w:hideMark/>
          </w:tcPr>
          <w:p w14:paraId="3669F33F" w14:textId="77777777" w:rsidR="00710FC1" w:rsidRPr="00CF50D4" w:rsidRDefault="00710FC1" w:rsidP="00710FC1">
            <w:pPr>
              <w:spacing w:line="259" w:lineRule="auto"/>
              <w:jc w:val="lef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Manizales</w:t>
            </w:r>
          </w:p>
        </w:tc>
        <w:tc>
          <w:tcPr>
            <w:tcW w:w="1179" w:type="dxa"/>
            <w:tcBorders>
              <w:top w:val="nil"/>
              <w:left w:val="nil"/>
              <w:bottom w:val="nil"/>
              <w:right w:val="nil"/>
            </w:tcBorders>
            <w:shd w:val="clear" w:color="auto" w:fill="B4C6E7" w:themeFill="accent1" w:themeFillTint="66"/>
            <w:noWrap/>
            <w:vAlign w:val="bottom"/>
            <w:hideMark/>
          </w:tcPr>
          <w:p w14:paraId="19A5879D"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21.6%</w:t>
            </w:r>
          </w:p>
        </w:tc>
        <w:tc>
          <w:tcPr>
            <w:tcW w:w="1179" w:type="dxa"/>
            <w:tcBorders>
              <w:top w:val="nil"/>
              <w:left w:val="nil"/>
              <w:bottom w:val="nil"/>
              <w:right w:val="nil"/>
            </w:tcBorders>
            <w:shd w:val="clear" w:color="auto" w:fill="B4C6E7" w:themeFill="accent1" w:themeFillTint="66"/>
            <w:noWrap/>
            <w:vAlign w:val="bottom"/>
            <w:hideMark/>
          </w:tcPr>
          <w:p w14:paraId="7E504FB3"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29.8%</w:t>
            </w:r>
          </w:p>
        </w:tc>
        <w:tc>
          <w:tcPr>
            <w:tcW w:w="1179" w:type="dxa"/>
            <w:tcBorders>
              <w:top w:val="nil"/>
              <w:left w:val="nil"/>
              <w:bottom w:val="nil"/>
              <w:right w:val="nil"/>
            </w:tcBorders>
            <w:shd w:val="clear" w:color="auto" w:fill="B4C6E7" w:themeFill="accent1" w:themeFillTint="66"/>
            <w:noWrap/>
            <w:vAlign w:val="bottom"/>
            <w:hideMark/>
          </w:tcPr>
          <w:p w14:paraId="6A0E72AC"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23.4%</w:t>
            </w:r>
          </w:p>
        </w:tc>
        <w:tc>
          <w:tcPr>
            <w:tcW w:w="1179" w:type="dxa"/>
            <w:tcBorders>
              <w:top w:val="nil"/>
              <w:left w:val="nil"/>
              <w:bottom w:val="nil"/>
              <w:right w:val="nil"/>
            </w:tcBorders>
            <w:shd w:val="clear" w:color="auto" w:fill="B4C6E7" w:themeFill="accent1" w:themeFillTint="66"/>
            <w:noWrap/>
            <w:vAlign w:val="bottom"/>
            <w:hideMark/>
          </w:tcPr>
          <w:p w14:paraId="47521902"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21.1%</w:t>
            </w:r>
          </w:p>
        </w:tc>
        <w:tc>
          <w:tcPr>
            <w:tcW w:w="1179" w:type="dxa"/>
            <w:tcBorders>
              <w:top w:val="nil"/>
              <w:left w:val="nil"/>
              <w:bottom w:val="nil"/>
              <w:right w:val="nil"/>
            </w:tcBorders>
            <w:shd w:val="clear" w:color="auto" w:fill="B4C6E7" w:themeFill="accent1" w:themeFillTint="66"/>
            <w:noWrap/>
            <w:vAlign w:val="bottom"/>
            <w:hideMark/>
          </w:tcPr>
          <w:p w14:paraId="33964A7A"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4.1%</w:t>
            </w:r>
          </w:p>
        </w:tc>
        <w:tc>
          <w:tcPr>
            <w:tcW w:w="1179" w:type="dxa"/>
            <w:tcBorders>
              <w:top w:val="nil"/>
              <w:left w:val="nil"/>
              <w:bottom w:val="nil"/>
              <w:right w:val="nil"/>
            </w:tcBorders>
            <w:shd w:val="clear" w:color="auto" w:fill="B4C6E7" w:themeFill="accent1" w:themeFillTint="66"/>
            <w:noWrap/>
            <w:vAlign w:val="bottom"/>
            <w:hideMark/>
          </w:tcPr>
          <w:p w14:paraId="27B4019D" w14:textId="77777777" w:rsidR="00710FC1" w:rsidRPr="00CF50D4" w:rsidRDefault="00710FC1" w:rsidP="00710FC1">
            <w:pPr>
              <w:spacing w:line="259" w:lineRule="auto"/>
              <w:jc w:val="right"/>
              <w:rPr>
                <w:rFonts w:ascii="Times New Roman" w:eastAsia="Times New Roman" w:hAnsi="Times New Roman" w:cs="Times New Roman"/>
                <w:b/>
                <w:bCs/>
                <w:color w:val="000000"/>
                <w:sz w:val="23"/>
                <w:szCs w:val="23"/>
              </w:rPr>
            </w:pPr>
            <w:r w:rsidRPr="00CF50D4">
              <w:rPr>
                <w:rFonts w:ascii="Times New Roman" w:eastAsia="Times New Roman" w:hAnsi="Times New Roman" w:cs="Times New Roman"/>
                <w:b/>
                <w:bCs/>
                <w:color w:val="000000"/>
                <w:sz w:val="23"/>
                <w:szCs w:val="23"/>
              </w:rPr>
              <w:t>100.0%</w:t>
            </w:r>
          </w:p>
        </w:tc>
      </w:tr>
      <w:tr w:rsidR="00710FC1" w:rsidRPr="00CF50D4" w14:paraId="0C14F66D"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2B7B05C9"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Medellín</w:t>
            </w:r>
          </w:p>
        </w:tc>
        <w:tc>
          <w:tcPr>
            <w:tcW w:w="1179" w:type="dxa"/>
            <w:tcBorders>
              <w:top w:val="nil"/>
              <w:left w:val="nil"/>
              <w:bottom w:val="nil"/>
              <w:right w:val="nil"/>
            </w:tcBorders>
            <w:shd w:val="clear" w:color="auto" w:fill="auto"/>
            <w:noWrap/>
            <w:vAlign w:val="bottom"/>
            <w:hideMark/>
          </w:tcPr>
          <w:p w14:paraId="2999B182"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25.8%</w:t>
            </w:r>
          </w:p>
        </w:tc>
        <w:tc>
          <w:tcPr>
            <w:tcW w:w="1179" w:type="dxa"/>
            <w:tcBorders>
              <w:top w:val="nil"/>
              <w:left w:val="nil"/>
              <w:bottom w:val="nil"/>
              <w:right w:val="nil"/>
            </w:tcBorders>
            <w:shd w:val="clear" w:color="auto" w:fill="auto"/>
            <w:noWrap/>
            <w:vAlign w:val="bottom"/>
            <w:hideMark/>
          </w:tcPr>
          <w:p w14:paraId="083B98A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24.8%</w:t>
            </w:r>
          </w:p>
        </w:tc>
        <w:tc>
          <w:tcPr>
            <w:tcW w:w="1179" w:type="dxa"/>
            <w:tcBorders>
              <w:top w:val="nil"/>
              <w:left w:val="nil"/>
              <w:bottom w:val="nil"/>
              <w:right w:val="nil"/>
            </w:tcBorders>
            <w:shd w:val="clear" w:color="auto" w:fill="auto"/>
            <w:noWrap/>
            <w:vAlign w:val="bottom"/>
            <w:hideMark/>
          </w:tcPr>
          <w:p w14:paraId="715B082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18.7%</w:t>
            </w:r>
          </w:p>
        </w:tc>
        <w:tc>
          <w:tcPr>
            <w:tcW w:w="1179" w:type="dxa"/>
            <w:tcBorders>
              <w:top w:val="nil"/>
              <w:left w:val="nil"/>
              <w:bottom w:val="nil"/>
              <w:right w:val="nil"/>
            </w:tcBorders>
            <w:shd w:val="clear" w:color="auto" w:fill="auto"/>
            <w:noWrap/>
            <w:vAlign w:val="bottom"/>
            <w:hideMark/>
          </w:tcPr>
          <w:p w14:paraId="4C543AF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26.0%</w:t>
            </w:r>
          </w:p>
        </w:tc>
        <w:tc>
          <w:tcPr>
            <w:tcW w:w="1179" w:type="dxa"/>
            <w:tcBorders>
              <w:top w:val="nil"/>
              <w:left w:val="nil"/>
              <w:bottom w:val="nil"/>
              <w:right w:val="nil"/>
            </w:tcBorders>
            <w:shd w:val="clear" w:color="auto" w:fill="auto"/>
            <w:noWrap/>
            <w:vAlign w:val="bottom"/>
            <w:hideMark/>
          </w:tcPr>
          <w:p w14:paraId="5668347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4.7%</w:t>
            </w:r>
          </w:p>
        </w:tc>
        <w:tc>
          <w:tcPr>
            <w:tcW w:w="1179" w:type="dxa"/>
            <w:tcBorders>
              <w:top w:val="nil"/>
              <w:left w:val="nil"/>
              <w:bottom w:val="nil"/>
              <w:right w:val="nil"/>
            </w:tcBorders>
            <w:shd w:val="clear" w:color="auto" w:fill="auto"/>
            <w:noWrap/>
            <w:vAlign w:val="bottom"/>
            <w:hideMark/>
          </w:tcPr>
          <w:p w14:paraId="76B154F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5FB65B4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B3E68B9"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Montería</w:t>
            </w:r>
          </w:p>
        </w:tc>
        <w:tc>
          <w:tcPr>
            <w:tcW w:w="1179" w:type="dxa"/>
            <w:tcBorders>
              <w:top w:val="nil"/>
              <w:left w:val="nil"/>
              <w:bottom w:val="nil"/>
              <w:right w:val="nil"/>
            </w:tcBorders>
            <w:shd w:val="clear" w:color="auto" w:fill="auto"/>
            <w:noWrap/>
            <w:vAlign w:val="bottom"/>
            <w:hideMark/>
          </w:tcPr>
          <w:p w14:paraId="444452B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12.5%</w:t>
            </w:r>
          </w:p>
        </w:tc>
        <w:tc>
          <w:tcPr>
            <w:tcW w:w="1179" w:type="dxa"/>
            <w:tcBorders>
              <w:top w:val="nil"/>
              <w:left w:val="nil"/>
              <w:bottom w:val="nil"/>
              <w:right w:val="nil"/>
            </w:tcBorders>
            <w:shd w:val="clear" w:color="auto" w:fill="auto"/>
            <w:noWrap/>
            <w:vAlign w:val="bottom"/>
            <w:hideMark/>
          </w:tcPr>
          <w:p w14:paraId="0C269B6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21.3%</w:t>
            </w:r>
          </w:p>
        </w:tc>
        <w:tc>
          <w:tcPr>
            <w:tcW w:w="1179" w:type="dxa"/>
            <w:tcBorders>
              <w:top w:val="nil"/>
              <w:left w:val="nil"/>
              <w:bottom w:val="nil"/>
              <w:right w:val="nil"/>
            </w:tcBorders>
            <w:shd w:val="clear" w:color="auto" w:fill="auto"/>
            <w:noWrap/>
            <w:vAlign w:val="bottom"/>
            <w:hideMark/>
          </w:tcPr>
          <w:p w14:paraId="4023FB6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27.5%</w:t>
            </w:r>
          </w:p>
        </w:tc>
        <w:tc>
          <w:tcPr>
            <w:tcW w:w="1179" w:type="dxa"/>
            <w:tcBorders>
              <w:top w:val="nil"/>
              <w:left w:val="nil"/>
              <w:bottom w:val="nil"/>
              <w:right w:val="nil"/>
            </w:tcBorders>
            <w:shd w:val="clear" w:color="auto" w:fill="auto"/>
            <w:noWrap/>
            <w:vAlign w:val="bottom"/>
            <w:hideMark/>
          </w:tcPr>
          <w:p w14:paraId="3F719C5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35.0%</w:t>
            </w:r>
          </w:p>
        </w:tc>
        <w:tc>
          <w:tcPr>
            <w:tcW w:w="1179" w:type="dxa"/>
            <w:tcBorders>
              <w:top w:val="nil"/>
              <w:left w:val="nil"/>
              <w:bottom w:val="nil"/>
              <w:right w:val="nil"/>
            </w:tcBorders>
            <w:shd w:val="clear" w:color="auto" w:fill="auto"/>
            <w:noWrap/>
            <w:vAlign w:val="bottom"/>
            <w:hideMark/>
          </w:tcPr>
          <w:p w14:paraId="0487158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3.8%</w:t>
            </w:r>
          </w:p>
        </w:tc>
        <w:tc>
          <w:tcPr>
            <w:tcW w:w="1179" w:type="dxa"/>
            <w:tcBorders>
              <w:top w:val="nil"/>
              <w:left w:val="nil"/>
              <w:bottom w:val="nil"/>
              <w:right w:val="nil"/>
            </w:tcBorders>
            <w:shd w:val="clear" w:color="auto" w:fill="auto"/>
            <w:noWrap/>
            <w:vAlign w:val="bottom"/>
            <w:hideMark/>
          </w:tcPr>
          <w:p w14:paraId="4D520C8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725E09D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71D85EEC"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Neiva</w:t>
            </w:r>
          </w:p>
        </w:tc>
        <w:tc>
          <w:tcPr>
            <w:tcW w:w="1179" w:type="dxa"/>
            <w:tcBorders>
              <w:top w:val="nil"/>
              <w:left w:val="nil"/>
              <w:bottom w:val="nil"/>
              <w:right w:val="nil"/>
            </w:tcBorders>
            <w:shd w:val="clear" w:color="auto" w:fill="auto"/>
            <w:noWrap/>
            <w:vAlign w:val="bottom"/>
            <w:hideMark/>
          </w:tcPr>
          <w:p w14:paraId="14BE836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4.2%</w:t>
            </w:r>
          </w:p>
        </w:tc>
        <w:tc>
          <w:tcPr>
            <w:tcW w:w="1179" w:type="dxa"/>
            <w:tcBorders>
              <w:top w:val="nil"/>
              <w:left w:val="nil"/>
              <w:bottom w:val="nil"/>
              <w:right w:val="nil"/>
            </w:tcBorders>
            <w:shd w:val="clear" w:color="auto" w:fill="auto"/>
            <w:noWrap/>
            <w:vAlign w:val="bottom"/>
            <w:hideMark/>
          </w:tcPr>
          <w:p w14:paraId="6BC440C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12.7%</w:t>
            </w:r>
          </w:p>
        </w:tc>
        <w:tc>
          <w:tcPr>
            <w:tcW w:w="1179" w:type="dxa"/>
            <w:tcBorders>
              <w:top w:val="nil"/>
              <w:left w:val="nil"/>
              <w:bottom w:val="nil"/>
              <w:right w:val="nil"/>
            </w:tcBorders>
            <w:shd w:val="clear" w:color="auto" w:fill="auto"/>
            <w:noWrap/>
            <w:vAlign w:val="bottom"/>
            <w:hideMark/>
          </w:tcPr>
          <w:p w14:paraId="62F56F1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25.4%</w:t>
            </w:r>
          </w:p>
        </w:tc>
        <w:tc>
          <w:tcPr>
            <w:tcW w:w="1179" w:type="dxa"/>
            <w:tcBorders>
              <w:top w:val="nil"/>
              <w:left w:val="nil"/>
              <w:bottom w:val="nil"/>
              <w:right w:val="nil"/>
            </w:tcBorders>
            <w:shd w:val="clear" w:color="auto" w:fill="auto"/>
            <w:noWrap/>
            <w:vAlign w:val="bottom"/>
            <w:hideMark/>
          </w:tcPr>
          <w:p w14:paraId="7CB31E0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52.1%</w:t>
            </w:r>
          </w:p>
        </w:tc>
        <w:tc>
          <w:tcPr>
            <w:tcW w:w="1179" w:type="dxa"/>
            <w:tcBorders>
              <w:top w:val="nil"/>
              <w:left w:val="nil"/>
              <w:bottom w:val="nil"/>
              <w:right w:val="nil"/>
            </w:tcBorders>
            <w:shd w:val="clear" w:color="auto" w:fill="auto"/>
            <w:noWrap/>
            <w:vAlign w:val="bottom"/>
            <w:hideMark/>
          </w:tcPr>
          <w:p w14:paraId="7E9371C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5.6%</w:t>
            </w:r>
          </w:p>
        </w:tc>
        <w:tc>
          <w:tcPr>
            <w:tcW w:w="1179" w:type="dxa"/>
            <w:tcBorders>
              <w:top w:val="nil"/>
              <w:left w:val="nil"/>
              <w:bottom w:val="nil"/>
              <w:right w:val="nil"/>
            </w:tcBorders>
            <w:shd w:val="clear" w:color="auto" w:fill="auto"/>
            <w:noWrap/>
            <w:vAlign w:val="bottom"/>
            <w:hideMark/>
          </w:tcPr>
          <w:p w14:paraId="798159C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73B0E6C1"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CABB819"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Pasto</w:t>
            </w:r>
          </w:p>
        </w:tc>
        <w:tc>
          <w:tcPr>
            <w:tcW w:w="1179" w:type="dxa"/>
            <w:tcBorders>
              <w:top w:val="nil"/>
              <w:left w:val="nil"/>
              <w:bottom w:val="nil"/>
              <w:right w:val="nil"/>
            </w:tcBorders>
            <w:shd w:val="clear" w:color="auto" w:fill="auto"/>
            <w:noWrap/>
            <w:vAlign w:val="bottom"/>
            <w:hideMark/>
          </w:tcPr>
          <w:p w14:paraId="02C265D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1.7%</w:t>
            </w:r>
          </w:p>
        </w:tc>
        <w:tc>
          <w:tcPr>
            <w:tcW w:w="1179" w:type="dxa"/>
            <w:tcBorders>
              <w:top w:val="nil"/>
              <w:left w:val="nil"/>
              <w:bottom w:val="nil"/>
              <w:right w:val="nil"/>
            </w:tcBorders>
            <w:shd w:val="clear" w:color="auto" w:fill="auto"/>
            <w:noWrap/>
            <w:vAlign w:val="bottom"/>
            <w:hideMark/>
          </w:tcPr>
          <w:p w14:paraId="76C9728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7.8%</w:t>
            </w:r>
          </w:p>
        </w:tc>
        <w:tc>
          <w:tcPr>
            <w:tcW w:w="1179" w:type="dxa"/>
            <w:tcBorders>
              <w:top w:val="nil"/>
              <w:left w:val="nil"/>
              <w:bottom w:val="nil"/>
              <w:right w:val="nil"/>
            </w:tcBorders>
            <w:shd w:val="clear" w:color="auto" w:fill="auto"/>
            <w:noWrap/>
            <w:vAlign w:val="bottom"/>
            <w:hideMark/>
          </w:tcPr>
          <w:p w14:paraId="293C3A5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26.7%</w:t>
            </w:r>
          </w:p>
        </w:tc>
        <w:tc>
          <w:tcPr>
            <w:tcW w:w="1179" w:type="dxa"/>
            <w:tcBorders>
              <w:top w:val="nil"/>
              <w:left w:val="nil"/>
              <w:bottom w:val="nil"/>
              <w:right w:val="nil"/>
            </w:tcBorders>
            <w:shd w:val="clear" w:color="auto" w:fill="auto"/>
            <w:noWrap/>
            <w:vAlign w:val="bottom"/>
            <w:hideMark/>
          </w:tcPr>
          <w:p w14:paraId="0697893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57.8%</w:t>
            </w:r>
          </w:p>
        </w:tc>
        <w:tc>
          <w:tcPr>
            <w:tcW w:w="1179" w:type="dxa"/>
            <w:tcBorders>
              <w:top w:val="nil"/>
              <w:left w:val="nil"/>
              <w:bottom w:val="nil"/>
              <w:right w:val="nil"/>
            </w:tcBorders>
            <w:shd w:val="clear" w:color="auto" w:fill="auto"/>
            <w:noWrap/>
            <w:vAlign w:val="bottom"/>
            <w:hideMark/>
          </w:tcPr>
          <w:p w14:paraId="7E77690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6.0%</w:t>
            </w:r>
          </w:p>
        </w:tc>
        <w:tc>
          <w:tcPr>
            <w:tcW w:w="1179" w:type="dxa"/>
            <w:tcBorders>
              <w:top w:val="nil"/>
              <w:left w:val="nil"/>
              <w:bottom w:val="nil"/>
              <w:right w:val="nil"/>
            </w:tcBorders>
            <w:shd w:val="clear" w:color="auto" w:fill="auto"/>
            <w:noWrap/>
            <w:vAlign w:val="bottom"/>
            <w:hideMark/>
          </w:tcPr>
          <w:p w14:paraId="46061DC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43DD3E7B"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491724C"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Pereira</w:t>
            </w:r>
          </w:p>
        </w:tc>
        <w:tc>
          <w:tcPr>
            <w:tcW w:w="1179" w:type="dxa"/>
            <w:tcBorders>
              <w:top w:val="nil"/>
              <w:left w:val="nil"/>
              <w:bottom w:val="nil"/>
              <w:right w:val="nil"/>
            </w:tcBorders>
            <w:shd w:val="clear" w:color="auto" w:fill="auto"/>
            <w:noWrap/>
            <w:vAlign w:val="bottom"/>
            <w:hideMark/>
          </w:tcPr>
          <w:p w14:paraId="3ADAB4F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10.8%</w:t>
            </w:r>
          </w:p>
        </w:tc>
        <w:tc>
          <w:tcPr>
            <w:tcW w:w="1179" w:type="dxa"/>
            <w:tcBorders>
              <w:top w:val="nil"/>
              <w:left w:val="nil"/>
              <w:bottom w:val="nil"/>
              <w:right w:val="nil"/>
            </w:tcBorders>
            <w:shd w:val="clear" w:color="auto" w:fill="auto"/>
            <w:noWrap/>
            <w:vAlign w:val="bottom"/>
            <w:hideMark/>
          </w:tcPr>
          <w:p w14:paraId="735C212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19.1%</w:t>
            </w:r>
          </w:p>
        </w:tc>
        <w:tc>
          <w:tcPr>
            <w:tcW w:w="1179" w:type="dxa"/>
            <w:tcBorders>
              <w:top w:val="nil"/>
              <w:left w:val="nil"/>
              <w:bottom w:val="nil"/>
              <w:right w:val="nil"/>
            </w:tcBorders>
            <w:shd w:val="clear" w:color="auto" w:fill="auto"/>
            <w:noWrap/>
            <w:vAlign w:val="bottom"/>
            <w:hideMark/>
          </w:tcPr>
          <w:p w14:paraId="3071617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26.1%</w:t>
            </w:r>
          </w:p>
        </w:tc>
        <w:tc>
          <w:tcPr>
            <w:tcW w:w="1179" w:type="dxa"/>
            <w:tcBorders>
              <w:top w:val="nil"/>
              <w:left w:val="nil"/>
              <w:bottom w:val="nil"/>
              <w:right w:val="nil"/>
            </w:tcBorders>
            <w:shd w:val="clear" w:color="auto" w:fill="auto"/>
            <w:noWrap/>
            <w:vAlign w:val="bottom"/>
            <w:hideMark/>
          </w:tcPr>
          <w:p w14:paraId="08B5BD6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36.3%</w:t>
            </w:r>
          </w:p>
        </w:tc>
        <w:tc>
          <w:tcPr>
            <w:tcW w:w="1179" w:type="dxa"/>
            <w:tcBorders>
              <w:top w:val="nil"/>
              <w:left w:val="nil"/>
              <w:bottom w:val="nil"/>
              <w:right w:val="nil"/>
            </w:tcBorders>
            <w:shd w:val="clear" w:color="auto" w:fill="auto"/>
            <w:noWrap/>
            <w:vAlign w:val="bottom"/>
            <w:hideMark/>
          </w:tcPr>
          <w:p w14:paraId="3F3096E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7.6%</w:t>
            </w:r>
          </w:p>
        </w:tc>
        <w:tc>
          <w:tcPr>
            <w:tcW w:w="1179" w:type="dxa"/>
            <w:tcBorders>
              <w:top w:val="nil"/>
              <w:left w:val="nil"/>
              <w:bottom w:val="nil"/>
              <w:right w:val="nil"/>
            </w:tcBorders>
            <w:shd w:val="clear" w:color="auto" w:fill="auto"/>
            <w:noWrap/>
            <w:vAlign w:val="bottom"/>
            <w:hideMark/>
          </w:tcPr>
          <w:p w14:paraId="4618E38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41BDFFC5"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19B2D45F"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Popayán</w:t>
            </w:r>
          </w:p>
        </w:tc>
        <w:tc>
          <w:tcPr>
            <w:tcW w:w="1179" w:type="dxa"/>
            <w:tcBorders>
              <w:top w:val="nil"/>
              <w:left w:val="nil"/>
              <w:bottom w:val="nil"/>
              <w:right w:val="nil"/>
            </w:tcBorders>
            <w:shd w:val="clear" w:color="auto" w:fill="auto"/>
            <w:noWrap/>
            <w:vAlign w:val="bottom"/>
            <w:hideMark/>
          </w:tcPr>
          <w:p w14:paraId="7C89F24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4.3%</w:t>
            </w:r>
          </w:p>
        </w:tc>
        <w:tc>
          <w:tcPr>
            <w:tcW w:w="1179" w:type="dxa"/>
            <w:tcBorders>
              <w:top w:val="nil"/>
              <w:left w:val="nil"/>
              <w:bottom w:val="nil"/>
              <w:right w:val="nil"/>
            </w:tcBorders>
            <w:shd w:val="clear" w:color="auto" w:fill="auto"/>
            <w:noWrap/>
            <w:vAlign w:val="bottom"/>
            <w:hideMark/>
          </w:tcPr>
          <w:p w14:paraId="531FE58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18.8%</w:t>
            </w:r>
          </w:p>
        </w:tc>
        <w:tc>
          <w:tcPr>
            <w:tcW w:w="1179" w:type="dxa"/>
            <w:tcBorders>
              <w:top w:val="nil"/>
              <w:left w:val="nil"/>
              <w:bottom w:val="nil"/>
              <w:right w:val="nil"/>
            </w:tcBorders>
            <w:shd w:val="clear" w:color="auto" w:fill="auto"/>
            <w:noWrap/>
            <w:vAlign w:val="bottom"/>
            <w:hideMark/>
          </w:tcPr>
          <w:p w14:paraId="09B6641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27.4%</w:t>
            </w:r>
          </w:p>
        </w:tc>
        <w:tc>
          <w:tcPr>
            <w:tcW w:w="1179" w:type="dxa"/>
            <w:tcBorders>
              <w:top w:val="nil"/>
              <w:left w:val="nil"/>
              <w:bottom w:val="nil"/>
              <w:right w:val="nil"/>
            </w:tcBorders>
            <w:shd w:val="clear" w:color="auto" w:fill="auto"/>
            <w:noWrap/>
            <w:vAlign w:val="bottom"/>
            <w:hideMark/>
          </w:tcPr>
          <w:p w14:paraId="352B52C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40.2%</w:t>
            </w:r>
          </w:p>
        </w:tc>
        <w:tc>
          <w:tcPr>
            <w:tcW w:w="1179" w:type="dxa"/>
            <w:tcBorders>
              <w:top w:val="nil"/>
              <w:left w:val="nil"/>
              <w:bottom w:val="nil"/>
              <w:right w:val="nil"/>
            </w:tcBorders>
            <w:shd w:val="clear" w:color="auto" w:fill="auto"/>
            <w:noWrap/>
            <w:vAlign w:val="bottom"/>
            <w:hideMark/>
          </w:tcPr>
          <w:p w14:paraId="5A125BA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9.4%</w:t>
            </w:r>
          </w:p>
        </w:tc>
        <w:tc>
          <w:tcPr>
            <w:tcW w:w="1179" w:type="dxa"/>
            <w:tcBorders>
              <w:top w:val="nil"/>
              <w:left w:val="nil"/>
              <w:bottom w:val="nil"/>
              <w:right w:val="nil"/>
            </w:tcBorders>
            <w:shd w:val="clear" w:color="auto" w:fill="auto"/>
            <w:noWrap/>
            <w:vAlign w:val="bottom"/>
            <w:hideMark/>
          </w:tcPr>
          <w:p w14:paraId="0D52EF9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6FC443A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109FDD6"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Quibdó</w:t>
            </w:r>
          </w:p>
        </w:tc>
        <w:tc>
          <w:tcPr>
            <w:tcW w:w="1179" w:type="dxa"/>
            <w:tcBorders>
              <w:top w:val="nil"/>
              <w:left w:val="nil"/>
              <w:bottom w:val="nil"/>
              <w:right w:val="nil"/>
            </w:tcBorders>
            <w:shd w:val="clear" w:color="auto" w:fill="auto"/>
            <w:noWrap/>
            <w:vAlign w:val="bottom"/>
            <w:hideMark/>
          </w:tcPr>
          <w:p w14:paraId="675BC95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0.0%</w:t>
            </w:r>
          </w:p>
        </w:tc>
        <w:tc>
          <w:tcPr>
            <w:tcW w:w="1179" w:type="dxa"/>
            <w:tcBorders>
              <w:top w:val="nil"/>
              <w:left w:val="nil"/>
              <w:bottom w:val="nil"/>
              <w:right w:val="nil"/>
            </w:tcBorders>
            <w:shd w:val="clear" w:color="auto" w:fill="auto"/>
            <w:noWrap/>
            <w:vAlign w:val="bottom"/>
            <w:hideMark/>
          </w:tcPr>
          <w:p w14:paraId="4747FD3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5.7%</w:t>
            </w:r>
          </w:p>
        </w:tc>
        <w:tc>
          <w:tcPr>
            <w:tcW w:w="1179" w:type="dxa"/>
            <w:tcBorders>
              <w:top w:val="nil"/>
              <w:left w:val="nil"/>
              <w:bottom w:val="nil"/>
              <w:right w:val="nil"/>
            </w:tcBorders>
            <w:shd w:val="clear" w:color="auto" w:fill="auto"/>
            <w:noWrap/>
            <w:vAlign w:val="bottom"/>
            <w:hideMark/>
          </w:tcPr>
          <w:p w14:paraId="2FC96B4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5.7%</w:t>
            </w:r>
          </w:p>
        </w:tc>
        <w:tc>
          <w:tcPr>
            <w:tcW w:w="1179" w:type="dxa"/>
            <w:tcBorders>
              <w:top w:val="nil"/>
              <w:left w:val="nil"/>
              <w:bottom w:val="nil"/>
              <w:right w:val="nil"/>
            </w:tcBorders>
            <w:shd w:val="clear" w:color="auto" w:fill="auto"/>
            <w:noWrap/>
            <w:vAlign w:val="bottom"/>
            <w:hideMark/>
          </w:tcPr>
          <w:p w14:paraId="5D24CC1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57.1%</w:t>
            </w:r>
          </w:p>
        </w:tc>
        <w:tc>
          <w:tcPr>
            <w:tcW w:w="1179" w:type="dxa"/>
            <w:tcBorders>
              <w:top w:val="nil"/>
              <w:left w:val="nil"/>
              <w:bottom w:val="nil"/>
              <w:right w:val="nil"/>
            </w:tcBorders>
            <w:shd w:val="clear" w:color="auto" w:fill="auto"/>
            <w:noWrap/>
            <w:vAlign w:val="bottom"/>
            <w:hideMark/>
          </w:tcPr>
          <w:p w14:paraId="67B69DF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31.4%</w:t>
            </w:r>
          </w:p>
        </w:tc>
        <w:tc>
          <w:tcPr>
            <w:tcW w:w="1179" w:type="dxa"/>
            <w:tcBorders>
              <w:top w:val="nil"/>
              <w:left w:val="nil"/>
              <w:bottom w:val="nil"/>
              <w:right w:val="nil"/>
            </w:tcBorders>
            <w:shd w:val="clear" w:color="auto" w:fill="auto"/>
            <w:noWrap/>
            <w:vAlign w:val="bottom"/>
            <w:hideMark/>
          </w:tcPr>
          <w:p w14:paraId="63D7FAF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0F38A011"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57634629"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Riohacha</w:t>
            </w:r>
          </w:p>
        </w:tc>
        <w:tc>
          <w:tcPr>
            <w:tcW w:w="1179" w:type="dxa"/>
            <w:tcBorders>
              <w:top w:val="nil"/>
              <w:left w:val="nil"/>
              <w:bottom w:val="nil"/>
              <w:right w:val="nil"/>
            </w:tcBorders>
            <w:shd w:val="clear" w:color="auto" w:fill="auto"/>
            <w:noWrap/>
            <w:vAlign w:val="bottom"/>
            <w:hideMark/>
          </w:tcPr>
          <w:p w14:paraId="1687889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0.0%</w:t>
            </w:r>
          </w:p>
        </w:tc>
        <w:tc>
          <w:tcPr>
            <w:tcW w:w="1179" w:type="dxa"/>
            <w:tcBorders>
              <w:top w:val="nil"/>
              <w:left w:val="nil"/>
              <w:bottom w:val="nil"/>
              <w:right w:val="nil"/>
            </w:tcBorders>
            <w:shd w:val="clear" w:color="auto" w:fill="auto"/>
            <w:noWrap/>
            <w:vAlign w:val="bottom"/>
            <w:hideMark/>
          </w:tcPr>
          <w:p w14:paraId="689089D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17.4%</w:t>
            </w:r>
          </w:p>
        </w:tc>
        <w:tc>
          <w:tcPr>
            <w:tcW w:w="1179" w:type="dxa"/>
            <w:tcBorders>
              <w:top w:val="nil"/>
              <w:left w:val="nil"/>
              <w:bottom w:val="nil"/>
              <w:right w:val="nil"/>
            </w:tcBorders>
            <w:shd w:val="clear" w:color="auto" w:fill="auto"/>
            <w:noWrap/>
            <w:vAlign w:val="bottom"/>
            <w:hideMark/>
          </w:tcPr>
          <w:p w14:paraId="0C0597D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28.3%</w:t>
            </w:r>
          </w:p>
        </w:tc>
        <w:tc>
          <w:tcPr>
            <w:tcW w:w="1179" w:type="dxa"/>
            <w:tcBorders>
              <w:top w:val="nil"/>
              <w:left w:val="nil"/>
              <w:bottom w:val="nil"/>
              <w:right w:val="nil"/>
            </w:tcBorders>
            <w:shd w:val="clear" w:color="auto" w:fill="auto"/>
            <w:noWrap/>
            <w:vAlign w:val="bottom"/>
            <w:hideMark/>
          </w:tcPr>
          <w:p w14:paraId="4D9DC6B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39.1%</w:t>
            </w:r>
          </w:p>
        </w:tc>
        <w:tc>
          <w:tcPr>
            <w:tcW w:w="1179" w:type="dxa"/>
            <w:tcBorders>
              <w:top w:val="nil"/>
              <w:left w:val="nil"/>
              <w:bottom w:val="nil"/>
              <w:right w:val="nil"/>
            </w:tcBorders>
            <w:shd w:val="clear" w:color="auto" w:fill="auto"/>
            <w:noWrap/>
            <w:vAlign w:val="bottom"/>
            <w:hideMark/>
          </w:tcPr>
          <w:p w14:paraId="38DCAD7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15.2%</w:t>
            </w:r>
          </w:p>
        </w:tc>
        <w:tc>
          <w:tcPr>
            <w:tcW w:w="1179" w:type="dxa"/>
            <w:tcBorders>
              <w:top w:val="nil"/>
              <w:left w:val="nil"/>
              <w:bottom w:val="nil"/>
              <w:right w:val="nil"/>
            </w:tcBorders>
            <w:shd w:val="clear" w:color="auto" w:fill="auto"/>
            <w:noWrap/>
            <w:vAlign w:val="bottom"/>
            <w:hideMark/>
          </w:tcPr>
          <w:p w14:paraId="04F6E84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35ADC36A"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A61643A"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Santa Marta</w:t>
            </w:r>
          </w:p>
        </w:tc>
        <w:tc>
          <w:tcPr>
            <w:tcW w:w="1179" w:type="dxa"/>
            <w:tcBorders>
              <w:top w:val="nil"/>
              <w:left w:val="nil"/>
              <w:bottom w:val="nil"/>
              <w:right w:val="nil"/>
            </w:tcBorders>
            <w:shd w:val="clear" w:color="auto" w:fill="auto"/>
            <w:noWrap/>
            <w:vAlign w:val="bottom"/>
            <w:hideMark/>
          </w:tcPr>
          <w:p w14:paraId="554EB37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21.3%</w:t>
            </w:r>
          </w:p>
        </w:tc>
        <w:tc>
          <w:tcPr>
            <w:tcW w:w="1179" w:type="dxa"/>
            <w:tcBorders>
              <w:top w:val="nil"/>
              <w:left w:val="nil"/>
              <w:bottom w:val="nil"/>
              <w:right w:val="nil"/>
            </w:tcBorders>
            <w:shd w:val="clear" w:color="auto" w:fill="auto"/>
            <w:noWrap/>
            <w:vAlign w:val="bottom"/>
            <w:hideMark/>
          </w:tcPr>
          <w:p w14:paraId="47472D5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26.7%</w:t>
            </w:r>
          </w:p>
        </w:tc>
        <w:tc>
          <w:tcPr>
            <w:tcW w:w="1179" w:type="dxa"/>
            <w:tcBorders>
              <w:top w:val="nil"/>
              <w:left w:val="nil"/>
              <w:bottom w:val="nil"/>
              <w:right w:val="nil"/>
            </w:tcBorders>
            <w:shd w:val="clear" w:color="auto" w:fill="auto"/>
            <w:noWrap/>
            <w:vAlign w:val="bottom"/>
            <w:hideMark/>
          </w:tcPr>
          <w:p w14:paraId="10A2AE3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25.3%</w:t>
            </w:r>
          </w:p>
        </w:tc>
        <w:tc>
          <w:tcPr>
            <w:tcW w:w="1179" w:type="dxa"/>
            <w:tcBorders>
              <w:top w:val="nil"/>
              <w:left w:val="nil"/>
              <w:bottom w:val="nil"/>
              <w:right w:val="nil"/>
            </w:tcBorders>
            <w:shd w:val="clear" w:color="auto" w:fill="auto"/>
            <w:noWrap/>
            <w:vAlign w:val="bottom"/>
            <w:hideMark/>
          </w:tcPr>
          <w:p w14:paraId="4C02E88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24.0%</w:t>
            </w:r>
          </w:p>
        </w:tc>
        <w:tc>
          <w:tcPr>
            <w:tcW w:w="1179" w:type="dxa"/>
            <w:tcBorders>
              <w:top w:val="nil"/>
              <w:left w:val="nil"/>
              <w:bottom w:val="nil"/>
              <w:right w:val="nil"/>
            </w:tcBorders>
            <w:shd w:val="clear" w:color="auto" w:fill="auto"/>
            <w:noWrap/>
            <w:vAlign w:val="bottom"/>
            <w:hideMark/>
          </w:tcPr>
          <w:p w14:paraId="26A017E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2.7%</w:t>
            </w:r>
          </w:p>
        </w:tc>
        <w:tc>
          <w:tcPr>
            <w:tcW w:w="1179" w:type="dxa"/>
            <w:tcBorders>
              <w:top w:val="nil"/>
              <w:left w:val="nil"/>
              <w:bottom w:val="nil"/>
              <w:right w:val="nil"/>
            </w:tcBorders>
            <w:shd w:val="clear" w:color="auto" w:fill="auto"/>
            <w:noWrap/>
            <w:vAlign w:val="bottom"/>
            <w:hideMark/>
          </w:tcPr>
          <w:p w14:paraId="66C1D8F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61FEB8DC"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662E961E"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Sincelejo</w:t>
            </w:r>
          </w:p>
        </w:tc>
        <w:tc>
          <w:tcPr>
            <w:tcW w:w="1179" w:type="dxa"/>
            <w:tcBorders>
              <w:top w:val="nil"/>
              <w:left w:val="nil"/>
              <w:bottom w:val="nil"/>
              <w:right w:val="nil"/>
            </w:tcBorders>
            <w:shd w:val="clear" w:color="auto" w:fill="auto"/>
            <w:noWrap/>
            <w:vAlign w:val="bottom"/>
            <w:hideMark/>
          </w:tcPr>
          <w:p w14:paraId="2441EA3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6.1%</w:t>
            </w:r>
          </w:p>
        </w:tc>
        <w:tc>
          <w:tcPr>
            <w:tcW w:w="1179" w:type="dxa"/>
            <w:tcBorders>
              <w:top w:val="nil"/>
              <w:left w:val="nil"/>
              <w:bottom w:val="nil"/>
              <w:right w:val="nil"/>
            </w:tcBorders>
            <w:shd w:val="clear" w:color="auto" w:fill="auto"/>
            <w:noWrap/>
            <w:vAlign w:val="bottom"/>
            <w:hideMark/>
          </w:tcPr>
          <w:p w14:paraId="0FC340B6"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16.3%</w:t>
            </w:r>
          </w:p>
        </w:tc>
        <w:tc>
          <w:tcPr>
            <w:tcW w:w="1179" w:type="dxa"/>
            <w:tcBorders>
              <w:top w:val="nil"/>
              <w:left w:val="nil"/>
              <w:bottom w:val="nil"/>
              <w:right w:val="nil"/>
            </w:tcBorders>
            <w:shd w:val="clear" w:color="auto" w:fill="auto"/>
            <w:noWrap/>
            <w:vAlign w:val="bottom"/>
            <w:hideMark/>
          </w:tcPr>
          <w:p w14:paraId="50963BD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26.5%</w:t>
            </w:r>
          </w:p>
        </w:tc>
        <w:tc>
          <w:tcPr>
            <w:tcW w:w="1179" w:type="dxa"/>
            <w:tcBorders>
              <w:top w:val="nil"/>
              <w:left w:val="nil"/>
              <w:bottom w:val="nil"/>
              <w:right w:val="nil"/>
            </w:tcBorders>
            <w:shd w:val="clear" w:color="auto" w:fill="auto"/>
            <w:noWrap/>
            <w:vAlign w:val="bottom"/>
            <w:hideMark/>
          </w:tcPr>
          <w:p w14:paraId="2E828A0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46.9%</w:t>
            </w:r>
          </w:p>
        </w:tc>
        <w:tc>
          <w:tcPr>
            <w:tcW w:w="1179" w:type="dxa"/>
            <w:tcBorders>
              <w:top w:val="nil"/>
              <w:left w:val="nil"/>
              <w:bottom w:val="nil"/>
              <w:right w:val="nil"/>
            </w:tcBorders>
            <w:shd w:val="clear" w:color="auto" w:fill="auto"/>
            <w:noWrap/>
            <w:vAlign w:val="bottom"/>
            <w:hideMark/>
          </w:tcPr>
          <w:p w14:paraId="60F565F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4.1%</w:t>
            </w:r>
          </w:p>
        </w:tc>
        <w:tc>
          <w:tcPr>
            <w:tcW w:w="1179" w:type="dxa"/>
            <w:tcBorders>
              <w:top w:val="nil"/>
              <w:left w:val="nil"/>
              <w:bottom w:val="nil"/>
              <w:right w:val="nil"/>
            </w:tcBorders>
            <w:shd w:val="clear" w:color="auto" w:fill="auto"/>
            <w:noWrap/>
            <w:vAlign w:val="bottom"/>
            <w:hideMark/>
          </w:tcPr>
          <w:p w14:paraId="415481A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38DADBAA"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406BDEC"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Tunja</w:t>
            </w:r>
          </w:p>
        </w:tc>
        <w:tc>
          <w:tcPr>
            <w:tcW w:w="1179" w:type="dxa"/>
            <w:tcBorders>
              <w:top w:val="nil"/>
              <w:left w:val="nil"/>
              <w:bottom w:val="nil"/>
              <w:right w:val="nil"/>
            </w:tcBorders>
            <w:shd w:val="clear" w:color="auto" w:fill="auto"/>
            <w:noWrap/>
            <w:vAlign w:val="bottom"/>
            <w:hideMark/>
          </w:tcPr>
          <w:p w14:paraId="11B0ACBA"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4.8%</w:t>
            </w:r>
          </w:p>
        </w:tc>
        <w:tc>
          <w:tcPr>
            <w:tcW w:w="1179" w:type="dxa"/>
            <w:tcBorders>
              <w:top w:val="nil"/>
              <w:left w:val="nil"/>
              <w:bottom w:val="nil"/>
              <w:right w:val="nil"/>
            </w:tcBorders>
            <w:shd w:val="clear" w:color="auto" w:fill="auto"/>
            <w:noWrap/>
            <w:vAlign w:val="bottom"/>
            <w:hideMark/>
          </w:tcPr>
          <w:p w14:paraId="41DF129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15.1%</w:t>
            </w:r>
          </w:p>
        </w:tc>
        <w:tc>
          <w:tcPr>
            <w:tcW w:w="1179" w:type="dxa"/>
            <w:tcBorders>
              <w:top w:val="nil"/>
              <w:left w:val="nil"/>
              <w:bottom w:val="nil"/>
              <w:right w:val="nil"/>
            </w:tcBorders>
            <w:shd w:val="clear" w:color="auto" w:fill="auto"/>
            <w:noWrap/>
            <w:vAlign w:val="bottom"/>
            <w:hideMark/>
          </w:tcPr>
          <w:p w14:paraId="25D82AF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33.7%</w:t>
            </w:r>
          </w:p>
        </w:tc>
        <w:tc>
          <w:tcPr>
            <w:tcW w:w="1179" w:type="dxa"/>
            <w:tcBorders>
              <w:top w:val="nil"/>
              <w:left w:val="nil"/>
              <w:bottom w:val="nil"/>
              <w:right w:val="nil"/>
            </w:tcBorders>
            <w:shd w:val="clear" w:color="auto" w:fill="auto"/>
            <w:noWrap/>
            <w:vAlign w:val="bottom"/>
            <w:hideMark/>
          </w:tcPr>
          <w:p w14:paraId="70F4AA27"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41.0%</w:t>
            </w:r>
          </w:p>
        </w:tc>
        <w:tc>
          <w:tcPr>
            <w:tcW w:w="1179" w:type="dxa"/>
            <w:tcBorders>
              <w:top w:val="nil"/>
              <w:left w:val="nil"/>
              <w:bottom w:val="nil"/>
              <w:right w:val="nil"/>
            </w:tcBorders>
            <w:shd w:val="clear" w:color="auto" w:fill="auto"/>
            <w:noWrap/>
            <w:vAlign w:val="bottom"/>
            <w:hideMark/>
          </w:tcPr>
          <w:p w14:paraId="7530A05D"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5.4%</w:t>
            </w:r>
          </w:p>
        </w:tc>
        <w:tc>
          <w:tcPr>
            <w:tcW w:w="1179" w:type="dxa"/>
            <w:tcBorders>
              <w:top w:val="nil"/>
              <w:left w:val="nil"/>
              <w:bottom w:val="nil"/>
              <w:right w:val="nil"/>
            </w:tcBorders>
            <w:shd w:val="clear" w:color="auto" w:fill="auto"/>
            <w:noWrap/>
            <w:vAlign w:val="bottom"/>
            <w:hideMark/>
          </w:tcPr>
          <w:p w14:paraId="6584F5E9"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1DC74B92"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3F29D170"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Valledupar</w:t>
            </w:r>
          </w:p>
        </w:tc>
        <w:tc>
          <w:tcPr>
            <w:tcW w:w="1179" w:type="dxa"/>
            <w:tcBorders>
              <w:top w:val="nil"/>
              <w:left w:val="nil"/>
              <w:bottom w:val="nil"/>
              <w:right w:val="nil"/>
            </w:tcBorders>
            <w:shd w:val="clear" w:color="auto" w:fill="auto"/>
            <w:noWrap/>
            <w:vAlign w:val="bottom"/>
            <w:hideMark/>
          </w:tcPr>
          <w:p w14:paraId="425496D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0.0%</w:t>
            </w:r>
          </w:p>
        </w:tc>
        <w:tc>
          <w:tcPr>
            <w:tcW w:w="1179" w:type="dxa"/>
            <w:tcBorders>
              <w:top w:val="nil"/>
              <w:left w:val="nil"/>
              <w:bottom w:val="nil"/>
              <w:right w:val="nil"/>
            </w:tcBorders>
            <w:shd w:val="clear" w:color="auto" w:fill="auto"/>
            <w:noWrap/>
            <w:vAlign w:val="bottom"/>
            <w:hideMark/>
          </w:tcPr>
          <w:p w14:paraId="422CB30B"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15.7%</w:t>
            </w:r>
          </w:p>
        </w:tc>
        <w:tc>
          <w:tcPr>
            <w:tcW w:w="1179" w:type="dxa"/>
            <w:tcBorders>
              <w:top w:val="nil"/>
              <w:left w:val="nil"/>
              <w:bottom w:val="nil"/>
              <w:right w:val="nil"/>
            </w:tcBorders>
            <w:shd w:val="clear" w:color="auto" w:fill="auto"/>
            <w:noWrap/>
            <w:vAlign w:val="bottom"/>
            <w:hideMark/>
          </w:tcPr>
          <w:p w14:paraId="47DD7228"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33.3%</w:t>
            </w:r>
          </w:p>
        </w:tc>
        <w:tc>
          <w:tcPr>
            <w:tcW w:w="1179" w:type="dxa"/>
            <w:tcBorders>
              <w:top w:val="nil"/>
              <w:left w:val="nil"/>
              <w:bottom w:val="nil"/>
              <w:right w:val="nil"/>
            </w:tcBorders>
            <w:shd w:val="clear" w:color="auto" w:fill="auto"/>
            <w:noWrap/>
            <w:vAlign w:val="bottom"/>
            <w:hideMark/>
          </w:tcPr>
          <w:p w14:paraId="1571351C"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35.3%</w:t>
            </w:r>
          </w:p>
        </w:tc>
        <w:tc>
          <w:tcPr>
            <w:tcW w:w="1179" w:type="dxa"/>
            <w:tcBorders>
              <w:top w:val="nil"/>
              <w:left w:val="nil"/>
              <w:bottom w:val="nil"/>
              <w:right w:val="nil"/>
            </w:tcBorders>
            <w:shd w:val="clear" w:color="auto" w:fill="auto"/>
            <w:noWrap/>
            <w:vAlign w:val="bottom"/>
            <w:hideMark/>
          </w:tcPr>
          <w:p w14:paraId="330F3F1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15.7%</w:t>
            </w:r>
          </w:p>
        </w:tc>
        <w:tc>
          <w:tcPr>
            <w:tcW w:w="1179" w:type="dxa"/>
            <w:tcBorders>
              <w:top w:val="nil"/>
              <w:left w:val="nil"/>
              <w:bottom w:val="nil"/>
              <w:right w:val="nil"/>
            </w:tcBorders>
            <w:shd w:val="clear" w:color="auto" w:fill="auto"/>
            <w:noWrap/>
            <w:vAlign w:val="bottom"/>
            <w:hideMark/>
          </w:tcPr>
          <w:p w14:paraId="6AF395D0"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r w:rsidR="00710FC1" w:rsidRPr="00CF50D4" w14:paraId="756F0220" w14:textId="77777777" w:rsidTr="00E250FE">
        <w:trPr>
          <w:trHeight w:val="300"/>
          <w:jc w:val="center"/>
        </w:trPr>
        <w:tc>
          <w:tcPr>
            <w:tcW w:w="1764" w:type="dxa"/>
            <w:tcBorders>
              <w:top w:val="nil"/>
              <w:left w:val="nil"/>
              <w:bottom w:val="nil"/>
              <w:right w:val="nil"/>
            </w:tcBorders>
            <w:shd w:val="clear" w:color="auto" w:fill="auto"/>
            <w:noWrap/>
            <w:vAlign w:val="bottom"/>
            <w:hideMark/>
          </w:tcPr>
          <w:p w14:paraId="01AACF06" w14:textId="77777777" w:rsidR="00710FC1" w:rsidRPr="00CF50D4" w:rsidRDefault="00710FC1" w:rsidP="00710FC1">
            <w:pPr>
              <w:spacing w:line="259" w:lineRule="auto"/>
              <w:jc w:val="lef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Villavicencio</w:t>
            </w:r>
          </w:p>
        </w:tc>
        <w:tc>
          <w:tcPr>
            <w:tcW w:w="1179" w:type="dxa"/>
            <w:tcBorders>
              <w:top w:val="nil"/>
              <w:left w:val="nil"/>
              <w:bottom w:val="nil"/>
              <w:right w:val="nil"/>
            </w:tcBorders>
            <w:shd w:val="clear" w:color="auto" w:fill="auto"/>
            <w:noWrap/>
            <w:vAlign w:val="bottom"/>
            <w:hideMark/>
          </w:tcPr>
          <w:p w14:paraId="10D4C863"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1.2%</w:t>
            </w:r>
          </w:p>
        </w:tc>
        <w:tc>
          <w:tcPr>
            <w:tcW w:w="1179" w:type="dxa"/>
            <w:tcBorders>
              <w:top w:val="nil"/>
              <w:left w:val="nil"/>
              <w:bottom w:val="nil"/>
              <w:right w:val="nil"/>
            </w:tcBorders>
            <w:shd w:val="clear" w:color="auto" w:fill="auto"/>
            <w:noWrap/>
            <w:vAlign w:val="bottom"/>
            <w:hideMark/>
          </w:tcPr>
          <w:p w14:paraId="4E184214"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6.1%</w:t>
            </w:r>
          </w:p>
        </w:tc>
        <w:tc>
          <w:tcPr>
            <w:tcW w:w="1179" w:type="dxa"/>
            <w:tcBorders>
              <w:top w:val="nil"/>
              <w:left w:val="nil"/>
              <w:bottom w:val="nil"/>
              <w:right w:val="nil"/>
            </w:tcBorders>
            <w:shd w:val="clear" w:color="auto" w:fill="auto"/>
            <w:noWrap/>
            <w:vAlign w:val="bottom"/>
            <w:hideMark/>
          </w:tcPr>
          <w:p w14:paraId="13ABC805"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28.0%</w:t>
            </w:r>
          </w:p>
        </w:tc>
        <w:tc>
          <w:tcPr>
            <w:tcW w:w="1179" w:type="dxa"/>
            <w:tcBorders>
              <w:top w:val="nil"/>
              <w:left w:val="nil"/>
              <w:bottom w:val="nil"/>
              <w:right w:val="nil"/>
            </w:tcBorders>
            <w:shd w:val="clear" w:color="auto" w:fill="auto"/>
            <w:noWrap/>
            <w:vAlign w:val="bottom"/>
            <w:hideMark/>
          </w:tcPr>
          <w:p w14:paraId="4025179F"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54.9%</w:t>
            </w:r>
          </w:p>
        </w:tc>
        <w:tc>
          <w:tcPr>
            <w:tcW w:w="1179" w:type="dxa"/>
            <w:tcBorders>
              <w:top w:val="nil"/>
              <w:left w:val="nil"/>
              <w:bottom w:val="nil"/>
              <w:right w:val="nil"/>
            </w:tcBorders>
            <w:shd w:val="clear" w:color="auto" w:fill="auto"/>
            <w:noWrap/>
            <w:vAlign w:val="bottom"/>
            <w:hideMark/>
          </w:tcPr>
          <w:p w14:paraId="6A080441"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9.8%</w:t>
            </w:r>
          </w:p>
        </w:tc>
        <w:tc>
          <w:tcPr>
            <w:tcW w:w="1179" w:type="dxa"/>
            <w:tcBorders>
              <w:top w:val="nil"/>
              <w:left w:val="nil"/>
              <w:bottom w:val="nil"/>
              <w:right w:val="nil"/>
            </w:tcBorders>
            <w:shd w:val="clear" w:color="auto" w:fill="auto"/>
            <w:noWrap/>
            <w:vAlign w:val="bottom"/>
            <w:hideMark/>
          </w:tcPr>
          <w:p w14:paraId="5098151E" w14:textId="77777777" w:rsidR="00710FC1" w:rsidRPr="00CF50D4" w:rsidRDefault="00710FC1" w:rsidP="00710FC1">
            <w:pPr>
              <w:spacing w:line="259" w:lineRule="auto"/>
              <w:jc w:val="right"/>
              <w:rPr>
                <w:rFonts w:ascii="Times New Roman" w:eastAsia="Times New Roman" w:hAnsi="Times New Roman" w:cs="Times New Roman"/>
                <w:color w:val="000000"/>
                <w:sz w:val="23"/>
                <w:szCs w:val="23"/>
              </w:rPr>
            </w:pPr>
            <w:r w:rsidRPr="00CF50D4">
              <w:rPr>
                <w:rFonts w:ascii="Times New Roman" w:eastAsia="Times New Roman" w:hAnsi="Times New Roman" w:cs="Times New Roman"/>
                <w:color w:val="000000"/>
                <w:sz w:val="23"/>
                <w:szCs w:val="23"/>
              </w:rPr>
              <w:t>100.0%</w:t>
            </w:r>
          </w:p>
        </w:tc>
      </w:tr>
    </w:tbl>
    <w:p w14:paraId="3EB18AD9" w14:textId="77777777" w:rsidR="00710FC1" w:rsidRPr="00CF50D4" w:rsidRDefault="00710FC1" w:rsidP="00710FC1">
      <w:pPr>
        <w:spacing w:line="259" w:lineRule="auto"/>
        <w:jc w:val="center"/>
        <w:rPr>
          <w:rFonts w:ascii="Times New Roman" w:hAnsi="Times New Roman" w:cs="Times New Roman"/>
          <w:sz w:val="23"/>
          <w:szCs w:val="23"/>
        </w:rPr>
      </w:pPr>
      <w:r w:rsidRPr="00CF50D4">
        <w:rPr>
          <w:rFonts w:ascii="Times New Roman" w:hAnsi="Times New Roman" w:cs="Times New Roman"/>
          <w:sz w:val="23"/>
          <w:szCs w:val="23"/>
        </w:rPr>
        <w:t>Fuente: cálculos MCV con base en MINCIENCIAS</w:t>
      </w:r>
    </w:p>
    <w:p w14:paraId="3C287F2C" w14:textId="77777777" w:rsidR="00710FC1" w:rsidRPr="00CF50D4" w:rsidRDefault="00710FC1" w:rsidP="00710FC1">
      <w:pPr>
        <w:spacing w:line="259" w:lineRule="auto"/>
        <w:rPr>
          <w:rFonts w:ascii="Times New Roman" w:hAnsi="Times New Roman" w:cs="Times New Roman"/>
          <w:sz w:val="23"/>
          <w:szCs w:val="23"/>
        </w:rPr>
      </w:pPr>
    </w:p>
    <w:p w14:paraId="78A39ABD" w14:textId="399EE9C0" w:rsidR="00710FC1" w:rsidRPr="00CF50D4" w:rsidRDefault="00710FC1" w:rsidP="009B2B57">
      <w:pPr>
        <w:rPr>
          <w:rFonts w:ascii="Times New Roman" w:hAnsi="Times New Roman" w:cs="Times New Roman"/>
          <w:sz w:val="23"/>
          <w:szCs w:val="23"/>
        </w:rPr>
      </w:pPr>
      <w:r w:rsidRPr="00CF50D4">
        <w:rPr>
          <w:rFonts w:ascii="Times New Roman" w:hAnsi="Times New Roman" w:cs="Times New Roman"/>
          <w:sz w:val="23"/>
          <w:szCs w:val="23"/>
        </w:rPr>
        <w:t>Los esfuerzos de la ciudad por posicionarse como una ciudad con calidad educativa desde el enfoque de la investigación, se ven reflejados en la evolución favorable que a través de las diferentes convocatorias de</w:t>
      </w:r>
      <w:r w:rsidR="009B2B57" w:rsidRPr="00CF50D4">
        <w:rPr>
          <w:rFonts w:ascii="Times New Roman" w:hAnsi="Times New Roman" w:cs="Times New Roman"/>
          <w:sz w:val="23"/>
          <w:szCs w:val="23"/>
        </w:rPr>
        <w:t xml:space="preserve">l Ministerio de Ciencia, Tecnología e Innovación </w:t>
      </w:r>
      <w:r w:rsidRPr="00CF50D4">
        <w:rPr>
          <w:rFonts w:ascii="Times New Roman" w:hAnsi="Times New Roman" w:cs="Times New Roman"/>
          <w:sz w:val="23"/>
          <w:szCs w:val="23"/>
        </w:rPr>
        <w:t>ha tenido la participación de los grupos clasificados en las categorías A y A1. En efecto, como muestra la siguiente gráfica, mientras que en 2013 un poco menos de una cuarta parte de los grupos de investigación con los que contaban las universidades de la ciudad pertenecían a las más altas categorías, en 2021 supera el 50%. Esto representa un crecimiento de 25 puntos porcentuales a lo largo de cinco convocatorias.</w:t>
      </w:r>
    </w:p>
    <w:p w14:paraId="0DE81205" w14:textId="77777777" w:rsidR="009B2B57" w:rsidRPr="00CF50D4" w:rsidRDefault="009B2B57" w:rsidP="009B2B57">
      <w:pPr>
        <w:rPr>
          <w:rFonts w:ascii="Times New Roman" w:hAnsi="Times New Roman" w:cs="Times New Roman"/>
          <w:sz w:val="23"/>
          <w:szCs w:val="23"/>
        </w:rPr>
      </w:pPr>
    </w:p>
    <w:p w14:paraId="034BDAFC" w14:textId="0FACAD17" w:rsidR="00710FC1" w:rsidRPr="00CF50D4" w:rsidRDefault="00710FC1" w:rsidP="00DE534C">
      <w:pPr>
        <w:pStyle w:val="Grfica"/>
        <w:keepNext/>
        <w:keepLines/>
        <w:rPr>
          <w:rFonts w:ascii="Times New Roman" w:hAnsi="Times New Roman" w:cs="Times New Roman"/>
          <w:color w:val="000000" w:themeColor="text1"/>
          <w:sz w:val="23"/>
          <w:szCs w:val="23"/>
        </w:rPr>
      </w:pPr>
      <w:bookmarkStart w:id="8" w:name="_Toc121413954"/>
      <w:r w:rsidRPr="00CF50D4">
        <w:rPr>
          <w:rFonts w:ascii="Times New Roman" w:hAnsi="Times New Roman" w:cs="Times New Roman"/>
          <w:color w:val="000000" w:themeColor="text1"/>
          <w:sz w:val="23"/>
          <w:szCs w:val="23"/>
        </w:rPr>
        <w:lastRenderedPageBreak/>
        <w:t xml:space="preserve">Gráfica </w:t>
      </w:r>
      <w:r w:rsidRPr="00CF50D4">
        <w:rPr>
          <w:rFonts w:ascii="Times New Roman" w:hAnsi="Times New Roman" w:cs="Times New Roman"/>
          <w:color w:val="000000" w:themeColor="text1"/>
          <w:sz w:val="23"/>
          <w:szCs w:val="23"/>
        </w:rPr>
        <w:fldChar w:fldCharType="begin"/>
      </w:r>
      <w:r w:rsidRPr="00CF50D4">
        <w:rPr>
          <w:rFonts w:ascii="Times New Roman" w:hAnsi="Times New Roman" w:cs="Times New Roman"/>
          <w:color w:val="000000" w:themeColor="text1"/>
          <w:sz w:val="23"/>
          <w:szCs w:val="23"/>
        </w:rPr>
        <w:instrText xml:space="preserve"> SEQ Gráfica \* ARABIC </w:instrText>
      </w:r>
      <w:r w:rsidRPr="00CF50D4">
        <w:rPr>
          <w:rFonts w:ascii="Times New Roman" w:hAnsi="Times New Roman" w:cs="Times New Roman"/>
          <w:color w:val="000000" w:themeColor="text1"/>
          <w:sz w:val="23"/>
          <w:szCs w:val="23"/>
        </w:rPr>
        <w:fldChar w:fldCharType="separate"/>
      </w:r>
      <w:r w:rsidR="00F66B58" w:rsidRPr="00CF50D4">
        <w:rPr>
          <w:rFonts w:ascii="Times New Roman" w:hAnsi="Times New Roman" w:cs="Times New Roman"/>
          <w:noProof/>
          <w:color w:val="000000" w:themeColor="text1"/>
          <w:sz w:val="23"/>
          <w:szCs w:val="23"/>
        </w:rPr>
        <w:t>8</w:t>
      </w:r>
      <w:r w:rsidRPr="00CF50D4">
        <w:rPr>
          <w:rFonts w:ascii="Times New Roman" w:hAnsi="Times New Roman" w:cs="Times New Roman"/>
          <w:noProof/>
          <w:color w:val="000000" w:themeColor="text1"/>
          <w:sz w:val="23"/>
          <w:szCs w:val="23"/>
        </w:rPr>
        <w:fldChar w:fldCharType="end"/>
      </w:r>
      <w:r w:rsidRPr="00CF50D4">
        <w:rPr>
          <w:rFonts w:ascii="Times New Roman" w:hAnsi="Times New Roman" w:cs="Times New Roman"/>
          <w:color w:val="000000" w:themeColor="text1"/>
          <w:sz w:val="23"/>
          <w:szCs w:val="23"/>
        </w:rPr>
        <w:t>. Proporción de grupos de investigación en categoría A y A1. 2013 - 2021</w:t>
      </w:r>
      <w:bookmarkEnd w:id="8"/>
    </w:p>
    <w:p w14:paraId="101C9B9D" w14:textId="77777777" w:rsidR="00710FC1" w:rsidRPr="00CF50D4" w:rsidRDefault="00710FC1" w:rsidP="00DE534C">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w:drawing>
          <wp:inline distT="0" distB="0" distL="0" distR="0" wp14:anchorId="435CBD29" wp14:editId="06997344">
            <wp:extent cx="4162349" cy="1799540"/>
            <wp:effectExtent l="0" t="0" r="0" b="0"/>
            <wp:docPr id="6" name="Gráfico 6">
              <a:extLst xmlns:a="http://schemas.openxmlformats.org/drawingml/2006/main">
                <a:ext uri="{FF2B5EF4-FFF2-40B4-BE49-F238E27FC236}">
                  <a16:creationId xmlns:a16="http://schemas.microsoft.com/office/drawing/2014/main" id="{4F044963-3FF2-E74A-8299-B81DE8CB7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00F948" w14:textId="348A9401" w:rsidR="00710FC1" w:rsidRPr="00CF50D4" w:rsidRDefault="00710FC1" w:rsidP="00DE534C">
      <w:pPr>
        <w:keepNext/>
        <w:keepLines/>
        <w:spacing w:line="259" w:lineRule="auto"/>
        <w:jc w:val="center"/>
        <w:rPr>
          <w:rFonts w:ascii="Times New Roman" w:hAnsi="Times New Roman" w:cs="Times New Roman"/>
          <w:sz w:val="23"/>
          <w:szCs w:val="23"/>
        </w:rPr>
      </w:pPr>
      <w:r w:rsidRPr="00CF50D4">
        <w:rPr>
          <w:rFonts w:ascii="Times New Roman" w:hAnsi="Times New Roman" w:cs="Times New Roman"/>
          <w:sz w:val="23"/>
          <w:szCs w:val="23"/>
        </w:rPr>
        <w:t>Fuente: cálculos MCV con base en MINCIENCIAS</w:t>
      </w:r>
    </w:p>
    <w:p w14:paraId="17F3C82E" w14:textId="23DBC42A" w:rsidR="00AC08A8" w:rsidRPr="00CF50D4" w:rsidRDefault="00AC08A8" w:rsidP="00710FC1">
      <w:pPr>
        <w:spacing w:line="259" w:lineRule="auto"/>
        <w:jc w:val="center"/>
        <w:rPr>
          <w:rStyle w:val="Referenciasutil"/>
          <w:rFonts w:ascii="Times New Roman" w:hAnsi="Times New Roman" w:cs="Times New Roman"/>
          <w:sz w:val="23"/>
          <w:szCs w:val="23"/>
        </w:rPr>
      </w:pPr>
    </w:p>
    <w:p w14:paraId="7E535CCE" w14:textId="77777777" w:rsidR="00AC08A8" w:rsidRPr="00CF50D4" w:rsidRDefault="00AC08A8" w:rsidP="00710FC1">
      <w:pPr>
        <w:spacing w:line="259" w:lineRule="auto"/>
        <w:rPr>
          <w:rFonts w:ascii="Times New Roman" w:hAnsi="Times New Roman" w:cs="Times New Roman"/>
          <w:sz w:val="23"/>
          <w:szCs w:val="23"/>
        </w:rPr>
      </w:pPr>
    </w:p>
    <w:p w14:paraId="5F1C51B5" w14:textId="207A40B2" w:rsidR="00AC08A8" w:rsidRPr="00CF50D4" w:rsidRDefault="00AC08A8" w:rsidP="009B2B57">
      <w:pPr>
        <w:pStyle w:val="Ttulo1"/>
        <w:spacing w:before="0"/>
        <w:ind w:left="0"/>
        <w:jc w:val="left"/>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Las estrategias de Manizales campus universitario y alianza suma</w:t>
      </w:r>
      <w:r w:rsidR="009B2B57" w:rsidRPr="00CF50D4">
        <w:rPr>
          <w:rFonts w:ascii="Times New Roman" w:hAnsi="Times New Roman" w:cs="Times New Roman"/>
          <w:color w:val="4472C4" w:themeColor="accent1"/>
          <w:sz w:val="23"/>
          <w:szCs w:val="23"/>
        </w:rPr>
        <w:t>:</w:t>
      </w:r>
    </w:p>
    <w:p w14:paraId="5C7764CB" w14:textId="77777777" w:rsidR="00AC08A8" w:rsidRPr="00CF50D4" w:rsidRDefault="00AC08A8" w:rsidP="009B2B57">
      <w:pPr>
        <w:rPr>
          <w:rFonts w:ascii="Times New Roman" w:hAnsi="Times New Roman" w:cs="Times New Roman"/>
          <w:sz w:val="23"/>
          <w:szCs w:val="23"/>
        </w:rPr>
      </w:pPr>
    </w:p>
    <w:p w14:paraId="6B62A9FE"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w:t>
      </w:r>
      <w:proofErr w:type="spellStart"/>
      <w:r w:rsidRPr="00CF50D4">
        <w:rPr>
          <w:rFonts w:ascii="Times New Roman" w:hAnsi="Times New Roman" w:cs="Times New Roman"/>
          <w:sz w:val="23"/>
          <w:szCs w:val="23"/>
        </w:rPr>
        <w:t>ii</w:t>
      </w:r>
      <w:proofErr w:type="spellEnd"/>
      <w:r w:rsidRPr="00CF50D4">
        <w:rPr>
          <w:rFonts w:ascii="Times New Roman" w:hAnsi="Times New Roman" w:cs="Times New Roman"/>
          <w:sz w:val="23"/>
          <w:szCs w:val="23"/>
        </w:rPr>
        <w:t>) transformar la movilidad de la ciudad según cánones de sostenibilidad medioambiental, y (</w:t>
      </w:r>
      <w:proofErr w:type="spellStart"/>
      <w:r w:rsidRPr="00CF50D4">
        <w:rPr>
          <w:rFonts w:ascii="Times New Roman" w:hAnsi="Times New Roman" w:cs="Times New Roman"/>
          <w:sz w:val="23"/>
          <w:szCs w:val="23"/>
        </w:rPr>
        <w:t>iii</w:t>
      </w:r>
      <w:proofErr w:type="spellEnd"/>
      <w:r w:rsidRPr="00CF50D4">
        <w:rPr>
          <w:rFonts w:ascii="Times New Roman" w:hAnsi="Times New Roman" w:cs="Times New Roman"/>
          <w:sz w:val="23"/>
          <w:szCs w:val="23"/>
        </w:rPr>
        <w:t>) transformar el espacio público para mejorar su apropiación por parte de la ciudadanía.</w:t>
      </w:r>
    </w:p>
    <w:p w14:paraId="432064D8" w14:textId="77777777" w:rsidR="00AC08A8" w:rsidRPr="00CF50D4" w:rsidRDefault="00AC08A8" w:rsidP="009B2B57">
      <w:pPr>
        <w:rPr>
          <w:rFonts w:ascii="Times New Roman" w:hAnsi="Times New Roman" w:cs="Times New Roman"/>
          <w:sz w:val="23"/>
          <w:szCs w:val="23"/>
        </w:rPr>
      </w:pPr>
    </w:p>
    <w:p w14:paraId="4CC977C7"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Vale la pena resaltar que, en el Pacto por la Reactivación y el Crecimiento, la Alcaldía de Manizales propone otros productos adicionales del proyecto Campus Manizales, como, por ejemplo, (i) la intervención integral del sector fundadores, (</w:t>
      </w:r>
      <w:proofErr w:type="spellStart"/>
      <w:r w:rsidRPr="00CF50D4">
        <w:rPr>
          <w:rFonts w:ascii="Times New Roman" w:hAnsi="Times New Roman" w:cs="Times New Roman"/>
          <w:sz w:val="23"/>
          <w:szCs w:val="23"/>
        </w:rPr>
        <w:t>ii</w:t>
      </w:r>
      <w:proofErr w:type="spellEnd"/>
      <w:r w:rsidRPr="00CF50D4">
        <w:rPr>
          <w:rFonts w:ascii="Times New Roman" w:hAnsi="Times New Roman" w:cs="Times New Roman"/>
          <w:sz w:val="23"/>
          <w:szCs w:val="23"/>
        </w:rPr>
        <w:t>) otros modos alternativos de transporte, o (</w:t>
      </w:r>
      <w:proofErr w:type="spellStart"/>
      <w:r w:rsidRPr="00CF50D4">
        <w:rPr>
          <w:rFonts w:ascii="Times New Roman" w:hAnsi="Times New Roman" w:cs="Times New Roman"/>
          <w:sz w:val="23"/>
          <w:szCs w:val="23"/>
        </w:rPr>
        <w:t>iii</w:t>
      </w:r>
      <w:proofErr w:type="spellEnd"/>
      <w:r w:rsidRPr="00CF50D4">
        <w:rPr>
          <w:rFonts w:ascii="Times New Roman" w:hAnsi="Times New Roman" w:cs="Times New Roman"/>
          <w:sz w:val="23"/>
          <w:szCs w:val="23"/>
        </w:rPr>
        <w:t>) el fortalecimiento de la red de ecoparques.</w:t>
      </w:r>
    </w:p>
    <w:p w14:paraId="6804E7CE" w14:textId="77777777" w:rsidR="00AC08A8" w:rsidRPr="00CF50D4" w:rsidRDefault="00AC08A8" w:rsidP="009B2B57">
      <w:pPr>
        <w:rPr>
          <w:rFonts w:ascii="Times New Roman" w:hAnsi="Times New Roman" w:cs="Times New Roman"/>
          <w:sz w:val="23"/>
          <w:szCs w:val="23"/>
        </w:rPr>
      </w:pPr>
    </w:p>
    <w:p w14:paraId="1F3DB3DD" w14:textId="0D10AD41" w:rsidR="00AC08A8" w:rsidRPr="00CF50D4" w:rsidRDefault="00AC08A8" w:rsidP="009B2B57">
      <w:pPr>
        <w:rPr>
          <w:rFonts w:ascii="Times New Roman" w:hAnsi="Times New Roman" w:cs="Times New Roman"/>
          <w:sz w:val="23"/>
          <w:szCs w:val="23"/>
        </w:rPr>
      </w:pPr>
      <w:proofErr w:type="spellStart"/>
      <w:r w:rsidRPr="00CF50D4">
        <w:rPr>
          <w:rFonts w:ascii="Times New Roman" w:hAnsi="Times New Roman" w:cs="Times New Roman"/>
          <w:sz w:val="23"/>
          <w:szCs w:val="23"/>
        </w:rPr>
        <w:t>Eafit</w:t>
      </w:r>
      <w:proofErr w:type="spellEnd"/>
      <w:r w:rsidRPr="00CF50D4">
        <w:rPr>
          <w:rFonts w:ascii="Times New Roman" w:hAnsi="Times New Roman" w:cs="Times New Roman"/>
          <w:sz w:val="23"/>
          <w:szCs w:val="23"/>
        </w:rPr>
        <w:t xml:space="preserve"> (2022)</w:t>
      </w:r>
      <w:r w:rsidR="009B2B57" w:rsidRPr="00CF50D4">
        <w:rPr>
          <w:rFonts w:ascii="Times New Roman" w:hAnsi="Times New Roman" w:cs="Times New Roman"/>
          <w:sz w:val="23"/>
          <w:szCs w:val="23"/>
        </w:rPr>
        <w:t>,</w:t>
      </w:r>
      <w:r w:rsidRPr="00CF50D4">
        <w:rPr>
          <w:rFonts w:ascii="Times New Roman" w:hAnsi="Times New Roman" w:cs="Times New Roman"/>
          <w:sz w:val="23"/>
          <w:szCs w:val="23"/>
        </w:rPr>
        <w:t xml:space="preserve">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vivienda). Adicionalmente, es más probable que vivan en apartamentos, que cuenten con acceso a internet y que vivan en hogares de una o dos personas. Por último, en estas áreas hay una mayor proporción de personas con más de 60 años, personas de minorías étnicas y personas nacidas fuera de Manizales, así como una menor proporción de niños.</w:t>
      </w:r>
    </w:p>
    <w:p w14:paraId="1D29D996" w14:textId="77777777" w:rsidR="00AC08A8" w:rsidRPr="00CF50D4" w:rsidRDefault="00AC08A8" w:rsidP="009B2B57">
      <w:pPr>
        <w:rPr>
          <w:rFonts w:ascii="Times New Roman" w:hAnsi="Times New Roman" w:cs="Times New Roman"/>
          <w:sz w:val="23"/>
          <w:szCs w:val="23"/>
        </w:rPr>
      </w:pPr>
    </w:p>
    <w:p w14:paraId="698D2116"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14:paraId="663B41C6" w14:textId="77777777" w:rsidR="00AC08A8" w:rsidRPr="00CF50D4" w:rsidRDefault="00AC08A8" w:rsidP="009B2B57">
      <w:pPr>
        <w:rPr>
          <w:rFonts w:ascii="Times New Roman" w:hAnsi="Times New Roman" w:cs="Times New Roman"/>
          <w:sz w:val="23"/>
          <w:szCs w:val="23"/>
        </w:rPr>
      </w:pPr>
    </w:p>
    <w:p w14:paraId="0A5741A5"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14:paraId="507DFBF5" w14:textId="77777777" w:rsidR="00AC08A8" w:rsidRPr="00CF50D4" w:rsidRDefault="00AC08A8" w:rsidP="009B2B57">
      <w:pPr>
        <w:rPr>
          <w:rFonts w:ascii="Times New Roman" w:hAnsi="Times New Roman" w:cs="Times New Roman"/>
          <w:sz w:val="23"/>
          <w:szCs w:val="23"/>
        </w:rPr>
      </w:pPr>
    </w:p>
    <w:p w14:paraId="0C37B582"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14:paraId="503AE4FD" w14:textId="77777777" w:rsidR="00AC08A8" w:rsidRPr="00CF50D4" w:rsidRDefault="00AC08A8" w:rsidP="009B2B57">
      <w:pPr>
        <w:rPr>
          <w:rFonts w:ascii="Times New Roman" w:hAnsi="Times New Roman" w:cs="Times New Roman"/>
          <w:sz w:val="23"/>
          <w:szCs w:val="23"/>
        </w:rPr>
      </w:pPr>
    </w:p>
    <w:p w14:paraId="7E6F908D"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14:paraId="19097ED7" w14:textId="77777777" w:rsidR="00AC08A8" w:rsidRPr="00CF50D4" w:rsidRDefault="00AC08A8" w:rsidP="009B2B57">
      <w:pPr>
        <w:rPr>
          <w:rFonts w:ascii="Times New Roman" w:hAnsi="Times New Roman" w:cs="Times New Roman"/>
          <w:sz w:val="23"/>
          <w:szCs w:val="23"/>
        </w:rPr>
      </w:pPr>
    </w:p>
    <w:p w14:paraId="1C53BD46" w14:textId="3FD09CD6"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 xml:space="preserve">Otras iniciativas importantes de destacar en la ciudad es el Programa Universidad en Tu Colegio, a cargo de la Fundación </w:t>
      </w:r>
      <w:proofErr w:type="spellStart"/>
      <w:r w:rsidRPr="00CF50D4">
        <w:rPr>
          <w:rFonts w:ascii="Times New Roman" w:hAnsi="Times New Roman" w:cs="Times New Roman"/>
          <w:sz w:val="23"/>
          <w:szCs w:val="23"/>
        </w:rPr>
        <w:t>Luker</w:t>
      </w:r>
      <w:proofErr w:type="spellEnd"/>
      <w:r w:rsidRPr="00CF50D4">
        <w:rPr>
          <w:rFonts w:ascii="Times New Roman" w:hAnsi="Times New Roman" w:cs="Times New Roman"/>
          <w:sz w:val="23"/>
          <w:szCs w:val="23"/>
        </w:rPr>
        <w:t xml:space="preserve">, el cual facilita el acceso a programas de formación técnica y tecnológica a jóvenes </w:t>
      </w:r>
      <w:r w:rsidRPr="00CF50D4">
        <w:rPr>
          <w:rFonts w:ascii="Times New Roman" w:hAnsi="Times New Roman" w:cs="Times New Roman"/>
          <w:sz w:val="23"/>
          <w:szCs w:val="23"/>
        </w:rPr>
        <w:lastRenderedPageBreak/>
        <w:t xml:space="preserve">de colegios oficiales con Universidades e Instituciones para el trabajo y el desarrollo humano de la región. Los programas son pertinentes a las necesidades del sector empresarial y se desarrollan mientras los estudiantes cursan grado 10° y 11° en </w:t>
      </w:r>
      <w:r w:rsidR="009B2B57" w:rsidRPr="00CF50D4">
        <w:rPr>
          <w:rFonts w:ascii="Times New Roman" w:hAnsi="Times New Roman" w:cs="Times New Roman"/>
          <w:sz w:val="23"/>
          <w:szCs w:val="23"/>
        </w:rPr>
        <w:t>contra jornada</w:t>
      </w:r>
      <w:r w:rsidRPr="00CF50D4">
        <w:rPr>
          <w:rFonts w:ascii="Times New Roman" w:hAnsi="Times New Roman" w:cs="Times New Roman"/>
          <w:sz w:val="23"/>
          <w:szCs w:val="23"/>
        </w:rPr>
        <w:t xml:space="preserve"> en los colegios, pues los profesores universitarios se desplazan a éstos.</w:t>
      </w:r>
    </w:p>
    <w:p w14:paraId="5390DEA0" w14:textId="77777777" w:rsidR="00AC08A8" w:rsidRPr="00CF50D4" w:rsidRDefault="00AC08A8" w:rsidP="009B2B57">
      <w:pPr>
        <w:rPr>
          <w:rFonts w:ascii="Times New Roman" w:hAnsi="Times New Roman" w:cs="Times New Roman"/>
          <w:sz w:val="23"/>
          <w:szCs w:val="23"/>
        </w:rPr>
      </w:pPr>
    </w:p>
    <w:p w14:paraId="77B982CD" w14:textId="77777777" w:rsidR="00AC08A8" w:rsidRPr="00CF50D4" w:rsidRDefault="00AC08A8" w:rsidP="009B2B57">
      <w:pPr>
        <w:rPr>
          <w:rFonts w:ascii="Times New Roman" w:hAnsi="Times New Roman" w:cs="Times New Roman"/>
          <w:sz w:val="23"/>
          <w:szCs w:val="23"/>
        </w:rPr>
      </w:pPr>
      <w:r w:rsidRPr="00CF50D4">
        <w:rPr>
          <w:rFonts w:ascii="Times New Roman" w:hAnsi="Times New Roman" w:cs="Times New Roman"/>
          <w:sz w:val="23"/>
          <w:szCs w:val="23"/>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14:paraId="22DBFB25" w14:textId="0446B949" w:rsidR="00AC08A8" w:rsidRPr="00CF50D4" w:rsidRDefault="00AC08A8" w:rsidP="009B2B57">
      <w:pPr>
        <w:rPr>
          <w:rFonts w:ascii="Times New Roman" w:hAnsi="Times New Roman" w:cs="Times New Roman"/>
          <w:sz w:val="23"/>
          <w:szCs w:val="23"/>
        </w:rPr>
      </w:pPr>
    </w:p>
    <w:p w14:paraId="0EBE38D0" w14:textId="25BD42D5" w:rsidR="004F18E0" w:rsidRPr="00CF50D4" w:rsidRDefault="004F18E0" w:rsidP="009B2B57">
      <w:pPr>
        <w:pStyle w:val="Ttulo1"/>
        <w:spacing w:before="0"/>
        <w:ind w:left="0"/>
        <w:jc w:val="both"/>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 xml:space="preserve">El desempeño de la educación superior de Manizales en el </w:t>
      </w:r>
      <w:r w:rsidR="009B2B57" w:rsidRPr="00CF50D4">
        <w:rPr>
          <w:rFonts w:ascii="Times New Roman" w:hAnsi="Times New Roman" w:cs="Times New Roman"/>
          <w:color w:val="4472C4" w:themeColor="accent1"/>
          <w:sz w:val="23"/>
          <w:szCs w:val="23"/>
        </w:rPr>
        <w:t>Índice</w:t>
      </w:r>
      <w:r w:rsidRPr="00CF50D4">
        <w:rPr>
          <w:rFonts w:ascii="Times New Roman" w:hAnsi="Times New Roman" w:cs="Times New Roman"/>
          <w:color w:val="4472C4" w:themeColor="accent1"/>
          <w:sz w:val="23"/>
          <w:szCs w:val="23"/>
        </w:rPr>
        <w:t xml:space="preserve"> de Competitividad de Ciudades</w:t>
      </w:r>
      <w:r w:rsidR="009B2B57" w:rsidRPr="00CF50D4">
        <w:rPr>
          <w:rFonts w:ascii="Times New Roman" w:hAnsi="Times New Roman" w:cs="Times New Roman"/>
          <w:color w:val="4472C4" w:themeColor="accent1"/>
          <w:sz w:val="23"/>
          <w:szCs w:val="23"/>
        </w:rPr>
        <w:t>:</w:t>
      </w:r>
    </w:p>
    <w:p w14:paraId="492FC29C" w14:textId="4849B170" w:rsidR="004F18E0" w:rsidRPr="00CF50D4" w:rsidRDefault="004F18E0" w:rsidP="009B2B57">
      <w:pPr>
        <w:rPr>
          <w:rFonts w:ascii="Times New Roman" w:hAnsi="Times New Roman" w:cs="Times New Roman"/>
          <w:sz w:val="23"/>
          <w:szCs w:val="23"/>
        </w:rPr>
      </w:pPr>
    </w:p>
    <w:p w14:paraId="4E28FC90" w14:textId="26476C92" w:rsidR="004F18E0" w:rsidRPr="00CF50D4" w:rsidRDefault="004F18E0" w:rsidP="009B2B57">
      <w:pPr>
        <w:rPr>
          <w:rFonts w:ascii="Times New Roman" w:hAnsi="Times New Roman" w:cs="Times New Roman"/>
          <w:sz w:val="23"/>
          <w:szCs w:val="23"/>
        </w:rPr>
      </w:pPr>
      <w:r w:rsidRPr="00CF50D4">
        <w:rPr>
          <w:rFonts w:ascii="Times New Roman" w:hAnsi="Times New Roman" w:cs="Times New Roman"/>
          <w:sz w:val="23"/>
          <w:szCs w:val="23"/>
        </w:rPr>
        <w:t xml:space="preserve">En la última medición del </w:t>
      </w:r>
      <w:r w:rsidR="009B2B57" w:rsidRPr="00CF50D4">
        <w:rPr>
          <w:rFonts w:ascii="Times New Roman" w:hAnsi="Times New Roman" w:cs="Times New Roman"/>
          <w:sz w:val="23"/>
          <w:szCs w:val="23"/>
        </w:rPr>
        <w:t>Índice</w:t>
      </w:r>
      <w:r w:rsidRPr="00CF50D4">
        <w:rPr>
          <w:rFonts w:ascii="Times New Roman" w:hAnsi="Times New Roman" w:cs="Times New Roman"/>
          <w:sz w:val="23"/>
          <w:szCs w:val="23"/>
        </w:rPr>
        <w:t xml:space="preserve"> de Competitividad de Ciudades, Manizales ocupa el cuarto lugar con un puntaje de 6,52 sobre 10.</w:t>
      </w:r>
    </w:p>
    <w:p w14:paraId="26649500" w14:textId="10117741" w:rsidR="004F18E0" w:rsidRPr="00CF50D4" w:rsidRDefault="004F18E0" w:rsidP="004F18E0">
      <w:pPr>
        <w:rPr>
          <w:rFonts w:ascii="Times New Roman" w:hAnsi="Times New Roman" w:cs="Times New Roman"/>
          <w:sz w:val="23"/>
          <w:szCs w:val="23"/>
        </w:rPr>
      </w:pPr>
    </w:p>
    <w:p w14:paraId="09189FCE" w14:textId="29D76D58" w:rsidR="00AF2CF4" w:rsidRPr="00CF50D4" w:rsidRDefault="00AF2CF4" w:rsidP="00AF2CF4">
      <w:pPr>
        <w:jc w:val="center"/>
        <w:rPr>
          <w:rFonts w:ascii="Times New Roman" w:hAnsi="Times New Roman" w:cs="Times New Roman"/>
          <w:sz w:val="23"/>
          <w:szCs w:val="23"/>
        </w:rPr>
      </w:pPr>
      <w:r w:rsidRPr="00CF50D4">
        <w:rPr>
          <w:rFonts w:ascii="Times New Roman" w:hAnsi="Times New Roman" w:cs="Times New Roman"/>
          <w:noProof/>
          <w:sz w:val="23"/>
          <w:szCs w:val="23"/>
          <w:lang w:eastAsia="es-CO"/>
        </w:rPr>
        <mc:AlternateContent>
          <mc:Choice Requires="wps">
            <w:drawing>
              <wp:anchor distT="0" distB="0" distL="114300" distR="114300" simplePos="0" relativeHeight="251659264" behindDoc="0" locked="0" layoutInCell="1" allowOverlap="1" wp14:anchorId="488A9924" wp14:editId="7CA9B231">
                <wp:simplePos x="0" y="0"/>
                <wp:positionH relativeFrom="column">
                  <wp:posOffset>1058766</wp:posOffset>
                </wp:positionH>
                <wp:positionV relativeFrom="paragraph">
                  <wp:posOffset>1561713</wp:posOffset>
                </wp:positionV>
                <wp:extent cx="3816626" cy="206734"/>
                <wp:effectExtent l="0" t="0" r="12700" b="22225"/>
                <wp:wrapNone/>
                <wp:docPr id="3" name="Rectángulo 3"/>
                <wp:cNvGraphicFramePr/>
                <a:graphic xmlns:a="http://schemas.openxmlformats.org/drawingml/2006/main">
                  <a:graphicData uri="http://schemas.microsoft.com/office/word/2010/wordprocessingShape">
                    <wps:wsp>
                      <wps:cNvSpPr/>
                      <wps:spPr>
                        <a:xfrm>
                          <a:off x="0" y="0"/>
                          <a:ext cx="3816626" cy="206734"/>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6D570F8" id="Rectángulo 3" o:spid="_x0000_s1026" style="position:absolute;margin-left:83.35pt;margin-top:122.95pt;width:300.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" filled="f" strokecolor="#c00000" strokeweight="1pt"/>
            </w:pict>
          </mc:Fallback>
        </mc:AlternateContent>
      </w:r>
      <w:r w:rsidRPr="00CF50D4">
        <w:rPr>
          <w:rFonts w:ascii="Times New Roman" w:hAnsi="Times New Roman" w:cs="Times New Roman"/>
          <w:noProof/>
          <w:sz w:val="23"/>
          <w:szCs w:val="23"/>
          <w:lang w:eastAsia="es-CO"/>
        </w:rPr>
        <w:drawing>
          <wp:inline distT="0" distB="0" distL="0" distR="0" wp14:anchorId="6EAD32C8" wp14:editId="6A9716B9">
            <wp:extent cx="4409428" cy="33232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16960" cy="3328963"/>
                    </a:xfrm>
                    <a:prstGeom prst="rect">
                      <a:avLst/>
                    </a:prstGeom>
                  </pic:spPr>
                </pic:pic>
              </a:graphicData>
            </a:graphic>
          </wp:inline>
        </w:drawing>
      </w:r>
    </w:p>
    <w:p w14:paraId="6F1B4001" w14:textId="77777777" w:rsidR="009B2B57" w:rsidRPr="00CF50D4" w:rsidRDefault="009B2B57" w:rsidP="00D5365F">
      <w:pPr>
        <w:rPr>
          <w:rFonts w:ascii="Times New Roman" w:hAnsi="Times New Roman" w:cs="Times New Roman"/>
          <w:sz w:val="23"/>
          <w:szCs w:val="23"/>
        </w:rPr>
      </w:pPr>
    </w:p>
    <w:p w14:paraId="6DB4B748" w14:textId="53D3601E" w:rsidR="00AF2CF4" w:rsidRPr="00CF50D4" w:rsidRDefault="00AF2CF4" w:rsidP="00D5365F">
      <w:pPr>
        <w:rPr>
          <w:rFonts w:ascii="Times New Roman" w:hAnsi="Times New Roman" w:cs="Times New Roman"/>
          <w:sz w:val="23"/>
          <w:szCs w:val="23"/>
        </w:rPr>
      </w:pPr>
      <w:r w:rsidRPr="00CF50D4">
        <w:rPr>
          <w:rFonts w:ascii="Times New Roman" w:hAnsi="Times New Roman" w:cs="Times New Roman"/>
          <w:sz w:val="23"/>
          <w:szCs w:val="23"/>
        </w:rPr>
        <w:lastRenderedPageBreak/>
        <w:t xml:space="preserve">Como se observa, es uno de los pilares en los que obtiene </w:t>
      </w:r>
      <w:r w:rsidR="006D6357" w:rsidRPr="00CF50D4">
        <w:rPr>
          <w:rFonts w:ascii="Times New Roman" w:hAnsi="Times New Roman" w:cs="Times New Roman"/>
          <w:sz w:val="23"/>
          <w:szCs w:val="23"/>
        </w:rPr>
        <w:t>las mejores posiciones entre las ciudades del país, junto con el pilar de innovación en el que obtiene la posición 2, el pilar de mercado laboral con la posición 3 y el pilar de adopción TIC (posición 4)</w:t>
      </w:r>
    </w:p>
    <w:p w14:paraId="73F8686A" w14:textId="77777777" w:rsidR="00AF2CF4" w:rsidRPr="00CF50D4" w:rsidRDefault="00AF2CF4" w:rsidP="00D5365F">
      <w:pPr>
        <w:rPr>
          <w:rFonts w:ascii="Times New Roman" w:hAnsi="Times New Roman" w:cs="Times New Roman"/>
          <w:sz w:val="23"/>
          <w:szCs w:val="23"/>
        </w:rPr>
      </w:pPr>
    </w:p>
    <w:p w14:paraId="243D970C" w14:textId="4EE897BD" w:rsidR="00D5365F" w:rsidRPr="00CF50D4" w:rsidRDefault="00D5365F" w:rsidP="00D5365F">
      <w:pPr>
        <w:rPr>
          <w:rFonts w:ascii="Times New Roman" w:hAnsi="Times New Roman" w:cs="Times New Roman"/>
          <w:sz w:val="23"/>
          <w:szCs w:val="23"/>
        </w:rPr>
      </w:pPr>
      <w:r w:rsidRPr="00CF50D4">
        <w:rPr>
          <w:rFonts w:ascii="Times New Roman" w:hAnsi="Times New Roman" w:cs="Times New Roman"/>
          <w:sz w:val="23"/>
          <w:szCs w:val="23"/>
        </w:rPr>
        <w:t xml:space="preserve">A este resultado contribuyen especialmente la calidad de la educación superior con un puntaje de 8.57, la variable calidad de docentes de educación superior obtiene un puntaje de 10 sobre 10, mientras que el puntaje en las pruebas Saber Pro es de 8,26. </w:t>
      </w:r>
      <w:r w:rsidR="00AF2CF4" w:rsidRPr="00CF50D4">
        <w:rPr>
          <w:rFonts w:ascii="Times New Roman" w:hAnsi="Times New Roman" w:cs="Times New Roman"/>
          <w:sz w:val="23"/>
          <w:szCs w:val="23"/>
        </w:rPr>
        <w:t xml:space="preserve">En contraste, de acuerdo con los resultados del </w:t>
      </w:r>
      <w:r w:rsidR="009B2B57" w:rsidRPr="00CF50D4">
        <w:rPr>
          <w:rFonts w:ascii="Times New Roman" w:hAnsi="Times New Roman" w:cs="Times New Roman"/>
          <w:sz w:val="23"/>
          <w:szCs w:val="23"/>
        </w:rPr>
        <w:t>Índice</w:t>
      </w:r>
      <w:r w:rsidR="00AF2CF4" w:rsidRPr="00CF50D4">
        <w:rPr>
          <w:rFonts w:ascii="Times New Roman" w:hAnsi="Times New Roman" w:cs="Times New Roman"/>
          <w:sz w:val="23"/>
          <w:szCs w:val="23"/>
        </w:rPr>
        <w:t xml:space="preserve"> se deben mejorar aspectos como la cobertura bruta en formación universitaria, que obtuvo un puntaje de 3,84, el número de graduados de posgrado (4,40) y la cobertura bruta en educación técnica y tecnológica (5,40).</w:t>
      </w:r>
    </w:p>
    <w:p w14:paraId="4C121FA0" w14:textId="6E542CFE" w:rsidR="009B2B57" w:rsidRPr="00CF50D4" w:rsidRDefault="009B2B57" w:rsidP="00D5365F">
      <w:pPr>
        <w:rPr>
          <w:rFonts w:ascii="Times New Roman" w:hAnsi="Times New Roman" w:cs="Times New Roman"/>
          <w:sz w:val="23"/>
          <w:szCs w:val="23"/>
        </w:rPr>
      </w:pPr>
    </w:p>
    <w:p w14:paraId="60DC83A5" w14:textId="50EBCF15" w:rsidR="009B2B57" w:rsidRPr="00CF50D4" w:rsidRDefault="009B2B57" w:rsidP="009B2B57">
      <w:pPr>
        <w:pStyle w:val="Ttulo1"/>
        <w:spacing w:before="0"/>
        <w:ind w:left="0"/>
        <w:jc w:val="both"/>
        <w:rPr>
          <w:rFonts w:ascii="Times New Roman" w:hAnsi="Times New Roman" w:cs="Times New Roman"/>
          <w:color w:val="4472C4" w:themeColor="accent1"/>
          <w:sz w:val="23"/>
          <w:szCs w:val="23"/>
        </w:rPr>
      </w:pPr>
      <w:r w:rsidRPr="00CF50D4">
        <w:rPr>
          <w:rFonts w:ascii="Times New Roman" w:hAnsi="Times New Roman" w:cs="Times New Roman"/>
          <w:color w:val="4472C4" w:themeColor="accent1"/>
          <w:sz w:val="23"/>
          <w:szCs w:val="23"/>
        </w:rPr>
        <w:t>Conclusión:</w:t>
      </w:r>
    </w:p>
    <w:p w14:paraId="017434DF" w14:textId="621CF320" w:rsidR="009B2B57" w:rsidRPr="00CF50D4" w:rsidRDefault="009B2B57" w:rsidP="009B2B57">
      <w:pPr>
        <w:rPr>
          <w:sz w:val="23"/>
          <w:szCs w:val="23"/>
        </w:rPr>
      </w:pPr>
    </w:p>
    <w:p w14:paraId="0ED4A3B3" w14:textId="36459E18" w:rsidR="009B2B57" w:rsidRPr="00CF50D4" w:rsidRDefault="009B2B57" w:rsidP="001C6450">
      <w:pPr>
        <w:rPr>
          <w:rFonts w:ascii="Times New Roman" w:hAnsi="Times New Roman" w:cs="Times New Roman"/>
          <w:sz w:val="23"/>
          <w:szCs w:val="23"/>
        </w:rPr>
      </w:pPr>
      <w:r w:rsidRPr="00CF50D4">
        <w:rPr>
          <w:rFonts w:ascii="Times New Roman" w:hAnsi="Times New Roman" w:cs="Times New Roman"/>
          <w:sz w:val="23"/>
          <w:szCs w:val="23"/>
        </w:rPr>
        <w:t xml:space="preserve">Por las consideraciones presentadas, se pone a consideración de la Honorable Cámara de Representantes, un proyecto de ley cuyo objeto es </w:t>
      </w:r>
      <w:r w:rsidR="001C6450" w:rsidRPr="00CF50D4">
        <w:rPr>
          <w:rFonts w:ascii="Times New Roman" w:hAnsi="Times New Roman" w:cs="Times New Roman"/>
          <w:sz w:val="23"/>
          <w:szCs w:val="23"/>
        </w:rPr>
        <w:t xml:space="preserve">autorizar </w:t>
      </w:r>
      <w:r w:rsidR="00F66B58" w:rsidRPr="00CF50D4">
        <w:rPr>
          <w:rFonts w:ascii="Times New Roman" w:hAnsi="Times New Roman" w:cs="Times New Roman"/>
          <w:sz w:val="23"/>
          <w:szCs w:val="23"/>
        </w:rPr>
        <w:t xml:space="preserve">al municipio de Manizales para </w:t>
      </w:r>
      <w:r w:rsidR="001C6450" w:rsidRPr="00CF50D4">
        <w:rPr>
          <w:rFonts w:ascii="Times New Roman" w:hAnsi="Times New Roman" w:cs="Times New Roman"/>
          <w:sz w:val="23"/>
          <w:szCs w:val="23"/>
        </w:rPr>
        <w:t xml:space="preserve">la creación del fondo Manizales </w:t>
      </w:r>
      <w:r w:rsidR="00CF50D4" w:rsidRPr="00CF50D4">
        <w:rPr>
          <w:rFonts w:ascii="Times New Roman" w:hAnsi="Times New Roman" w:cs="Times New Roman"/>
          <w:sz w:val="23"/>
          <w:szCs w:val="23"/>
        </w:rPr>
        <w:t>eje</w:t>
      </w:r>
      <w:r w:rsidR="001C6450" w:rsidRPr="00CF50D4">
        <w:rPr>
          <w:rFonts w:ascii="Times New Roman" w:hAnsi="Times New Roman" w:cs="Times New Roman"/>
          <w:sz w:val="23"/>
          <w:szCs w:val="23"/>
        </w:rPr>
        <w:t xml:space="preserve"> del conocimiento</w:t>
      </w:r>
      <w:r w:rsidRPr="00CF50D4">
        <w:rPr>
          <w:rFonts w:ascii="Times New Roman" w:hAnsi="Times New Roman" w:cs="Times New Roman"/>
          <w:sz w:val="23"/>
          <w:szCs w:val="23"/>
        </w:rPr>
        <w:t>, cuyo fin será promover el acceso y la permanencia en el sistema de educación superior en los niveles de pregrado (tecnólogo, tecnológico y universitario) y posgrado (especialización, maestría y doctorado), así como también la promoción y ejecución de alianzas, convenios y/o contratos con instituciones de educación superior y entidades públicas o personas jurídicas con competencia en ciencia y tecnología, para la financiación de proyectos de investigación y desarrollo, la transferencia del conocimiento y el mejoramiento de la calidad de vida de la población.</w:t>
      </w:r>
    </w:p>
    <w:p w14:paraId="2C3E44CB" w14:textId="6BE1FC21" w:rsidR="009B2B57" w:rsidRPr="00CF50D4" w:rsidRDefault="009B2B57" w:rsidP="009B2B57">
      <w:pPr>
        <w:rPr>
          <w:rFonts w:ascii="Times New Roman" w:hAnsi="Times New Roman" w:cs="Times New Roman"/>
          <w:sz w:val="23"/>
          <w:szCs w:val="23"/>
        </w:rPr>
      </w:pPr>
    </w:p>
    <w:p w14:paraId="57927CC4" w14:textId="29C951EE" w:rsidR="009B2B57" w:rsidRPr="00CF50D4" w:rsidRDefault="009B2B57" w:rsidP="009B2B57">
      <w:pPr>
        <w:rPr>
          <w:rFonts w:ascii="Times New Roman" w:hAnsi="Times New Roman" w:cs="Times New Roman"/>
          <w:sz w:val="23"/>
          <w:szCs w:val="23"/>
        </w:rPr>
      </w:pPr>
    </w:p>
    <w:p w14:paraId="74D785EC" w14:textId="4AA9108C" w:rsidR="00362F88" w:rsidRPr="00CF50D4" w:rsidRDefault="00362F88" w:rsidP="00362F88">
      <w:pPr>
        <w:rPr>
          <w:sz w:val="23"/>
          <w:szCs w:val="23"/>
        </w:rPr>
      </w:pPr>
      <w:r w:rsidRPr="00CF50D4">
        <w:rPr>
          <w:sz w:val="23"/>
          <w:szCs w:val="23"/>
        </w:rPr>
        <w:t>Firma,</w:t>
      </w:r>
    </w:p>
    <w:p w14:paraId="0B39A8DF" w14:textId="77777777" w:rsidR="00362F88" w:rsidRPr="00CF50D4" w:rsidRDefault="00362F88" w:rsidP="00362F88">
      <w:pPr>
        <w:rPr>
          <w:sz w:val="23"/>
          <w:szCs w:val="23"/>
        </w:rPr>
      </w:pPr>
    </w:p>
    <w:p w14:paraId="3E10297C" w14:textId="77777777" w:rsidR="00362F88" w:rsidRPr="00CF50D4" w:rsidRDefault="00362F88" w:rsidP="00362F88">
      <w:pPr>
        <w:rPr>
          <w:sz w:val="23"/>
          <w:szCs w:val="23"/>
        </w:rPr>
      </w:pPr>
    </w:p>
    <w:p w14:paraId="0D1455EA" w14:textId="77777777" w:rsidR="00362F88" w:rsidRPr="00CF50D4" w:rsidRDefault="00362F88" w:rsidP="00362F88">
      <w:pPr>
        <w:rPr>
          <w:sz w:val="23"/>
          <w:szCs w:val="23"/>
        </w:rPr>
      </w:pPr>
    </w:p>
    <w:p w14:paraId="603099A5" w14:textId="77777777" w:rsidR="00362F88" w:rsidRPr="00CF50D4" w:rsidRDefault="00362F88" w:rsidP="00362F88">
      <w:pPr>
        <w:rPr>
          <w:sz w:val="23"/>
          <w:szCs w:val="23"/>
        </w:rPr>
      </w:pPr>
    </w:p>
    <w:p w14:paraId="43832C27" w14:textId="77777777" w:rsidR="00362F88" w:rsidRPr="00CF50D4" w:rsidRDefault="00362F88" w:rsidP="00362F88">
      <w:pPr>
        <w:rPr>
          <w:b/>
          <w:bCs/>
          <w:sz w:val="23"/>
          <w:szCs w:val="23"/>
        </w:rPr>
      </w:pPr>
      <w:r w:rsidRPr="00CF50D4">
        <w:rPr>
          <w:b/>
          <w:bCs/>
          <w:sz w:val="23"/>
          <w:szCs w:val="23"/>
        </w:rPr>
        <w:t>GUIDO ECHEVERRI PIEDRAHITA</w:t>
      </w:r>
    </w:p>
    <w:p w14:paraId="1A41AC83" w14:textId="77777777" w:rsidR="00362F88" w:rsidRPr="00CF50D4" w:rsidRDefault="00362F88" w:rsidP="00362F88">
      <w:pPr>
        <w:rPr>
          <w:sz w:val="23"/>
          <w:szCs w:val="23"/>
        </w:rPr>
      </w:pPr>
      <w:r w:rsidRPr="00CF50D4">
        <w:rPr>
          <w:sz w:val="23"/>
          <w:szCs w:val="23"/>
        </w:rPr>
        <w:t>Senador de la República</w:t>
      </w:r>
    </w:p>
    <w:p w14:paraId="0BA80199" w14:textId="0E98CAD8" w:rsidR="009B2B57" w:rsidRPr="009B2B57" w:rsidRDefault="009B2B57" w:rsidP="009B2B57">
      <w:pPr>
        <w:rPr>
          <w:rFonts w:ascii="Times New Roman" w:hAnsi="Times New Roman" w:cs="Times New Roman"/>
          <w:sz w:val="24"/>
        </w:rPr>
      </w:pPr>
    </w:p>
    <w:p w14:paraId="283EDD58" w14:textId="77777777" w:rsidR="004F18E0" w:rsidRPr="00BB4A7B" w:rsidRDefault="004F18E0" w:rsidP="00710FC1">
      <w:pPr>
        <w:spacing w:line="259" w:lineRule="auto"/>
        <w:rPr>
          <w:rFonts w:ascii="Times New Roman" w:hAnsi="Times New Roman" w:cs="Times New Roman"/>
        </w:rPr>
      </w:pPr>
    </w:p>
    <w:sectPr w:rsidR="004F18E0" w:rsidRPr="00BB4A7B" w:rsidSect="00CF50D4">
      <w:headerReference w:type="default" r:id="rId18"/>
      <w:footerReference w:type="default" r:id="rId19"/>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654C" w14:textId="77777777" w:rsidR="00C07E72" w:rsidRDefault="00C07E72" w:rsidP="00AC08A8">
      <w:pPr>
        <w:spacing w:line="240" w:lineRule="auto"/>
      </w:pPr>
      <w:r>
        <w:separator/>
      </w:r>
    </w:p>
  </w:endnote>
  <w:endnote w:type="continuationSeparator" w:id="0">
    <w:p w14:paraId="1E17D349" w14:textId="77777777" w:rsidR="00C07E72" w:rsidRDefault="00C07E72" w:rsidP="00AC0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enorite">
    <w:charset w:val="00"/>
    <w:family w:val="auto"/>
    <w:pitch w:val="variable"/>
    <w:sig w:usb0="80000003" w:usb1="00000001" w:usb2="00000000" w:usb3="00000000" w:csb0="00000001" w:csb1="00000000"/>
  </w:font>
  <w:font w:name="Quattrocento Sans">
    <w:charset w:val="00"/>
    <w:family w:val="swiss"/>
    <w:pitch w:val="variable"/>
    <w:sig w:usb0="800000BF" w:usb1="4000005B"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E0C7" w14:textId="030A7B17" w:rsidR="00CF50D4" w:rsidRDefault="004F271A">
    <w:pPr>
      <w:pStyle w:val="Piedepgina"/>
      <w:rPr>
        <w:rFonts w:ascii="Arial" w:hAnsi="Arial" w:cs="Arial"/>
        <w:noProof/>
        <w:color w:val="000000"/>
        <w:bdr w:val="none" w:sz="0" w:space="0" w:color="auto" w:frame="1"/>
      </w:rPr>
    </w:pPr>
    <w:r>
      <w:rPr>
        <w:noProof/>
        <w:bdr w:val="none" w:sz="0" w:space="0" w:color="auto" w:frame="1"/>
        <w:lang w:eastAsia="es-CO"/>
      </w:rPr>
      <w:drawing>
        <wp:anchor distT="0" distB="0" distL="114300" distR="114300" simplePos="0" relativeHeight="251659264" behindDoc="0" locked="0" layoutInCell="1" allowOverlap="1" wp14:anchorId="7F32A8C6" wp14:editId="381F1D3F">
          <wp:simplePos x="0" y="0"/>
          <wp:positionH relativeFrom="column">
            <wp:posOffset>2374265</wp:posOffset>
          </wp:positionH>
          <wp:positionV relativeFrom="paragraph">
            <wp:posOffset>11488</wp:posOffset>
          </wp:positionV>
          <wp:extent cx="3167380" cy="470535"/>
          <wp:effectExtent l="0" t="0" r="0" b="0"/>
          <wp:wrapSquare wrapText="bothSides"/>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38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"https://lh3.googleusercontent.com/wGye8ujCoaUvJElpunayH7UIYNNWjmid4BbDriHnNAGskmb9mLeaaup8MvXd54XkgDAVkE3waBU7pGVlGYj3VuiFNEwAqusPV_tElqsgI1pDmQo0NemeEg11IWy87iLuZRcCIesHKPYrq2BnKWKv6iU" \* MERGEFORMATINET </w:instrText>
    </w:r>
    <w:r>
      <w:rPr>
        <w:bdr w:val="none" w:sz="0" w:space="0" w:color="auto" w:frame="1"/>
      </w:rPr>
      <w:fldChar w:fldCharType="end"/>
    </w:r>
    <w:r>
      <w:rPr>
        <w:rFonts w:ascii="Arial" w:hAnsi="Arial" w:cs="Arial"/>
        <w:noProof/>
        <w:color w:val="000000"/>
        <w:bdr w:val="none" w:sz="0" w:space="0" w:color="auto" w:frame="1"/>
      </w:rPr>
      <w:t xml:space="preserve"> </w:t>
    </w:r>
  </w:p>
  <w:p w14:paraId="779620E6" w14:textId="4420C47F" w:rsidR="004F271A" w:rsidRDefault="00CF50D4">
    <w:pPr>
      <w:pStyle w:val="Piedepgina"/>
    </w:pPr>
    <w:r>
      <w:rPr>
        <w:rFonts w:ascii="Arial" w:hAnsi="Arial" w:cs="Arial"/>
        <w:noProof/>
        <w:color w:val="000000"/>
        <w:bdr w:val="none" w:sz="0" w:space="0" w:color="auto" w:frame="1"/>
        <w:lang w:eastAsia="es-CO"/>
      </w:rPr>
      <w:drawing>
        <wp:anchor distT="0" distB="0" distL="114300" distR="114300" simplePos="0" relativeHeight="251658240" behindDoc="0" locked="0" layoutInCell="1" allowOverlap="1" wp14:anchorId="079525A7" wp14:editId="55AEA2EF">
          <wp:simplePos x="0" y="0"/>
          <wp:positionH relativeFrom="column">
            <wp:posOffset>5578186</wp:posOffset>
          </wp:positionH>
          <wp:positionV relativeFrom="paragraph">
            <wp:posOffset>97155</wp:posOffset>
          </wp:positionV>
          <wp:extent cx="923290" cy="475615"/>
          <wp:effectExtent l="0" t="0" r="3810" b="0"/>
          <wp:wrapSquare wrapText="bothSides"/>
          <wp:docPr id="11" name="Imagen 11" descr="Imagen que contiene Diagrama de Ven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agrama de Ven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29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71A">
      <w:rPr>
        <w:rFonts w:ascii="Arial" w:hAnsi="Arial" w:cs="Arial"/>
        <w:color w:val="000000"/>
        <w:bdr w:val="none" w:sz="0" w:space="0" w:color="auto" w:frame="1"/>
      </w:rPr>
      <w:fldChar w:fldCharType="begin"/>
    </w:r>
    <w:r w:rsidR="004F271A">
      <w:rPr>
        <w:rFonts w:ascii="Arial" w:hAnsi="Arial" w:cs="Arial"/>
        <w:color w:val="000000"/>
        <w:bdr w:val="none" w:sz="0" w:space="0" w:color="auto" w:frame="1"/>
      </w:rPr>
      <w:instrText xml:space="preserve"> INCLUDEPICTURE "https://lh5.googleusercontent.com/acsugTDfdgRGobbzOeY7kgKTagV5B5wKfikX7gEG3btCR0SDfggeAztoCzQL0uAXwFgqAGSjl4CA2VV3GEq-GX1csx8hOYZ0BJBgH798_IU4flTHSHnJKu-XKj3CCPOSHLkQbdT8BI0zdaD-QHjAr_k" \* MERGEFORMATINET </w:instrText>
    </w:r>
    <w:r w:rsidR="004F271A">
      <w:rPr>
        <w:rFonts w:ascii="Arial" w:hAnsi="Arial" w:cs="Arial"/>
        <w:color w:val="000000"/>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4EF1" w14:textId="77777777" w:rsidR="00C07E72" w:rsidRDefault="00C07E72" w:rsidP="00AC08A8">
      <w:pPr>
        <w:spacing w:line="240" w:lineRule="auto"/>
      </w:pPr>
      <w:r>
        <w:separator/>
      </w:r>
    </w:p>
  </w:footnote>
  <w:footnote w:type="continuationSeparator" w:id="0">
    <w:p w14:paraId="73C1A5C7" w14:textId="77777777" w:rsidR="00C07E72" w:rsidRDefault="00C07E72" w:rsidP="00AC0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2DD6" w14:textId="7DBDCCCE" w:rsidR="004F271A" w:rsidRDefault="004F271A" w:rsidP="00CF50D4">
    <w:pPr>
      <w:pStyle w:val="Encabezado"/>
      <w:tabs>
        <w:tab w:val="clear" w:pos="4252"/>
        <w:tab w:val="clear" w:pos="8504"/>
        <w:tab w:val="left" w:pos="1309"/>
      </w:tabs>
      <w:rPr>
        <w:bdr w:val="none" w:sz="0" w:space="0" w:color="auto" w:frame="1"/>
      </w:rPr>
    </w:pPr>
    <w:r>
      <w:rPr>
        <w:noProof/>
        <w:bdr w:val="none" w:sz="0" w:space="0" w:color="auto" w:frame="1"/>
        <w:lang w:eastAsia="es-CO"/>
      </w:rPr>
      <w:drawing>
        <wp:anchor distT="0" distB="0" distL="114300" distR="114300" simplePos="0" relativeHeight="251660288" behindDoc="0" locked="0" layoutInCell="1" allowOverlap="1" wp14:anchorId="4A27F9B3" wp14:editId="6A62A451">
          <wp:simplePos x="0" y="0"/>
          <wp:positionH relativeFrom="column">
            <wp:posOffset>-11719</wp:posOffset>
          </wp:positionH>
          <wp:positionV relativeFrom="paragraph">
            <wp:posOffset>-173355</wp:posOffset>
          </wp:positionV>
          <wp:extent cx="2068830" cy="968375"/>
          <wp:effectExtent l="0" t="0" r="127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830" cy="968375"/>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"https://lh5.googleusercontent.com/BHuhYvv7HMokC_wxc3Y1JnFU21VmPHdSTFYuwgM-eZuZm2MC6HevEYvClEXP11VwoD2vq9njXLGovc_JfdBOS3Mc2woyS778uPgdqLCEmu_PWPuI0GW_bQG-cJxs-bTAVtkqEExjQyTBxHk9ZLUOykc" \* MERGEFORMATINET </w:instrText>
    </w:r>
    <w:r>
      <w:rPr>
        <w:bdr w:val="none" w:sz="0" w:space="0" w:color="auto" w:frame="1"/>
      </w:rPr>
      <w:fldChar w:fldCharType="end"/>
    </w:r>
    <w:r w:rsidR="00CF50D4">
      <w:rPr>
        <w:bdr w:val="none" w:sz="0" w:space="0" w:color="auto" w:frame="1"/>
      </w:rPr>
      <w:tab/>
    </w:r>
  </w:p>
  <w:p w14:paraId="7567096C" w14:textId="0CE17317" w:rsidR="00CF50D4" w:rsidRDefault="00CF50D4" w:rsidP="00CF50D4">
    <w:pPr>
      <w:pStyle w:val="Encabezado"/>
      <w:tabs>
        <w:tab w:val="clear" w:pos="4252"/>
        <w:tab w:val="clear" w:pos="8504"/>
        <w:tab w:val="left" w:pos="1309"/>
      </w:tabs>
      <w:rPr>
        <w:bdr w:val="none" w:sz="0" w:space="0" w:color="auto" w:frame="1"/>
      </w:rPr>
    </w:pPr>
  </w:p>
  <w:p w14:paraId="400900C3" w14:textId="346F16A7" w:rsidR="00CF50D4" w:rsidRDefault="00CF50D4" w:rsidP="00CF50D4">
    <w:pPr>
      <w:pStyle w:val="Encabezado"/>
      <w:tabs>
        <w:tab w:val="clear" w:pos="4252"/>
        <w:tab w:val="clear" w:pos="8504"/>
        <w:tab w:val="left" w:pos="1309"/>
      </w:tabs>
      <w:rPr>
        <w:bdr w:val="none" w:sz="0" w:space="0" w:color="auto" w:frame="1"/>
      </w:rPr>
    </w:pPr>
  </w:p>
  <w:p w14:paraId="24C4C808" w14:textId="77777777" w:rsidR="00CF50D4" w:rsidRDefault="00CF50D4" w:rsidP="00CF50D4">
    <w:pPr>
      <w:pStyle w:val="Encabezado"/>
      <w:tabs>
        <w:tab w:val="clear" w:pos="4252"/>
        <w:tab w:val="clear" w:pos="8504"/>
        <w:tab w:val="left" w:pos="13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644"/>
    <w:multiLevelType w:val="multilevel"/>
    <w:tmpl w:val="C4B4AAF8"/>
    <w:lvl w:ilvl="0">
      <w:start w:val="1"/>
      <w:numFmt w:val="decimal"/>
      <w:lvlText w:val="%1."/>
      <w:lvlJc w:val="left"/>
      <w:pPr>
        <w:ind w:left="1080" w:hanging="360"/>
      </w:pPr>
      <w:rPr>
        <w:b/>
      </w:rPr>
    </w:lvl>
    <w:lvl w:ilvl="1">
      <w:start w:val="2"/>
      <w:numFmt w:val="decimal"/>
      <w:lvlText w:val="%1.%2"/>
      <w:lvlJc w:val="left"/>
      <w:pPr>
        <w:ind w:left="1080" w:hanging="360"/>
      </w:pPr>
      <w:rPr>
        <w:b/>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 w15:restartNumberingAfterBreak="0">
    <w:nsid w:val="096637A0"/>
    <w:multiLevelType w:val="hybridMultilevel"/>
    <w:tmpl w:val="50E03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7923CC"/>
    <w:multiLevelType w:val="hybridMultilevel"/>
    <w:tmpl w:val="1C567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D0F6B4A"/>
    <w:multiLevelType w:val="hybridMultilevel"/>
    <w:tmpl w:val="34CA8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D444D2"/>
    <w:multiLevelType w:val="multilevel"/>
    <w:tmpl w:val="DB4A6170"/>
    <w:lvl w:ilvl="0">
      <w:start w:val="2"/>
      <w:numFmt w:val="decimal"/>
      <w:lvlText w:val="%1."/>
      <w:lvlJc w:val="left"/>
      <w:pPr>
        <w:ind w:left="570" w:hanging="570"/>
      </w:pPr>
      <w:rPr>
        <w:rFonts w:ascii="Times New Roman" w:hAnsi="Times New Roman" w:cs="Times New Roman" w:hint="default"/>
        <w:b/>
        <w:color w:val="auto"/>
        <w:sz w:val="32"/>
      </w:rPr>
    </w:lvl>
    <w:lvl w:ilvl="1">
      <w:start w:val="1"/>
      <w:numFmt w:val="decimal"/>
      <w:lvlText w:val="%1.%2."/>
      <w:lvlJc w:val="left"/>
      <w:pPr>
        <w:ind w:left="570" w:hanging="57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611E0B06"/>
    <w:multiLevelType w:val="hybridMultilevel"/>
    <w:tmpl w:val="E7261950"/>
    <w:lvl w:ilvl="0" w:tplc="FFFFFFFF">
      <w:start w:val="1"/>
      <w:numFmt w:val="decimal"/>
      <w:lvlText w:val="%1)"/>
      <w:lvlJc w:val="left"/>
      <w:pPr>
        <w:ind w:left="720" w:hanging="360"/>
      </w:pPr>
      <w:rPr>
        <w:rFonts w:ascii="Poppins Light" w:eastAsiaTheme="minorEastAsia" w:hAnsi="Poppins Light"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606EA3"/>
    <w:multiLevelType w:val="hybridMultilevel"/>
    <w:tmpl w:val="558C6174"/>
    <w:lvl w:ilvl="0" w:tplc="F6722EE2">
      <w:start w:val="1"/>
      <w:numFmt w:val="bullet"/>
      <w:lvlText w:val=""/>
      <w:lvlJc w:val="left"/>
      <w:pPr>
        <w:ind w:left="720" w:hanging="360"/>
      </w:pPr>
      <w:rPr>
        <w:rFonts w:ascii="Symbol" w:hAnsi="Symbo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09375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A569F"/>
    <w:multiLevelType w:val="multilevel"/>
    <w:tmpl w:val="D004AC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7"/>
  </w:num>
  <w:num w:numId="4">
    <w:abstractNumId w:val="1"/>
  </w:num>
  <w:num w:numId="5">
    <w:abstractNumId w:val="6"/>
  </w:num>
  <w:num w:numId="6">
    <w:abstractNumId w:val="2"/>
  </w:num>
  <w:num w:numId="7">
    <w:abstractNumId w:val="3"/>
  </w:num>
  <w:num w:numId="8">
    <w:abstractNumId w:val="9"/>
  </w:num>
  <w:num w:numId="9">
    <w:abstractNumId w:val="4"/>
  </w:num>
  <w:num w:numId="10">
    <w:abstractNumId w:val="5"/>
    <w:lvlOverride w:ilvl="0">
      <w:startOverride w:val="2"/>
    </w:lvlOverride>
    <w:lvlOverride w:ilvl="1">
      <w:startOverride w:val="1"/>
    </w:lvlOverride>
  </w:num>
  <w:num w:numId="11">
    <w:abstractNumId w:val="5"/>
    <w:lvlOverride w:ilvl="0">
      <w:startOverride w:val="2"/>
    </w:lvlOverride>
    <w:lvlOverride w:ilvl="1">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A8"/>
    <w:rsid w:val="00020B2C"/>
    <w:rsid w:val="00045A3F"/>
    <w:rsid w:val="0007109A"/>
    <w:rsid w:val="00154F6C"/>
    <w:rsid w:val="001574B0"/>
    <w:rsid w:val="001C6450"/>
    <w:rsid w:val="002403AB"/>
    <w:rsid w:val="002420F9"/>
    <w:rsid w:val="00296E04"/>
    <w:rsid w:val="002B4D13"/>
    <w:rsid w:val="00311844"/>
    <w:rsid w:val="00357335"/>
    <w:rsid w:val="00362F88"/>
    <w:rsid w:val="0037668E"/>
    <w:rsid w:val="00495801"/>
    <w:rsid w:val="004F18E0"/>
    <w:rsid w:val="004F271A"/>
    <w:rsid w:val="005177A8"/>
    <w:rsid w:val="00566451"/>
    <w:rsid w:val="00566737"/>
    <w:rsid w:val="006D6357"/>
    <w:rsid w:val="00710FC1"/>
    <w:rsid w:val="0078450D"/>
    <w:rsid w:val="007A2596"/>
    <w:rsid w:val="00813ABD"/>
    <w:rsid w:val="00856C56"/>
    <w:rsid w:val="008E612E"/>
    <w:rsid w:val="008F6483"/>
    <w:rsid w:val="0091000C"/>
    <w:rsid w:val="009623B4"/>
    <w:rsid w:val="00970C6B"/>
    <w:rsid w:val="0098194B"/>
    <w:rsid w:val="009B2B57"/>
    <w:rsid w:val="009C3DC6"/>
    <w:rsid w:val="009E11D8"/>
    <w:rsid w:val="00A01E9A"/>
    <w:rsid w:val="00A06988"/>
    <w:rsid w:val="00A41F4E"/>
    <w:rsid w:val="00AC08A8"/>
    <w:rsid w:val="00AF2CF4"/>
    <w:rsid w:val="00B02B66"/>
    <w:rsid w:val="00B415B4"/>
    <w:rsid w:val="00BB4A7B"/>
    <w:rsid w:val="00BF5A9C"/>
    <w:rsid w:val="00C07E72"/>
    <w:rsid w:val="00C21BBC"/>
    <w:rsid w:val="00CA3A76"/>
    <w:rsid w:val="00CE5CE5"/>
    <w:rsid w:val="00CF50D4"/>
    <w:rsid w:val="00D01F42"/>
    <w:rsid w:val="00D41740"/>
    <w:rsid w:val="00D5365F"/>
    <w:rsid w:val="00DB2FF8"/>
    <w:rsid w:val="00DE534C"/>
    <w:rsid w:val="00F66B58"/>
    <w:rsid w:val="00F8143A"/>
    <w:rsid w:val="00FA3E62"/>
    <w:rsid w:val="00FB38DE"/>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457E"/>
  <w15:chartTrackingRefBased/>
  <w15:docId w15:val="{7F65FEA4-424F-4BCF-BD45-4C2F3ED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A8"/>
    <w:pPr>
      <w:spacing w:after="0" w:line="360" w:lineRule="auto"/>
      <w:jc w:val="both"/>
    </w:pPr>
    <w:rPr>
      <w:rFonts w:ascii="Tahoma" w:eastAsiaTheme="minorEastAsia" w:hAnsi="Tahoma"/>
      <w:szCs w:val="24"/>
    </w:rPr>
  </w:style>
  <w:style w:type="paragraph" w:styleId="Ttulo1">
    <w:name w:val="heading 1"/>
    <w:basedOn w:val="Normal"/>
    <w:next w:val="Normal"/>
    <w:link w:val="Ttulo1Car"/>
    <w:uiPriority w:val="9"/>
    <w:qFormat/>
    <w:rsid w:val="00AC08A8"/>
    <w:pPr>
      <w:keepNext/>
      <w:keepLines/>
      <w:numPr>
        <w:numId w:val="1"/>
      </w:numPr>
      <w:spacing w:before="240"/>
      <w:ind w:left="431" w:hanging="431"/>
      <w:jc w:val="center"/>
      <w:outlineLvl w:val="0"/>
    </w:pPr>
    <w:rPr>
      <w:rFonts w:eastAsiaTheme="majorEastAsia" w:cstheme="majorBidi"/>
      <w:b/>
      <w:color w:val="7F7F7F" w:themeColor="text1" w:themeTint="80"/>
      <w:sz w:val="32"/>
      <w:szCs w:val="32"/>
    </w:rPr>
  </w:style>
  <w:style w:type="paragraph" w:styleId="Ttulo2">
    <w:name w:val="heading 2"/>
    <w:basedOn w:val="Normal"/>
    <w:next w:val="Normal"/>
    <w:link w:val="Ttulo2Car"/>
    <w:uiPriority w:val="9"/>
    <w:unhideWhenUsed/>
    <w:qFormat/>
    <w:rsid w:val="00AC08A8"/>
    <w:pPr>
      <w:keepNext/>
      <w:keepLines/>
      <w:numPr>
        <w:ilvl w:val="1"/>
        <w:numId w:val="1"/>
      </w:numPr>
      <w:spacing w:before="40"/>
      <w:outlineLvl w:val="1"/>
    </w:pPr>
    <w:rPr>
      <w:rFonts w:eastAsiaTheme="majorEastAsia" w:cstheme="majorBidi"/>
      <w:b/>
      <w:color w:val="595959" w:themeColor="text1" w:themeTint="A6"/>
      <w:sz w:val="28"/>
      <w:szCs w:val="26"/>
    </w:rPr>
  </w:style>
  <w:style w:type="paragraph" w:styleId="Ttulo3">
    <w:name w:val="heading 3"/>
    <w:basedOn w:val="Normal"/>
    <w:next w:val="Normal"/>
    <w:link w:val="Ttulo3Car"/>
    <w:uiPriority w:val="9"/>
    <w:unhideWhenUsed/>
    <w:qFormat/>
    <w:rsid w:val="00AC08A8"/>
    <w:pPr>
      <w:keepNext/>
      <w:keepLines/>
      <w:numPr>
        <w:ilvl w:val="2"/>
        <w:numId w:val="1"/>
      </w:numPr>
      <w:spacing w:before="40"/>
      <w:outlineLvl w:val="2"/>
    </w:pPr>
    <w:rPr>
      <w:rFonts w:eastAsiaTheme="majorEastAsia" w:cstheme="majorBidi"/>
      <w:b/>
      <w:color w:val="1F3763" w:themeColor="accent1" w:themeShade="7F"/>
    </w:rPr>
  </w:style>
  <w:style w:type="paragraph" w:styleId="Ttulo4">
    <w:name w:val="heading 4"/>
    <w:basedOn w:val="Normal"/>
    <w:next w:val="Normal"/>
    <w:link w:val="Ttulo4Car"/>
    <w:uiPriority w:val="9"/>
    <w:semiHidden/>
    <w:unhideWhenUsed/>
    <w:qFormat/>
    <w:rsid w:val="00AC08A8"/>
    <w:pPr>
      <w:keepNext/>
      <w:keepLines/>
      <w:numPr>
        <w:ilvl w:val="3"/>
        <w:numId w:val="1"/>
      </w:numPr>
      <w:spacing w:before="40"/>
      <w:outlineLvl w:val="3"/>
    </w:pPr>
    <w:rPr>
      <w:rFonts w:asciiTheme="majorHAnsi" w:eastAsiaTheme="majorEastAsia" w:hAnsiTheme="majorHAnsi" w:cstheme="majorBidi"/>
      <w:i/>
      <w:iCs/>
      <w:color w:val="2F5496" w:themeColor="accent1" w:themeShade="BF"/>
      <w:szCs w:val="22"/>
    </w:rPr>
  </w:style>
  <w:style w:type="paragraph" w:styleId="Ttulo5">
    <w:name w:val="heading 5"/>
    <w:basedOn w:val="Normal"/>
    <w:next w:val="Normal"/>
    <w:link w:val="Ttulo5Car"/>
    <w:uiPriority w:val="9"/>
    <w:semiHidden/>
    <w:unhideWhenUsed/>
    <w:qFormat/>
    <w:rsid w:val="00AC08A8"/>
    <w:pPr>
      <w:keepNext/>
      <w:keepLines/>
      <w:numPr>
        <w:ilvl w:val="4"/>
        <w:numId w:val="1"/>
      </w:numPr>
      <w:spacing w:before="40"/>
      <w:outlineLvl w:val="4"/>
    </w:pPr>
    <w:rPr>
      <w:rFonts w:asciiTheme="majorHAnsi" w:eastAsiaTheme="majorEastAsia" w:hAnsiTheme="majorHAnsi" w:cstheme="majorBidi"/>
      <w:color w:val="2F5496" w:themeColor="accent1" w:themeShade="BF"/>
      <w:szCs w:val="22"/>
    </w:rPr>
  </w:style>
  <w:style w:type="paragraph" w:styleId="Ttulo6">
    <w:name w:val="heading 6"/>
    <w:basedOn w:val="Normal"/>
    <w:next w:val="Normal"/>
    <w:link w:val="Ttulo6Car"/>
    <w:uiPriority w:val="9"/>
    <w:semiHidden/>
    <w:unhideWhenUsed/>
    <w:qFormat/>
    <w:rsid w:val="00AC08A8"/>
    <w:pPr>
      <w:keepNext/>
      <w:keepLines/>
      <w:numPr>
        <w:ilvl w:val="5"/>
        <w:numId w:val="1"/>
      </w:numPr>
      <w:spacing w:before="40"/>
      <w:outlineLvl w:val="5"/>
    </w:pPr>
    <w:rPr>
      <w:rFonts w:asciiTheme="majorHAnsi" w:eastAsiaTheme="majorEastAsia" w:hAnsiTheme="majorHAnsi" w:cstheme="majorBidi"/>
      <w:color w:val="1F3763" w:themeColor="accent1" w:themeShade="7F"/>
      <w:szCs w:val="22"/>
    </w:rPr>
  </w:style>
  <w:style w:type="paragraph" w:styleId="Ttulo7">
    <w:name w:val="heading 7"/>
    <w:basedOn w:val="Normal"/>
    <w:next w:val="Normal"/>
    <w:link w:val="Ttulo7Car"/>
    <w:uiPriority w:val="9"/>
    <w:semiHidden/>
    <w:unhideWhenUsed/>
    <w:qFormat/>
    <w:rsid w:val="00AC08A8"/>
    <w:pPr>
      <w:keepNext/>
      <w:keepLines/>
      <w:numPr>
        <w:ilvl w:val="6"/>
        <w:numId w:val="1"/>
      </w:numPr>
      <w:spacing w:before="40"/>
      <w:outlineLvl w:val="6"/>
    </w:pPr>
    <w:rPr>
      <w:rFonts w:asciiTheme="majorHAnsi" w:eastAsiaTheme="majorEastAsia" w:hAnsiTheme="majorHAnsi" w:cstheme="majorBidi"/>
      <w:i/>
      <w:iCs/>
      <w:color w:val="1F3763" w:themeColor="accent1" w:themeShade="7F"/>
      <w:szCs w:val="22"/>
    </w:rPr>
  </w:style>
  <w:style w:type="paragraph" w:styleId="Ttulo8">
    <w:name w:val="heading 8"/>
    <w:basedOn w:val="Normal"/>
    <w:next w:val="Normal"/>
    <w:link w:val="Ttulo8Car"/>
    <w:uiPriority w:val="9"/>
    <w:semiHidden/>
    <w:unhideWhenUsed/>
    <w:qFormat/>
    <w:rsid w:val="00AC08A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C08A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08A8"/>
    <w:rPr>
      <w:rFonts w:ascii="Tahoma" w:eastAsiaTheme="majorEastAsia" w:hAnsi="Tahoma" w:cstheme="majorBidi"/>
      <w:b/>
      <w:color w:val="7F7F7F" w:themeColor="text1" w:themeTint="80"/>
      <w:sz w:val="32"/>
      <w:szCs w:val="32"/>
    </w:rPr>
  </w:style>
  <w:style w:type="character" w:customStyle="1" w:styleId="Ttulo2Car">
    <w:name w:val="Título 2 Car"/>
    <w:basedOn w:val="Fuentedeprrafopredeter"/>
    <w:link w:val="Ttulo2"/>
    <w:uiPriority w:val="9"/>
    <w:rsid w:val="00AC08A8"/>
    <w:rPr>
      <w:rFonts w:ascii="Tahoma" w:eastAsiaTheme="majorEastAsia" w:hAnsi="Tahoma" w:cstheme="majorBidi"/>
      <w:b/>
      <w:color w:val="595959" w:themeColor="text1" w:themeTint="A6"/>
      <w:sz w:val="28"/>
      <w:szCs w:val="26"/>
    </w:rPr>
  </w:style>
  <w:style w:type="character" w:customStyle="1" w:styleId="Ttulo3Car">
    <w:name w:val="Título 3 Car"/>
    <w:basedOn w:val="Fuentedeprrafopredeter"/>
    <w:link w:val="Ttulo3"/>
    <w:uiPriority w:val="9"/>
    <w:rsid w:val="00AC08A8"/>
    <w:rPr>
      <w:rFonts w:ascii="Tahoma" w:eastAsiaTheme="majorEastAsia" w:hAnsi="Tahoma" w:cstheme="majorBidi"/>
      <w:b/>
      <w:color w:val="1F3763" w:themeColor="accent1" w:themeShade="7F"/>
      <w:szCs w:val="24"/>
    </w:rPr>
  </w:style>
  <w:style w:type="character" w:customStyle="1" w:styleId="Ttulo4Car">
    <w:name w:val="Título 4 Car"/>
    <w:basedOn w:val="Fuentedeprrafopredeter"/>
    <w:link w:val="Ttulo4"/>
    <w:uiPriority w:val="9"/>
    <w:semiHidden/>
    <w:rsid w:val="00AC08A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C08A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AC08A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C08A8"/>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C08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C08A8"/>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AC08A8"/>
    <w:pPr>
      <w:tabs>
        <w:tab w:val="center" w:pos="4252"/>
        <w:tab w:val="right" w:pos="8504"/>
      </w:tabs>
    </w:pPr>
  </w:style>
  <w:style w:type="character" w:customStyle="1" w:styleId="EncabezadoCar">
    <w:name w:val="Encabezado Car"/>
    <w:basedOn w:val="Fuentedeprrafopredeter"/>
    <w:link w:val="Encabezado"/>
    <w:uiPriority w:val="99"/>
    <w:rsid w:val="00AC08A8"/>
    <w:rPr>
      <w:rFonts w:ascii="Tahoma" w:eastAsiaTheme="minorEastAsia" w:hAnsi="Tahoma"/>
      <w:szCs w:val="24"/>
    </w:rPr>
  </w:style>
  <w:style w:type="paragraph" w:styleId="Piedepgina">
    <w:name w:val="footer"/>
    <w:basedOn w:val="Normal"/>
    <w:link w:val="PiedepginaCar"/>
    <w:uiPriority w:val="99"/>
    <w:unhideWhenUsed/>
    <w:rsid w:val="00AC08A8"/>
    <w:pPr>
      <w:tabs>
        <w:tab w:val="center" w:pos="4252"/>
        <w:tab w:val="right" w:pos="8504"/>
      </w:tabs>
    </w:pPr>
  </w:style>
  <w:style w:type="character" w:customStyle="1" w:styleId="PiedepginaCar">
    <w:name w:val="Pie de página Car"/>
    <w:basedOn w:val="Fuentedeprrafopredeter"/>
    <w:link w:val="Piedepgina"/>
    <w:uiPriority w:val="99"/>
    <w:rsid w:val="00AC08A8"/>
    <w:rPr>
      <w:rFonts w:ascii="Tahoma" w:eastAsiaTheme="minorEastAsia" w:hAnsi="Tahoma"/>
      <w:szCs w:val="24"/>
    </w:rPr>
  </w:style>
  <w:style w:type="paragraph" w:styleId="Prrafodelista">
    <w:name w:val="List Paragraph"/>
    <w:basedOn w:val="Normal"/>
    <w:uiPriority w:val="34"/>
    <w:qFormat/>
    <w:rsid w:val="00AC08A8"/>
    <w:pPr>
      <w:ind w:left="720"/>
      <w:contextualSpacing/>
    </w:pPr>
  </w:style>
  <w:style w:type="paragraph" w:styleId="Ttulo">
    <w:name w:val="Title"/>
    <w:basedOn w:val="Normal"/>
    <w:next w:val="Normal"/>
    <w:link w:val="TtuloCar"/>
    <w:uiPriority w:val="10"/>
    <w:qFormat/>
    <w:rsid w:val="00AC08A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08A8"/>
    <w:rPr>
      <w:rFonts w:asciiTheme="majorHAnsi" w:eastAsiaTheme="majorEastAsia" w:hAnsiTheme="majorHAnsi" w:cstheme="majorBidi"/>
      <w:spacing w:val="-10"/>
      <w:kern w:val="28"/>
      <w:sz w:val="56"/>
      <w:szCs w:val="56"/>
    </w:rPr>
  </w:style>
  <w:style w:type="character" w:styleId="Referenciasutil">
    <w:name w:val="Subtle Reference"/>
    <w:basedOn w:val="CitaHTML"/>
    <w:uiPriority w:val="31"/>
    <w:qFormat/>
    <w:rsid w:val="00AC08A8"/>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AC08A8"/>
    <w:rPr>
      <w:i/>
      <w:iCs/>
    </w:rPr>
  </w:style>
  <w:style w:type="paragraph" w:customStyle="1" w:styleId="Grfica">
    <w:name w:val="Gráfica"/>
    <w:basedOn w:val="Normal"/>
    <w:next w:val="Normal"/>
    <w:link w:val="GrficaCar"/>
    <w:qFormat/>
    <w:rsid w:val="008F6483"/>
    <w:pPr>
      <w:spacing w:line="259" w:lineRule="auto"/>
      <w:jc w:val="center"/>
    </w:pPr>
    <w:rPr>
      <w:rFonts w:ascii="Gill Sans MT" w:eastAsiaTheme="minorHAnsi" w:hAnsi="Gill Sans MT"/>
      <w:b/>
      <w:color w:val="7F7F7F" w:themeColor="text1" w:themeTint="80"/>
      <w:sz w:val="18"/>
      <w:szCs w:val="22"/>
    </w:rPr>
  </w:style>
  <w:style w:type="paragraph" w:customStyle="1" w:styleId="Tabla">
    <w:name w:val="Tabla"/>
    <w:basedOn w:val="Descripcin"/>
    <w:link w:val="TablaCar"/>
    <w:qFormat/>
    <w:rsid w:val="00A01E9A"/>
    <w:pPr>
      <w:keepNext/>
      <w:keepLines/>
      <w:spacing w:after="0"/>
      <w:jc w:val="center"/>
    </w:pPr>
    <w:rPr>
      <w:rFonts w:ascii="Tenorite" w:eastAsia="Quattrocento Sans" w:hAnsi="Tenorite" w:cs="Segoe UI Semilight"/>
      <w:b/>
      <w:bCs/>
      <w:i w:val="0"/>
      <w:iCs w:val="0"/>
      <w:color w:val="000000" w:themeColor="text1"/>
      <w:sz w:val="20"/>
      <w:szCs w:val="22"/>
      <w:lang w:eastAsia="es-CO"/>
    </w:rPr>
  </w:style>
  <w:style w:type="character" w:customStyle="1" w:styleId="TablaCar">
    <w:name w:val="Tabla Car"/>
    <w:basedOn w:val="Fuentedeprrafopredeter"/>
    <w:link w:val="Tabla"/>
    <w:rsid w:val="00A01E9A"/>
    <w:rPr>
      <w:rFonts w:ascii="Tenorite" w:eastAsia="Quattrocento Sans" w:hAnsi="Tenorite" w:cs="Segoe UI Semilight"/>
      <w:b/>
      <w:bCs/>
      <w:color w:val="000000" w:themeColor="text1"/>
      <w:sz w:val="20"/>
      <w:lang w:eastAsia="es-CO"/>
    </w:rPr>
  </w:style>
  <w:style w:type="paragraph" w:styleId="Descripcin">
    <w:name w:val="caption"/>
    <w:basedOn w:val="Normal"/>
    <w:next w:val="Normal"/>
    <w:uiPriority w:val="35"/>
    <w:semiHidden/>
    <w:unhideWhenUsed/>
    <w:qFormat/>
    <w:rsid w:val="00A01E9A"/>
    <w:pPr>
      <w:spacing w:after="200" w:line="240" w:lineRule="auto"/>
    </w:pPr>
    <w:rPr>
      <w:i/>
      <w:iCs/>
      <w:color w:val="44546A" w:themeColor="text2"/>
      <w:sz w:val="18"/>
      <w:szCs w:val="18"/>
    </w:rPr>
  </w:style>
  <w:style w:type="character" w:customStyle="1" w:styleId="GrficaCar">
    <w:name w:val="Gráfica Car"/>
    <w:basedOn w:val="Fuentedeprrafopredeter"/>
    <w:link w:val="Grfica"/>
    <w:rsid w:val="00710FC1"/>
    <w:rPr>
      <w:rFonts w:ascii="Gill Sans MT" w:hAnsi="Gill Sans MT"/>
      <w:b/>
      <w:color w:val="7F7F7F" w:themeColor="text1" w:themeTint="8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restamos\Desktop\Perfiles\BD_Municipios%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NALMAN\Dropbox\Gobernaci&#243;n\Perfiles%20municipales\Base%20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NALMAN\Dropbox\MCV_2020\Calidad\Salid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CATALINA\OTROS\OTROS\MANIZALES%20COMO%20VAMOS\MCV_2022\Salidas%20Calidad%20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CATALINA\OTROS\OTROS\MANIZALES%20COMO%20VAMOS\MCV_2022\Salidas%20Calidad%20202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Pirámide!$B$24</c:f>
              <c:strCache>
                <c:ptCount val="1"/>
                <c:pt idx="0">
                  <c:v>Hombre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Pirámide!$A$25:$A$41</c:f>
              <c:strCache>
                <c:ptCount val="17"/>
                <c:pt idx="0">
                  <c:v>0 - 4</c:v>
                </c:pt>
                <c:pt idx="1">
                  <c:v>5 - 9</c:v>
                </c:pt>
                <c:pt idx="2">
                  <c:v>10 - 14</c:v>
                </c:pt>
                <c:pt idx="3">
                  <c:v>15 - 19</c:v>
                </c:pt>
                <c:pt idx="4">
                  <c:v>20 - 24</c:v>
                </c:pt>
                <c:pt idx="5">
                  <c:v>25 - 29</c:v>
                </c:pt>
                <c:pt idx="6">
                  <c:v>30 - 34</c:v>
                </c:pt>
                <c:pt idx="7">
                  <c:v>35 - 39</c:v>
                </c:pt>
                <c:pt idx="8">
                  <c:v>40 -44</c:v>
                </c:pt>
                <c:pt idx="9">
                  <c:v>45 -49</c:v>
                </c:pt>
                <c:pt idx="10">
                  <c:v>50 -54</c:v>
                </c:pt>
                <c:pt idx="11">
                  <c:v>55 - 59</c:v>
                </c:pt>
                <c:pt idx="12">
                  <c:v>60 -64</c:v>
                </c:pt>
                <c:pt idx="13">
                  <c:v>65 - 69</c:v>
                </c:pt>
                <c:pt idx="14">
                  <c:v>70 -74</c:v>
                </c:pt>
                <c:pt idx="15">
                  <c:v>75 -79</c:v>
                </c:pt>
                <c:pt idx="16">
                  <c:v>80 y más</c:v>
                </c:pt>
              </c:strCache>
            </c:strRef>
          </c:cat>
          <c:val>
            <c:numRef>
              <c:f>Pirámide!$B$25:$B$41</c:f>
              <c:numCache>
                <c:formatCode>0.0%</c:formatCode>
                <c:ptCount val="17"/>
                <c:pt idx="0">
                  <c:v>2.6334740583645506E-2</c:v>
                </c:pt>
                <c:pt idx="1">
                  <c:v>2.7250884761835549E-2</c:v>
                </c:pt>
                <c:pt idx="2">
                  <c:v>2.8766046287303695E-2</c:v>
                </c:pt>
                <c:pt idx="3">
                  <c:v>3.3804839267348931E-2</c:v>
                </c:pt>
                <c:pt idx="4">
                  <c:v>3.9057252404327898E-2</c:v>
                </c:pt>
                <c:pt idx="5">
                  <c:v>4.0072498717177926E-2</c:v>
                </c:pt>
                <c:pt idx="6">
                  <c:v>3.7156693688515381E-2</c:v>
                </c:pt>
                <c:pt idx="7">
                  <c:v>3.3886323244736026E-2</c:v>
                </c:pt>
                <c:pt idx="8">
                  <c:v>3.1816189765171983E-2</c:v>
                </c:pt>
                <c:pt idx="9">
                  <c:v>2.8180242557980253E-2</c:v>
                </c:pt>
                <c:pt idx="10">
                  <c:v>2.8977464174578322E-2</c:v>
                </c:pt>
                <c:pt idx="11">
                  <c:v>2.9144836668670734E-2</c:v>
                </c:pt>
                <c:pt idx="12">
                  <c:v>2.6365572358873053E-2</c:v>
                </c:pt>
                <c:pt idx="13">
                  <c:v>2.1921392186787705E-2</c:v>
                </c:pt>
                <c:pt idx="14">
                  <c:v>1.600829815207553E-2</c:v>
                </c:pt>
                <c:pt idx="15">
                  <c:v>1.0575298903049483E-2</c:v>
                </c:pt>
                <c:pt idx="16">
                  <c:v>1.1348295553397331E-2</c:v>
                </c:pt>
              </c:numCache>
            </c:numRef>
          </c:val>
          <c:extLst>
            <c:ext xmlns:c16="http://schemas.microsoft.com/office/drawing/2014/chart" uri="{C3380CC4-5D6E-409C-BE32-E72D297353CC}">
              <c16:uniqueId val="{00000000-05F6-4E62-BA7C-8B5D83954571}"/>
            </c:ext>
          </c:extLst>
        </c:ser>
        <c:ser>
          <c:idx val="1"/>
          <c:order val="1"/>
          <c:tx>
            <c:strRef>
              <c:f>Pirámide!$C$24</c:f>
              <c:strCache>
                <c:ptCount val="1"/>
                <c:pt idx="0">
                  <c:v>Mujer</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Pirámide!$A$25:$A$41</c:f>
              <c:strCache>
                <c:ptCount val="17"/>
                <c:pt idx="0">
                  <c:v>0 - 4</c:v>
                </c:pt>
                <c:pt idx="1">
                  <c:v>5 - 9</c:v>
                </c:pt>
                <c:pt idx="2">
                  <c:v>10 - 14</c:v>
                </c:pt>
                <c:pt idx="3">
                  <c:v>15 - 19</c:v>
                </c:pt>
                <c:pt idx="4">
                  <c:v>20 - 24</c:v>
                </c:pt>
                <c:pt idx="5">
                  <c:v>25 - 29</c:v>
                </c:pt>
                <c:pt idx="6">
                  <c:v>30 - 34</c:v>
                </c:pt>
                <c:pt idx="7">
                  <c:v>35 - 39</c:v>
                </c:pt>
                <c:pt idx="8">
                  <c:v>40 -44</c:v>
                </c:pt>
                <c:pt idx="9">
                  <c:v>45 -49</c:v>
                </c:pt>
                <c:pt idx="10">
                  <c:v>50 -54</c:v>
                </c:pt>
                <c:pt idx="11">
                  <c:v>55 - 59</c:v>
                </c:pt>
                <c:pt idx="12">
                  <c:v>60 -64</c:v>
                </c:pt>
                <c:pt idx="13">
                  <c:v>65 - 69</c:v>
                </c:pt>
                <c:pt idx="14">
                  <c:v>70 -74</c:v>
                </c:pt>
                <c:pt idx="15">
                  <c:v>75 -79</c:v>
                </c:pt>
                <c:pt idx="16">
                  <c:v>80 y más</c:v>
                </c:pt>
              </c:strCache>
            </c:strRef>
          </c:cat>
          <c:val>
            <c:numRef>
              <c:f>Pirámide!$D$25:$D$41</c:f>
              <c:numCache>
                <c:formatCode>0.0%</c:formatCode>
                <c:ptCount val="17"/>
                <c:pt idx="0">
                  <c:v>-2.599338878648335E-2</c:v>
                </c:pt>
                <c:pt idx="1">
                  <c:v>-2.6621035639329892E-2</c:v>
                </c:pt>
                <c:pt idx="2">
                  <c:v>-2.7907161120250532E-2</c:v>
                </c:pt>
                <c:pt idx="3">
                  <c:v>-3.3073685740524182E-2</c:v>
                </c:pt>
                <c:pt idx="4">
                  <c:v>-3.9160759078306101E-2</c:v>
                </c:pt>
                <c:pt idx="5">
                  <c:v>-4.0977631547072416E-2</c:v>
                </c:pt>
                <c:pt idx="6">
                  <c:v>-3.8865654943985271E-2</c:v>
                </c:pt>
                <c:pt idx="7">
                  <c:v>-3.6958489419195426E-2</c:v>
                </c:pt>
                <c:pt idx="8">
                  <c:v>-3.6009311196118721E-2</c:v>
                </c:pt>
                <c:pt idx="9">
                  <c:v>-3.2767570257907802E-2</c:v>
                </c:pt>
                <c:pt idx="10">
                  <c:v>-3.5196673691906877E-2</c:v>
                </c:pt>
                <c:pt idx="11">
                  <c:v>-3.6896825868740324E-2</c:v>
                </c:pt>
                <c:pt idx="12">
                  <c:v>-3.4624083580538104E-2</c:v>
                </c:pt>
                <c:pt idx="13">
                  <c:v>-2.926816376958093E-2</c:v>
                </c:pt>
                <c:pt idx="14">
                  <c:v>-2.165051301871709E-2</c:v>
                </c:pt>
                <c:pt idx="15">
                  <c:v>-1.464949777240424E-2</c:v>
                </c:pt>
                <c:pt idx="16">
                  <c:v>-1.8712685293463444E-2</c:v>
                </c:pt>
              </c:numCache>
            </c:numRef>
          </c:val>
          <c:extLst>
            <c:ext xmlns:c16="http://schemas.microsoft.com/office/drawing/2014/chart" uri="{C3380CC4-5D6E-409C-BE32-E72D297353CC}">
              <c16:uniqueId val="{00000001-05F6-4E62-BA7C-8B5D83954571}"/>
            </c:ext>
          </c:extLst>
        </c:ser>
        <c:dLbls>
          <c:showLegendKey val="0"/>
          <c:showVal val="0"/>
          <c:showCatName val="0"/>
          <c:showSerName val="0"/>
          <c:showPercent val="0"/>
          <c:showBubbleSize val="0"/>
        </c:dLbls>
        <c:gapWidth val="50"/>
        <c:overlap val="100"/>
        <c:axId val="374869488"/>
        <c:axId val="374867920"/>
      </c:barChart>
      <c:catAx>
        <c:axId val="374869488"/>
        <c:scaling>
          <c:orientation val="minMax"/>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crossAx val="374867920"/>
        <c:crosses val="autoZero"/>
        <c:auto val="1"/>
        <c:lblAlgn val="ctr"/>
        <c:lblOffset val="100"/>
        <c:noMultiLvlLbl val="0"/>
      </c:catAx>
      <c:valAx>
        <c:axId val="374867920"/>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crossAx val="3748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2037037037037036"/>
          <c:w val="0.93888888888888888"/>
          <c:h val="0.7194993846108218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(Educación!$A$2,Educación!$A$29)</c:f>
              <c:strCache>
                <c:ptCount val="2"/>
                <c:pt idx="0">
                  <c:v>Manizales</c:v>
                </c:pt>
                <c:pt idx="1">
                  <c:v>Caldas</c:v>
                </c:pt>
              </c:strCache>
            </c:strRef>
          </c:cat>
          <c:val>
            <c:numRef>
              <c:f>(Educación!$B$2,Educación!$B$29)</c:f>
              <c:numCache>
                <c:formatCode>#,#00%</c:formatCode>
                <c:ptCount val="2"/>
                <c:pt idx="0">
                  <c:v>0.96285366248503879</c:v>
                </c:pt>
                <c:pt idx="1">
                  <c:v>0.94055208561829662</c:v>
                </c:pt>
              </c:numCache>
            </c:numRef>
          </c:val>
          <c:extLst>
            <c:ext xmlns:c16="http://schemas.microsoft.com/office/drawing/2014/chart" uri="{C3380CC4-5D6E-409C-BE32-E72D297353CC}">
              <c16:uniqueId val="{00000000-EA1A-447D-ADD4-441FE0C5B7F0}"/>
            </c:ext>
          </c:extLst>
        </c:ser>
        <c:dLbls>
          <c:showLegendKey val="0"/>
          <c:showVal val="0"/>
          <c:showCatName val="0"/>
          <c:showSerName val="0"/>
          <c:showPercent val="0"/>
          <c:showBubbleSize val="0"/>
        </c:dLbls>
        <c:gapWidth val="219"/>
        <c:overlap val="-27"/>
        <c:axId val="374862824"/>
        <c:axId val="374865960"/>
      </c:barChart>
      <c:catAx>
        <c:axId val="37486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s-CO"/>
          </a:p>
        </c:txPr>
        <c:crossAx val="374865960"/>
        <c:crosses val="autoZero"/>
        <c:auto val="1"/>
        <c:lblAlgn val="ctr"/>
        <c:lblOffset val="100"/>
        <c:noMultiLvlLbl val="0"/>
      </c:catAx>
      <c:valAx>
        <c:axId val="374865960"/>
        <c:scaling>
          <c:orientation val="minMax"/>
          <c:max val="1"/>
          <c:min val="0"/>
        </c:scaling>
        <c:delete val="1"/>
        <c:axPos val="l"/>
        <c:numFmt formatCode="#,#00%" sourceLinked="1"/>
        <c:majorTickMark val="none"/>
        <c:minorTickMark val="none"/>
        <c:tickLblPos val="nextTo"/>
        <c:crossAx val="3748628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Hoja6!$D$1:$N$1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Hoja6!$D$2:$N$2</c:f>
              <c:numCache>
                <c:formatCode>0.0%</c:formatCode>
                <c:ptCount val="11"/>
                <c:pt idx="0">
                  <c:v>0.783269860715332</c:v>
                </c:pt>
                <c:pt idx="1">
                  <c:v>0.82251233111730648</c:v>
                </c:pt>
                <c:pt idx="2">
                  <c:v>0.93441291161178508</c:v>
                </c:pt>
                <c:pt idx="3">
                  <c:v>1.009375771033802</c:v>
                </c:pt>
                <c:pt idx="4">
                  <c:v>1.0873478913152193</c:v>
                </c:pt>
                <c:pt idx="5">
                  <c:v>1.1762107099642627</c:v>
                </c:pt>
                <c:pt idx="6">
                  <c:v>1.1706851888752883</c:v>
                </c:pt>
                <c:pt idx="7">
                  <c:v>1.1914899688935818</c:v>
                </c:pt>
                <c:pt idx="8">
                  <c:v>1.184658024655715</c:v>
                </c:pt>
                <c:pt idx="9">
                  <c:v>1.1650052773542865</c:v>
                </c:pt>
                <c:pt idx="10">
                  <c:v>1.1151671104993865</c:v>
                </c:pt>
              </c:numCache>
            </c:numRef>
          </c:val>
          <c:smooth val="1"/>
          <c:extLst>
            <c:ext xmlns:c16="http://schemas.microsoft.com/office/drawing/2014/chart" uri="{C3380CC4-5D6E-409C-BE32-E72D297353CC}">
              <c16:uniqueId val="{00000000-A0C5-4451-A01B-55A66FFD027F}"/>
            </c:ext>
          </c:extLst>
        </c:ser>
        <c:dLbls>
          <c:showLegendKey val="0"/>
          <c:showVal val="0"/>
          <c:showCatName val="0"/>
          <c:showSerName val="0"/>
          <c:showPercent val="0"/>
          <c:showBubbleSize val="0"/>
        </c:dLbls>
        <c:smooth val="0"/>
        <c:axId val="427575200"/>
        <c:axId val="427575616"/>
      </c:lineChart>
      <c:catAx>
        <c:axId val="42757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crossAx val="427575616"/>
        <c:crosses val="autoZero"/>
        <c:auto val="1"/>
        <c:lblAlgn val="ctr"/>
        <c:lblOffset val="100"/>
        <c:noMultiLvlLbl val="0"/>
      </c:catAx>
      <c:valAx>
        <c:axId val="427575616"/>
        <c:scaling>
          <c:orientation val="minMax"/>
        </c:scaling>
        <c:delete val="1"/>
        <c:axPos val="l"/>
        <c:numFmt formatCode="0.0%" sourceLinked="1"/>
        <c:majorTickMark val="none"/>
        <c:minorTickMark val="none"/>
        <c:tickLblPos val="nextTo"/>
        <c:crossAx val="427575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Segoe UI Semilight" panose="020B0402040204020203" pitchFamily="34" charset="0"/>
          <a:cs typeface="Segoe UI Semilight" panose="020B0402040204020203"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Hoja10!$A$2</c:f>
              <c:strCache>
                <c:ptCount val="1"/>
                <c:pt idx="0">
                  <c:v>Técnica profesional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Hoja10!$B$2:$M$2</c:f>
              <c:numCache>
                <c:formatCode>0.0%</c:formatCode>
                <c:ptCount val="12"/>
                <c:pt idx="0">
                  <c:v>6.4777327935222669E-3</c:v>
                </c:pt>
                <c:pt idx="1">
                  <c:v>5.0471063257065949E-4</c:v>
                </c:pt>
                <c:pt idx="2">
                  <c:v>9.2464506734619589E-2</c:v>
                </c:pt>
                <c:pt idx="3">
                  <c:v>8.8469813947601575E-2</c:v>
                </c:pt>
                <c:pt idx="4">
                  <c:v>5.7878217200251096E-2</c:v>
                </c:pt>
                <c:pt idx="5">
                  <c:v>1.9735229222848736E-2</c:v>
                </c:pt>
                <c:pt idx="6">
                  <c:v>6.8602739726027401E-2</c:v>
                </c:pt>
                <c:pt idx="7">
                  <c:v>0.11073446327683616</c:v>
                </c:pt>
                <c:pt idx="8">
                  <c:v>8.6436655713764146E-2</c:v>
                </c:pt>
                <c:pt idx="9">
                  <c:v>0.10654784967067028</c:v>
                </c:pt>
                <c:pt idx="10">
                  <c:v>0.154</c:v>
                </c:pt>
                <c:pt idx="11">
                  <c:v>0.13252375923970433</c:v>
                </c:pt>
              </c:numCache>
            </c:numRef>
          </c:val>
          <c:extLst>
            <c:ext xmlns:c16="http://schemas.microsoft.com/office/drawing/2014/chart" uri="{C3380CC4-5D6E-409C-BE32-E72D297353CC}">
              <c16:uniqueId val="{00000000-AA8A-4C62-9201-4F7D2E3BBE53}"/>
            </c:ext>
          </c:extLst>
        </c:ser>
        <c:ser>
          <c:idx val="1"/>
          <c:order val="1"/>
          <c:tx>
            <c:strRef>
              <c:f>Hoja10!$A$3</c:f>
              <c:strCache>
                <c:ptCount val="1"/>
                <c:pt idx="0">
                  <c:v>Tecnológica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Hoja10!$B$3:$M$3</c:f>
              <c:numCache>
                <c:formatCode>0.0%</c:formatCode>
                <c:ptCount val="12"/>
                <c:pt idx="0">
                  <c:v>7.28744939271255E-2</c:v>
                </c:pt>
                <c:pt idx="1">
                  <c:v>0.24276581426648722</c:v>
                </c:pt>
                <c:pt idx="2">
                  <c:v>0.16903288435869435</c:v>
                </c:pt>
                <c:pt idx="3">
                  <c:v>0.19415263890646753</c:v>
                </c:pt>
                <c:pt idx="4">
                  <c:v>0.25436283741368487</c:v>
                </c:pt>
                <c:pt idx="5">
                  <c:v>0.28781564108850211</c:v>
                </c:pt>
                <c:pt idx="6">
                  <c:v>0.22542465753424656</c:v>
                </c:pt>
                <c:pt idx="7">
                  <c:v>0.20041088854648176</c:v>
                </c:pt>
                <c:pt idx="8">
                  <c:v>0.20527564804673237</c:v>
                </c:pt>
                <c:pt idx="9">
                  <c:v>0.21445176288260365</c:v>
                </c:pt>
                <c:pt idx="10">
                  <c:v>0.159</c:v>
                </c:pt>
                <c:pt idx="11">
                  <c:v>0.20872932066173883</c:v>
                </c:pt>
              </c:numCache>
            </c:numRef>
          </c:val>
          <c:extLst>
            <c:ext xmlns:c16="http://schemas.microsoft.com/office/drawing/2014/chart" uri="{C3380CC4-5D6E-409C-BE32-E72D297353CC}">
              <c16:uniqueId val="{00000001-AA8A-4C62-9201-4F7D2E3BBE53}"/>
            </c:ext>
          </c:extLst>
        </c:ser>
        <c:ser>
          <c:idx val="2"/>
          <c:order val="2"/>
          <c:tx>
            <c:strRef>
              <c:f>Hoja10!$A$4</c:f>
              <c:strCache>
                <c:ptCount val="1"/>
                <c:pt idx="0">
                  <c:v>Universitaria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Hoja10!$B$4:$M$4</c:f>
              <c:numCache>
                <c:formatCode>0.0%</c:formatCode>
                <c:ptCount val="12"/>
                <c:pt idx="0">
                  <c:v>0.48016194331983808</c:v>
                </c:pt>
                <c:pt idx="1">
                  <c:v>0.42362045760430689</c:v>
                </c:pt>
                <c:pt idx="2">
                  <c:v>0.43089430894308944</c:v>
                </c:pt>
                <c:pt idx="3">
                  <c:v>0.44032400961903556</c:v>
                </c:pt>
                <c:pt idx="4">
                  <c:v>0.43314500941619588</c:v>
                </c:pt>
                <c:pt idx="5">
                  <c:v>0.41051728364795292</c:v>
                </c:pt>
                <c:pt idx="6">
                  <c:v>0.4444931506849315</c:v>
                </c:pt>
                <c:pt idx="7">
                  <c:v>0.42547508988186955</c:v>
                </c:pt>
                <c:pt idx="8">
                  <c:v>0.40936473165388826</c:v>
                </c:pt>
                <c:pt idx="9">
                  <c:v>0.42289810151104223</c:v>
                </c:pt>
                <c:pt idx="10">
                  <c:v>0.441</c:v>
                </c:pt>
                <c:pt idx="11">
                  <c:v>0.41816261879619854</c:v>
                </c:pt>
              </c:numCache>
            </c:numRef>
          </c:val>
          <c:extLst>
            <c:ext xmlns:c16="http://schemas.microsoft.com/office/drawing/2014/chart" uri="{C3380CC4-5D6E-409C-BE32-E72D297353CC}">
              <c16:uniqueId val="{00000002-AA8A-4C62-9201-4F7D2E3BBE53}"/>
            </c:ext>
          </c:extLst>
        </c:ser>
        <c:ser>
          <c:idx val="3"/>
          <c:order val="3"/>
          <c:tx>
            <c:strRef>
              <c:f>Hoja10!$A$5</c:f>
              <c:strCache>
                <c:ptCount val="1"/>
                <c:pt idx="0">
                  <c:v>Especialización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Hoja10!$B$5:$M$5</c:f>
              <c:numCache>
                <c:formatCode>0.0%</c:formatCode>
                <c:ptCount val="12"/>
                <c:pt idx="0">
                  <c:v>0.37376518218623483</c:v>
                </c:pt>
                <c:pt idx="1">
                  <c:v>0.27708613728129206</c:v>
                </c:pt>
                <c:pt idx="2">
                  <c:v>0.22764227642276422</c:v>
                </c:pt>
                <c:pt idx="3">
                  <c:v>0.15694215922035185</c:v>
                </c:pt>
                <c:pt idx="4">
                  <c:v>0.1497802887633396</c:v>
                </c:pt>
                <c:pt idx="5">
                  <c:v>0.17026231919588133</c:v>
                </c:pt>
                <c:pt idx="6">
                  <c:v>0.15824657534246575</c:v>
                </c:pt>
                <c:pt idx="7">
                  <c:v>0.14411915767847971</c:v>
                </c:pt>
                <c:pt idx="8">
                  <c:v>0.16538882803943045</c:v>
                </c:pt>
                <c:pt idx="9">
                  <c:v>0.14722975590856258</c:v>
                </c:pt>
                <c:pt idx="10">
                  <c:v>0.14499999999999999</c:v>
                </c:pt>
                <c:pt idx="11">
                  <c:v>0.15117916226680747</c:v>
                </c:pt>
              </c:numCache>
            </c:numRef>
          </c:val>
          <c:extLst>
            <c:ext xmlns:c16="http://schemas.microsoft.com/office/drawing/2014/chart" uri="{C3380CC4-5D6E-409C-BE32-E72D297353CC}">
              <c16:uniqueId val="{00000003-AA8A-4C62-9201-4F7D2E3BBE53}"/>
            </c:ext>
          </c:extLst>
        </c:ser>
        <c:ser>
          <c:idx val="4"/>
          <c:order val="4"/>
          <c:tx>
            <c:strRef>
              <c:f>Hoja10!$A$6</c:f>
              <c:strCache>
                <c:ptCount val="1"/>
                <c:pt idx="0">
                  <c:v>Maestría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Segoe UI Semilight" panose="020B0402040204020203" pitchFamily="34" charset="0"/>
                    <a:ea typeface="+mn-ea"/>
                    <a:cs typeface="Segoe UI Semilight" panose="020B04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Hoja10!$B$6:$M$6</c:f>
              <c:numCache>
                <c:formatCode>0.0%</c:formatCode>
                <c:ptCount val="12"/>
                <c:pt idx="0">
                  <c:v>6.5263157894736842E-2</c:v>
                </c:pt>
                <c:pt idx="1">
                  <c:v>5.3331090174966352E-2</c:v>
                </c:pt>
                <c:pt idx="2">
                  <c:v>7.7296444606237108E-2</c:v>
                </c:pt>
                <c:pt idx="3">
                  <c:v>0.11707378812808505</c:v>
                </c:pt>
                <c:pt idx="4">
                  <c:v>0.10106716886377903</c:v>
                </c:pt>
                <c:pt idx="5">
                  <c:v>0.10872762932091198</c:v>
                </c:pt>
                <c:pt idx="6">
                  <c:v>9.7863013698630139E-2</c:v>
                </c:pt>
                <c:pt idx="7">
                  <c:v>0.11494607087827427</c:v>
                </c:pt>
                <c:pt idx="8">
                  <c:v>0.12769258853596202</c:v>
                </c:pt>
                <c:pt idx="9">
                  <c:v>0.10306082913599381</c:v>
                </c:pt>
                <c:pt idx="10">
                  <c:v>9.2999999999999999E-2</c:v>
                </c:pt>
                <c:pt idx="11">
                  <c:v>8.359732488560366E-2</c:v>
                </c:pt>
              </c:numCache>
            </c:numRef>
          </c:val>
          <c:extLst>
            <c:ext xmlns:c16="http://schemas.microsoft.com/office/drawing/2014/chart" uri="{C3380CC4-5D6E-409C-BE32-E72D297353CC}">
              <c16:uniqueId val="{00000004-AA8A-4C62-9201-4F7D2E3BBE53}"/>
            </c:ext>
          </c:extLst>
        </c:ser>
        <c:ser>
          <c:idx val="5"/>
          <c:order val="5"/>
          <c:tx>
            <c:strRef>
              <c:f>Hoja10!$A$7</c:f>
              <c:strCache>
                <c:ptCount val="1"/>
                <c:pt idx="0">
                  <c:v>Doctorado</c:v>
                </c:pt>
              </c:strCache>
            </c:strRef>
          </c:tx>
          <c:spPr>
            <a:solidFill>
              <a:schemeClr val="accent6"/>
            </a:solidFill>
            <a:ln>
              <a:noFill/>
            </a:ln>
            <a:effectLst/>
          </c:spPr>
          <c:invertIfNegative val="0"/>
          <c:cat>
            <c:numRef>
              <c:f>Hoja10!$B$1:$M$1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Hoja10!$B$7:$M$7</c:f>
              <c:numCache>
                <c:formatCode>0.0%</c:formatCode>
                <c:ptCount val="12"/>
                <c:pt idx="0">
                  <c:v>1.4574898785425102E-3</c:v>
                </c:pt>
                <c:pt idx="1">
                  <c:v>2.6917900403768506E-3</c:v>
                </c:pt>
                <c:pt idx="2">
                  <c:v>2.6695789345953162E-3</c:v>
                </c:pt>
                <c:pt idx="3">
                  <c:v>3.0375901784584231E-3</c:v>
                </c:pt>
                <c:pt idx="4">
                  <c:v>3.766478342749529E-3</c:v>
                </c:pt>
                <c:pt idx="5">
                  <c:v>2.9418975239029173E-3</c:v>
                </c:pt>
                <c:pt idx="6">
                  <c:v>5.3698630136986298E-3</c:v>
                </c:pt>
                <c:pt idx="7">
                  <c:v>4.3143297380585513E-3</c:v>
                </c:pt>
                <c:pt idx="8">
                  <c:v>5.8415480102227092E-3</c:v>
                </c:pt>
                <c:pt idx="9">
                  <c:v>5.8117008911274699E-3</c:v>
                </c:pt>
                <c:pt idx="10">
                  <c:v>8.0000000000000002E-3</c:v>
                </c:pt>
                <c:pt idx="11">
                  <c:v>5.8078141499472019E-3</c:v>
                </c:pt>
              </c:numCache>
            </c:numRef>
          </c:val>
          <c:extLst>
            <c:ext xmlns:c16="http://schemas.microsoft.com/office/drawing/2014/chart" uri="{C3380CC4-5D6E-409C-BE32-E72D297353CC}">
              <c16:uniqueId val="{00000005-AA8A-4C62-9201-4F7D2E3BBE53}"/>
            </c:ext>
          </c:extLst>
        </c:ser>
        <c:dLbls>
          <c:showLegendKey val="0"/>
          <c:showVal val="0"/>
          <c:showCatName val="0"/>
          <c:showSerName val="0"/>
          <c:showPercent val="0"/>
          <c:showBubbleSize val="0"/>
        </c:dLbls>
        <c:gapWidth val="50"/>
        <c:overlap val="100"/>
        <c:axId val="520559552"/>
        <c:axId val="520564128"/>
      </c:barChart>
      <c:catAx>
        <c:axId val="5205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crossAx val="520564128"/>
        <c:crosses val="autoZero"/>
        <c:auto val="1"/>
        <c:lblAlgn val="ctr"/>
        <c:lblOffset val="100"/>
        <c:noMultiLvlLbl val="0"/>
      </c:catAx>
      <c:valAx>
        <c:axId val="520564128"/>
        <c:scaling>
          <c:orientation val="minMax"/>
          <c:max val="1"/>
        </c:scaling>
        <c:delete val="1"/>
        <c:axPos val="l"/>
        <c:numFmt formatCode="0.0%" sourceLinked="1"/>
        <c:majorTickMark val="none"/>
        <c:minorTickMark val="none"/>
        <c:tickLblPos val="nextTo"/>
        <c:crossAx val="52055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Semilight" panose="020B0402040204020203" pitchFamily="34" charset="0"/>
          <a:cs typeface="Segoe UI Semilight" panose="020B0402040204020203"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8D-48B5-8082-0AA8FDDF65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8D-48B5-8082-0AA8FDDF65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8D-48B5-8082-0AA8FDDF65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8D-48B5-8082-0AA8FDDF659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C8D-48B5-8082-0AA8FDDF6591}"/>
              </c:ext>
            </c:extLst>
          </c:dPt>
          <c:dLbls>
            <c:dLbl>
              <c:idx val="0"/>
              <c:layout>
                <c:manualLayout>
                  <c:x val="0.13232633420822398"/>
                  <c:y val="2.9749927092446778E-3"/>
                </c:manualLayout>
              </c:layout>
              <c:tx>
                <c:rich>
                  <a:bodyPr/>
                  <a:lstStyle/>
                  <a:p>
                    <a:r>
                      <a:rPr lang="en-US"/>
                      <a:t>Manizales</a:t>
                    </a:r>
                  </a:p>
                  <a:p>
                    <a:r>
                      <a:rPr lang="en-US"/>
                      <a:t>53,7%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8D-48B5-8082-0AA8FDDF6591}"/>
                </c:ext>
              </c:extLst>
            </c:dLbl>
            <c:dLbl>
              <c:idx val="2"/>
              <c:tx>
                <c:rich>
                  <a:bodyPr/>
                  <a:lstStyle/>
                  <a:p>
                    <a:r>
                      <a:rPr lang="en-US"/>
                      <a:t>Otros municipios de Caldas</a:t>
                    </a:r>
                  </a:p>
                  <a:p>
                    <a:fld id="{75F90522-06C4-4639-B8F2-A805B0F6DA4E}"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C8D-48B5-8082-0AA8FDDF6591}"/>
                </c:ext>
              </c:extLst>
            </c:dLbl>
            <c:dLbl>
              <c:idx val="3"/>
              <c:layout>
                <c:manualLayout>
                  <c:x val="5.2777777777777882E-2"/>
                  <c:y val="8.5543890347039866E-2"/>
                </c:manualLayout>
              </c:layout>
              <c:tx>
                <c:rich>
                  <a:bodyPr/>
                  <a:lstStyle/>
                  <a:p>
                    <a:r>
                      <a:rPr lang="en-US"/>
                      <a:t>Otros departamentos y extranjeros</a:t>
                    </a:r>
                  </a:p>
                  <a:p>
                    <a:fld id="{6B19A67A-1F9D-4BE5-AEAD-274CEF92F4BC}"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C8D-48B5-8082-0AA8FDDF6591}"/>
                </c:ext>
              </c:extLst>
            </c:dLbl>
            <c:dLbl>
              <c:idx val="4"/>
              <c:layout>
                <c:manualLayout>
                  <c:x val="-0.17235039370078739"/>
                  <c:y val="2.741943715368912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 origen</a:t>
                    </a:r>
                  </a:p>
                  <a:p>
                    <a:pPr>
                      <a:defRPr>
                        <a:solidFill>
                          <a:schemeClr val="bg1"/>
                        </a:solidFill>
                      </a:defRPr>
                    </a:pPr>
                    <a:r>
                      <a:rPr lang="en-US">
                        <a:solidFill>
                          <a:schemeClr val="bg1"/>
                        </a:solidFill>
                      </a:rPr>
                      <a:t>46,3%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C8D-48B5-8082-0AA8FDDF65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Hoja1!$B$14:$B$17</c:f>
              <c:numCache>
                <c:formatCode>General</c:formatCode>
                <c:ptCount val="4"/>
                <c:pt idx="0" formatCode="#,#00%">
                  <c:v>0.53707541219929722</c:v>
                </c:pt>
                <c:pt idx="2" formatCode="#,#00%">
                  <c:v>0.16836351623269363</c:v>
                </c:pt>
                <c:pt idx="3" formatCode="#,#00%">
                  <c:v>0.29456107156800909</c:v>
                </c:pt>
              </c:numCache>
            </c:numRef>
          </c:val>
          <c:extLst>
            <c:ext xmlns:c16="http://schemas.microsoft.com/office/drawing/2014/chart" uri="{C3380CC4-5D6E-409C-BE32-E72D297353CC}">
              <c16:uniqueId val="{0000000A-FC8D-48B5-8082-0AA8FDDF6591}"/>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6E8E-4A67-9AB5-1DAF9D46A588}"/>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6E8E-4A67-9AB5-1DAF9D46A588}"/>
            </c:ext>
          </c:extLst>
        </c:ser>
        <c:dLbls>
          <c:showLegendKey val="0"/>
          <c:showVal val="0"/>
          <c:showCatName val="0"/>
          <c:showSerName val="0"/>
          <c:showPercent val="0"/>
          <c:showBubbleSize val="0"/>
        </c:dLbls>
        <c:gapWidth val="182"/>
        <c:axId val="48728351"/>
        <c:axId val="48728767"/>
      </c:barChart>
      <c:catAx>
        <c:axId val="4872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767"/>
        <c:crosses val="autoZero"/>
        <c:auto val="1"/>
        <c:lblAlgn val="ctr"/>
        <c:lblOffset val="100"/>
        <c:noMultiLvlLbl val="0"/>
      </c:catAx>
      <c:valAx>
        <c:axId val="487287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Hoja4!$H$3:$H$6</c:f>
              <c:numCache>
                <c:formatCode>General</c:formatCode>
                <c:ptCount val="4"/>
                <c:pt idx="0">
                  <c:v>2018</c:v>
                </c:pt>
                <c:pt idx="1">
                  <c:v>2019</c:v>
                </c:pt>
                <c:pt idx="2">
                  <c:v>2020</c:v>
                </c:pt>
                <c:pt idx="3">
                  <c:v>2021</c:v>
                </c:pt>
              </c:numCache>
            </c:numRef>
          </c:cat>
          <c:val>
            <c:numRef>
              <c:f>Hoja4!$I$3:$I$6</c:f>
              <c:numCache>
                <c:formatCode>General</c:formatCode>
                <c:ptCount val="4"/>
                <c:pt idx="0">
                  <c:v>152.30000000000001</c:v>
                </c:pt>
                <c:pt idx="1">
                  <c:v>150.80000000000001</c:v>
                </c:pt>
                <c:pt idx="2" formatCode="0.0">
                  <c:v>157</c:v>
                </c:pt>
                <c:pt idx="3">
                  <c:v>151.1</c:v>
                </c:pt>
              </c:numCache>
            </c:numRef>
          </c:val>
          <c:smooth val="0"/>
          <c:extLst>
            <c:ext xmlns:c16="http://schemas.microsoft.com/office/drawing/2014/chart" uri="{C3380CC4-5D6E-409C-BE32-E72D297353CC}">
              <c16:uniqueId val="{00000000-5C0E-4108-A38C-5D35066EE88B}"/>
            </c:ext>
          </c:extLst>
        </c:ser>
        <c:dLbls>
          <c:showLegendKey val="0"/>
          <c:showVal val="0"/>
          <c:showCatName val="0"/>
          <c:showSerName val="0"/>
          <c:showPercent val="0"/>
          <c:showBubbleSize val="0"/>
        </c:dLbls>
        <c:smooth val="0"/>
        <c:axId val="1176783504"/>
        <c:axId val="1176789744"/>
      </c:lineChart>
      <c:catAx>
        <c:axId val="1176783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6789744"/>
        <c:crosses val="autoZero"/>
        <c:auto val="1"/>
        <c:lblAlgn val="ctr"/>
        <c:lblOffset val="100"/>
        <c:noMultiLvlLbl val="0"/>
      </c:catAx>
      <c:valAx>
        <c:axId val="1176789744"/>
        <c:scaling>
          <c:orientation val="minMax"/>
          <c:max val="25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76783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enorite" panose="00000500000000000000" pitchFamily="2" charset="0"/>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Hoja8!$A$2:$A$6</c:f>
              <c:numCache>
                <c:formatCode>General</c:formatCode>
                <c:ptCount val="5"/>
                <c:pt idx="0">
                  <c:v>2013</c:v>
                </c:pt>
                <c:pt idx="1">
                  <c:v>2014</c:v>
                </c:pt>
                <c:pt idx="2">
                  <c:v>2015</c:v>
                </c:pt>
                <c:pt idx="3">
                  <c:v>2019</c:v>
                </c:pt>
                <c:pt idx="4">
                  <c:v>2021</c:v>
                </c:pt>
              </c:numCache>
            </c:numRef>
          </c:cat>
          <c:val>
            <c:numRef>
              <c:f>Hoja8!$D$2:$D$6</c:f>
              <c:numCache>
                <c:formatCode>0.0%</c:formatCode>
                <c:ptCount val="5"/>
                <c:pt idx="0">
                  <c:v>0.26548672566371684</c:v>
                </c:pt>
                <c:pt idx="1">
                  <c:v>0.28947368421052633</c:v>
                </c:pt>
                <c:pt idx="2">
                  <c:v>0.34057971014492755</c:v>
                </c:pt>
                <c:pt idx="3">
                  <c:v>0.4451219512195122</c:v>
                </c:pt>
                <c:pt idx="4">
                  <c:v>0.51461988304093564</c:v>
                </c:pt>
              </c:numCache>
            </c:numRef>
          </c:val>
          <c:smooth val="0"/>
          <c:extLst>
            <c:ext xmlns:c16="http://schemas.microsoft.com/office/drawing/2014/chart" uri="{C3380CC4-5D6E-409C-BE32-E72D297353CC}">
              <c16:uniqueId val="{00000000-42AB-40C9-9494-2E8D9C42C724}"/>
            </c:ext>
          </c:extLst>
        </c:ser>
        <c:dLbls>
          <c:showLegendKey val="0"/>
          <c:showVal val="0"/>
          <c:showCatName val="0"/>
          <c:showSerName val="0"/>
          <c:showPercent val="0"/>
          <c:showBubbleSize val="0"/>
        </c:dLbls>
        <c:smooth val="0"/>
        <c:axId val="1194859312"/>
        <c:axId val="1194875536"/>
      </c:lineChart>
      <c:catAx>
        <c:axId val="119485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enorite" panose="00000500000000000000" pitchFamily="2" charset="0"/>
                <a:ea typeface="+mn-ea"/>
                <a:cs typeface="+mn-cs"/>
              </a:defRPr>
            </a:pPr>
            <a:endParaRPr lang="es-CO"/>
          </a:p>
        </c:txPr>
        <c:crossAx val="1194875536"/>
        <c:crosses val="autoZero"/>
        <c:auto val="1"/>
        <c:lblAlgn val="ctr"/>
        <c:lblOffset val="100"/>
        <c:noMultiLvlLbl val="0"/>
      </c:catAx>
      <c:valAx>
        <c:axId val="1194875536"/>
        <c:scaling>
          <c:orientation val="minMax"/>
        </c:scaling>
        <c:delete val="1"/>
        <c:axPos val="l"/>
        <c:numFmt formatCode="0.0%" sourceLinked="1"/>
        <c:majorTickMark val="none"/>
        <c:minorTickMark val="none"/>
        <c:tickLblPos val="nextTo"/>
        <c:crossAx val="119485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enorite" panose="00000500000000000000" pitchFamily="2"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AC6F-A2A3-4F5E-99AB-25A7DEF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5502</Words>
  <Characters>30267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USUARIO</cp:lastModifiedBy>
  <cp:revision>2</cp:revision>
  <cp:lastPrinted>2023-07-18T17:13:00Z</cp:lastPrinted>
  <dcterms:created xsi:type="dcterms:W3CDTF">2023-07-27T17:39:00Z</dcterms:created>
  <dcterms:modified xsi:type="dcterms:W3CDTF">2023-07-27T17:39:00Z</dcterms:modified>
</cp:coreProperties>
</file>