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E557" w14:textId="7365E740" w:rsidR="00ED742C" w:rsidRDefault="00EA3B84" w:rsidP="00ED742C">
      <w:pPr>
        <w:spacing w:line="276" w:lineRule="auto"/>
        <w:jc w:val="both"/>
        <w:rPr>
          <w:rFonts w:ascii="Calibri" w:hAnsi="Calibri" w:cs="Calibri"/>
          <w:sz w:val="23"/>
          <w:szCs w:val="23"/>
        </w:rPr>
      </w:pPr>
      <w:r>
        <w:rPr>
          <w:rFonts w:ascii="Calibri" w:hAnsi="Calibri" w:cs="Calibri"/>
          <w:sz w:val="23"/>
          <w:szCs w:val="23"/>
        </w:rPr>
        <w:t xml:space="preserve">Bogotá D.C., </w:t>
      </w:r>
      <w:r w:rsidR="005F528C">
        <w:rPr>
          <w:rFonts w:ascii="Calibri" w:hAnsi="Calibri" w:cs="Calibri"/>
          <w:sz w:val="23"/>
          <w:szCs w:val="23"/>
        </w:rPr>
        <w:t>20</w:t>
      </w:r>
      <w:r>
        <w:rPr>
          <w:rFonts w:ascii="Calibri" w:hAnsi="Calibri" w:cs="Calibri"/>
          <w:sz w:val="23"/>
          <w:szCs w:val="23"/>
        </w:rPr>
        <w:t xml:space="preserve"> de </w:t>
      </w:r>
      <w:r w:rsidR="00DF2204">
        <w:rPr>
          <w:rFonts w:ascii="Calibri" w:hAnsi="Calibri" w:cs="Calibri"/>
          <w:sz w:val="23"/>
          <w:szCs w:val="23"/>
        </w:rPr>
        <w:t>ju</w:t>
      </w:r>
      <w:r w:rsidR="005F528C">
        <w:rPr>
          <w:rFonts w:ascii="Calibri" w:hAnsi="Calibri" w:cs="Calibri"/>
          <w:sz w:val="23"/>
          <w:szCs w:val="23"/>
        </w:rPr>
        <w:t>l</w:t>
      </w:r>
      <w:r w:rsidR="00DF2204">
        <w:rPr>
          <w:rFonts w:ascii="Calibri" w:hAnsi="Calibri" w:cs="Calibri"/>
          <w:sz w:val="23"/>
          <w:szCs w:val="23"/>
        </w:rPr>
        <w:t>io</w:t>
      </w:r>
      <w:r>
        <w:rPr>
          <w:rFonts w:ascii="Calibri" w:hAnsi="Calibri" w:cs="Calibri"/>
          <w:sz w:val="23"/>
          <w:szCs w:val="23"/>
        </w:rPr>
        <w:t xml:space="preserve"> de 2023</w:t>
      </w:r>
    </w:p>
    <w:p w14:paraId="651A6816" w14:textId="41180FB3" w:rsidR="00EA3B84" w:rsidRDefault="00EA3B84" w:rsidP="00ED742C">
      <w:pPr>
        <w:spacing w:line="276" w:lineRule="auto"/>
        <w:jc w:val="both"/>
        <w:rPr>
          <w:rFonts w:ascii="Calibri" w:hAnsi="Calibri" w:cs="Calibri"/>
          <w:sz w:val="23"/>
          <w:szCs w:val="23"/>
        </w:rPr>
      </w:pPr>
    </w:p>
    <w:p w14:paraId="531F1B98" w14:textId="735199B0" w:rsidR="00EA3B84" w:rsidRDefault="00EA3B84" w:rsidP="00ED742C">
      <w:pPr>
        <w:spacing w:line="276" w:lineRule="auto"/>
        <w:jc w:val="both"/>
        <w:rPr>
          <w:rFonts w:ascii="Calibri" w:hAnsi="Calibri" w:cs="Calibri"/>
          <w:sz w:val="23"/>
          <w:szCs w:val="23"/>
        </w:rPr>
      </w:pPr>
      <w:r>
        <w:rPr>
          <w:rFonts w:ascii="Calibri" w:hAnsi="Calibri" w:cs="Calibri"/>
          <w:sz w:val="23"/>
          <w:szCs w:val="23"/>
        </w:rPr>
        <w:t>Señor</w:t>
      </w:r>
    </w:p>
    <w:p w14:paraId="639ABA11" w14:textId="1222A20B" w:rsidR="00AB0F28" w:rsidRDefault="00AB0F28" w:rsidP="00ED742C">
      <w:pPr>
        <w:spacing w:line="276" w:lineRule="auto"/>
        <w:jc w:val="both"/>
        <w:rPr>
          <w:rFonts w:ascii="Calibri" w:hAnsi="Calibri" w:cs="Calibri"/>
          <w:b/>
          <w:bCs/>
          <w:sz w:val="23"/>
          <w:szCs w:val="23"/>
        </w:rPr>
      </w:pPr>
      <w:r>
        <w:rPr>
          <w:rFonts w:ascii="Calibri" w:hAnsi="Calibri" w:cs="Calibri"/>
          <w:b/>
          <w:bCs/>
          <w:sz w:val="23"/>
          <w:szCs w:val="23"/>
        </w:rPr>
        <w:t>ANDRÉS DAVID CALLE AGUAS</w:t>
      </w:r>
    </w:p>
    <w:p w14:paraId="40498E0B" w14:textId="722C79DE" w:rsidR="00EA3B84" w:rsidRPr="00334CBB" w:rsidRDefault="00334CBB" w:rsidP="00ED742C">
      <w:pPr>
        <w:spacing w:line="276" w:lineRule="auto"/>
        <w:jc w:val="both"/>
        <w:rPr>
          <w:rFonts w:ascii="Calibri" w:hAnsi="Calibri" w:cs="Calibri"/>
          <w:sz w:val="23"/>
          <w:szCs w:val="23"/>
        </w:rPr>
      </w:pPr>
      <w:r>
        <w:rPr>
          <w:rFonts w:ascii="Calibri" w:hAnsi="Calibri" w:cs="Calibri"/>
          <w:sz w:val="23"/>
          <w:szCs w:val="23"/>
        </w:rPr>
        <w:t>Presidente</w:t>
      </w:r>
    </w:p>
    <w:p w14:paraId="5E6DEA70" w14:textId="628DEC1F" w:rsidR="00334CBB" w:rsidRPr="00334CBB" w:rsidRDefault="005F528C" w:rsidP="00ED742C">
      <w:pPr>
        <w:spacing w:line="276" w:lineRule="auto"/>
        <w:jc w:val="both"/>
        <w:rPr>
          <w:rFonts w:ascii="Calibri" w:hAnsi="Calibri" w:cs="Calibri"/>
          <w:sz w:val="23"/>
          <w:szCs w:val="23"/>
        </w:rPr>
      </w:pPr>
      <w:r>
        <w:rPr>
          <w:rFonts w:ascii="Calibri" w:hAnsi="Calibri" w:cs="Calibri"/>
          <w:sz w:val="23"/>
          <w:szCs w:val="23"/>
        </w:rPr>
        <w:t>Cámara de Representantes</w:t>
      </w:r>
    </w:p>
    <w:p w14:paraId="28B2C770" w14:textId="5062622E" w:rsidR="00EA3B84" w:rsidRDefault="00EA3B84" w:rsidP="00ED742C">
      <w:pPr>
        <w:spacing w:line="276" w:lineRule="auto"/>
        <w:jc w:val="both"/>
        <w:rPr>
          <w:rFonts w:ascii="Calibri" w:hAnsi="Calibri" w:cs="Calibri"/>
          <w:sz w:val="23"/>
          <w:szCs w:val="23"/>
        </w:rPr>
      </w:pPr>
      <w:r>
        <w:rPr>
          <w:rFonts w:ascii="Calibri" w:hAnsi="Calibri" w:cs="Calibri"/>
          <w:sz w:val="23"/>
          <w:szCs w:val="23"/>
        </w:rPr>
        <w:t>Ciudad</w:t>
      </w:r>
    </w:p>
    <w:p w14:paraId="652884ED" w14:textId="77777777" w:rsidR="00EA3B84" w:rsidRDefault="00EA3B84" w:rsidP="00ED742C">
      <w:pPr>
        <w:spacing w:line="276" w:lineRule="auto"/>
        <w:jc w:val="both"/>
        <w:rPr>
          <w:rFonts w:ascii="Calibri" w:hAnsi="Calibri" w:cs="Calibri"/>
          <w:sz w:val="23"/>
          <w:szCs w:val="23"/>
        </w:rPr>
      </w:pPr>
    </w:p>
    <w:p w14:paraId="2719E216" w14:textId="31F3F34B" w:rsidR="00EA3B84" w:rsidRDefault="00EA3B84" w:rsidP="00ED742C">
      <w:pPr>
        <w:spacing w:line="276" w:lineRule="auto"/>
        <w:jc w:val="both"/>
        <w:rPr>
          <w:rFonts w:ascii="Calibri" w:hAnsi="Calibri" w:cs="Calibri"/>
          <w:b/>
          <w:bCs/>
          <w:sz w:val="23"/>
          <w:szCs w:val="23"/>
        </w:rPr>
      </w:pPr>
      <w:r w:rsidRPr="00EA3B84">
        <w:rPr>
          <w:rFonts w:ascii="Calibri" w:hAnsi="Calibri" w:cs="Calibri"/>
          <w:b/>
          <w:bCs/>
          <w:sz w:val="23"/>
          <w:szCs w:val="23"/>
        </w:rPr>
        <w:t xml:space="preserve">REF: </w:t>
      </w:r>
      <w:r w:rsidR="005F528C">
        <w:rPr>
          <w:rFonts w:ascii="Calibri" w:hAnsi="Calibri" w:cs="Calibri"/>
          <w:b/>
          <w:bCs/>
          <w:sz w:val="23"/>
          <w:szCs w:val="23"/>
        </w:rPr>
        <w:t xml:space="preserve">Radicación proyecto de acto legislativo “Por el cual se otorga la categoría de distrito especial </w:t>
      </w:r>
      <w:r w:rsidR="008163C8">
        <w:rPr>
          <w:rFonts w:ascii="Calibri" w:hAnsi="Calibri" w:cs="Calibri"/>
          <w:b/>
          <w:bCs/>
          <w:sz w:val="23"/>
          <w:szCs w:val="23"/>
        </w:rPr>
        <w:t xml:space="preserve">eje </w:t>
      </w:r>
      <w:r w:rsidR="005F528C">
        <w:rPr>
          <w:rFonts w:ascii="Calibri" w:hAnsi="Calibri" w:cs="Calibri"/>
          <w:b/>
          <w:bCs/>
          <w:sz w:val="23"/>
          <w:szCs w:val="23"/>
        </w:rPr>
        <w:t xml:space="preserve">del </w:t>
      </w:r>
      <w:r w:rsidR="00A73392">
        <w:rPr>
          <w:rFonts w:ascii="Calibri" w:hAnsi="Calibri" w:cs="Calibri"/>
          <w:b/>
          <w:bCs/>
          <w:sz w:val="23"/>
          <w:szCs w:val="23"/>
        </w:rPr>
        <w:t>C</w:t>
      </w:r>
      <w:r w:rsidR="005F528C">
        <w:rPr>
          <w:rFonts w:ascii="Calibri" w:hAnsi="Calibri" w:cs="Calibri"/>
          <w:b/>
          <w:bCs/>
          <w:sz w:val="23"/>
          <w:szCs w:val="23"/>
        </w:rPr>
        <w:t>onocimiento al municipio de Manizales</w:t>
      </w:r>
      <w:r w:rsidR="00A73392">
        <w:rPr>
          <w:rFonts w:ascii="Calibri" w:hAnsi="Calibri" w:cs="Calibri"/>
          <w:b/>
          <w:bCs/>
          <w:sz w:val="23"/>
          <w:szCs w:val="23"/>
        </w:rPr>
        <w:t xml:space="preserve"> en el departamento de Caldas”</w:t>
      </w:r>
      <w:r>
        <w:rPr>
          <w:rFonts w:ascii="Calibri" w:hAnsi="Calibri" w:cs="Calibri"/>
          <w:b/>
          <w:bCs/>
          <w:sz w:val="23"/>
          <w:szCs w:val="23"/>
        </w:rPr>
        <w:t>.</w:t>
      </w:r>
    </w:p>
    <w:p w14:paraId="3286FC16" w14:textId="7F819F65" w:rsidR="00EA3B84" w:rsidRDefault="00EA3B84" w:rsidP="00ED742C">
      <w:pPr>
        <w:spacing w:line="276" w:lineRule="auto"/>
        <w:jc w:val="both"/>
        <w:rPr>
          <w:rFonts w:ascii="Calibri" w:hAnsi="Calibri" w:cs="Calibri"/>
          <w:sz w:val="23"/>
          <w:szCs w:val="23"/>
        </w:rPr>
      </w:pPr>
    </w:p>
    <w:p w14:paraId="09DE0AE2" w14:textId="14E57E17" w:rsidR="00EA3B84" w:rsidRDefault="00EA3B84" w:rsidP="00ED742C">
      <w:pPr>
        <w:spacing w:line="276" w:lineRule="auto"/>
        <w:jc w:val="both"/>
        <w:rPr>
          <w:rFonts w:ascii="Calibri" w:hAnsi="Calibri" w:cs="Calibri"/>
          <w:sz w:val="23"/>
          <w:szCs w:val="23"/>
        </w:rPr>
      </w:pPr>
      <w:r>
        <w:rPr>
          <w:rFonts w:ascii="Calibri" w:hAnsi="Calibri" w:cs="Calibri"/>
          <w:sz w:val="23"/>
          <w:szCs w:val="23"/>
        </w:rPr>
        <w:t xml:space="preserve">Señor </w:t>
      </w:r>
      <w:r w:rsidR="00334CBB">
        <w:rPr>
          <w:rFonts w:ascii="Calibri" w:hAnsi="Calibri" w:cs="Calibri"/>
          <w:sz w:val="23"/>
          <w:szCs w:val="23"/>
        </w:rPr>
        <w:t>presidente</w:t>
      </w:r>
      <w:r>
        <w:rPr>
          <w:rFonts w:ascii="Calibri" w:hAnsi="Calibri" w:cs="Calibri"/>
          <w:sz w:val="23"/>
          <w:szCs w:val="23"/>
        </w:rPr>
        <w:t>,</w:t>
      </w:r>
    </w:p>
    <w:p w14:paraId="16E3B514" w14:textId="38A67697" w:rsidR="00EA3B84" w:rsidRDefault="00EA3B84" w:rsidP="00ED742C">
      <w:pPr>
        <w:spacing w:line="276" w:lineRule="auto"/>
        <w:jc w:val="both"/>
        <w:rPr>
          <w:rFonts w:ascii="Calibri" w:hAnsi="Calibri" w:cs="Calibri"/>
          <w:sz w:val="23"/>
          <w:szCs w:val="23"/>
        </w:rPr>
      </w:pPr>
    </w:p>
    <w:p w14:paraId="400D8C1A" w14:textId="27F60A6C" w:rsidR="00334CBB" w:rsidRDefault="00A73392" w:rsidP="00334CBB">
      <w:pPr>
        <w:spacing w:line="276" w:lineRule="auto"/>
        <w:jc w:val="both"/>
        <w:rPr>
          <w:rFonts w:ascii="Calibri" w:hAnsi="Calibri" w:cs="Calibri"/>
          <w:sz w:val="23"/>
          <w:szCs w:val="23"/>
        </w:rPr>
      </w:pPr>
      <w:r>
        <w:rPr>
          <w:rFonts w:ascii="Calibri" w:hAnsi="Calibri" w:cs="Calibri"/>
          <w:sz w:val="23"/>
          <w:szCs w:val="23"/>
        </w:rPr>
        <w:t xml:space="preserve">En uso de las facultades conferidas por la Constitución Política y la Ley 5 de 1992, se presenta a consideración de la Honorable Cámara de Representantes el proyecto de acto legislativo </w:t>
      </w:r>
      <w:r w:rsidRPr="00A73392">
        <w:rPr>
          <w:rFonts w:ascii="Calibri" w:hAnsi="Calibri" w:cs="Calibri"/>
          <w:sz w:val="23"/>
          <w:szCs w:val="23"/>
        </w:rPr>
        <w:t xml:space="preserve">“Por el cual se otorga la categoría de distrito especial </w:t>
      </w:r>
      <w:r w:rsidR="008163C8">
        <w:rPr>
          <w:rFonts w:ascii="Calibri" w:hAnsi="Calibri" w:cs="Calibri"/>
          <w:sz w:val="23"/>
          <w:szCs w:val="23"/>
        </w:rPr>
        <w:t xml:space="preserve">eje </w:t>
      </w:r>
      <w:r w:rsidRPr="00A73392">
        <w:rPr>
          <w:rFonts w:ascii="Calibri" w:hAnsi="Calibri" w:cs="Calibri"/>
          <w:sz w:val="23"/>
          <w:szCs w:val="23"/>
        </w:rPr>
        <w:t>del conocimiento al municipio de Manizales</w:t>
      </w:r>
      <w:r>
        <w:rPr>
          <w:rFonts w:ascii="Calibri" w:hAnsi="Calibri" w:cs="Calibri"/>
          <w:sz w:val="23"/>
          <w:szCs w:val="23"/>
        </w:rPr>
        <w:t xml:space="preserve"> </w:t>
      </w:r>
      <w:r w:rsidRPr="00A73392">
        <w:rPr>
          <w:rFonts w:ascii="Calibri" w:hAnsi="Calibri" w:cs="Calibri"/>
          <w:sz w:val="23"/>
          <w:szCs w:val="23"/>
        </w:rPr>
        <w:t>en el departamento de Caldas</w:t>
      </w:r>
      <w:r>
        <w:rPr>
          <w:rFonts w:ascii="Calibri" w:hAnsi="Calibri" w:cs="Calibri"/>
          <w:sz w:val="23"/>
          <w:szCs w:val="23"/>
        </w:rPr>
        <w:t>”.</w:t>
      </w:r>
    </w:p>
    <w:p w14:paraId="7380B5ED" w14:textId="77777777" w:rsidR="00A73392" w:rsidRPr="00334CBB" w:rsidRDefault="00A73392" w:rsidP="00334CBB">
      <w:pPr>
        <w:spacing w:line="276" w:lineRule="auto"/>
        <w:jc w:val="both"/>
        <w:rPr>
          <w:rFonts w:ascii="Calibri" w:hAnsi="Calibri" w:cs="Calibri"/>
          <w:sz w:val="23"/>
          <w:szCs w:val="23"/>
        </w:rPr>
      </w:pPr>
    </w:p>
    <w:p w14:paraId="2D01801F" w14:textId="64712467" w:rsidR="00334CBB" w:rsidRPr="00334CBB" w:rsidRDefault="00334CBB" w:rsidP="00334CBB">
      <w:pPr>
        <w:spacing w:line="276" w:lineRule="auto"/>
        <w:jc w:val="both"/>
        <w:rPr>
          <w:rFonts w:ascii="Calibri" w:hAnsi="Calibri" w:cs="Calibri"/>
          <w:sz w:val="23"/>
          <w:szCs w:val="23"/>
        </w:rPr>
      </w:pPr>
      <w:r w:rsidRPr="00334CBB">
        <w:rPr>
          <w:rFonts w:ascii="Calibri" w:hAnsi="Calibri" w:cs="Calibri"/>
          <w:sz w:val="23"/>
          <w:szCs w:val="23"/>
        </w:rPr>
        <w:t>Firma</w:t>
      </w:r>
      <w:r w:rsidR="005F528C">
        <w:rPr>
          <w:rFonts w:ascii="Calibri" w:hAnsi="Calibri" w:cs="Calibri"/>
          <w:sz w:val="23"/>
          <w:szCs w:val="23"/>
        </w:rPr>
        <w:t>n los Honorables Congresistas</w:t>
      </w:r>
      <w:r w:rsidRPr="00334CBB">
        <w:rPr>
          <w:rFonts w:ascii="Calibri" w:hAnsi="Calibri" w:cs="Calibri"/>
          <w:sz w:val="23"/>
          <w:szCs w:val="23"/>
        </w:rPr>
        <w:t>,</w:t>
      </w:r>
    </w:p>
    <w:p w14:paraId="2D9CF7C2" w14:textId="77777777" w:rsidR="00334CBB" w:rsidRPr="00334CBB" w:rsidRDefault="00334CBB" w:rsidP="00334CBB">
      <w:pPr>
        <w:spacing w:line="276" w:lineRule="auto"/>
        <w:jc w:val="both"/>
        <w:rPr>
          <w:rFonts w:ascii="Calibri" w:hAnsi="Calibri" w:cs="Calibri"/>
          <w:sz w:val="23"/>
          <w:szCs w:val="23"/>
        </w:rPr>
      </w:pPr>
    </w:p>
    <w:p w14:paraId="79D9A6CA" w14:textId="77777777" w:rsidR="00334CBB" w:rsidRPr="00334CBB" w:rsidRDefault="00334CBB" w:rsidP="00334CBB">
      <w:pPr>
        <w:spacing w:line="276" w:lineRule="auto"/>
        <w:jc w:val="both"/>
        <w:rPr>
          <w:rFonts w:ascii="Calibri" w:hAnsi="Calibri" w:cs="Calibri"/>
          <w:sz w:val="23"/>
          <w:szCs w:val="23"/>
        </w:rPr>
      </w:pPr>
    </w:p>
    <w:p w14:paraId="2DE08101" w14:textId="52D7DF74" w:rsidR="00334CBB" w:rsidRPr="00334CBB" w:rsidRDefault="005F528C" w:rsidP="005F528C">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18C1D351" w14:textId="77777777" w:rsidR="00334CBB" w:rsidRPr="00AB0F28" w:rsidRDefault="00334CBB" w:rsidP="00334CBB">
      <w:pPr>
        <w:spacing w:line="276" w:lineRule="auto"/>
        <w:jc w:val="both"/>
        <w:rPr>
          <w:rFonts w:ascii="Calibri" w:hAnsi="Calibri" w:cs="Calibri"/>
          <w:b/>
          <w:bCs/>
          <w:sz w:val="20"/>
          <w:szCs w:val="20"/>
        </w:rPr>
      </w:pPr>
      <w:r w:rsidRPr="00AB0F28">
        <w:rPr>
          <w:rFonts w:ascii="Calibri" w:hAnsi="Calibri" w:cs="Calibri"/>
          <w:b/>
          <w:bCs/>
          <w:sz w:val="20"/>
          <w:szCs w:val="20"/>
        </w:rPr>
        <w:t>GUIDO ECHEVERRI PIEDRAHITA</w:t>
      </w:r>
    </w:p>
    <w:p w14:paraId="4B680EB1" w14:textId="3EA441FA" w:rsidR="00F35034" w:rsidRPr="00AB0F28" w:rsidRDefault="00334CBB" w:rsidP="00ED742C">
      <w:pPr>
        <w:spacing w:line="276" w:lineRule="auto"/>
        <w:jc w:val="both"/>
        <w:rPr>
          <w:rFonts w:ascii="Calibri" w:hAnsi="Calibri" w:cs="Calibri"/>
          <w:sz w:val="20"/>
          <w:szCs w:val="20"/>
        </w:rPr>
      </w:pPr>
      <w:r w:rsidRPr="00AB0F28">
        <w:rPr>
          <w:rFonts w:ascii="Calibri" w:hAnsi="Calibri" w:cs="Calibri"/>
          <w:sz w:val="20"/>
          <w:szCs w:val="20"/>
        </w:rPr>
        <w:t>Senador de la República</w:t>
      </w:r>
    </w:p>
    <w:p w14:paraId="3E83EFAF" w14:textId="668EDA93" w:rsidR="005F528C" w:rsidRDefault="005F528C" w:rsidP="00ED742C">
      <w:pPr>
        <w:spacing w:line="276" w:lineRule="auto"/>
        <w:jc w:val="both"/>
        <w:rPr>
          <w:rFonts w:ascii="Calibri" w:hAnsi="Calibri" w:cs="Calibri"/>
          <w:sz w:val="23"/>
          <w:szCs w:val="23"/>
        </w:rPr>
      </w:pPr>
    </w:p>
    <w:p w14:paraId="1164169E" w14:textId="47C45D60" w:rsidR="005F528C" w:rsidRDefault="005F528C" w:rsidP="00ED742C">
      <w:pPr>
        <w:spacing w:line="276" w:lineRule="auto"/>
        <w:jc w:val="both"/>
        <w:rPr>
          <w:rFonts w:ascii="Calibri" w:hAnsi="Calibri" w:cs="Calibri"/>
          <w:sz w:val="23"/>
          <w:szCs w:val="23"/>
        </w:rPr>
      </w:pPr>
    </w:p>
    <w:p w14:paraId="49199EC8" w14:textId="77777777" w:rsidR="005F528C" w:rsidRPr="00334CBB" w:rsidRDefault="005F528C" w:rsidP="005F528C">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34AE24F0" w14:textId="76ED478E" w:rsidR="005F528C" w:rsidRPr="00334CBB" w:rsidRDefault="005F528C" w:rsidP="005F528C">
      <w:pPr>
        <w:spacing w:line="276" w:lineRule="auto"/>
        <w:jc w:val="both"/>
        <w:rPr>
          <w:rFonts w:ascii="Calibri" w:hAnsi="Calibri" w:cs="Calibri"/>
          <w:sz w:val="23"/>
          <w:szCs w:val="23"/>
        </w:rPr>
      </w:pPr>
    </w:p>
    <w:p w14:paraId="533F0BA2" w14:textId="188D66B6" w:rsidR="005F528C" w:rsidRDefault="005F528C" w:rsidP="00ED742C">
      <w:pPr>
        <w:spacing w:line="276" w:lineRule="auto"/>
        <w:jc w:val="both"/>
        <w:rPr>
          <w:rFonts w:ascii="Calibri" w:hAnsi="Calibri" w:cs="Calibri"/>
          <w:sz w:val="23"/>
          <w:szCs w:val="23"/>
        </w:rPr>
      </w:pPr>
    </w:p>
    <w:p w14:paraId="03AA0A72" w14:textId="2D5F5EFA" w:rsidR="005F528C" w:rsidRDefault="005F528C" w:rsidP="00ED742C">
      <w:pPr>
        <w:spacing w:line="276" w:lineRule="auto"/>
        <w:jc w:val="both"/>
        <w:rPr>
          <w:rFonts w:ascii="Calibri" w:hAnsi="Calibri" w:cs="Calibri"/>
          <w:sz w:val="23"/>
          <w:szCs w:val="23"/>
        </w:rPr>
      </w:pPr>
    </w:p>
    <w:p w14:paraId="1E0A0947" w14:textId="77777777" w:rsidR="005F528C" w:rsidRPr="00334CBB" w:rsidRDefault="005F528C" w:rsidP="005F528C">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3ECB7310" w14:textId="0212A1D1" w:rsidR="005F528C" w:rsidRDefault="005F528C" w:rsidP="00ED742C">
      <w:pPr>
        <w:spacing w:line="276" w:lineRule="auto"/>
        <w:jc w:val="both"/>
        <w:rPr>
          <w:rFonts w:ascii="Calibri" w:hAnsi="Calibri" w:cs="Calibri"/>
          <w:sz w:val="23"/>
          <w:szCs w:val="23"/>
        </w:rPr>
      </w:pPr>
    </w:p>
    <w:p w14:paraId="1FD68B2C" w14:textId="04A5CBF7" w:rsidR="005F528C" w:rsidRDefault="005F528C" w:rsidP="00ED742C">
      <w:pPr>
        <w:spacing w:line="276" w:lineRule="auto"/>
        <w:jc w:val="both"/>
        <w:rPr>
          <w:rFonts w:ascii="Calibri" w:hAnsi="Calibri" w:cs="Calibri"/>
          <w:sz w:val="23"/>
          <w:szCs w:val="23"/>
        </w:rPr>
      </w:pPr>
    </w:p>
    <w:p w14:paraId="678E76F4" w14:textId="5F765FA2" w:rsidR="005F528C" w:rsidRDefault="005F528C" w:rsidP="00ED742C">
      <w:pPr>
        <w:spacing w:line="276" w:lineRule="auto"/>
        <w:jc w:val="both"/>
        <w:rPr>
          <w:rFonts w:ascii="Calibri" w:hAnsi="Calibri" w:cs="Calibri"/>
          <w:sz w:val="23"/>
          <w:szCs w:val="23"/>
        </w:rPr>
      </w:pPr>
    </w:p>
    <w:p w14:paraId="32F914AA" w14:textId="77777777" w:rsidR="005F528C" w:rsidRPr="00334CBB" w:rsidRDefault="005F528C" w:rsidP="005F528C">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5B3FA064" w14:textId="189A8CA9" w:rsidR="005F528C" w:rsidRDefault="005F528C" w:rsidP="00ED742C">
      <w:pPr>
        <w:spacing w:line="276" w:lineRule="auto"/>
        <w:jc w:val="both"/>
        <w:rPr>
          <w:rFonts w:ascii="Calibri" w:hAnsi="Calibri" w:cs="Calibri"/>
          <w:sz w:val="23"/>
          <w:szCs w:val="23"/>
        </w:rPr>
      </w:pPr>
    </w:p>
    <w:p w14:paraId="7C12ED22" w14:textId="34462EA9" w:rsidR="005F528C" w:rsidRDefault="005F528C" w:rsidP="00ED742C">
      <w:pPr>
        <w:spacing w:line="276" w:lineRule="auto"/>
        <w:jc w:val="both"/>
        <w:rPr>
          <w:rFonts w:ascii="Calibri" w:hAnsi="Calibri" w:cs="Calibri"/>
          <w:sz w:val="23"/>
          <w:szCs w:val="23"/>
        </w:rPr>
      </w:pPr>
    </w:p>
    <w:p w14:paraId="0378EA95" w14:textId="77777777" w:rsidR="00A73392" w:rsidRDefault="00A73392" w:rsidP="00ED742C">
      <w:pPr>
        <w:spacing w:line="276" w:lineRule="auto"/>
        <w:jc w:val="both"/>
        <w:rPr>
          <w:rFonts w:ascii="Calibri" w:hAnsi="Calibri" w:cs="Calibri"/>
          <w:sz w:val="23"/>
          <w:szCs w:val="23"/>
        </w:rPr>
      </w:pPr>
    </w:p>
    <w:p w14:paraId="3970ADAE" w14:textId="77777777" w:rsidR="005F528C" w:rsidRPr="00334CBB" w:rsidRDefault="005F528C" w:rsidP="005F528C">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5536FC0F" w14:textId="77777777" w:rsidR="005F528C" w:rsidRDefault="005F528C" w:rsidP="00ED742C">
      <w:pPr>
        <w:spacing w:line="276" w:lineRule="auto"/>
        <w:jc w:val="both"/>
        <w:rPr>
          <w:rFonts w:ascii="Calibri" w:hAnsi="Calibri" w:cs="Calibri"/>
          <w:sz w:val="23"/>
          <w:szCs w:val="23"/>
        </w:rPr>
      </w:pPr>
    </w:p>
    <w:p w14:paraId="12C5E2FB" w14:textId="77777777" w:rsidR="00EA3B84" w:rsidRPr="00EA3B84" w:rsidRDefault="00EA3B84" w:rsidP="00ED742C">
      <w:pPr>
        <w:spacing w:line="276" w:lineRule="auto"/>
        <w:jc w:val="both"/>
        <w:rPr>
          <w:rFonts w:ascii="Calibri" w:hAnsi="Calibri" w:cs="Calibri"/>
          <w:sz w:val="23"/>
          <w:szCs w:val="23"/>
        </w:rPr>
      </w:pPr>
    </w:p>
    <w:p w14:paraId="68D53800" w14:textId="7816EC63" w:rsidR="00F35034" w:rsidRDefault="00F35034" w:rsidP="00514FA1">
      <w:pPr>
        <w:spacing w:line="276" w:lineRule="auto"/>
        <w:rPr>
          <w:rFonts w:ascii="Calibri" w:hAnsi="Calibri" w:cs="Calibri"/>
          <w:sz w:val="22"/>
          <w:szCs w:val="22"/>
          <w:lang w:val="es-ES"/>
        </w:rPr>
      </w:pPr>
    </w:p>
    <w:p w14:paraId="7BBF2FD5" w14:textId="7199810F" w:rsidR="00A73392" w:rsidRPr="00A73392" w:rsidRDefault="00A73392" w:rsidP="00A73392">
      <w:pPr>
        <w:spacing w:line="276" w:lineRule="auto"/>
        <w:jc w:val="center"/>
        <w:rPr>
          <w:rFonts w:ascii="Calibri" w:hAnsi="Calibri" w:cs="Calibri"/>
          <w:sz w:val="23"/>
          <w:szCs w:val="23"/>
        </w:rPr>
      </w:pPr>
      <w:r w:rsidRPr="00A73392">
        <w:rPr>
          <w:rFonts w:ascii="Calibri" w:hAnsi="Calibri" w:cs="Calibri"/>
          <w:sz w:val="23"/>
          <w:szCs w:val="23"/>
        </w:rPr>
        <w:lastRenderedPageBreak/>
        <w:t xml:space="preserve">Proyecto de Acto Legislativo </w:t>
      </w:r>
      <w:proofErr w:type="spellStart"/>
      <w:r w:rsidRPr="00A73392">
        <w:rPr>
          <w:rFonts w:ascii="Calibri" w:hAnsi="Calibri" w:cs="Calibri"/>
          <w:sz w:val="23"/>
          <w:szCs w:val="23"/>
        </w:rPr>
        <w:t>Nº</w:t>
      </w:r>
      <w:proofErr w:type="spellEnd"/>
      <w:r w:rsidRPr="00A73392">
        <w:rPr>
          <w:rFonts w:ascii="Calibri" w:hAnsi="Calibri" w:cs="Calibri"/>
          <w:sz w:val="23"/>
          <w:szCs w:val="23"/>
        </w:rPr>
        <w:t xml:space="preserve"> ______ de 2023</w:t>
      </w:r>
    </w:p>
    <w:p w14:paraId="28F921AC" w14:textId="77777777" w:rsidR="00A73392" w:rsidRPr="00A73392" w:rsidRDefault="00A73392" w:rsidP="00A73392">
      <w:pPr>
        <w:spacing w:line="276" w:lineRule="auto"/>
        <w:jc w:val="center"/>
        <w:rPr>
          <w:rFonts w:ascii="Calibri" w:hAnsi="Calibri" w:cs="Calibri"/>
          <w:b/>
          <w:bCs/>
          <w:sz w:val="23"/>
          <w:szCs w:val="23"/>
        </w:rPr>
      </w:pPr>
    </w:p>
    <w:p w14:paraId="22778475" w14:textId="6EA0866F" w:rsidR="00F7752D" w:rsidRPr="00A73392" w:rsidRDefault="00A73392" w:rsidP="00A73392">
      <w:pPr>
        <w:spacing w:line="276" w:lineRule="auto"/>
        <w:jc w:val="center"/>
        <w:rPr>
          <w:rFonts w:ascii="Calibri" w:hAnsi="Calibri" w:cs="Calibri"/>
          <w:b/>
          <w:bCs/>
          <w:sz w:val="23"/>
          <w:szCs w:val="23"/>
        </w:rPr>
      </w:pPr>
      <w:r w:rsidRPr="00A73392">
        <w:rPr>
          <w:rFonts w:ascii="Calibri" w:hAnsi="Calibri" w:cs="Calibri"/>
          <w:b/>
          <w:bCs/>
          <w:sz w:val="23"/>
          <w:szCs w:val="23"/>
        </w:rPr>
        <w:t xml:space="preserve">“Por el cual se otorga la categoría de distrito especial </w:t>
      </w:r>
      <w:r w:rsidR="008163C8">
        <w:rPr>
          <w:rFonts w:ascii="Calibri" w:hAnsi="Calibri" w:cs="Calibri"/>
          <w:b/>
          <w:bCs/>
          <w:sz w:val="23"/>
          <w:szCs w:val="23"/>
        </w:rPr>
        <w:t xml:space="preserve">eje </w:t>
      </w:r>
      <w:r w:rsidRPr="00A73392">
        <w:rPr>
          <w:rFonts w:ascii="Calibri" w:hAnsi="Calibri" w:cs="Calibri"/>
          <w:b/>
          <w:bCs/>
          <w:sz w:val="23"/>
          <w:szCs w:val="23"/>
        </w:rPr>
        <w:t>del conocimiento al municipio de Manizales en el departamento de Caldas”</w:t>
      </w:r>
    </w:p>
    <w:p w14:paraId="6C981460" w14:textId="2152A1FC" w:rsidR="00A73392" w:rsidRPr="00A73392" w:rsidRDefault="00A73392" w:rsidP="00A73392">
      <w:pPr>
        <w:spacing w:line="276" w:lineRule="auto"/>
        <w:jc w:val="center"/>
        <w:rPr>
          <w:rFonts w:ascii="Calibri" w:hAnsi="Calibri" w:cs="Calibri"/>
          <w:b/>
          <w:bCs/>
          <w:sz w:val="23"/>
          <w:szCs w:val="23"/>
        </w:rPr>
      </w:pPr>
    </w:p>
    <w:p w14:paraId="7A1D04CE" w14:textId="7D1EEE49" w:rsidR="00A73392" w:rsidRPr="00A73392" w:rsidRDefault="00A73392" w:rsidP="00A73392">
      <w:pPr>
        <w:spacing w:line="276" w:lineRule="auto"/>
        <w:jc w:val="center"/>
        <w:rPr>
          <w:rFonts w:ascii="Calibri" w:hAnsi="Calibri" w:cs="Calibri"/>
          <w:sz w:val="23"/>
          <w:szCs w:val="23"/>
        </w:rPr>
      </w:pPr>
      <w:r w:rsidRPr="00A73392">
        <w:rPr>
          <w:rFonts w:ascii="Calibri" w:hAnsi="Calibri" w:cs="Calibri"/>
          <w:sz w:val="23"/>
          <w:szCs w:val="23"/>
        </w:rPr>
        <w:t>EL CONGRESO DE COLOMBIA</w:t>
      </w:r>
    </w:p>
    <w:p w14:paraId="26A86DD8" w14:textId="268AACBF" w:rsidR="00A73392" w:rsidRPr="00A73392" w:rsidRDefault="00A73392" w:rsidP="00A73392">
      <w:pPr>
        <w:spacing w:line="276" w:lineRule="auto"/>
        <w:jc w:val="center"/>
        <w:rPr>
          <w:rFonts w:ascii="Calibri" w:hAnsi="Calibri" w:cs="Calibri"/>
          <w:sz w:val="23"/>
          <w:szCs w:val="23"/>
        </w:rPr>
      </w:pPr>
    </w:p>
    <w:p w14:paraId="2B5DFA3F" w14:textId="2F11F2BB" w:rsidR="00A73392" w:rsidRDefault="00A73392" w:rsidP="00702952">
      <w:pPr>
        <w:spacing w:line="276" w:lineRule="auto"/>
        <w:jc w:val="center"/>
        <w:rPr>
          <w:rFonts w:ascii="Calibri" w:hAnsi="Calibri" w:cs="Calibri"/>
          <w:sz w:val="23"/>
          <w:szCs w:val="23"/>
        </w:rPr>
      </w:pPr>
      <w:r w:rsidRPr="00A73392">
        <w:rPr>
          <w:rFonts w:ascii="Calibri" w:hAnsi="Calibri" w:cs="Calibri"/>
          <w:sz w:val="23"/>
          <w:szCs w:val="23"/>
        </w:rPr>
        <w:t>DECRETA:</w:t>
      </w:r>
    </w:p>
    <w:p w14:paraId="336E1634" w14:textId="702E3A55" w:rsidR="00A73392" w:rsidRDefault="00A73392" w:rsidP="00A73392">
      <w:pPr>
        <w:spacing w:line="276" w:lineRule="auto"/>
        <w:jc w:val="both"/>
        <w:rPr>
          <w:rFonts w:ascii="Calibri" w:hAnsi="Calibri" w:cs="Calibri"/>
          <w:sz w:val="23"/>
          <w:szCs w:val="23"/>
        </w:rPr>
      </w:pPr>
    </w:p>
    <w:p w14:paraId="6F8467EF" w14:textId="77777777" w:rsidR="00636714" w:rsidRPr="00A73392" w:rsidRDefault="00A73392" w:rsidP="00636714">
      <w:pPr>
        <w:spacing w:line="276" w:lineRule="auto"/>
        <w:jc w:val="both"/>
        <w:rPr>
          <w:rFonts w:ascii="Calibri" w:hAnsi="Calibri" w:cs="Calibri"/>
          <w:sz w:val="22"/>
          <w:szCs w:val="22"/>
          <w:lang w:val="es-ES"/>
        </w:rPr>
      </w:pPr>
      <w:r>
        <w:rPr>
          <w:rFonts w:ascii="Calibri" w:hAnsi="Calibri" w:cs="Calibri"/>
          <w:sz w:val="22"/>
          <w:szCs w:val="22"/>
          <w:lang w:val="es-ES"/>
        </w:rPr>
        <w:t xml:space="preserve">Artículo 1º. </w:t>
      </w:r>
      <w:r w:rsidR="00636714" w:rsidRPr="00A73392">
        <w:rPr>
          <w:rFonts w:ascii="Calibri" w:hAnsi="Calibri" w:cs="Calibri"/>
          <w:sz w:val="22"/>
          <w:szCs w:val="22"/>
          <w:lang w:val="es-ES"/>
        </w:rPr>
        <w:t>Artículo Nuevo. Adiciónese el siguiente inciso al artículo 328 de la Constitución Política:</w:t>
      </w:r>
    </w:p>
    <w:p w14:paraId="45943756" w14:textId="77777777" w:rsidR="00636714" w:rsidRPr="00A73392" w:rsidRDefault="00636714" w:rsidP="00636714">
      <w:pPr>
        <w:spacing w:line="276" w:lineRule="auto"/>
        <w:jc w:val="both"/>
        <w:rPr>
          <w:rFonts w:ascii="Calibri" w:hAnsi="Calibri" w:cs="Calibri"/>
          <w:sz w:val="22"/>
          <w:szCs w:val="22"/>
          <w:lang w:val="es-ES"/>
        </w:rPr>
      </w:pPr>
    </w:p>
    <w:p w14:paraId="621BA665" w14:textId="2397E382" w:rsidR="00636714" w:rsidRPr="00636714" w:rsidRDefault="00636714" w:rsidP="00636714">
      <w:pPr>
        <w:spacing w:line="276" w:lineRule="auto"/>
        <w:jc w:val="both"/>
        <w:rPr>
          <w:rFonts w:ascii="Calibri" w:hAnsi="Calibri" w:cs="Calibri"/>
          <w:b/>
          <w:bCs/>
          <w:sz w:val="22"/>
          <w:szCs w:val="22"/>
          <w:u w:val="single"/>
          <w:lang w:val="es-ES"/>
        </w:rPr>
      </w:pPr>
      <w:r w:rsidRPr="00636714">
        <w:rPr>
          <w:rFonts w:ascii="Calibri" w:hAnsi="Calibri" w:cs="Calibri"/>
          <w:b/>
          <w:bCs/>
          <w:sz w:val="22"/>
          <w:szCs w:val="22"/>
          <w:u w:val="single"/>
          <w:lang w:val="es-ES"/>
        </w:rPr>
        <w:t xml:space="preserve">La ciudad de Manizales se organiza como Distrito Especial </w:t>
      </w:r>
      <w:r w:rsidR="008163C8">
        <w:rPr>
          <w:rFonts w:ascii="Calibri" w:hAnsi="Calibri" w:cs="Calibri"/>
          <w:b/>
          <w:bCs/>
          <w:sz w:val="22"/>
          <w:szCs w:val="22"/>
          <w:u w:val="single"/>
          <w:lang w:val="es-ES"/>
        </w:rPr>
        <w:t xml:space="preserve">eje </w:t>
      </w:r>
      <w:r w:rsidRPr="00636714">
        <w:rPr>
          <w:rFonts w:ascii="Calibri" w:hAnsi="Calibri" w:cs="Calibri"/>
          <w:b/>
          <w:bCs/>
          <w:sz w:val="22"/>
          <w:szCs w:val="22"/>
          <w:u w:val="single"/>
          <w:lang w:val="es-ES"/>
        </w:rPr>
        <w:t>del Conocimiento.</w:t>
      </w:r>
    </w:p>
    <w:p w14:paraId="137D4C29" w14:textId="77777777" w:rsidR="00636714" w:rsidRDefault="00636714" w:rsidP="00A73392">
      <w:pPr>
        <w:spacing w:line="276" w:lineRule="auto"/>
        <w:jc w:val="both"/>
        <w:rPr>
          <w:rFonts w:ascii="Calibri" w:hAnsi="Calibri" w:cs="Calibri"/>
          <w:sz w:val="22"/>
          <w:szCs w:val="22"/>
          <w:lang w:val="es-ES"/>
        </w:rPr>
      </w:pPr>
    </w:p>
    <w:p w14:paraId="4C4EAC04" w14:textId="625B4B46" w:rsidR="00A73392" w:rsidRDefault="00636714" w:rsidP="00A73392">
      <w:pPr>
        <w:spacing w:line="276" w:lineRule="auto"/>
        <w:jc w:val="both"/>
        <w:rPr>
          <w:rFonts w:ascii="Calibri" w:hAnsi="Calibri" w:cs="Calibri"/>
          <w:sz w:val="22"/>
          <w:szCs w:val="22"/>
          <w:lang w:val="es-ES"/>
        </w:rPr>
      </w:pPr>
      <w:r>
        <w:rPr>
          <w:rFonts w:ascii="Calibri" w:hAnsi="Calibri" w:cs="Calibri"/>
          <w:sz w:val="22"/>
          <w:szCs w:val="22"/>
          <w:lang w:val="es-ES"/>
        </w:rPr>
        <w:t xml:space="preserve">Artículo 2º. </w:t>
      </w:r>
      <w:r w:rsidR="00A73392" w:rsidRPr="00A73392">
        <w:rPr>
          <w:rFonts w:ascii="Calibri" w:hAnsi="Calibri" w:cs="Calibri"/>
          <w:sz w:val="22"/>
          <w:szCs w:val="22"/>
          <w:lang w:val="es-ES"/>
        </w:rPr>
        <w:t>Adiciónese el siguiente inciso al artículo 356 de la Constitución Política</w:t>
      </w:r>
      <w:r w:rsidR="00A73392">
        <w:rPr>
          <w:rFonts w:ascii="Calibri" w:hAnsi="Calibri" w:cs="Calibri"/>
          <w:sz w:val="22"/>
          <w:szCs w:val="22"/>
          <w:lang w:val="es-ES"/>
        </w:rPr>
        <w:t>:</w:t>
      </w:r>
    </w:p>
    <w:p w14:paraId="402180AE" w14:textId="77777777" w:rsidR="00A73392" w:rsidRDefault="00A73392" w:rsidP="00A73392">
      <w:pPr>
        <w:spacing w:line="276" w:lineRule="auto"/>
        <w:jc w:val="both"/>
        <w:rPr>
          <w:rFonts w:ascii="Calibri" w:hAnsi="Calibri" w:cs="Calibri"/>
          <w:sz w:val="22"/>
          <w:szCs w:val="22"/>
          <w:lang w:val="es-ES"/>
        </w:rPr>
      </w:pPr>
    </w:p>
    <w:p w14:paraId="3880B442" w14:textId="18642D7C" w:rsidR="00A73392" w:rsidRPr="00636714" w:rsidRDefault="00A73392" w:rsidP="00A73392">
      <w:pPr>
        <w:spacing w:line="276" w:lineRule="auto"/>
        <w:jc w:val="both"/>
        <w:rPr>
          <w:rFonts w:ascii="Calibri" w:hAnsi="Calibri" w:cs="Calibri"/>
          <w:b/>
          <w:bCs/>
          <w:sz w:val="22"/>
          <w:szCs w:val="22"/>
          <w:u w:val="single"/>
          <w:lang w:val="es-ES"/>
        </w:rPr>
      </w:pPr>
      <w:r w:rsidRPr="00636714">
        <w:rPr>
          <w:rFonts w:ascii="Calibri" w:hAnsi="Calibri" w:cs="Calibri"/>
          <w:b/>
          <w:bCs/>
          <w:sz w:val="22"/>
          <w:szCs w:val="22"/>
          <w:u w:val="single"/>
          <w:lang w:val="es-ES"/>
        </w:rPr>
        <w:t xml:space="preserve">La ciudad de Manizales se organiza como Distrito Especial </w:t>
      </w:r>
      <w:r w:rsidR="008163C8">
        <w:rPr>
          <w:rFonts w:ascii="Calibri" w:hAnsi="Calibri" w:cs="Calibri"/>
          <w:b/>
          <w:bCs/>
          <w:sz w:val="22"/>
          <w:szCs w:val="22"/>
          <w:u w:val="single"/>
          <w:lang w:val="es-ES"/>
        </w:rPr>
        <w:t xml:space="preserve">eje </w:t>
      </w:r>
      <w:r w:rsidRPr="00636714">
        <w:rPr>
          <w:rFonts w:ascii="Calibri" w:hAnsi="Calibri" w:cs="Calibri"/>
          <w:b/>
          <w:bCs/>
          <w:sz w:val="22"/>
          <w:szCs w:val="22"/>
          <w:u w:val="single"/>
          <w:lang w:val="es-ES"/>
        </w:rPr>
        <w:t>del Conocimiento. Su régimen político y fiscal será el previsto en la Constitución y las leyes especiales que para el efecto se dicten.</w:t>
      </w:r>
    </w:p>
    <w:p w14:paraId="6584832C" w14:textId="27A91F01" w:rsidR="00A73392" w:rsidRDefault="00A73392" w:rsidP="00A73392">
      <w:pPr>
        <w:spacing w:line="276" w:lineRule="auto"/>
        <w:jc w:val="both"/>
        <w:rPr>
          <w:rFonts w:ascii="Calibri" w:hAnsi="Calibri" w:cs="Calibri"/>
          <w:sz w:val="22"/>
          <w:szCs w:val="22"/>
          <w:lang w:val="es-ES"/>
        </w:rPr>
      </w:pPr>
    </w:p>
    <w:p w14:paraId="0C8CE930" w14:textId="6EE2F466" w:rsidR="00A73392" w:rsidRPr="00A73392" w:rsidRDefault="00A73392" w:rsidP="00A73392">
      <w:pPr>
        <w:spacing w:line="276" w:lineRule="auto"/>
        <w:jc w:val="both"/>
        <w:rPr>
          <w:rFonts w:ascii="Calibri" w:hAnsi="Calibri" w:cs="Calibri"/>
          <w:sz w:val="22"/>
          <w:szCs w:val="22"/>
          <w:lang w:val="es-ES"/>
        </w:rPr>
      </w:pPr>
      <w:r w:rsidRPr="00A73392">
        <w:rPr>
          <w:rFonts w:ascii="Calibri" w:hAnsi="Calibri" w:cs="Calibri"/>
          <w:sz w:val="22"/>
          <w:szCs w:val="22"/>
          <w:lang w:val="es-ES"/>
        </w:rPr>
        <w:t xml:space="preserve">Artículo </w:t>
      </w:r>
      <w:r w:rsidR="00702952">
        <w:rPr>
          <w:rFonts w:ascii="Calibri" w:hAnsi="Calibri" w:cs="Calibri"/>
          <w:sz w:val="22"/>
          <w:szCs w:val="22"/>
          <w:lang w:val="es-ES"/>
        </w:rPr>
        <w:t>3</w:t>
      </w:r>
      <w:r w:rsidRPr="00A73392">
        <w:rPr>
          <w:rFonts w:ascii="Calibri" w:hAnsi="Calibri" w:cs="Calibri"/>
          <w:sz w:val="22"/>
          <w:szCs w:val="22"/>
          <w:lang w:val="es-ES"/>
        </w:rPr>
        <w:t xml:space="preserve">º. Adiciónese </w:t>
      </w:r>
      <w:r>
        <w:rPr>
          <w:rFonts w:ascii="Calibri" w:hAnsi="Calibri" w:cs="Calibri"/>
          <w:sz w:val="22"/>
          <w:szCs w:val="22"/>
          <w:lang w:val="es-ES"/>
        </w:rPr>
        <w:t xml:space="preserve">un </w:t>
      </w:r>
      <w:r w:rsidRPr="00A73392">
        <w:rPr>
          <w:rFonts w:ascii="Calibri" w:hAnsi="Calibri" w:cs="Calibri"/>
          <w:sz w:val="22"/>
          <w:szCs w:val="22"/>
          <w:lang w:val="es-ES"/>
        </w:rPr>
        <w:t>parágrafo al artículo 356 de la Constitución Política</w:t>
      </w:r>
      <w:r>
        <w:rPr>
          <w:rFonts w:ascii="Calibri" w:hAnsi="Calibri" w:cs="Calibri"/>
          <w:sz w:val="22"/>
          <w:szCs w:val="22"/>
          <w:lang w:val="es-ES"/>
        </w:rPr>
        <w:t>, así</w:t>
      </w:r>
      <w:r w:rsidRPr="00A73392">
        <w:rPr>
          <w:rFonts w:ascii="Calibri" w:hAnsi="Calibri" w:cs="Calibri"/>
          <w:sz w:val="22"/>
          <w:szCs w:val="22"/>
          <w:lang w:val="es-ES"/>
        </w:rPr>
        <w:t>:</w:t>
      </w:r>
    </w:p>
    <w:p w14:paraId="14DA8652" w14:textId="77777777" w:rsidR="00A73392" w:rsidRPr="00A73392" w:rsidRDefault="00A73392" w:rsidP="00A73392">
      <w:pPr>
        <w:spacing w:line="276" w:lineRule="auto"/>
        <w:jc w:val="both"/>
        <w:rPr>
          <w:rFonts w:ascii="Calibri" w:hAnsi="Calibri" w:cs="Calibri"/>
          <w:sz w:val="22"/>
          <w:szCs w:val="22"/>
          <w:lang w:val="es-ES"/>
        </w:rPr>
      </w:pPr>
    </w:p>
    <w:p w14:paraId="7FBFB36F" w14:textId="75D581F9" w:rsidR="00A73392" w:rsidRPr="00636714" w:rsidRDefault="00A73392" w:rsidP="00636714">
      <w:pPr>
        <w:spacing w:line="276" w:lineRule="auto"/>
        <w:jc w:val="both"/>
        <w:rPr>
          <w:rFonts w:ascii="Calibri" w:hAnsi="Calibri" w:cs="Calibri"/>
          <w:b/>
          <w:bCs/>
          <w:sz w:val="22"/>
          <w:szCs w:val="22"/>
          <w:u w:val="single"/>
          <w:lang w:val="es-ES"/>
        </w:rPr>
      </w:pPr>
      <w:r w:rsidRPr="00636714">
        <w:rPr>
          <w:rFonts w:ascii="Calibri" w:hAnsi="Calibri" w:cs="Calibri"/>
          <w:b/>
          <w:bCs/>
          <w:sz w:val="22"/>
          <w:szCs w:val="22"/>
          <w:u w:val="single"/>
          <w:lang w:val="es-ES"/>
        </w:rPr>
        <w:t>Parágrafo 2. La ciudad de Manizales podrá crear mecanismos adicionales a los existentes para la promoción y el desarrollo del Distrito Especial</w:t>
      </w:r>
      <w:r w:rsidR="00702952">
        <w:rPr>
          <w:rFonts w:ascii="Calibri" w:hAnsi="Calibri" w:cs="Calibri"/>
          <w:b/>
          <w:bCs/>
          <w:sz w:val="22"/>
          <w:szCs w:val="22"/>
          <w:u w:val="single"/>
          <w:lang w:val="es-ES"/>
        </w:rPr>
        <w:t xml:space="preserve"> del Conocimiento</w:t>
      </w:r>
      <w:r w:rsidRPr="00636714">
        <w:rPr>
          <w:rFonts w:ascii="Calibri" w:hAnsi="Calibri" w:cs="Calibri"/>
          <w:b/>
          <w:bCs/>
          <w:sz w:val="22"/>
          <w:szCs w:val="22"/>
          <w:u w:val="single"/>
          <w:lang w:val="es-ES"/>
        </w:rPr>
        <w:t>, así como la creación de un fondo de desarrollo distrital para el financiamiento de los proyectos asociados a</w:t>
      </w:r>
      <w:r w:rsidR="00702952">
        <w:rPr>
          <w:rFonts w:ascii="Calibri" w:hAnsi="Calibri" w:cs="Calibri"/>
          <w:b/>
          <w:bCs/>
          <w:sz w:val="22"/>
          <w:szCs w:val="22"/>
          <w:u w:val="single"/>
          <w:lang w:val="es-ES"/>
        </w:rPr>
        <w:t xml:space="preserve"> la ciencia, la tecnología</w:t>
      </w:r>
      <w:r w:rsidRPr="00636714">
        <w:rPr>
          <w:rFonts w:ascii="Calibri" w:hAnsi="Calibri" w:cs="Calibri"/>
          <w:b/>
          <w:bCs/>
          <w:sz w:val="22"/>
          <w:szCs w:val="22"/>
          <w:u w:val="single"/>
          <w:lang w:val="es-ES"/>
        </w:rPr>
        <w:t xml:space="preserve"> y la innovación.</w:t>
      </w:r>
      <w:r w:rsidR="00636714" w:rsidRPr="00636714">
        <w:rPr>
          <w:rFonts w:ascii="Calibri" w:hAnsi="Calibri" w:cs="Calibri"/>
          <w:b/>
          <w:bCs/>
          <w:sz w:val="22"/>
          <w:szCs w:val="22"/>
          <w:u w:val="single"/>
          <w:lang w:val="es-ES"/>
        </w:rPr>
        <w:t xml:space="preserve"> </w:t>
      </w:r>
      <w:r w:rsidRPr="00636714">
        <w:rPr>
          <w:rFonts w:ascii="Calibri" w:hAnsi="Calibri" w:cs="Calibri"/>
          <w:b/>
          <w:bCs/>
          <w:sz w:val="22"/>
          <w:szCs w:val="22"/>
          <w:u w:val="single"/>
          <w:lang w:val="es-ES"/>
        </w:rPr>
        <w:t xml:space="preserve">La ciudad de Manizales </w:t>
      </w:r>
      <w:r w:rsidR="00702952">
        <w:rPr>
          <w:rFonts w:ascii="Calibri" w:hAnsi="Calibri" w:cs="Calibri"/>
          <w:b/>
          <w:bCs/>
          <w:sz w:val="22"/>
          <w:szCs w:val="22"/>
          <w:u w:val="single"/>
          <w:lang w:val="es-ES"/>
        </w:rPr>
        <w:t xml:space="preserve">promoverá mecanismos para la inclusión de la población y </w:t>
      </w:r>
      <w:r w:rsidRPr="00636714">
        <w:rPr>
          <w:rFonts w:ascii="Calibri" w:hAnsi="Calibri" w:cs="Calibri"/>
          <w:b/>
          <w:bCs/>
          <w:sz w:val="22"/>
          <w:szCs w:val="22"/>
          <w:u w:val="single"/>
          <w:lang w:val="es-ES"/>
        </w:rPr>
        <w:t xml:space="preserve">el enfoque diferencial para los grupos étnicos minoritarios. </w:t>
      </w:r>
    </w:p>
    <w:p w14:paraId="05BB7AB8" w14:textId="0F2F705D" w:rsidR="00636714" w:rsidRDefault="00636714" w:rsidP="00A73392">
      <w:pPr>
        <w:spacing w:line="276" w:lineRule="auto"/>
        <w:jc w:val="both"/>
        <w:rPr>
          <w:rFonts w:ascii="Calibri" w:hAnsi="Calibri" w:cs="Calibri"/>
          <w:sz w:val="22"/>
          <w:szCs w:val="22"/>
          <w:lang w:val="es-ES"/>
        </w:rPr>
      </w:pPr>
    </w:p>
    <w:p w14:paraId="29F65715" w14:textId="5043FD69" w:rsidR="00636714" w:rsidRDefault="00636714" w:rsidP="00A73392">
      <w:pPr>
        <w:spacing w:line="276" w:lineRule="auto"/>
        <w:jc w:val="both"/>
        <w:rPr>
          <w:rFonts w:ascii="Calibri" w:hAnsi="Calibri" w:cs="Calibri"/>
          <w:sz w:val="22"/>
          <w:szCs w:val="22"/>
          <w:lang w:val="es-ES"/>
        </w:rPr>
      </w:pPr>
      <w:r w:rsidRPr="00636714">
        <w:rPr>
          <w:rFonts w:ascii="Calibri" w:hAnsi="Calibri" w:cs="Calibri"/>
          <w:sz w:val="22"/>
          <w:szCs w:val="22"/>
          <w:lang w:val="es-ES"/>
        </w:rPr>
        <w:t xml:space="preserve">Artículo </w:t>
      </w:r>
      <w:r w:rsidR="00702952">
        <w:rPr>
          <w:rFonts w:ascii="Calibri" w:hAnsi="Calibri" w:cs="Calibri"/>
          <w:sz w:val="22"/>
          <w:szCs w:val="22"/>
          <w:lang w:val="es-ES"/>
        </w:rPr>
        <w:t>4</w:t>
      </w:r>
      <w:r w:rsidRPr="00636714">
        <w:rPr>
          <w:rFonts w:ascii="Calibri" w:hAnsi="Calibri" w:cs="Calibri"/>
          <w:sz w:val="22"/>
          <w:szCs w:val="22"/>
          <w:lang w:val="es-ES"/>
        </w:rPr>
        <w:t>º. Vigencia. El presente Acto Legislativo rige a partir de su promulgación.</w:t>
      </w:r>
    </w:p>
    <w:p w14:paraId="652673A5" w14:textId="40DECD36" w:rsidR="00636714" w:rsidRDefault="00636714" w:rsidP="00A73392">
      <w:pPr>
        <w:spacing w:line="276" w:lineRule="auto"/>
        <w:jc w:val="both"/>
        <w:rPr>
          <w:rFonts w:ascii="Calibri" w:hAnsi="Calibri" w:cs="Calibri"/>
          <w:sz w:val="22"/>
          <w:szCs w:val="22"/>
          <w:lang w:val="es-ES"/>
        </w:rPr>
      </w:pPr>
    </w:p>
    <w:p w14:paraId="6F2940C2" w14:textId="77777777" w:rsidR="00636714" w:rsidRPr="00334CBB" w:rsidRDefault="00636714" w:rsidP="00636714">
      <w:pPr>
        <w:spacing w:line="276" w:lineRule="auto"/>
        <w:jc w:val="both"/>
        <w:rPr>
          <w:rFonts w:ascii="Calibri" w:hAnsi="Calibri" w:cs="Calibri"/>
          <w:sz w:val="23"/>
          <w:szCs w:val="23"/>
        </w:rPr>
      </w:pPr>
      <w:r w:rsidRPr="00334CBB">
        <w:rPr>
          <w:rFonts w:ascii="Calibri" w:hAnsi="Calibri" w:cs="Calibri"/>
          <w:sz w:val="23"/>
          <w:szCs w:val="23"/>
        </w:rPr>
        <w:t>Firma</w:t>
      </w:r>
      <w:r>
        <w:rPr>
          <w:rFonts w:ascii="Calibri" w:hAnsi="Calibri" w:cs="Calibri"/>
          <w:sz w:val="23"/>
          <w:szCs w:val="23"/>
        </w:rPr>
        <w:t>n los Honorables Congresistas</w:t>
      </w:r>
      <w:r w:rsidRPr="00334CBB">
        <w:rPr>
          <w:rFonts w:ascii="Calibri" w:hAnsi="Calibri" w:cs="Calibri"/>
          <w:sz w:val="23"/>
          <w:szCs w:val="23"/>
        </w:rPr>
        <w:t>,</w:t>
      </w:r>
    </w:p>
    <w:p w14:paraId="1CA6348F" w14:textId="77777777" w:rsidR="00636714" w:rsidRPr="00334CBB" w:rsidRDefault="00636714" w:rsidP="00636714">
      <w:pPr>
        <w:spacing w:line="276" w:lineRule="auto"/>
        <w:jc w:val="both"/>
        <w:rPr>
          <w:rFonts w:ascii="Calibri" w:hAnsi="Calibri" w:cs="Calibri"/>
          <w:sz w:val="23"/>
          <w:szCs w:val="23"/>
        </w:rPr>
      </w:pPr>
    </w:p>
    <w:p w14:paraId="2F3B22F3" w14:textId="77777777" w:rsidR="00636714" w:rsidRPr="00334CBB" w:rsidRDefault="00636714" w:rsidP="00636714">
      <w:pPr>
        <w:spacing w:line="276" w:lineRule="auto"/>
        <w:jc w:val="both"/>
        <w:rPr>
          <w:rFonts w:ascii="Calibri" w:hAnsi="Calibri" w:cs="Calibri"/>
          <w:sz w:val="23"/>
          <w:szCs w:val="23"/>
        </w:rPr>
      </w:pPr>
    </w:p>
    <w:p w14:paraId="0AB88552" w14:textId="77777777" w:rsidR="00636714" w:rsidRPr="00334CBB" w:rsidRDefault="00636714" w:rsidP="00636714">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63DF4160" w14:textId="77777777" w:rsidR="00636714" w:rsidRPr="00F263B6" w:rsidRDefault="00636714" w:rsidP="00636714">
      <w:pPr>
        <w:spacing w:line="276" w:lineRule="auto"/>
        <w:jc w:val="both"/>
        <w:rPr>
          <w:rFonts w:ascii="Calibri" w:hAnsi="Calibri" w:cs="Calibri"/>
          <w:b/>
          <w:bCs/>
          <w:sz w:val="20"/>
          <w:szCs w:val="20"/>
        </w:rPr>
      </w:pPr>
      <w:r w:rsidRPr="00F263B6">
        <w:rPr>
          <w:rFonts w:ascii="Calibri" w:hAnsi="Calibri" w:cs="Calibri"/>
          <w:b/>
          <w:bCs/>
          <w:sz w:val="20"/>
          <w:szCs w:val="20"/>
        </w:rPr>
        <w:t>GUIDO ECHEVERRI PIEDRAHITA</w:t>
      </w:r>
    </w:p>
    <w:p w14:paraId="06DBEE9F" w14:textId="77777777" w:rsidR="00636714" w:rsidRPr="00F263B6" w:rsidRDefault="00636714" w:rsidP="00636714">
      <w:pPr>
        <w:spacing w:line="276" w:lineRule="auto"/>
        <w:jc w:val="both"/>
        <w:rPr>
          <w:rFonts w:ascii="Calibri" w:hAnsi="Calibri" w:cs="Calibri"/>
          <w:sz w:val="20"/>
          <w:szCs w:val="20"/>
        </w:rPr>
      </w:pPr>
      <w:r w:rsidRPr="00F263B6">
        <w:rPr>
          <w:rFonts w:ascii="Calibri" w:hAnsi="Calibri" w:cs="Calibri"/>
          <w:sz w:val="20"/>
          <w:szCs w:val="20"/>
        </w:rPr>
        <w:t>Senador de la República</w:t>
      </w:r>
    </w:p>
    <w:p w14:paraId="3E5E0F12" w14:textId="77777777" w:rsidR="00636714" w:rsidRDefault="00636714" w:rsidP="00636714">
      <w:pPr>
        <w:spacing w:line="276" w:lineRule="auto"/>
        <w:jc w:val="both"/>
        <w:rPr>
          <w:rFonts w:ascii="Calibri" w:hAnsi="Calibri" w:cs="Calibri"/>
          <w:sz w:val="23"/>
          <w:szCs w:val="23"/>
        </w:rPr>
      </w:pPr>
    </w:p>
    <w:p w14:paraId="3975000E" w14:textId="77777777" w:rsidR="00636714" w:rsidRDefault="00636714" w:rsidP="00636714">
      <w:pPr>
        <w:spacing w:line="276" w:lineRule="auto"/>
        <w:jc w:val="both"/>
        <w:rPr>
          <w:rFonts w:ascii="Calibri" w:hAnsi="Calibri" w:cs="Calibri"/>
          <w:sz w:val="23"/>
          <w:szCs w:val="23"/>
        </w:rPr>
      </w:pPr>
    </w:p>
    <w:p w14:paraId="588FDCBF" w14:textId="77777777" w:rsidR="00636714" w:rsidRPr="00334CBB" w:rsidRDefault="00636714" w:rsidP="00636714">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2214660D" w14:textId="77777777" w:rsidR="00636714" w:rsidRPr="00334CBB" w:rsidRDefault="00636714" w:rsidP="00636714">
      <w:pPr>
        <w:spacing w:line="276" w:lineRule="auto"/>
        <w:jc w:val="both"/>
        <w:rPr>
          <w:rFonts w:ascii="Calibri" w:hAnsi="Calibri" w:cs="Calibri"/>
          <w:sz w:val="23"/>
          <w:szCs w:val="23"/>
        </w:rPr>
      </w:pPr>
    </w:p>
    <w:p w14:paraId="039BD253" w14:textId="77777777" w:rsidR="00636714" w:rsidRDefault="00636714" w:rsidP="00636714">
      <w:pPr>
        <w:spacing w:line="276" w:lineRule="auto"/>
        <w:jc w:val="both"/>
        <w:rPr>
          <w:rFonts w:ascii="Calibri" w:hAnsi="Calibri" w:cs="Calibri"/>
          <w:sz w:val="23"/>
          <w:szCs w:val="23"/>
        </w:rPr>
      </w:pPr>
    </w:p>
    <w:p w14:paraId="0BE06637" w14:textId="77777777" w:rsidR="00636714" w:rsidRDefault="00636714" w:rsidP="00636714">
      <w:pPr>
        <w:spacing w:line="276" w:lineRule="auto"/>
        <w:jc w:val="both"/>
        <w:rPr>
          <w:rFonts w:ascii="Calibri" w:hAnsi="Calibri" w:cs="Calibri"/>
          <w:sz w:val="23"/>
          <w:szCs w:val="23"/>
        </w:rPr>
      </w:pPr>
    </w:p>
    <w:p w14:paraId="3ABDF7F7" w14:textId="77777777" w:rsidR="00636714" w:rsidRPr="00334CBB" w:rsidRDefault="00636714" w:rsidP="00636714">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24DE8A1C" w14:textId="77777777" w:rsidR="00636714" w:rsidRDefault="00636714" w:rsidP="00636714">
      <w:pPr>
        <w:spacing w:line="276" w:lineRule="auto"/>
        <w:jc w:val="both"/>
        <w:rPr>
          <w:rFonts w:ascii="Calibri" w:hAnsi="Calibri" w:cs="Calibri"/>
          <w:sz w:val="23"/>
          <w:szCs w:val="23"/>
        </w:rPr>
      </w:pPr>
    </w:p>
    <w:p w14:paraId="086523AD" w14:textId="77777777" w:rsidR="00636714" w:rsidRDefault="00636714" w:rsidP="00636714">
      <w:pPr>
        <w:spacing w:line="276" w:lineRule="auto"/>
        <w:jc w:val="both"/>
        <w:rPr>
          <w:rFonts w:ascii="Calibri" w:hAnsi="Calibri" w:cs="Calibri"/>
          <w:sz w:val="23"/>
          <w:szCs w:val="23"/>
        </w:rPr>
      </w:pPr>
    </w:p>
    <w:p w14:paraId="2B164C9C" w14:textId="77777777" w:rsidR="00636714" w:rsidRDefault="00636714" w:rsidP="00636714">
      <w:pPr>
        <w:spacing w:line="276" w:lineRule="auto"/>
        <w:jc w:val="both"/>
        <w:rPr>
          <w:rFonts w:ascii="Calibri" w:hAnsi="Calibri" w:cs="Calibri"/>
          <w:sz w:val="23"/>
          <w:szCs w:val="23"/>
        </w:rPr>
      </w:pPr>
    </w:p>
    <w:p w14:paraId="1185CF52" w14:textId="77777777" w:rsidR="00636714" w:rsidRPr="00334CBB" w:rsidRDefault="00636714" w:rsidP="00636714">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556F3DAD" w14:textId="77777777" w:rsidR="00636714" w:rsidRDefault="00636714" w:rsidP="00636714">
      <w:pPr>
        <w:spacing w:line="276" w:lineRule="auto"/>
        <w:jc w:val="both"/>
        <w:rPr>
          <w:rFonts w:ascii="Calibri" w:hAnsi="Calibri" w:cs="Calibri"/>
          <w:sz w:val="23"/>
          <w:szCs w:val="23"/>
        </w:rPr>
      </w:pPr>
    </w:p>
    <w:p w14:paraId="279DFB3A" w14:textId="77777777" w:rsidR="00636714" w:rsidRDefault="00636714" w:rsidP="00636714">
      <w:pPr>
        <w:spacing w:line="276" w:lineRule="auto"/>
        <w:jc w:val="both"/>
        <w:rPr>
          <w:rFonts w:ascii="Calibri" w:hAnsi="Calibri" w:cs="Calibri"/>
          <w:sz w:val="23"/>
          <w:szCs w:val="23"/>
        </w:rPr>
      </w:pPr>
    </w:p>
    <w:p w14:paraId="72BBB0B1" w14:textId="77777777" w:rsidR="00636714" w:rsidRDefault="00636714" w:rsidP="00636714">
      <w:pPr>
        <w:spacing w:line="276" w:lineRule="auto"/>
        <w:jc w:val="both"/>
        <w:rPr>
          <w:rFonts w:ascii="Calibri" w:hAnsi="Calibri" w:cs="Calibri"/>
          <w:sz w:val="23"/>
          <w:szCs w:val="23"/>
        </w:rPr>
      </w:pPr>
    </w:p>
    <w:p w14:paraId="2576613A" w14:textId="77777777" w:rsidR="00636714" w:rsidRPr="00334CBB" w:rsidRDefault="00636714" w:rsidP="00636714">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3E737A57" w14:textId="77777777" w:rsidR="00636714" w:rsidRDefault="00636714" w:rsidP="00A73392">
      <w:pPr>
        <w:spacing w:line="276" w:lineRule="auto"/>
        <w:jc w:val="both"/>
        <w:rPr>
          <w:rFonts w:ascii="Calibri" w:hAnsi="Calibri" w:cs="Calibri"/>
          <w:sz w:val="22"/>
          <w:szCs w:val="22"/>
          <w:lang w:val="es-ES"/>
        </w:rPr>
      </w:pPr>
    </w:p>
    <w:p w14:paraId="144A9835" w14:textId="77777777" w:rsidR="00702952" w:rsidRDefault="00702952" w:rsidP="00CB137E">
      <w:pPr>
        <w:spacing w:line="276" w:lineRule="auto"/>
        <w:jc w:val="both"/>
        <w:rPr>
          <w:rFonts w:ascii="Calibri" w:hAnsi="Calibri" w:cs="Calibri"/>
          <w:sz w:val="22"/>
          <w:szCs w:val="22"/>
        </w:rPr>
      </w:pPr>
    </w:p>
    <w:p w14:paraId="3C20E16D" w14:textId="1CEE5FA0" w:rsidR="00636714" w:rsidRDefault="00636714" w:rsidP="00CB137E">
      <w:pPr>
        <w:spacing w:line="276" w:lineRule="auto"/>
        <w:jc w:val="both"/>
        <w:rPr>
          <w:rFonts w:ascii="Calibri" w:hAnsi="Calibri" w:cs="Calibri"/>
          <w:sz w:val="22"/>
          <w:szCs w:val="22"/>
        </w:rPr>
      </w:pPr>
    </w:p>
    <w:p w14:paraId="7FD72FB3" w14:textId="7D4DD72A" w:rsidR="00F263B6" w:rsidRDefault="00F263B6" w:rsidP="00CB137E">
      <w:pPr>
        <w:spacing w:line="276" w:lineRule="auto"/>
        <w:jc w:val="both"/>
        <w:rPr>
          <w:rFonts w:ascii="Calibri" w:hAnsi="Calibri" w:cs="Calibri"/>
          <w:sz w:val="22"/>
          <w:szCs w:val="22"/>
        </w:rPr>
      </w:pPr>
    </w:p>
    <w:p w14:paraId="2E447140" w14:textId="12B97BFE" w:rsidR="00F263B6" w:rsidRDefault="00F263B6" w:rsidP="00CB137E">
      <w:pPr>
        <w:spacing w:line="276" w:lineRule="auto"/>
        <w:jc w:val="both"/>
        <w:rPr>
          <w:rFonts w:ascii="Calibri" w:hAnsi="Calibri" w:cs="Calibri"/>
          <w:sz w:val="22"/>
          <w:szCs w:val="22"/>
        </w:rPr>
      </w:pPr>
    </w:p>
    <w:p w14:paraId="70D68DA5" w14:textId="7204F2FE" w:rsidR="00F263B6" w:rsidRDefault="00F263B6" w:rsidP="00CB137E">
      <w:pPr>
        <w:spacing w:line="276" w:lineRule="auto"/>
        <w:jc w:val="both"/>
        <w:rPr>
          <w:rFonts w:ascii="Calibri" w:hAnsi="Calibri" w:cs="Calibri"/>
          <w:sz w:val="22"/>
          <w:szCs w:val="22"/>
        </w:rPr>
      </w:pPr>
    </w:p>
    <w:p w14:paraId="42EAE472" w14:textId="484AD217" w:rsidR="00F263B6" w:rsidRDefault="00F263B6" w:rsidP="00CB137E">
      <w:pPr>
        <w:spacing w:line="276" w:lineRule="auto"/>
        <w:jc w:val="both"/>
        <w:rPr>
          <w:rFonts w:ascii="Calibri" w:hAnsi="Calibri" w:cs="Calibri"/>
          <w:sz w:val="22"/>
          <w:szCs w:val="22"/>
        </w:rPr>
      </w:pPr>
    </w:p>
    <w:p w14:paraId="796A8CAD" w14:textId="07A3BE44" w:rsidR="00F263B6" w:rsidRDefault="00F263B6" w:rsidP="00CB137E">
      <w:pPr>
        <w:spacing w:line="276" w:lineRule="auto"/>
        <w:jc w:val="both"/>
        <w:rPr>
          <w:rFonts w:ascii="Calibri" w:hAnsi="Calibri" w:cs="Calibri"/>
          <w:sz w:val="22"/>
          <w:szCs w:val="22"/>
        </w:rPr>
      </w:pPr>
    </w:p>
    <w:p w14:paraId="2FC6DC18" w14:textId="7AF650B1" w:rsidR="00F263B6" w:rsidRDefault="00F263B6" w:rsidP="00CB137E">
      <w:pPr>
        <w:spacing w:line="276" w:lineRule="auto"/>
        <w:jc w:val="both"/>
        <w:rPr>
          <w:rFonts w:ascii="Calibri" w:hAnsi="Calibri" w:cs="Calibri"/>
          <w:sz w:val="22"/>
          <w:szCs w:val="22"/>
        </w:rPr>
      </w:pPr>
    </w:p>
    <w:p w14:paraId="56829D8C" w14:textId="6BE2D873" w:rsidR="00F263B6" w:rsidRDefault="00F263B6" w:rsidP="00CB137E">
      <w:pPr>
        <w:spacing w:line="276" w:lineRule="auto"/>
        <w:jc w:val="both"/>
        <w:rPr>
          <w:rFonts w:ascii="Calibri" w:hAnsi="Calibri" w:cs="Calibri"/>
          <w:sz w:val="22"/>
          <w:szCs w:val="22"/>
        </w:rPr>
      </w:pPr>
    </w:p>
    <w:p w14:paraId="7896B6C0" w14:textId="48EDD112" w:rsidR="00F263B6" w:rsidRDefault="00F263B6" w:rsidP="00CB137E">
      <w:pPr>
        <w:spacing w:line="276" w:lineRule="auto"/>
        <w:jc w:val="both"/>
        <w:rPr>
          <w:rFonts w:ascii="Calibri" w:hAnsi="Calibri" w:cs="Calibri"/>
          <w:sz w:val="22"/>
          <w:szCs w:val="22"/>
        </w:rPr>
      </w:pPr>
    </w:p>
    <w:p w14:paraId="667A79FA" w14:textId="03A64EE1" w:rsidR="00F263B6" w:rsidRDefault="00F263B6" w:rsidP="00CB137E">
      <w:pPr>
        <w:spacing w:line="276" w:lineRule="auto"/>
        <w:jc w:val="both"/>
        <w:rPr>
          <w:rFonts w:ascii="Calibri" w:hAnsi="Calibri" w:cs="Calibri"/>
          <w:sz w:val="22"/>
          <w:szCs w:val="22"/>
        </w:rPr>
      </w:pPr>
    </w:p>
    <w:p w14:paraId="1E2CC629" w14:textId="36BAE41E" w:rsidR="00F263B6" w:rsidRDefault="00F263B6" w:rsidP="00CB137E">
      <w:pPr>
        <w:spacing w:line="276" w:lineRule="auto"/>
        <w:jc w:val="both"/>
        <w:rPr>
          <w:rFonts w:ascii="Calibri" w:hAnsi="Calibri" w:cs="Calibri"/>
          <w:sz w:val="22"/>
          <w:szCs w:val="22"/>
        </w:rPr>
      </w:pPr>
    </w:p>
    <w:p w14:paraId="3ACE28D8" w14:textId="1201A70F" w:rsidR="00F263B6" w:rsidRDefault="00F263B6" w:rsidP="00CB137E">
      <w:pPr>
        <w:spacing w:line="276" w:lineRule="auto"/>
        <w:jc w:val="both"/>
        <w:rPr>
          <w:rFonts w:ascii="Calibri" w:hAnsi="Calibri" w:cs="Calibri"/>
          <w:sz w:val="22"/>
          <w:szCs w:val="22"/>
        </w:rPr>
      </w:pPr>
    </w:p>
    <w:p w14:paraId="6472B3F4" w14:textId="1F6E78C0" w:rsidR="00F263B6" w:rsidRDefault="00F263B6" w:rsidP="00CB137E">
      <w:pPr>
        <w:spacing w:line="276" w:lineRule="auto"/>
        <w:jc w:val="both"/>
        <w:rPr>
          <w:rFonts w:ascii="Calibri" w:hAnsi="Calibri" w:cs="Calibri"/>
          <w:sz w:val="22"/>
          <w:szCs w:val="22"/>
        </w:rPr>
      </w:pPr>
    </w:p>
    <w:p w14:paraId="6C1B20CF" w14:textId="67C694D7" w:rsidR="00F263B6" w:rsidRDefault="00F263B6" w:rsidP="00CB137E">
      <w:pPr>
        <w:spacing w:line="276" w:lineRule="auto"/>
        <w:jc w:val="both"/>
        <w:rPr>
          <w:rFonts w:ascii="Calibri" w:hAnsi="Calibri" w:cs="Calibri"/>
          <w:sz w:val="22"/>
          <w:szCs w:val="22"/>
        </w:rPr>
      </w:pPr>
    </w:p>
    <w:p w14:paraId="4848EED2" w14:textId="30FECBA7" w:rsidR="00F263B6" w:rsidRDefault="00F263B6" w:rsidP="00CB137E">
      <w:pPr>
        <w:spacing w:line="276" w:lineRule="auto"/>
        <w:jc w:val="both"/>
        <w:rPr>
          <w:rFonts w:ascii="Calibri" w:hAnsi="Calibri" w:cs="Calibri"/>
          <w:sz w:val="22"/>
          <w:szCs w:val="22"/>
        </w:rPr>
      </w:pPr>
    </w:p>
    <w:p w14:paraId="39D78595" w14:textId="1C2C7CA6" w:rsidR="00F263B6" w:rsidRDefault="00F263B6" w:rsidP="00CB137E">
      <w:pPr>
        <w:spacing w:line="276" w:lineRule="auto"/>
        <w:jc w:val="both"/>
        <w:rPr>
          <w:rFonts w:ascii="Calibri" w:hAnsi="Calibri" w:cs="Calibri"/>
          <w:sz w:val="22"/>
          <w:szCs w:val="22"/>
        </w:rPr>
      </w:pPr>
    </w:p>
    <w:p w14:paraId="71B6A5C6" w14:textId="070282FC" w:rsidR="00F263B6" w:rsidRDefault="00F263B6" w:rsidP="00CB137E">
      <w:pPr>
        <w:spacing w:line="276" w:lineRule="auto"/>
        <w:jc w:val="both"/>
        <w:rPr>
          <w:rFonts w:ascii="Calibri" w:hAnsi="Calibri" w:cs="Calibri"/>
          <w:sz w:val="22"/>
          <w:szCs w:val="22"/>
        </w:rPr>
      </w:pPr>
    </w:p>
    <w:p w14:paraId="0667C050" w14:textId="55496A78" w:rsidR="00F263B6" w:rsidRDefault="00F263B6" w:rsidP="00CB137E">
      <w:pPr>
        <w:spacing w:line="276" w:lineRule="auto"/>
        <w:jc w:val="both"/>
        <w:rPr>
          <w:rFonts w:ascii="Calibri" w:hAnsi="Calibri" w:cs="Calibri"/>
          <w:sz w:val="22"/>
          <w:szCs w:val="22"/>
        </w:rPr>
      </w:pPr>
    </w:p>
    <w:p w14:paraId="7C865A47" w14:textId="49424A15" w:rsidR="00F263B6" w:rsidRDefault="00F263B6" w:rsidP="00CB137E">
      <w:pPr>
        <w:spacing w:line="276" w:lineRule="auto"/>
        <w:jc w:val="both"/>
        <w:rPr>
          <w:rFonts w:ascii="Calibri" w:hAnsi="Calibri" w:cs="Calibri"/>
          <w:sz w:val="22"/>
          <w:szCs w:val="22"/>
        </w:rPr>
      </w:pPr>
    </w:p>
    <w:p w14:paraId="0F20DDE0" w14:textId="7AEC9078" w:rsidR="00F263B6" w:rsidRDefault="00F263B6" w:rsidP="00CB137E">
      <w:pPr>
        <w:spacing w:line="276" w:lineRule="auto"/>
        <w:jc w:val="both"/>
        <w:rPr>
          <w:rFonts w:ascii="Calibri" w:hAnsi="Calibri" w:cs="Calibri"/>
          <w:sz w:val="22"/>
          <w:szCs w:val="22"/>
        </w:rPr>
      </w:pPr>
    </w:p>
    <w:p w14:paraId="606F5157" w14:textId="2990594A" w:rsidR="00F263B6" w:rsidRDefault="00F263B6" w:rsidP="00CB137E">
      <w:pPr>
        <w:spacing w:line="276" w:lineRule="auto"/>
        <w:jc w:val="both"/>
        <w:rPr>
          <w:rFonts w:ascii="Calibri" w:hAnsi="Calibri" w:cs="Calibri"/>
          <w:sz w:val="22"/>
          <w:szCs w:val="22"/>
        </w:rPr>
      </w:pPr>
    </w:p>
    <w:p w14:paraId="21BE27D4" w14:textId="170AAF7C" w:rsidR="00F263B6" w:rsidRDefault="00F263B6" w:rsidP="00CB137E">
      <w:pPr>
        <w:spacing w:line="276" w:lineRule="auto"/>
        <w:jc w:val="both"/>
        <w:rPr>
          <w:rFonts w:ascii="Calibri" w:hAnsi="Calibri" w:cs="Calibri"/>
          <w:sz w:val="22"/>
          <w:szCs w:val="22"/>
        </w:rPr>
      </w:pPr>
    </w:p>
    <w:p w14:paraId="0FFAD5C2" w14:textId="24E71F50" w:rsidR="00F263B6" w:rsidRDefault="00F263B6" w:rsidP="00CB137E">
      <w:pPr>
        <w:spacing w:line="276" w:lineRule="auto"/>
        <w:jc w:val="both"/>
        <w:rPr>
          <w:rFonts w:ascii="Calibri" w:hAnsi="Calibri" w:cs="Calibri"/>
          <w:sz w:val="22"/>
          <w:szCs w:val="22"/>
        </w:rPr>
      </w:pPr>
    </w:p>
    <w:p w14:paraId="51A8FD81" w14:textId="5B12159A" w:rsidR="00F263B6" w:rsidRDefault="00F263B6" w:rsidP="00CB137E">
      <w:pPr>
        <w:spacing w:line="276" w:lineRule="auto"/>
        <w:jc w:val="both"/>
        <w:rPr>
          <w:rFonts w:ascii="Calibri" w:hAnsi="Calibri" w:cs="Calibri"/>
          <w:sz w:val="22"/>
          <w:szCs w:val="22"/>
        </w:rPr>
      </w:pPr>
    </w:p>
    <w:p w14:paraId="5FD3A9AF" w14:textId="56217843" w:rsidR="00F263B6" w:rsidRDefault="00F263B6" w:rsidP="00CB137E">
      <w:pPr>
        <w:spacing w:line="276" w:lineRule="auto"/>
        <w:jc w:val="both"/>
        <w:rPr>
          <w:rFonts w:ascii="Calibri" w:hAnsi="Calibri" w:cs="Calibri"/>
          <w:sz w:val="22"/>
          <w:szCs w:val="22"/>
        </w:rPr>
      </w:pPr>
    </w:p>
    <w:p w14:paraId="5D0F8C70" w14:textId="388B8652" w:rsidR="00F263B6" w:rsidRDefault="00F263B6" w:rsidP="00CB137E">
      <w:pPr>
        <w:spacing w:line="276" w:lineRule="auto"/>
        <w:jc w:val="both"/>
        <w:rPr>
          <w:rFonts w:ascii="Calibri" w:hAnsi="Calibri" w:cs="Calibri"/>
          <w:sz w:val="22"/>
          <w:szCs w:val="22"/>
        </w:rPr>
      </w:pPr>
    </w:p>
    <w:p w14:paraId="5BACC543" w14:textId="0E189481" w:rsidR="00F263B6" w:rsidRDefault="00F263B6" w:rsidP="00CB137E">
      <w:pPr>
        <w:spacing w:line="276" w:lineRule="auto"/>
        <w:jc w:val="both"/>
        <w:rPr>
          <w:rFonts w:ascii="Calibri" w:hAnsi="Calibri" w:cs="Calibri"/>
          <w:sz w:val="22"/>
          <w:szCs w:val="22"/>
        </w:rPr>
      </w:pPr>
    </w:p>
    <w:p w14:paraId="6005C153" w14:textId="57D66A49" w:rsidR="00F263B6" w:rsidRDefault="00F263B6" w:rsidP="00CB137E">
      <w:pPr>
        <w:spacing w:line="276" w:lineRule="auto"/>
        <w:jc w:val="both"/>
        <w:rPr>
          <w:rFonts w:ascii="Calibri" w:hAnsi="Calibri" w:cs="Calibri"/>
          <w:sz w:val="22"/>
          <w:szCs w:val="22"/>
        </w:rPr>
      </w:pPr>
    </w:p>
    <w:p w14:paraId="57B86A41" w14:textId="58D1237E" w:rsidR="00F263B6" w:rsidRDefault="00F263B6" w:rsidP="00CB137E">
      <w:pPr>
        <w:spacing w:line="276" w:lineRule="auto"/>
        <w:jc w:val="both"/>
        <w:rPr>
          <w:rFonts w:ascii="Calibri" w:hAnsi="Calibri" w:cs="Calibri"/>
          <w:sz w:val="22"/>
          <w:szCs w:val="22"/>
        </w:rPr>
      </w:pPr>
    </w:p>
    <w:p w14:paraId="6A4B777B" w14:textId="6C339A4C" w:rsidR="00F263B6" w:rsidRDefault="00F263B6" w:rsidP="00CB137E">
      <w:pPr>
        <w:spacing w:line="276" w:lineRule="auto"/>
        <w:jc w:val="both"/>
        <w:rPr>
          <w:rFonts w:ascii="Calibri" w:hAnsi="Calibri" w:cs="Calibri"/>
          <w:sz w:val="22"/>
          <w:szCs w:val="22"/>
        </w:rPr>
      </w:pPr>
    </w:p>
    <w:p w14:paraId="12B3560A" w14:textId="04F87E00" w:rsidR="00F263B6" w:rsidRDefault="00F263B6" w:rsidP="00CB137E">
      <w:pPr>
        <w:spacing w:line="276" w:lineRule="auto"/>
        <w:jc w:val="both"/>
        <w:rPr>
          <w:rFonts w:ascii="Calibri" w:hAnsi="Calibri" w:cs="Calibri"/>
          <w:sz w:val="22"/>
          <w:szCs w:val="22"/>
        </w:rPr>
      </w:pPr>
    </w:p>
    <w:p w14:paraId="4C067A99" w14:textId="41B67F65" w:rsidR="00F263B6" w:rsidRDefault="00F263B6" w:rsidP="00CB137E">
      <w:pPr>
        <w:spacing w:line="276" w:lineRule="auto"/>
        <w:jc w:val="both"/>
        <w:rPr>
          <w:rFonts w:ascii="Calibri" w:hAnsi="Calibri" w:cs="Calibri"/>
          <w:sz w:val="22"/>
          <w:szCs w:val="22"/>
        </w:rPr>
      </w:pPr>
    </w:p>
    <w:p w14:paraId="11422DC5" w14:textId="77777777" w:rsidR="00F263B6" w:rsidRDefault="00F263B6" w:rsidP="00CB137E">
      <w:pPr>
        <w:spacing w:line="276" w:lineRule="auto"/>
        <w:jc w:val="both"/>
        <w:rPr>
          <w:rFonts w:ascii="Calibri" w:hAnsi="Calibri" w:cs="Calibri"/>
          <w:sz w:val="22"/>
          <w:szCs w:val="22"/>
        </w:rPr>
      </w:pPr>
    </w:p>
    <w:p w14:paraId="48BF3406" w14:textId="6A3B9E06" w:rsidR="00F263B6" w:rsidRDefault="00F263B6" w:rsidP="00CB137E">
      <w:pPr>
        <w:spacing w:line="276" w:lineRule="auto"/>
        <w:jc w:val="both"/>
        <w:rPr>
          <w:rFonts w:ascii="Calibri" w:hAnsi="Calibri" w:cs="Calibri"/>
          <w:sz w:val="22"/>
          <w:szCs w:val="22"/>
        </w:rPr>
      </w:pPr>
    </w:p>
    <w:p w14:paraId="0C2A2FD6" w14:textId="77777777" w:rsidR="00F263B6" w:rsidRDefault="00F263B6" w:rsidP="00CB137E">
      <w:pPr>
        <w:spacing w:line="276" w:lineRule="auto"/>
        <w:jc w:val="both"/>
        <w:rPr>
          <w:rFonts w:ascii="Calibri" w:hAnsi="Calibri" w:cs="Calibri"/>
          <w:sz w:val="22"/>
          <w:szCs w:val="22"/>
        </w:rPr>
      </w:pPr>
    </w:p>
    <w:p w14:paraId="1845631D" w14:textId="77777777" w:rsidR="00636714" w:rsidRPr="00702952" w:rsidRDefault="00636714" w:rsidP="00636714">
      <w:pPr>
        <w:spacing w:line="276" w:lineRule="auto"/>
        <w:jc w:val="center"/>
        <w:rPr>
          <w:rFonts w:ascii="Calibri" w:hAnsi="Calibri" w:cs="Calibri"/>
          <w:b/>
          <w:bCs/>
          <w:sz w:val="22"/>
          <w:szCs w:val="22"/>
        </w:rPr>
      </w:pPr>
      <w:r w:rsidRPr="00702952">
        <w:rPr>
          <w:rFonts w:ascii="Calibri" w:hAnsi="Calibri" w:cs="Calibri"/>
          <w:b/>
          <w:bCs/>
          <w:sz w:val="22"/>
          <w:szCs w:val="22"/>
        </w:rPr>
        <w:lastRenderedPageBreak/>
        <w:t>EXPOSICIÓN DE MOTIVOS</w:t>
      </w:r>
    </w:p>
    <w:p w14:paraId="1E3394C8" w14:textId="77777777" w:rsidR="00636714" w:rsidRPr="00702952" w:rsidRDefault="00636714" w:rsidP="00636714">
      <w:pPr>
        <w:spacing w:line="276" w:lineRule="auto"/>
        <w:jc w:val="center"/>
        <w:rPr>
          <w:rFonts w:ascii="Calibri" w:hAnsi="Calibri" w:cs="Calibri"/>
          <w:b/>
          <w:bCs/>
          <w:sz w:val="23"/>
          <w:szCs w:val="23"/>
        </w:rPr>
      </w:pPr>
    </w:p>
    <w:p w14:paraId="58AF41E8" w14:textId="38F8070F" w:rsidR="00636714" w:rsidRPr="00A73392" w:rsidRDefault="00636714" w:rsidP="00636714">
      <w:pPr>
        <w:spacing w:line="276" w:lineRule="auto"/>
        <w:jc w:val="center"/>
        <w:rPr>
          <w:rFonts w:ascii="Calibri" w:hAnsi="Calibri" w:cs="Calibri"/>
          <w:sz w:val="23"/>
          <w:szCs w:val="23"/>
        </w:rPr>
      </w:pPr>
      <w:r w:rsidRPr="00702952">
        <w:rPr>
          <w:rFonts w:ascii="Calibri" w:hAnsi="Calibri" w:cs="Calibri"/>
          <w:b/>
          <w:bCs/>
          <w:sz w:val="23"/>
          <w:szCs w:val="23"/>
        </w:rPr>
        <w:t xml:space="preserve">Proyecto de Acto Legislativo </w:t>
      </w:r>
      <w:proofErr w:type="spellStart"/>
      <w:r w:rsidRPr="00702952">
        <w:rPr>
          <w:rFonts w:ascii="Calibri" w:hAnsi="Calibri" w:cs="Calibri"/>
          <w:b/>
          <w:bCs/>
          <w:sz w:val="23"/>
          <w:szCs w:val="23"/>
        </w:rPr>
        <w:t>Nº</w:t>
      </w:r>
      <w:proofErr w:type="spellEnd"/>
      <w:r w:rsidRPr="00702952">
        <w:rPr>
          <w:rFonts w:ascii="Calibri" w:hAnsi="Calibri" w:cs="Calibri"/>
          <w:b/>
          <w:bCs/>
          <w:sz w:val="23"/>
          <w:szCs w:val="23"/>
        </w:rPr>
        <w:t xml:space="preserve"> ______ de 2023</w:t>
      </w:r>
    </w:p>
    <w:p w14:paraId="56805964" w14:textId="77777777" w:rsidR="00636714" w:rsidRPr="00A73392" w:rsidRDefault="00636714" w:rsidP="00636714">
      <w:pPr>
        <w:spacing w:line="276" w:lineRule="auto"/>
        <w:jc w:val="center"/>
        <w:rPr>
          <w:rFonts w:ascii="Calibri" w:hAnsi="Calibri" w:cs="Calibri"/>
          <w:b/>
          <w:bCs/>
          <w:sz w:val="23"/>
          <w:szCs w:val="23"/>
        </w:rPr>
      </w:pPr>
    </w:p>
    <w:p w14:paraId="14F231B0" w14:textId="71915F58" w:rsidR="00636714" w:rsidRPr="00A73392" w:rsidRDefault="00636714" w:rsidP="00636714">
      <w:pPr>
        <w:spacing w:line="276" w:lineRule="auto"/>
        <w:jc w:val="center"/>
        <w:rPr>
          <w:rFonts w:ascii="Calibri" w:hAnsi="Calibri" w:cs="Calibri"/>
          <w:b/>
          <w:bCs/>
          <w:sz w:val="23"/>
          <w:szCs w:val="23"/>
        </w:rPr>
      </w:pPr>
      <w:r w:rsidRPr="00A73392">
        <w:rPr>
          <w:rFonts w:ascii="Calibri" w:hAnsi="Calibri" w:cs="Calibri"/>
          <w:b/>
          <w:bCs/>
          <w:sz w:val="23"/>
          <w:szCs w:val="23"/>
        </w:rPr>
        <w:t xml:space="preserve">“Por el cual se otorga la categoría de distrito especial </w:t>
      </w:r>
      <w:r w:rsidR="008163C8">
        <w:rPr>
          <w:rFonts w:ascii="Calibri" w:hAnsi="Calibri" w:cs="Calibri"/>
          <w:b/>
          <w:bCs/>
          <w:sz w:val="23"/>
          <w:szCs w:val="23"/>
        </w:rPr>
        <w:t xml:space="preserve">eje </w:t>
      </w:r>
      <w:r w:rsidRPr="00A73392">
        <w:rPr>
          <w:rFonts w:ascii="Calibri" w:hAnsi="Calibri" w:cs="Calibri"/>
          <w:b/>
          <w:bCs/>
          <w:sz w:val="23"/>
          <w:szCs w:val="23"/>
        </w:rPr>
        <w:t>del conocimiento al municipio de Manizales en el departamento de Caldas”</w:t>
      </w:r>
    </w:p>
    <w:p w14:paraId="2141142A" w14:textId="3BDF7753" w:rsidR="00636714" w:rsidRDefault="00636714" w:rsidP="00636714">
      <w:pPr>
        <w:spacing w:line="276" w:lineRule="auto"/>
        <w:jc w:val="both"/>
        <w:rPr>
          <w:rFonts w:ascii="Calibri" w:hAnsi="Calibri" w:cs="Calibri"/>
          <w:sz w:val="22"/>
          <w:szCs w:val="22"/>
        </w:rPr>
      </w:pPr>
      <w:r>
        <w:rPr>
          <w:rFonts w:ascii="Calibri" w:hAnsi="Calibri" w:cs="Calibri"/>
          <w:sz w:val="22"/>
          <w:szCs w:val="22"/>
        </w:rPr>
        <w:tab/>
      </w:r>
    </w:p>
    <w:p w14:paraId="3D95F6C0" w14:textId="372815E7" w:rsidR="00636714" w:rsidRPr="00636714" w:rsidRDefault="00636714" w:rsidP="00636714">
      <w:pPr>
        <w:pStyle w:val="Ttulo1"/>
        <w:numPr>
          <w:ilvl w:val="0"/>
          <w:numId w:val="5"/>
        </w:numPr>
        <w:ind w:left="720"/>
        <w:jc w:val="both"/>
        <w:rPr>
          <w:rFonts w:ascii="Times New Roman" w:hAnsi="Times New Roman" w:cs="Times New Roman"/>
          <w:sz w:val="23"/>
          <w:szCs w:val="23"/>
        </w:rPr>
      </w:pPr>
      <w:r w:rsidRPr="00636714">
        <w:rPr>
          <w:rFonts w:ascii="Times New Roman" w:hAnsi="Times New Roman" w:cs="Times New Roman"/>
          <w:sz w:val="23"/>
          <w:szCs w:val="23"/>
        </w:rPr>
        <w:t>Diagnóstico de la educación superior en el departamento de Caldas</w:t>
      </w:r>
      <w:r w:rsidR="008F0AE8">
        <w:rPr>
          <w:rFonts w:ascii="Times New Roman" w:hAnsi="Times New Roman" w:cs="Times New Roman"/>
          <w:sz w:val="23"/>
          <w:szCs w:val="23"/>
        </w:rPr>
        <w:t>:</w:t>
      </w:r>
    </w:p>
    <w:p w14:paraId="3D27F3B3" w14:textId="77777777" w:rsidR="00636714" w:rsidRPr="00636714" w:rsidRDefault="00636714" w:rsidP="00636714">
      <w:pPr>
        <w:jc w:val="both"/>
        <w:rPr>
          <w:rFonts w:ascii="Times New Roman" w:hAnsi="Times New Roman" w:cs="Times New Roman"/>
          <w:sz w:val="23"/>
          <w:szCs w:val="23"/>
        </w:rPr>
      </w:pPr>
    </w:p>
    <w:p w14:paraId="40BCEC99" w14:textId="77777777" w:rsidR="00636714" w:rsidRPr="00636714" w:rsidRDefault="00636714" w:rsidP="00636714">
      <w:pPr>
        <w:pStyle w:val="Ttulo2"/>
        <w:rPr>
          <w:rFonts w:ascii="Times New Roman" w:hAnsi="Times New Roman" w:cs="Times New Roman"/>
          <w:sz w:val="23"/>
          <w:szCs w:val="23"/>
        </w:rPr>
      </w:pPr>
      <w:r w:rsidRPr="00636714">
        <w:rPr>
          <w:rFonts w:ascii="Times New Roman" w:hAnsi="Times New Roman" w:cs="Times New Roman"/>
          <w:sz w:val="23"/>
          <w:szCs w:val="23"/>
        </w:rPr>
        <w:t>Introducción:</w:t>
      </w:r>
    </w:p>
    <w:p w14:paraId="2ACD89DE" w14:textId="6033BD83"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De acuerdo con el informe de resultados de la Fase I de la Misión de Sabios por Caldas- 2020-2021, el departamento de Caldas, con un área de 7888 km², es el quinto Departamento menos extenso del país. Con 125 habitantes/km² es el sexto más densamente poblado, organizado en 27 municipios y 22 corregimientos. El departamento de Caldas aporta el 1.6% del PIB nacional, su estructura económico productiva se concentra principalmente en los municipios de Manizales, Chinchiná, La Dorada, Villamaría y Riosucio, éstos aportan el 71,86% del valor agregado departamental, lo cual ha generado heterogeneidad y disparidades económicas territoriales, que se han agudizado en </w:t>
      </w:r>
      <w:r w:rsidR="00F263B6">
        <w:rPr>
          <w:rFonts w:ascii="Times New Roman" w:hAnsi="Times New Roman" w:cs="Times New Roman"/>
          <w:sz w:val="23"/>
          <w:szCs w:val="23"/>
        </w:rPr>
        <w:t>los últimos años</w:t>
      </w:r>
      <w:r w:rsidRPr="00636714">
        <w:rPr>
          <w:rFonts w:ascii="Times New Roman" w:hAnsi="Times New Roman" w:cs="Times New Roman"/>
          <w:sz w:val="23"/>
          <w:szCs w:val="23"/>
        </w:rPr>
        <w:t xml:space="preserve">. </w:t>
      </w:r>
    </w:p>
    <w:p w14:paraId="2A2ECCC9" w14:textId="77777777" w:rsidR="00636714" w:rsidRPr="00636714" w:rsidRDefault="00636714" w:rsidP="00636714">
      <w:pPr>
        <w:jc w:val="both"/>
        <w:rPr>
          <w:rFonts w:ascii="Times New Roman" w:hAnsi="Times New Roman" w:cs="Times New Roman"/>
          <w:sz w:val="23"/>
          <w:szCs w:val="23"/>
        </w:rPr>
      </w:pPr>
    </w:p>
    <w:p w14:paraId="60730B44" w14:textId="76AB1916"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Actualmente, en el Plan Departamental de Desarrollo </w:t>
      </w:r>
      <w:r w:rsidR="00F263B6" w:rsidRPr="00636714">
        <w:rPr>
          <w:rFonts w:ascii="Times New Roman" w:hAnsi="Times New Roman" w:cs="Times New Roman"/>
          <w:sz w:val="23"/>
          <w:szCs w:val="23"/>
        </w:rPr>
        <w:t xml:space="preserve">2020-2023 </w:t>
      </w:r>
      <w:r w:rsidRPr="00636714">
        <w:rPr>
          <w:rFonts w:ascii="Times New Roman" w:hAnsi="Times New Roman" w:cs="Times New Roman"/>
          <w:sz w:val="23"/>
          <w:szCs w:val="23"/>
        </w:rPr>
        <w:t>“Unidos es Posible” se propone cerrar varias de las brechas mencionadas. El programa de CTI tiene como meta mejorar el nivel de sus indicadores, revisar el tipo de indicadores incluidos e incorporar otros, incluir las metas de los Objetivos de Desarrollo Sostenible (ODS) y articular los grandes desafíos sociales, económicos, culturales, políticos y ecológicos para el desarrollo sustentable del Departamento de Caldas. Algunas de las metas que se propone son: I) la formulación de la política pública de CTI, para lo cual se está implementado la Misión de Sabios por Caldas, en la cual se espera responder de manera regional y decidida a las cinco misiones establecidas por la Misión Internacional de Sabios (2019) para el avance de la Ciencia, la Tecnología y la Innovación y sus propuestas transversales en el departamento de Caldas. Se entiende esta misión como uno de los desafíos centrales del Departamento que, de la mano del Gobierno Departamental, las universidades, los centros autónomos de investigación, la empresa privada y la comunidad en general, permitirán la construcción de un futuro en el que la Educación, la Ciencia, la Tecnología y la Innovación sean bases de las nuevas generaciones.</w:t>
      </w:r>
    </w:p>
    <w:p w14:paraId="38841E26" w14:textId="77777777" w:rsidR="00636714" w:rsidRPr="00636714" w:rsidRDefault="00636714" w:rsidP="00636714">
      <w:pPr>
        <w:jc w:val="both"/>
        <w:rPr>
          <w:rFonts w:ascii="Times New Roman" w:hAnsi="Times New Roman" w:cs="Times New Roman"/>
          <w:sz w:val="23"/>
          <w:szCs w:val="23"/>
        </w:rPr>
      </w:pPr>
    </w:p>
    <w:p w14:paraId="3F85679B"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Según lo concluido en la Conferencia Mundial sobre la Educación Superior (2009), cada vez es más difícil mantener un buen equilibrio entre la investigación básica y la aplicada, debido a los altos niveles de inversión que necesita la investigación básica y al reto que representa el vincular el conocimiento de ámbito mundial con los problemas locales, por ello, los sistemas de investigación deberían organizarse de manera más flexible con miras a promover la ciencia y la interdisciplinariedad, al servicio de la sociedad que permita transformar los grandes problemas que afectan la vida de todos. </w:t>
      </w:r>
    </w:p>
    <w:p w14:paraId="7BE469F1" w14:textId="77777777" w:rsidR="00636714" w:rsidRPr="00636714" w:rsidRDefault="00636714" w:rsidP="00636714">
      <w:pPr>
        <w:jc w:val="both"/>
        <w:rPr>
          <w:rFonts w:ascii="Times New Roman" w:hAnsi="Times New Roman" w:cs="Times New Roman"/>
          <w:sz w:val="23"/>
          <w:szCs w:val="23"/>
        </w:rPr>
      </w:pPr>
    </w:p>
    <w:p w14:paraId="04C12B14"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La OEI (2012), afirmó que el conocimiento científico y tecnológico es una de las principales riquezas de las sociedades contemporáneas y un elemento indispensable para impulsar transformaciones que conduzcan al desarrollo económico y social. Según este organismo internacional, la ciencia, la tecnología y la innovación se han convertido en herramientas necesarias para la transformación de las estructuras productivas, la explotación racional de los recursos naturales, el cuidado de la salud, la alimentación, la educación y otros requerimientos sociales. Además, indicó que vincular las instituciones de ciencia y tecnología con las demandas sociales conlleva un proceso que beneficia, no solo a la comunidad científica, sino a muchos otros actores de la vida social.</w:t>
      </w:r>
    </w:p>
    <w:p w14:paraId="019E60BB" w14:textId="77777777" w:rsidR="00636714" w:rsidRPr="00636714" w:rsidRDefault="00636714" w:rsidP="00636714">
      <w:pPr>
        <w:jc w:val="both"/>
        <w:rPr>
          <w:rFonts w:ascii="Times New Roman" w:hAnsi="Times New Roman" w:cs="Times New Roman"/>
          <w:sz w:val="23"/>
          <w:szCs w:val="23"/>
        </w:rPr>
      </w:pPr>
    </w:p>
    <w:p w14:paraId="33F19DD5"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El comité central de la Misión a través de diferentes encuentros de estudio y discusión teórica diseñó un esquema conceptual para organizar y comprender la gestión de conocimiento, ciencia tecnología e innovación en el Departamento como un sistema en el que se articulan en el territorio tres tipos de capitales: estructural, humano y relacional, alrededor de cuatro procesos: generación de conocimiento, formación, apropiación social del conocimiento y transferencia de conocimiento y tecnología.</w:t>
      </w:r>
    </w:p>
    <w:p w14:paraId="5740BB30" w14:textId="77777777" w:rsidR="00636714" w:rsidRPr="00636714" w:rsidRDefault="00636714" w:rsidP="00636714">
      <w:pPr>
        <w:jc w:val="both"/>
        <w:rPr>
          <w:rFonts w:ascii="Times New Roman" w:hAnsi="Times New Roman" w:cs="Times New Roman"/>
          <w:sz w:val="23"/>
          <w:szCs w:val="23"/>
        </w:rPr>
      </w:pPr>
    </w:p>
    <w:p w14:paraId="6959F85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46B5DBA1" wp14:editId="49B79C95">
            <wp:extent cx="5612130" cy="2480945"/>
            <wp:effectExtent l="0" t="0" r="7620" b="0"/>
            <wp:docPr id="5" name="Imagen 5" descr="Diagrama,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 Escala de tiempo&#10;&#10;Descripción generada automáticamente"/>
                    <pic:cNvPicPr/>
                  </pic:nvPicPr>
                  <pic:blipFill>
                    <a:blip r:embed="rId7"/>
                    <a:stretch>
                      <a:fillRect/>
                    </a:stretch>
                  </pic:blipFill>
                  <pic:spPr>
                    <a:xfrm>
                      <a:off x="0" y="0"/>
                      <a:ext cx="5612130" cy="2480945"/>
                    </a:xfrm>
                    <a:prstGeom prst="rect">
                      <a:avLst/>
                    </a:prstGeom>
                  </pic:spPr>
                </pic:pic>
              </a:graphicData>
            </a:graphic>
          </wp:inline>
        </w:drawing>
      </w:r>
    </w:p>
    <w:p w14:paraId="3B99FABA"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En lo referido al capital estructural este asume el contexto de las instituciones, sus capacidades económicas, tecnológicas y las políticas que el territorio ha diseñado y establecido para impulsar la Educación, la Ciencia, la Tecnología, la Innovación, así como su aporte impulsor al Desarrollo Sustentable y equitativo en el territorio. El capital humano, hace alusión al conjunto de capacidades profesionales instaladas en los individuos para participar en los procesos de producción de la ciencia, tecnología e innovación en el territorio. En este sentido el capital humano comprende el conjunto de personas formadas en las diferentes áreas del conocimiento, en los diferentes programas y proyectos que se ocupan de su formación.</w:t>
      </w:r>
    </w:p>
    <w:p w14:paraId="1D347D7A" w14:textId="77777777" w:rsidR="00636714" w:rsidRPr="00636714" w:rsidRDefault="00636714" w:rsidP="00636714">
      <w:pPr>
        <w:jc w:val="both"/>
        <w:rPr>
          <w:rFonts w:ascii="Times New Roman" w:hAnsi="Times New Roman" w:cs="Times New Roman"/>
          <w:sz w:val="23"/>
          <w:szCs w:val="23"/>
        </w:rPr>
      </w:pPr>
    </w:p>
    <w:p w14:paraId="01BE64E0" w14:textId="087D00E5" w:rsid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El capital relacional, se refiere a la capacidad de uso del conocimiento generado en los procesos de Ciencia, Tecnología e Innovación, para propiciar, acompañar o fortalecer transformaciones sociales, culturales, económicas y ambientales a nivel territorial.</w:t>
      </w:r>
    </w:p>
    <w:p w14:paraId="3E981441" w14:textId="77777777" w:rsidR="00636714" w:rsidRPr="00636714" w:rsidRDefault="00636714" w:rsidP="00636714">
      <w:pPr>
        <w:jc w:val="both"/>
        <w:rPr>
          <w:rFonts w:ascii="Times New Roman" w:hAnsi="Times New Roman" w:cs="Times New Roman"/>
          <w:b/>
          <w:sz w:val="23"/>
          <w:szCs w:val="23"/>
        </w:rPr>
      </w:pPr>
    </w:p>
    <w:p w14:paraId="003097A8" w14:textId="6B4DCAE4" w:rsidR="00636714" w:rsidRPr="00636714" w:rsidRDefault="00636714" w:rsidP="00636714">
      <w:pPr>
        <w:pStyle w:val="Ttulo2"/>
        <w:rPr>
          <w:rFonts w:ascii="Times New Roman" w:hAnsi="Times New Roman" w:cs="Times New Roman"/>
          <w:sz w:val="23"/>
          <w:szCs w:val="23"/>
        </w:rPr>
      </w:pPr>
      <w:r w:rsidRPr="00636714">
        <w:rPr>
          <w:rFonts w:ascii="Times New Roman" w:hAnsi="Times New Roman" w:cs="Times New Roman"/>
          <w:sz w:val="23"/>
          <w:szCs w:val="23"/>
        </w:rPr>
        <w:t>Caracterización de Manizales</w:t>
      </w:r>
      <w:r>
        <w:rPr>
          <w:rFonts w:ascii="Times New Roman" w:hAnsi="Times New Roman" w:cs="Times New Roman"/>
          <w:sz w:val="23"/>
          <w:szCs w:val="23"/>
        </w:rPr>
        <w:t>:</w:t>
      </w:r>
    </w:p>
    <w:p w14:paraId="6336B6F0" w14:textId="77777777" w:rsidR="00636714" w:rsidRPr="00636714" w:rsidRDefault="00636714" w:rsidP="00636714">
      <w:pPr>
        <w:jc w:val="both"/>
        <w:rPr>
          <w:rFonts w:ascii="Times New Roman" w:hAnsi="Times New Roman" w:cs="Times New Roman"/>
          <w:sz w:val="23"/>
          <w:szCs w:val="23"/>
        </w:rPr>
      </w:pPr>
    </w:p>
    <w:p w14:paraId="4514FAC9"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Manizales es un territorio ubicado en la zona centro-occidente del país, en la Región Andina Colombiana y en medio de dos cordilleras, lo que le otorga un paisaje montañoso en cuyas áreas rurales, crecen cultivos de café, plátano y frutales, gracias a los pisos térmicos predominantes y el clima propicio para la agricultura. Sus coordenadas geográficas según el Instituto Geográfico Agustín Codazzi son: 75° 19’ 35.23” W 4° 58’ 51.09” N. Límite inferior75° 40’ 56.71” W, 5° 10’ 2.67” N. Límite superior. La superficie total del municipio es 442,01 km2.</w:t>
      </w:r>
    </w:p>
    <w:p w14:paraId="50E5C64A" w14:textId="77777777" w:rsidR="00636714" w:rsidRPr="00636714" w:rsidRDefault="00636714" w:rsidP="00636714">
      <w:pPr>
        <w:jc w:val="both"/>
        <w:rPr>
          <w:rFonts w:ascii="Times New Roman" w:hAnsi="Times New Roman" w:cs="Times New Roman"/>
          <w:sz w:val="23"/>
          <w:szCs w:val="23"/>
        </w:rPr>
      </w:pPr>
    </w:p>
    <w:p w14:paraId="19F4D37C"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Con relación al Departamento de Caldas, Manizales tiene un área municipal del 6% sobre la totalidad del área departamental y tiene una densidad de población de 830,35 habitantes por Km2. La población total del municipio es, según estadísticas del DANE, 450.000, distribuidos en un 93% en cabeceras y un 7% en el resto del municipio. En total se tienen 255.890 personas en edad potencialmente activa, es decir, mayor a 15 años y menores de 59 años.</w:t>
      </w:r>
    </w:p>
    <w:p w14:paraId="60620447" w14:textId="77777777" w:rsidR="00636714" w:rsidRPr="00636714" w:rsidRDefault="00636714" w:rsidP="00636714">
      <w:pPr>
        <w:jc w:val="both"/>
        <w:rPr>
          <w:rFonts w:ascii="Times New Roman" w:hAnsi="Times New Roman" w:cs="Times New Roman"/>
          <w:sz w:val="23"/>
          <w:szCs w:val="23"/>
        </w:rPr>
      </w:pPr>
    </w:p>
    <w:p w14:paraId="2B4AF588"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lastRenderedPageBreak/>
        <w:t>En las últimas décadas, se ha presentado un “estancamiento” en el crecimiento poblacional, lo cual se evidencia al analizar la tasa de crecimiento poblacional desde el año 1995 proyectado a 2020, según proyecciones realizadas por el DANE a partir del CENSO 2005, con tasas de crecimiento muy por debajo de las tasas de los años 50 y 60 y aunque es claro que la población rural decrece históricamente, en las proyecciones al 2020 se estima, que el decrecimiento se equipará a la cabecera municipal.</w:t>
      </w:r>
    </w:p>
    <w:p w14:paraId="75BA1ECC" w14:textId="77777777" w:rsidR="00636714" w:rsidRPr="00636714" w:rsidRDefault="00636714" w:rsidP="00636714">
      <w:pPr>
        <w:jc w:val="both"/>
        <w:rPr>
          <w:rFonts w:ascii="Times New Roman" w:hAnsi="Times New Roman" w:cs="Times New Roman"/>
          <w:sz w:val="23"/>
          <w:szCs w:val="23"/>
        </w:rPr>
      </w:pPr>
    </w:p>
    <w:p w14:paraId="003C6163"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En cuanto a la tasa de crecimiento por grupos etarios con proyección al 2020 y según información del DANE y analizada por la Secretaría de Planeación Municipal en el marco de los debates sobre el POT, se tendría un decrecimiento en la población de niños y jóvenes, fenómeno coherente con las cifras recientes de fecundidad y nacimientos; por el contrario, la población que supera los 60 años, tendrá el mayor crecimiento proyectado, información de valor para focalizar los programas de intervención en los próximos años y proyectar la población a ser atendida en los diferentes programas de la Administración Municipal.</w:t>
      </w:r>
    </w:p>
    <w:p w14:paraId="2770CE63" w14:textId="77777777" w:rsidR="00636714" w:rsidRPr="00636714" w:rsidRDefault="00636714" w:rsidP="00636714">
      <w:pPr>
        <w:jc w:val="both"/>
        <w:rPr>
          <w:rFonts w:ascii="Times New Roman" w:hAnsi="Times New Roman" w:cs="Times New Roman"/>
          <w:sz w:val="23"/>
          <w:szCs w:val="23"/>
        </w:rPr>
      </w:pPr>
    </w:p>
    <w:p w14:paraId="2DAA6104"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Manizales Como Vamos (2020), muestra en su informe el nivel educativo de la población de la ciudad con 25 años o más. Este es un indicador de impacto, de largo plazo, puesto que incrementar el nivel educativo de la población, no es un resultado que tenga un efecto inmediato. </w:t>
      </w:r>
    </w:p>
    <w:p w14:paraId="7C58AF64"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Tal como lo revela la siguiente gráfica, el nivel educativo de la población de Manizales ha aumentado, como reflejo de los esfuerzos desde diferentes frentes y sectores en la consolidación de una cultura universitaria, la cual impacta directamente este importante indicador. Mientras que, en 2010, un poco más de la mitad de la población tenía hasta secundaria incompleta, en 2020 este porcentaje se redujo al 35,5%. Por el contrario, la proporción de la población con niveles más elevados de educación pasó del 21,8% al 34,4%. </w:t>
      </w:r>
    </w:p>
    <w:p w14:paraId="17900428" w14:textId="77777777" w:rsidR="00636714" w:rsidRPr="00636714" w:rsidRDefault="00636714" w:rsidP="00636714">
      <w:pPr>
        <w:jc w:val="both"/>
        <w:rPr>
          <w:rFonts w:ascii="Times New Roman" w:hAnsi="Times New Roman" w:cs="Times New Roman"/>
          <w:b/>
          <w:bCs/>
          <w:sz w:val="23"/>
          <w:szCs w:val="23"/>
        </w:rPr>
      </w:pPr>
    </w:p>
    <w:p w14:paraId="0AFC25DC" w14:textId="7FEACE98"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 xml:space="preserve">Gráfica </w:t>
      </w:r>
      <w:r w:rsidRPr="00636714">
        <w:rPr>
          <w:rFonts w:ascii="Times New Roman" w:hAnsi="Times New Roman" w:cs="Times New Roman"/>
          <w:b/>
          <w:bCs/>
          <w:sz w:val="23"/>
          <w:szCs w:val="23"/>
        </w:rPr>
        <w:fldChar w:fldCharType="begin"/>
      </w:r>
      <w:r w:rsidRPr="00636714">
        <w:rPr>
          <w:rFonts w:ascii="Times New Roman" w:hAnsi="Times New Roman" w:cs="Times New Roman"/>
          <w:b/>
          <w:bCs/>
          <w:sz w:val="23"/>
          <w:szCs w:val="23"/>
        </w:rPr>
        <w:instrText xml:space="preserve"> SEQ Gráfica \* ARABIC </w:instrText>
      </w:r>
      <w:r w:rsidRPr="00636714">
        <w:rPr>
          <w:rFonts w:ascii="Times New Roman" w:hAnsi="Times New Roman" w:cs="Times New Roman"/>
          <w:b/>
          <w:bCs/>
          <w:sz w:val="23"/>
          <w:szCs w:val="23"/>
        </w:rPr>
        <w:fldChar w:fldCharType="separate"/>
      </w:r>
      <w:r w:rsidR="00F263B6">
        <w:rPr>
          <w:rFonts w:ascii="Times New Roman" w:hAnsi="Times New Roman" w:cs="Times New Roman"/>
          <w:b/>
          <w:bCs/>
          <w:noProof/>
          <w:sz w:val="23"/>
          <w:szCs w:val="23"/>
        </w:rPr>
        <w:t>1</w:t>
      </w:r>
      <w:r w:rsidRPr="00636714">
        <w:rPr>
          <w:rFonts w:ascii="Times New Roman" w:hAnsi="Times New Roman" w:cs="Times New Roman"/>
          <w:b/>
          <w:bCs/>
          <w:sz w:val="23"/>
          <w:szCs w:val="23"/>
        </w:rPr>
        <w:fldChar w:fldCharType="end"/>
      </w:r>
      <w:r w:rsidRPr="00636714">
        <w:rPr>
          <w:rFonts w:ascii="Times New Roman" w:hAnsi="Times New Roman" w:cs="Times New Roman"/>
          <w:b/>
          <w:bCs/>
          <w:sz w:val="23"/>
          <w:szCs w:val="23"/>
        </w:rPr>
        <w:t xml:space="preserve"> Nivel educativo alcanzado en Manizales en población de 25 años o más</w:t>
      </w:r>
    </w:p>
    <w:p w14:paraId="06452CA9"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noProof/>
          <w:color w:val="000000"/>
          <w:sz w:val="23"/>
          <w:szCs w:val="23"/>
          <w:lang w:eastAsia="es-CO"/>
        </w:rPr>
        <w:drawing>
          <wp:inline distT="0" distB="0" distL="0" distR="0" wp14:anchorId="23FEEBF4" wp14:editId="05AEB1BB">
            <wp:extent cx="4704713" cy="2416236"/>
            <wp:effectExtent l="0" t="0" r="1270" b="317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0398" cy="2424292"/>
                    </a:xfrm>
                    <a:prstGeom prst="rect">
                      <a:avLst/>
                    </a:prstGeom>
                    <a:noFill/>
                    <a:ln>
                      <a:noFill/>
                    </a:ln>
                  </pic:spPr>
                </pic:pic>
              </a:graphicData>
            </a:graphic>
          </wp:inline>
        </w:drawing>
      </w:r>
    </w:p>
    <w:p w14:paraId="26CF0AAA"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Cálculos MCV con base en Ministerio de Educación Nacional y DANE</w:t>
      </w:r>
    </w:p>
    <w:p w14:paraId="6FD8E93B" w14:textId="77777777" w:rsidR="00636714" w:rsidRPr="00636714" w:rsidRDefault="00636714" w:rsidP="00636714">
      <w:pPr>
        <w:jc w:val="both"/>
        <w:rPr>
          <w:rFonts w:ascii="Times New Roman" w:hAnsi="Times New Roman" w:cs="Times New Roman"/>
          <w:sz w:val="23"/>
          <w:szCs w:val="23"/>
        </w:rPr>
      </w:pPr>
    </w:p>
    <w:p w14:paraId="6F787597"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Es necesario destacar particularmente, la población con formación técnica y tecnológica que pasó del 6,5% al 14,1%. La población con título universitario, que pasó del 9,0% al 12,3% y la población con título de posgrado que también presentó un aumento importante al pasar del 3,4% al 5,3%.</w:t>
      </w:r>
    </w:p>
    <w:p w14:paraId="7B44171D" w14:textId="77777777" w:rsidR="00636714" w:rsidRPr="00636714" w:rsidRDefault="00636714" w:rsidP="00636714">
      <w:pPr>
        <w:jc w:val="both"/>
        <w:rPr>
          <w:rFonts w:ascii="Times New Roman" w:hAnsi="Times New Roman" w:cs="Times New Roman"/>
          <w:sz w:val="23"/>
          <w:szCs w:val="23"/>
        </w:rPr>
      </w:pPr>
    </w:p>
    <w:p w14:paraId="7E37BE13" w14:textId="226D7F65" w:rsidR="00636714" w:rsidRPr="00636714" w:rsidRDefault="00636714" w:rsidP="00636714">
      <w:pPr>
        <w:pStyle w:val="Ttulo1"/>
        <w:jc w:val="both"/>
        <w:rPr>
          <w:rFonts w:ascii="Times New Roman" w:hAnsi="Times New Roman" w:cs="Times New Roman"/>
          <w:sz w:val="23"/>
          <w:szCs w:val="23"/>
        </w:rPr>
      </w:pPr>
      <w:r w:rsidRPr="00636714">
        <w:rPr>
          <w:rFonts w:ascii="Times New Roman" w:hAnsi="Times New Roman" w:cs="Times New Roman"/>
          <w:sz w:val="23"/>
          <w:szCs w:val="23"/>
        </w:rPr>
        <w:t>Comportamiento de la matrícula en educación superior</w:t>
      </w:r>
      <w:r>
        <w:rPr>
          <w:rFonts w:ascii="Times New Roman" w:hAnsi="Times New Roman" w:cs="Times New Roman"/>
          <w:sz w:val="23"/>
          <w:szCs w:val="23"/>
        </w:rPr>
        <w:t>:</w:t>
      </w:r>
    </w:p>
    <w:p w14:paraId="3B83D990" w14:textId="77777777" w:rsidR="00636714" w:rsidRPr="00636714" w:rsidRDefault="00636714" w:rsidP="00636714">
      <w:pPr>
        <w:jc w:val="both"/>
        <w:rPr>
          <w:rFonts w:ascii="Times New Roman" w:hAnsi="Times New Roman" w:cs="Times New Roman"/>
          <w:sz w:val="23"/>
          <w:szCs w:val="23"/>
        </w:rPr>
      </w:pPr>
    </w:p>
    <w:p w14:paraId="4C3E2A20"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En el año 2021, Caldas tuvo 46.471 estudiantes matriculados en un programa de educación superior, el 90% correspondiente al nivel de pregrado y el 10% matriculados en algún nivel de posgrado. </w:t>
      </w:r>
    </w:p>
    <w:p w14:paraId="07E2EC0A" w14:textId="77777777" w:rsidR="00636714" w:rsidRPr="00636714" w:rsidRDefault="00636714" w:rsidP="00636714">
      <w:pPr>
        <w:jc w:val="both"/>
        <w:rPr>
          <w:rFonts w:ascii="Times New Roman" w:hAnsi="Times New Roman" w:cs="Times New Roman"/>
          <w:sz w:val="23"/>
          <w:szCs w:val="23"/>
        </w:rPr>
      </w:pPr>
    </w:p>
    <w:p w14:paraId="576F5FA3" w14:textId="5DBD1530"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La tasa de cobertura bruta en educación superior fue del 55,7%, casi dos puntos porcentuales por encima de la tasa nacional, mientras que la tasa de tránsito inmediato a educación superior se consolidó en el 36.6%, por debajo del consolidado nacional.</w:t>
      </w:r>
    </w:p>
    <w:p w14:paraId="66B4D54B" w14:textId="77777777" w:rsidR="00636714" w:rsidRPr="00636714" w:rsidRDefault="00636714" w:rsidP="00636714">
      <w:pPr>
        <w:jc w:val="both"/>
        <w:rPr>
          <w:rFonts w:ascii="Times New Roman" w:hAnsi="Times New Roman" w:cs="Times New Roman"/>
          <w:b/>
          <w:iCs/>
          <w:sz w:val="23"/>
          <w:szCs w:val="23"/>
        </w:rPr>
      </w:pPr>
    </w:p>
    <w:p w14:paraId="4267795C" w14:textId="38AA9738" w:rsidR="00636714" w:rsidRPr="00636714" w:rsidRDefault="00636714" w:rsidP="00636714">
      <w:pPr>
        <w:jc w:val="center"/>
        <w:rPr>
          <w:rFonts w:ascii="Times New Roman" w:hAnsi="Times New Roman" w:cs="Times New Roman"/>
          <w:b/>
          <w:iCs/>
          <w:sz w:val="23"/>
          <w:szCs w:val="23"/>
        </w:rPr>
      </w:pPr>
      <w:r w:rsidRPr="00636714">
        <w:rPr>
          <w:rFonts w:ascii="Times New Roman" w:hAnsi="Times New Roman" w:cs="Times New Roman"/>
          <w:b/>
          <w:iCs/>
          <w:sz w:val="23"/>
          <w:szCs w:val="23"/>
        </w:rPr>
        <w:t xml:space="preserve">Tabla </w:t>
      </w:r>
      <w:r w:rsidRPr="00636714">
        <w:rPr>
          <w:rFonts w:ascii="Times New Roman" w:hAnsi="Times New Roman" w:cs="Times New Roman"/>
          <w:b/>
          <w:iCs/>
          <w:sz w:val="23"/>
          <w:szCs w:val="23"/>
        </w:rPr>
        <w:fldChar w:fldCharType="begin"/>
      </w:r>
      <w:r w:rsidRPr="00636714">
        <w:rPr>
          <w:rFonts w:ascii="Times New Roman" w:hAnsi="Times New Roman" w:cs="Times New Roman"/>
          <w:b/>
          <w:iCs/>
          <w:sz w:val="23"/>
          <w:szCs w:val="23"/>
        </w:rPr>
        <w:instrText xml:space="preserve"> SEQ Tabla \* ARABIC </w:instrText>
      </w:r>
      <w:r w:rsidRPr="00636714">
        <w:rPr>
          <w:rFonts w:ascii="Times New Roman" w:hAnsi="Times New Roman" w:cs="Times New Roman"/>
          <w:b/>
          <w:iCs/>
          <w:sz w:val="23"/>
          <w:szCs w:val="23"/>
        </w:rPr>
        <w:fldChar w:fldCharType="separate"/>
      </w:r>
      <w:r w:rsidR="00F263B6">
        <w:rPr>
          <w:rFonts w:ascii="Times New Roman" w:hAnsi="Times New Roman" w:cs="Times New Roman"/>
          <w:b/>
          <w:iCs/>
          <w:noProof/>
          <w:sz w:val="23"/>
          <w:szCs w:val="23"/>
        </w:rPr>
        <w:t>1</w:t>
      </w:r>
      <w:r w:rsidRPr="00636714">
        <w:rPr>
          <w:rFonts w:ascii="Times New Roman" w:hAnsi="Times New Roman" w:cs="Times New Roman"/>
          <w:sz w:val="23"/>
          <w:szCs w:val="23"/>
        </w:rPr>
        <w:fldChar w:fldCharType="end"/>
      </w:r>
      <w:r w:rsidRPr="00636714">
        <w:rPr>
          <w:rFonts w:ascii="Times New Roman" w:hAnsi="Times New Roman" w:cs="Times New Roman"/>
          <w:b/>
          <w:iCs/>
          <w:sz w:val="23"/>
          <w:szCs w:val="23"/>
        </w:rPr>
        <w:t>. Matrícula total, según nivel de formación, 2021</w:t>
      </w:r>
    </w:p>
    <w:tbl>
      <w:tblPr>
        <w:tblW w:w="4630" w:type="pct"/>
        <w:jc w:val="center"/>
        <w:tblBorders>
          <w:top w:val="single" w:sz="8" w:space="0" w:color="3366CC"/>
          <w:left w:val="single" w:sz="8" w:space="0" w:color="3366CC"/>
          <w:bottom w:val="single" w:sz="8" w:space="0" w:color="3366CC"/>
          <w:right w:val="single" w:sz="8" w:space="0" w:color="3366CC"/>
          <w:insideH w:val="single" w:sz="8" w:space="0" w:color="3366CC"/>
          <w:insideV w:val="single" w:sz="8" w:space="0" w:color="3366CC"/>
        </w:tblBorders>
        <w:tblCellMar>
          <w:left w:w="70" w:type="dxa"/>
          <w:right w:w="70" w:type="dxa"/>
        </w:tblCellMar>
        <w:tblLook w:val="04A0" w:firstRow="1" w:lastRow="0" w:firstColumn="1" w:lastColumn="0" w:noHBand="0" w:noVBand="1"/>
      </w:tblPr>
      <w:tblGrid>
        <w:gridCol w:w="6491"/>
        <w:gridCol w:w="1079"/>
        <w:gridCol w:w="1336"/>
      </w:tblGrid>
      <w:tr w:rsidR="00636714" w:rsidRPr="00636714" w14:paraId="068C7FEF" w14:textId="77777777" w:rsidTr="009A6D3A">
        <w:trPr>
          <w:trHeight w:val="315"/>
          <w:jc w:val="center"/>
        </w:trPr>
        <w:tc>
          <w:tcPr>
            <w:tcW w:w="3644" w:type="pct"/>
            <w:shd w:val="clear" w:color="auto" w:fill="auto"/>
            <w:noWrap/>
            <w:vAlign w:val="center"/>
          </w:tcPr>
          <w:p w14:paraId="16A7937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b/>
                <w:bCs/>
                <w:sz w:val="23"/>
                <w:szCs w:val="23"/>
              </w:rPr>
              <w:t>Estadísticas</w:t>
            </w:r>
          </w:p>
        </w:tc>
        <w:tc>
          <w:tcPr>
            <w:tcW w:w="606" w:type="pct"/>
            <w:shd w:val="clear" w:color="000000" w:fill="DDEBF7"/>
            <w:vAlign w:val="center"/>
          </w:tcPr>
          <w:p w14:paraId="35D11C4A"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Caldas</w:t>
            </w:r>
          </w:p>
        </w:tc>
        <w:tc>
          <w:tcPr>
            <w:tcW w:w="751" w:type="pct"/>
            <w:shd w:val="clear" w:color="000000" w:fill="DDEBF7"/>
            <w:noWrap/>
            <w:vAlign w:val="center"/>
          </w:tcPr>
          <w:p w14:paraId="3237177A"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Nación</w:t>
            </w:r>
          </w:p>
        </w:tc>
      </w:tr>
      <w:tr w:rsidR="00636714" w:rsidRPr="00636714" w14:paraId="06411CD4" w14:textId="77777777" w:rsidTr="009A6D3A">
        <w:trPr>
          <w:trHeight w:val="375"/>
          <w:jc w:val="center"/>
        </w:trPr>
        <w:tc>
          <w:tcPr>
            <w:tcW w:w="3644" w:type="pct"/>
            <w:shd w:val="clear" w:color="auto" w:fill="auto"/>
            <w:noWrap/>
            <w:vAlign w:val="center"/>
            <w:hideMark/>
          </w:tcPr>
          <w:p w14:paraId="5714BAC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Matrícula total de educación superior</w:t>
            </w:r>
          </w:p>
        </w:tc>
        <w:tc>
          <w:tcPr>
            <w:tcW w:w="606" w:type="pct"/>
            <w:shd w:val="clear" w:color="auto" w:fill="auto"/>
            <w:noWrap/>
            <w:vAlign w:val="center"/>
            <w:hideMark/>
          </w:tcPr>
          <w:p w14:paraId="514E650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46.471</w:t>
            </w:r>
          </w:p>
        </w:tc>
        <w:tc>
          <w:tcPr>
            <w:tcW w:w="751" w:type="pct"/>
            <w:shd w:val="clear" w:color="auto" w:fill="auto"/>
            <w:noWrap/>
            <w:vAlign w:val="center"/>
            <w:hideMark/>
          </w:tcPr>
          <w:p w14:paraId="47864CE7"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2.448.271</w:t>
            </w:r>
          </w:p>
        </w:tc>
      </w:tr>
      <w:tr w:rsidR="00636714" w:rsidRPr="00636714" w14:paraId="15AE49CF" w14:textId="77777777" w:rsidTr="009A6D3A">
        <w:trPr>
          <w:trHeight w:val="375"/>
          <w:jc w:val="center"/>
        </w:trPr>
        <w:tc>
          <w:tcPr>
            <w:tcW w:w="3644" w:type="pct"/>
            <w:shd w:val="clear" w:color="000000" w:fill="DDEBF7"/>
            <w:noWrap/>
            <w:vAlign w:val="center"/>
            <w:hideMark/>
          </w:tcPr>
          <w:p w14:paraId="0AFB9B81"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Matrícula en programas de pregrado</w:t>
            </w:r>
          </w:p>
        </w:tc>
        <w:tc>
          <w:tcPr>
            <w:tcW w:w="606" w:type="pct"/>
            <w:shd w:val="clear" w:color="000000" w:fill="DDEBF7"/>
            <w:noWrap/>
            <w:vAlign w:val="center"/>
            <w:hideMark/>
          </w:tcPr>
          <w:p w14:paraId="718956F6"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41.764</w:t>
            </w:r>
          </w:p>
        </w:tc>
        <w:tc>
          <w:tcPr>
            <w:tcW w:w="751" w:type="pct"/>
            <w:shd w:val="clear" w:color="000000" w:fill="DDEBF7"/>
            <w:noWrap/>
            <w:vAlign w:val="center"/>
            <w:hideMark/>
          </w:tcPr>
          <w:p w14:paraId="3CDA16E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2.259.970</w:t>
            </w:r>
          </w:p>
        </w:tc>
      </w:tr>
      <w:tr w:rsidR="00636714" w:rsidRPr="00636714" w14:paraId="2C9F5657" w14:textId="77777777" w:rsidTr="009A6D3A">
        <w:trPr>
          <w:trHeight w:val="375"/>
          <w:jc w:val="center"/>
        </w:trPr>
        <w:tc>
          <w:tcPr>
            <w:tcW w:w="3644" w:type="pct"/>
            <w:shd w:val="clear" w:color="auto" w:fill="auto"/>
            <w:noWrap/>
            <w:vAlign w:val="center"/>
            <w:hideMark/>
          </w:tcPr>
          <w:p w14:paraId="5A52372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Matrícula en programas de posgrado</w:t>
            </w:r>
          </w:p>
        </w:tc>
        <w:tc>
          <w:tcPr>
            <w:tcW w:w="606" w:type="pct"/>
            <w:shd w:val="clear" w:color="auto" w:fill="auto"/>
            <w:noWrap/>
            <w:vAlign w:val="center"/>
            <w:hideMark/>
          </w:tcPr>
          <w:p w14:paraId="1F1AD2C6"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4.707</w:t>
            </w:r>
          </w:p>
        </w:tc>
        <w:tc>
          <w:tcPr>
            <w:tcW w:w="751" w:type="pct"/>
            <w:shd w:val="clear" w:color="auto" w:fill="auto"/>
            <w:noWrap/>
            <w:vAlign w:val="center"/>
            <w:hideMark/>
          </w:tcPr>
          <w:p w14:paraId="6314B637"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188.301</w:t>
            </w:r>
          </w:p>
        </w:tc>
      </w:tr>
      <w:tr w:rsidR="00636714" w:rsidRPr="00636714" w14:paraId="2CE6BB29" w14:textId="77777777" w:rsidTr="009A6D3A">
        <w:trPr>
          <w:trHeight w:val="375"/>
          <w:jc w:val="center"/>
        </w:trPr>
        <w:tc>
          <w:tcPr>
            <w:tcW w:w="3644" w:type="pct"/>
            <w:shd w:val="clear" w:color="000000" w:fill="DDEBF7"/>
            <w:noWrap/>
            <w:vAlign w:val="center"/>
            <w:hideMark/>
          </w:tcPr>
          <w:p w14:paraId="77C012D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Tasa de cobertura bruta en educación superior</w:t>
            </w:r>
          </w:p>
        </w:tc>
        <w:tc>
          <w:tcPr>
            <w:tcW w:w="606" w:type="pct"/>
            <w:shd w:val="clear" w:color="000000" w:fill="DDEBF7"/>
            <w:noWrap/>
            <w:vAlign w:val="center"/>
            <w:hideMark/>
          </w:tcPr>
          <w:p w14:paraId="1E9F5D4F"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55,7%</w:t>
            </w:r>
          </w:p>
        </w:tc>
        <w:tc>
          <w:tcPr>
            <w:tcW w:w="751" w:type="pct"/>
            <w:shd w:val="clear" w:color="000000" w:fill="DDEBF7"/>
            <w:noWrap/>
            <w:vAlign w:val="center"/>
            <w:hideMark/>
          </w:tcPr>
          <w:p w14:paraId="62CB50C7"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53,9%</w:t>
            </w:r>
          </w:p>
        </w:tc>
      </w:tr>
      <w:tr w:rsidR="00636714" w:rsidRPr="00636714" w14:paraId="0D7AA4AA" w14:textId="77777777" w:rsidTr="009A6D3A">
        <w:trPr>
          <w:trHeight w:val="390"/>
          <w:jc w:val="center"/>
        </w:trPr>
        <w:tc>
          <w:tcPr>
            <w:tcW w:w="3644" w:type="pct"/>
            <w:shd w:val="clear" w:color="auto" w:fill="auto"/>
            <w:noWrap/>
            <w:vAlign w:val="center"/>
            <w:hideMark/>
          </w:tcPr>
          <w:p w14:paraId="2AA6D7B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Tasa de tránsito inmediato a educación superior</w:t>
            </w:r>
          </w:p>
        </w:tc>
        <w:tc>
          <w:tcPr>
            <w:tcW w:w="606" w:type="pct"/>
            <w:shd w:val="clear" w:color="auto" w:fill="auto"/>
            <w:noWrap/>
            <w:vAlign w:val="center"/>
            <w:hideMark/>
          </w:tcPr>
          <w:p w14:paraId="5DADFCF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36,6%</w:t>
            </w:r>
          </w:p>
        </w:tc>
        <w:tc>
          <w:tcPr>
            <w:tcW w:w="751" w:type="pct"/>
            <w:shd w:val="clear" w:color="auto" w:fill="auto"/>
            <w:noWrap/>
            <w:vAlign w:val="center"/>
            <w:hideMark/>
          </w:tcPr>
          <w:p w14:paraId="76CF65A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39,7%</w:t>
            </w:r>
          </w:p>
        </w:tc>
      </w:tr>
    </w:tbl>
    <w:p w14:paraId="350BB2D9"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MEN (Sistema Nacional de Información de Educación Superior - SNIES)</w:t>
      </w:r>
    </w:p>
    <w:p w14:paraId="1CD9054D"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 Proyecciones de población, Censo Nacional de Población y Vivienda 2018 - DANE</w:t>
      </w:r>
    </w:p>
    <w:p w14:paraId="4CAD25FA" w14:textId="77777777" w:rsidR="00636714" w:rsidRPr="00636714" w:rsidRDefault="00636714" w:rsidP="00636714">
      <w:pPr>
        <w:jc w:val="both"/>
        <w:rPr>
          <w:rFonts w:ascii="Times New Roman" w:hAnsi="Times New Roman" w:cs="Times New Roman"/>
          <w:sz w:val="23"/>
          <w:szCs w:val="23"/>
        </w:rPr>
      </w:pPr>
    </w:p>
    <w:p w14:paraId="2996BAD8"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El porcentaje de estudiantes matriculados en el nivel de pregrado (90%) y posgrado (10%) se ha mantenido constante en los años anteriores:</w:t>
      </w:r>
    </w:p>
    <w:p w14:paraId="168AADD6" w14:textId="77777777" w:rsidR="00636714" w:rsidRPr="00636714" w:rsidRDefault="00636714" w:rsidP="00636714">
      <w:pPr>
        <w:jc w:val="both"/>
        <w:rPr>
          <w:rFonts w:ascii="Times New Roman" w:hAnsi="Times New Roman" w:cs="Times New Roman"/>
          <w:sz w:val="23"/>
          <w:szCs w:val="23"/>
        </w:rPr>
      </w:pPr>
    </w:p>
    <w:p w14:paraId="613BBB83" w14:textId="7C55A6EF" w:rsidR="00636714" w:rsidRPr="00636714" w:rsidRDefault="00636714" w:rsidP="00636714">
      <w:pPr>
        <w:jc w:val="center"/>
        <w:rPr>
          <w:rFonts w:ascii="Times New Roman" w:hAnsi="Times New Roman" w:cs="Times New Roman"/>
          <w:b/>
          <w:iCs/>
          <w:sz w:val="23"/>
          <w:szCs w:val="23"/>
        </w:rPr>
      </w:pPr>
      <w:r w:rsidRPr="00636714">
        <w:rPr>
          <w:rFonts w:ascii="Times New Roman" w:hAnsi="Times New Roman" w:cs="Times New Roman"/>
          <w:b/>
          <w:iCs/>
          <w:sz w:val="23"/>
          <w:szCs w:val="23"/>
        </w:rPr>
        <w:t xml:space="preserve">Tabla </w:t>
      </w:r>
      <w:r w:rsidRPr="00636714">
        <w:rPr>
          <w:rFonts w:ascii="Times New Roman" w:hAnsi="Times New Roman" w:cs="Times New Roman"/>
          <w:b/>
          <w:iCs/>
          <w:sz w:val="23"/>
          <w:szCs w:val="23"/>
        </w:rPr>
        <w:fldChar w:fldCharType="begin"/>
      </w:r>
      <w:r w:rsidRPr="00636714">
        <w:rPr>
          <w:rFonts w:ascii="Times New Roman" w:hAnsi="Times New Roman" w:cs="Times New Roman"/>
          <w:b/>
          <w:iCs/>
          <w:sz w:val="23"/>
          <w:szCs w:val="23"/>
        </w:rPr>
        <w:instrText xml:space="preserve"> SEQ Tabla \* ARABIC </w:instrText>
      </w:r>
      <w:r w:rsidRPr="00636714">
        <w:rPr>
          <w:rFonts w:ascii="Times New Roman" w:hAnsi="Times New Roman" w:cs="Times New Roman"/>
          <w:b/>
          <w:iCs/>
          <w:sz w:val="23"/>
          <w:szCs w:val="23"/>
        </w:rPr>
        <w:fldChar w:fldCharType="separate"/>
      </w:r>
      <w:r w:rsidR="00F263B6">
        <w:rPr>
          <w:rFonts w:ascii="Times New Roman" w:hAnsi="Times New Roman" w:cs="Times New Roman"/>
          <w:b/>
          <w:iCs/>
          <w:noProof/>
          <w:sz w:val="23"/>
          <w:szCs w:val="23"/>
        </w:rPr>
        <w:t>2</w:t>
      </w:r>
      <w:r w:rsidRPr="00636714">
        <w:rPr>
          <w:rFonts w:ascii="Times New Roman" w:hAnsi="Times New Roman" w:cs="Times New Roman"/>
          <w:sz w:val="23"/>
          <w:szCs w:val="23"/>
        </w:rPr>
        <w:fldChar w:fldCharType="end"/>
      </w:r>
      <w:r w:rsidRPr="00636714">
        <w:rPr>
          <w:rFonts w:ascii="Times New Roman" w:hAnsi="Times New Roman" w:cs="Times New Roman"/>
          <w:b/>
          <w:iCs/>
          <w:sz w:val="23"/>
          <w:szCs w:val="23"/>
        </w:rPr>
        <w:t xml:space="preserve"> Matrícula de Educación Superior (2015 – 2021)</w:t>
      </w:r>
    </w:p>
    <w:tbl>
      <w:tblPr>
        <w:tblW w:w="0" w:type="auto"/>
        <w:jc w:val="center"/>
        <w:tblCellMar>
          <w:left w:w="70" w:type="dxa"/>
          <w:right w:w="70" w:type="dxa"/>
        </w:tblCellMar>
        <w:tblLook w:val="04A0" w:firstRow="1" w:lastRow="0" w:firstColumn="1" w:lastColumn="0" w:noHBand="0" w:noVBand="1"/>
      </w:tblPr>
      <w:tblGrid>
        <w:gridCol w:w="1744"/>
        <w:gridCol w:w="773"/>
        <w:gridCol w:w="773"/>
        <w:gridCol w:w="773"/>
        <w:gridCol w:w="773"/>
        <w:gridCol w:w="773"/>
        <w:gridCol w:w="773"/>
        <w:gridCol w:w="773"/>
      </w:tblGrid>
      <w:tr w:rsidR="00636714" w:rsidRPr="00636714" w14:paraId="414C03DA" w14:textId="77777777" w:rsidTr="009A6D3A">
        <w:trPr>
          <w:trHeight w:val="390"/>
          <w:jc w:val="center"/>
        </w:trPr>
        <w:tc>
          <w:tcPr>
            <w:tcW w:w="0" w:type="auto"/>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4B958973"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Nivel académico</w:t>
            </w:r>
          </w:p>
        </w:tc>
        <w:tc>
          <w:tcPr>
            <w:tcW w:w="0" w:type="auto"/>
            <w:tcBorders>
              <w:top w:val="single" w:sz="8" w:space="0" w:color="3366CC"/>
              <w:left w:val="nil"/>
              <w:bottom w:val="single" w:sz="8" w:space="0" w:color="3366CC"/>
              <w:right w:val="nil"/>
            </w:tcBorders>
            <w:shd w:val="clear" w:color="000000" w:fill="DDEBF7"/>
            <w:noWrap/>
            <w:vAlign w:val="center"/>
            <w:hideMark/>
          </w:tcPr>
          <w:p w14:paraId="42C6DA18"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2015</w:t>
            </w:r>
          </w:p>
        </w:tc>
        <w:tc>
          <w:tcPr>
            <w:tcW w:w="0" w:type="auto"/>
            <w:tcBorders>
              <w:top w:val="single" w:sz="8" w:space="0" w:color="3366CC"/>
              <w:left w:val="nil"/>
              <w:bottom w:val="single" w:sz="8" w:space="0" w:color="3366CC"/>
              <w:right w:val="nil"/>
            </w:tcBorders>
            <w:shd w:val="clear" w:color="000000" w:fill="DDEBF7"/>
            <w:vAlign w:val="center"/>
            <w:hideMark/>
          </w:tcPr>
          <w:p w14:paraId="61A991F9"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2016</w:t>
            </w:r>
          </w:p>
        </w:tc>
        <w:tc>
          <w:tcPr>
            <w:tcW w:w="0" w:type="auto"/>
            <w:tcBorders>
              <w:top w:val="single" w:sz="8" w:space="0" w:color="3366CC"/>
              <w:left w:val="nil"/>
              <w:bottom w:val="single" w:sz="8" w:space="0" w:color="3366CC"/>
              <w:right w:val="nil"/>
            </w:tcBorders>
            <w:shd w:val="clear" w:color="000000" w:fill="DDEBF7"/>
            <w:vAlign w:val="center"/>
            <w:hideMark/>
          </w:tcPr>
          <w:p w14:paraId="4151F3B2"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2017</w:t>
            </w:r>
          </w:p>
        </w:tc>
        <w:tc>
          <w:tcPr>
            <w:tcW w:w="0" w:type="auto"/>
            <w:tcBorders>
              <w:top w:val="single" w:sz="8" w:space="0" w:color="3366CC"/>
              <w:left w:val="nil"/>
              <w:bottom w:val="single" w:sz="8" w:space="0" w:color="3366CC"/>
              <w:right w:val="nil"/>
            </w:tcBorders>
            <w:shd w:val="clear" w:color="000000" w:fill="DDEBF7"/>
            <w:vAlign w:val="center"/>
            <w:hideMark/>
          </w:tcPr>
          <w:p w14:paraId="7FFEBF43"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2018</w:t>
            </w:r>
          </w:p>
        </w:tc>
        <w:tc>
          <w:tcPr>
            <w:tcW w:w="0" w:type="auto"/>
            <w:tcBorders>
              <w:top w:val="single" w:sz="8" w:space="0" w:color="3366CC"/>
              <w:left w:val="single" w:sz="4" w:space="0" w:color="808080"/>
              <w:bottom w:val="single" w:sz="8" w:space="0" w:color="3366CC"/>
              <w:right w:val="single" w:sz="4" w:space="0" w:color="808080"/>
            </w:tcBorders>
            <w:shd w:val="clear" w:color="000000" w:fill="DDEBF7"/>
            <w:vAlign w:val="center"/>
            <w:hideMark/>
          </w:tcPr>
          <w:p w14:paraId="6AFC781B"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2019</w:t>
            </w:r>
          </w:p>
        </w:tc>
        <w:tc>
          <w:tcPr>
            <w:tcW w:w="0" w:type="auto"/>
            <w:tcBorders>
              <w:top w:val="single" w:sz="8" w:space="0" w:color="3366CC"/>
              <w:left w:val="nil"/>
              <w:bottom w:val="single" w:sz="8" w:space="0" w:color="3366CC"/>
              <w:right w:val="single" w:sz="4" w:space="0" w:color="808080"/>
            </w:tcBorders>
            <w:shd w:val="clear" w:color="000000" w:fill="DDEBF7"/>
            <w:vAlign w:val="center"/>
            <w:hideMark/>
          </w:tcPr>
          <w:p w14:paraId="72988CEE"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2020</w:t>
            </w:r>
          </w:p>
        </w:tc>
        <w:tc>
          <w:tcPr>
            <w:tcW w:w="0" w:type="auto"/>
            <w:tcBorders>
              <w:top w:val="single" w:sz="8" w:space="0" w:color="3366CC"/>
              <w:left w:val="nil"/>
              <w:bottom w:val="single" w:sz="8" w:space="0" w:color="3366CC"/>
              <w:right w:val="single" w:sz="8" w:space="0" w:color="3366CC"/>
            </w:tcBorders>
            <w:shd w:val="clear" w:color="000000" w:fill="DDEBF7"/>
            <w:vAlign w:val="center"/>
            <w:hideMark/>
          </w:tcPr>
          <w:p w14:paraId="616380AB"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2021</w:t>
            </w:r>
          </w:p>
        </w:tc>
      </w:tr>
      <w:tr w:rsidR="00636714" w:rsidRPr="00636714" w14:paraId="2608E08D" w14:textId="77777777" w:rsidTr="009A6D3A">
        <w:trPr>
          <w:trHeight w:val="375"/>
          <w:jc w:val="center"/>
        </w:trPr>
        <w:tc>
          <w:tcPr>
            <w:tcW w:w="0" w:type="auto"/>
            <w:tcBorders>
              <w:top w:val="single" w:sz="8" w:space="0" w:color="3366CC"/>
              <w:left w:val="single" w:sz="8" w:space="0" w:color="3366CC"/>
              <w:bottom w:val="single" w:sz="4" w:space="0" w:color="808080"/>
              <w:right w:val="single" w:sz="8" w:space="0" w:color="3366CC"/>
            </w:tcBorders>
            <w:shd w:val="clear" w:color="auto" w:fill="auto"/>
            <w:noWrap/>
            <w:vAlign w:val="center"/>
            <w:hideMark/>
          </w:tcPr>
          <w:p w14:paraId="1C3C92F8"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Pregrado</w:t>
            </w:r>
          </w:p>
        </w:tc>
        <w:tc>
          <w:tcPr>
            <w:tcW w:w="0" w:type="auto"/>
            <w:tcBorders>
              <w:top w:val="nil"/>
              <w:left w:val="nil"/>
              <w:bottom w:val="single" w:sz="4" w:space="0" w:color="808080"/>
              <w:right w:val="single" w:sz="4" w:space="0" w:color="808080"/>
            </w:tcBorders>
            <w:shd w:val="clear" w:color="auto" w:fill="auto"/>
            <w:noWrap/>
            <w:vAlign w:val="center"/>
            <w:hideMark/>
          </w:tcPr>
          <w:p w14:paraId="5ADF0697"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41.727</w:t>
            </w:r>
          </w:p>
        </w:tc>
        <w:tc>
          <w:tcPr>
            <w:tcW w:w="0" w:type="auto"/>
            <w:tcBorders>
              <w:top w:val="nil"/>
              <w:left w:val="nil"/>
              <w:bottom w:val="single" w:sz="4" w:space="0" w:color="808080"/>
              <w:right w:val="single" w:sz="4" w:space="0" w:color="808080"/>
            </w:tcBorders>
            <w:shd w:val="clear" w:color="auto" w:fill="auto"/>
            <w:noWrap/>
            <w:vAlign w:val="center"/>
            <w:hideMark/>
          </w:tcPr>
          <w:p w14:paraId="390CA82C"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44.326</w:t>
            </w:r>
          </w:p>
        </w:tc>
        <w:tc>
          <w:tcPr>
            <w:tcW w:w="0" w:type="auto"/>
            <w:tcBorders>
              <w:top w:val="nil"/>
              <w:left w:val="nil"/>
              <w:bottom w:val="single" w:sz="4" w:space="0" w:color="808080"/>
              <w:right w:val="single" w:sz="4" w:space="0" w:color="808080"/>
            </w:tcBorders>
            <w:shd w:val="clear" w:color="auto" w:fill="auto"/>
            <w:noWrap/>
            <w:vAlign w:val="center"/>
            <w:hideMark/>
          </w:tcPr>
          <w:p w14:paraId="359C673E"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44.464</w:t>
            </w:r>
          </w:p>
        </w:tc>
        <w:tc>
          <w:tcPr>
            <w:tcW w:w="0" w:type="auto"/>
            <w:tcBorders>
              <w:top w:val="nil"/>
              <w:left w:val="nil"/>
              <w:bottom w:val="single" w:sz="4" w:space="0" w:color="808080"/>
              <w:right w:val="nil"/>
            </w:tcBorders>
            <w:shd w:val="clear" w:color="auto" w:fill="auto"/>
            <w:noWrap/>
            <w:vAlign w:val="center"/>
            <w:hideMark/>
          </w:tcPr>
          <w:p w14:paraId="4C318566"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45.407</w:t>
            </w:r>
          </w:p>
        </w:tc>
        <w:tc>
          <w:tcPr>
            <w:tcW w:w="0" w:type="auto"/>
            <w:tcBorders>
              <w:top w:val="nil"/>
              <w:left w:val="single" w:sz="4" w:space="0" w:color="808080"/>
              <w:bottom w:val="single" w:sz="4" w:space="0" w:color="808080"/>
              <w:right w:val="nil"/>
            </w:tcBorders>
            <w:shd w:val="clear" w:color="auto" w:fill="auto"/>
            <w:noWrap/>
            <w:vAlign w:val="center"/>
            <w:hideMark/>
          </w:tcPr>
          <w:p w14:paraId="22D765A9"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44.542</w:t>
            </w:r>
          </w:p>
        </w:tc>
        <w:tc>
          <w:tcPr>
            <w:tcW w:w="0" w:type="auto"/>
            <w:tcBorders>
              <w:top w:val="nil"/>
              <w:left w:val="single" w:sz="4" w:space="0" w:color="808080"/>
              <w:bottom w:val="single" w:sz="4" w:space="0" w:color="808080"/>
              <w:right w:val="nil"/>
            </w:tcBorders>
            <w:shd w:val="clear" w:color="auto" w:fill="auto"/>
            <w:noWrap/>
            <w:vAlign w:val="center"/>
            <w:hideMark/>
          </w:tcPr>
          <w:p w14:paraId="3C63C270"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44.147</w:t>
            </w:r>
          </w:p>
        </w:tc>
        <w:tc>
          <w:tcPr>
            <w:tcW w:w="0" w:type="auto"/>
            <w:tcBorders>
              <w:top w:val="nil"/>
              <w:left w:val="single" w:sz="4" w:space="0" w:color="808080"/>
              <w:bottom w:val="single" w:sz="4" w:space="0" w:color="808080"/>
              <w:right w:val="single" w:sz="8" w:space="0" w:color="3366CC"/>
            </w:tcBorders>
            <w:shd w:val="clear" w:color="auto" w:fill="auto"/>
            <w:noWrap/>
            <w:vAlign w:val="center"/>
            <w:hideMark/>
          </w:tcPr>
          <w:p w14:paraId="5A270573"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41.764</w:t>
            </w:r>
          </w:p>
        </w:tc>
      </w:tr>
      <w:tr w:rsidR="00636714" w:rsidRPr="00636714" w14:paraId="4B64BC0E" w14:textId="77777777" w:rsidTr="009A6D3A">
        <w:trPr>
          <w:trHeight w:val="375"/>
          <w:jc w:val="center"/>
        </w:trPr>
        <w:tc>
          <w:tcPr>
            <w:tcW w:w="0" w:type="auto"/>
            <w:tcBorders>
              <w:top w:val="single" w:sz="4" w:space="0" w:color="808080"/>
              <w:left w:val="single" w:sz="8" w:space="0" w:color="3366CC"/>
              <w:bottom w:val="single" w:sz="4" w:space="0" w:color="808080"/>
              <w:right w:val="single" w:sz="8" w:space="0" w:color="3366CC"/>
            </w:tcBorders>
            <w:shd w:val="clear" w:color="auto" w:fill="auto"/>
            <w:noWrap/>
            <w:vAlign w:val="center"/>
            <w:hideMark/>
          </w:tcPr>
          <w:p w14:paraId="3D9B378C"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Posgrado</w:t>
            </w:r>
          </w:p>
        </w:tc>
        <w:tc>
          <w:tcPr>
            <w:tcW w:w="0" w:type="auto"/>
            <w:tcBorders>
              <w:top w:val="nil"/>
              <w:left w:val="nil"/>
              <w:bottom w:val="single" w:sz="4" w:space="0" w:color="808080"/>
              <w:right w:val="single" w:sz="4" w:space="0" w:color="808080"/>
            </w:tcBorders>
            <w:shd w:val="clear" w:color="auto" w:fill="auto"/>
            <w:noWrap/>
            <w:vAlign w:val="center"/>
            <w:hideMark/>
          </w:tcPr>
          <w:p w14:paraId="06AEC3CA"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4.864</w:t>
            </w:r>
          </w:p>
        </w:tc>
        <w:tc>
          <w:tcPr>
            <w:tcW w:w="0" w:type="auto"/>
            <w:tcBorders>
              <w:top w:val="nil"/>
              <w:left w:val="nil"/>
              <w:bottom w:val="single" w:sz="4" w:space="0" w:color="808080"/>
              <w:right w:val="single" w:sz="4" w:space="0" w:color="808080"/>
            </w:tcBorders>
            <w:shd w:val="clear" w:color="auto" w:fill="auto"/>
            <w:noWrap/>
            <w:vAlign w:val="center"/>
            <w:hideMark/>
          </w:tcPr>
          <w:p w14:paraId="7999CC42"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5.159</w:t>
            </w:r>
          </w:p>
        </w:tc>
        <w:tc>
          <w:tcPr>
            <w:tcW w:w="0" w:type="auto"/>
            <w:tcBorders>
              <w:top w:val="nil"/>
              <w:left w:val="nil"/>
              <w:bottom w:val="single" w:sz="4" w:space="0" w:color="808080"/>
              <w:right w:val="single" w:sz="4" w:space="0" w:color="808080"/>
            </w:tcBorders>
            <w:shd w:val="clear" w:color="auto" w:fill="auto"/>
            <w:noWrap/>
            <w:vAlign w:val="center"/>
            <w:hideMark/>
          </w:tcPr>
          <w:p w14:paraId="1C3E02CE"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5.693</w:t>
            </w:r>
          </w:p>
        </w:tc>
        <w:tc>
          <w:tcPr>
            <w:tcW w:w="0" w:type="auto"/>
            <w:tcBorders>
              <w:top w:val="nil"/>
              <w:left w:val="nil"/>
              <w:bottom w:val="single" w:sz="4" w:space="0" w:color="808080"/>
              <w:right w:val="nil"/>
            </w:tcBorders>
            <w:shd w:val="clear" w:color="auto" w:fill="auto"/>
            <w:noWrap/>
            <w:vAlign w:val="center"/>
            <w:hideMark/>
          </w:tcPr>
          <w:p w14:paraId="11FE5202"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5.863</w:t>
            </w:r>
          </w:p>
        </w:tc>
        <w:tc>
          <w:tcPr>
            <w:tcW w:w="0" w:type="auto"/>
            <w:tcBorders>
              <w:top w:val="nil"/>
              <w:left w:val="single" w:sz="4" w:space="0" w:color="808080"/>
              <w:bottom w:val="single" w:sz="4" w:space="0" w:color="808080"/>
              <w:right w:val="nil"/>
            </w:tcBorders>
            <w:shd w:val="clear" w:color="auto" w:fill="auto"/>
            <w:noWrap/>
            <w:vAlign w:val="center"/>
            <w:hideMark/>
          </w:tcPr>
          <w:p w14:paraId="649CE0E7"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6.038</w:t>
            </w:r>
          </w:p>
        </w:tc>
        <w:tc>
          <w:tcPr>
            <w:tcW w:w="0" w:type="auto"/>
            <w:tcBorders>
              <w:top w:val="nil"/>
              <w:left w:val="single" w:sz="4" w:space="0" w:color="808080"/>
              <w:bottom w:val="single" w:sz="4" w:space="0" w:color="808080"/>
              <w:right w:val="nil"/>
            </w:tcBorders>
            <w:shd w:val="clear" w:color="auto" w:fill="auto"/>
            <w:noWrap/>
            <w:vAlign w:val="center"/>
            <w:hideMark/>
          </w:tcPr>
          <w:p w14:paraId="716CF760"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5.463</w:t>
            </w:r>
          </w:p>
        </w:tc>
        <w:tc>
          <w:tcPr>
            <w:tcW w:w="0" w:type="auto"/>
            <w:tcBorders>
              <w:top w:val="nil"/>
              <w:left w:val="single" w:sz="4" w:space="0" w:color="808080"/>
              <w:bottom w:val="single" w:sz="4" w:space="0" w:color="808080"/>
              <w:right w:val="single" w:sz="8" w:space="0" w:color="3366CC"/>
            </w:tcBorders>
            <w:shd w:val="clear" w:color="auto" w:fill="auto"/>
            <w:noWrap/>
            <w:vAlign w:val="center"/>
            <w:hideMark/>
          </w:tcPr>
          <w:p w14:paraId="7C5B0892"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4.707</w:t>
            </w:r>
          </w:p>
        </w:tc>
      </w:tr>
      <w:tr w:rsidR="00636714" w:rsidRPr="00636714" w14:paraId="6E6C6306" w14:textId="77777777" w:rsidTr="009A6D3A">
        <w:trPr>
          <w:trHeight w:val="390"/>
          <w:jc w:val="center"/>
        </w:trPr>
        <w:tc>
          <w:tcPr>
            <w:tcW w:w="0" w:type="auto"/>
            <w:tcBorders>
              <w:top w:val="single" w:sz="4" w:space="0" w:color="808080"/>
              <w:left w:val="single" w:sz="8" w:space="0" w:color="3366CC"/>
              <w:bottom w:val="single" w:sz="8" w:space="0" w:color="3366CC"/>
              <w:right w:val="single" w:sz="8" w:space="0" w:color="3366CC"/>
            </w:tcBorders>
            <w:shd w:val="clear" w:color="000000" w:fill="DDEBF7"/>
            <w:noWrap/>
            <w:vAlign w:val="center"/>
            <w:hideMark/>
          </w:tcPr>
          <w:p w14:paraId="728F3807"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Total General</w:t>
            </w:r>
          </w:p>
        </w:tc>
        <w:tc>
          <w:tcPr>
            <w:tcW w:w="0" w:type="auto"/>
            <w:tcBorders>
              <w:top w:val="nil"/>
              <w:left w:val="nil"/>
              <w:bottom w:val="single" w:sz="8" w:space="0" w:color="3366CC"/>
              <w:right w:val="single" w:sz="4" w:space="0" w:color="808080"/>
            </w:tcBorders>
            <w:shd w:val="clear" w:color="000000" w:fill="DDEBF7"/>
            <w:noWrap/>
            <w:vAlign w:val="center"/>
            <w:hideMark/>
          </w:tcPr>
          <w:p w14:paraId="7B6567AA"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46.591</w:t>
            </w:r>
          </w:p>
        </w:tc>
        <w:tc>
          <w:tcPr>
            <w:tcW w:w="0" w:type="auto"/>
            <w:tcBorders>
              <w:top w:val="nil"/>
              <w:left w:val="nil"/>
              <w:bottom w:val="single" w:sz="8" w:space="0" w:color="3366CC"/>
              <w:right w:val="single" w:sz="4" w:space="0" w:color="808080"/>
            </w:tcBorders>
            <w:shd w:val="clear" w:color="000000" w:fill="DDEBF7"/>
            <w:noWrap/>
            <w:vAlign w:val="center"/>
            <w:hideMark/>
          </w:tcPr>
          <w:p w14:paraId="7C46E029"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49.485</w:t>
            </w:r>
          </w:p>
        </w:tc>
        <w:tc>
          <w:tcPr>
            <w:tcW w:w="0" w:type="auto"/>
            <w:tcBorders>
              <w:top w:val="nil"/>
              <w:left w:val="nil"/>
              <w:bottom w:val="single" w:sz="8" w:space="0" w:color="3366CC"/>
              <w:right w:val="single" w:sz="4" w:space="0" w:color="808080"/>
            </w:tcBorders>
            <w:shd w:val="clear" w:color="000000" w:fill="DDEBF7"/>
            <w:noWrap/>
            <w:vAlign w:val="center"/>
            <w:hideMark/>
          </w:tcPr>
          <w:p w14:paraId="46128B64"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50.157</w:t>
            </w:r>
          </w:p>
        </w:tc>
        <w:tc>
          <w:tcPr>
            <w:tcW w:w="0" w:type="auto"/>
            <w:tcBorders>
              <w:top w:val="nil"/>
              <w:left w:val="nil"/>
              <w:bottom w:val="single" w:sz="8" w:space="0" w:color="3366CC"/>
              <w:right w:val="nil"/>
            </w:tcBorders>
            <w:shd w:val="clear" w:color="000000" w:fill="DDEBF7"/>
            <w:noWrap/>
            <w:vAlign w:val="center"/>
            <w:hideMark/>
          </w:tcPr>
          <w:p w14:paraId="507A56F7"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51.270</w:t>
            </w:r>
          </w:p>
        </w:tc>
        <w:tc>
          <w:tcPr>
            <w:tcW w:w="0" w:type="auto"/>
            <w:tcBorders>
              <w:top w:val="nil"/>
              <w:left w:val="single" w:sz="4" w:space="0" w:color="808080"/>
              <w:bottom w:val="single" w:sz="8" w:space="0" w:color="3366CC"/>
              <w:right w:val="nil"/>
            </w:tcBorders>
            <w:shd w:val="clear" w:color="000000" w:fill="DDEBF7"/>
            <w:noWrap/>
            <w:vAlign w:val="center"/>
            <w:hideMark/>
          </w:tcPr>
          <w:p w14:paraId="00672131"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50.580</w:t>
            </w:r>
          </w:p>
        </w:tc>
        <w:tc>
          <w:tcPr>
            <w:tcW w:w="0" w:type="auto"/>
            <w:tcBorders>
              <w:top w:val="nil"/>
              <w:left w:val="single" w:sz="4" w:space="0" w:color="808080"/>
              <w:bottom w:val="single" w:sz="8" w:space="0" w:color="3366CC"/>
              <w:right w:val="nil"/>
            </w:tcBorders>
            <w:shd w:val="clear" w:color="000000" w:fill="DDEBF7"/>
            <w:noWrap/>
            <w:vAlign w:val="center"/>
            <w:hideMark/>
          </w:tcPr>
          <w:p w14:paraId="0F711804"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49.610</w:t>
            </w:r>
          </w:p>
        </w:tc>
        <w:tc>
          <w:tcPr>
            <w:tcW w:w="0" w:type="auto"/>
            <w:tcBorders>
              <w:top w:val="nil"/>
              <w:left w:val="single" w:sz="4" w:space="0" w:color="808080"/>
              <w:bottom w:val="single" w:sz="8" w:space="0" w:color="3366CC"/>
              <w:right w:val="single" w:sz="8" w:space="0" w:color="3366CC"/>
            </w:tcBorders>
            <w:shd w:val="clear" w:color="000000" w:fill="DDEBF7"/>
            <w:noWrap/>
            <w:vAlign w:val="center"/>
            <w:hideMark/>
          </w:tcPr>
          <w:p w14:paraId="00B30250"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46.471</w:t>
            </w:r>
          </w:p>
        </w:tc>
      </w:tr>
    </w:tbl>
    <w:p w14:paraId="4F1FD6C5"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MEN (SNIES)</w:t>
      </w:r>
    </w:p>
    <w:p w14:paraId="137F293F" w14:textId="77777777" w:rsidR="00636714" w:rsidRPr="00636714" w:rsidRDefault="00636714" w:rsidP="00636714">
      <w:pPr>
        <w:jc w:val="both"/>
        <w:rPr>
          <w:rFonts w:ascii="Times New Roman" w:hAnsi="Times New Roman" w:cs="Times New Roman"/>
          <w:sz w:val="23"/>
          <w:szCs w:val="23"/>
        </w:rPr>
      </w:pPr>
    </w:p>
    <w:p w14:paraId="105E1C06"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La evolución en la tasa de cobertura bruta en educación superior revela un crecimiento sostenido entre 2011 y 2018, al pasar de 51,2% a 58,4%. A partir de 2018 la tasa de crecimiento se atenuó e incluso presenta variaciones negativas en 2019 y 2021. Frente al panorama nacional, a partir del año 2016, la tasa del departamento ha sido superior entre 2 y 6.5 porcentuales.</w:t>
      </w:r>
    </w:p>
    <w:p w14:paraId="0565C642" w14:textId="77777777" w:rsidR="00636714" w:rsidRPr="00636714" w:rsidRDefault="00636714" w:rsidP="00636714">
      <w:pPr>
        <w:jc w:val="both"/>
        <w:rPr>
          <w:rFonts w:ascii="Times New Roman" w:hAnsi="Times New Roman" w:cs="Times New Roman"/>
          <w:sz w:val="23"/>
          <w:szCs w:val="23"/>
        </w:rPr>
      </w:pPr>
    </w:p>
    <w:p w14:paraId="2C738EAC" w14:textId="77777777" w:rsidR="00636714" w:rsidRPr="00636714" w:rsidRDefault="00636714" w:rsidP="00636714">
      <w:pPr>
        <w:jc w:val="both"/>
        <w:rPr>
          <w:rFonts w:ascii="Times New Roman" w:hAnsi="Times New Roman" w:cs="Times New Roman"/>
          <w:b/>
          <w:iCs/>
          <w:sz w:val="23"/>
          <w:szCs w:val="23"/>
        </w:rPr>
      </w:pPr>
    </w:p>
    <w:p w14:paraId="683514E7" w14:textId="77777777" w:rsidR="00636714" w:rsidRPr="00636714" w:rsidRDefault="00636714" w:rsidP="00636714">
      <w:pPr>
        <w:jc w:val="both"/>
        <w:rPr>
          <w:rFonts w:ascii="Times New Roman" w:hAnsi="Times New Roman" w:cs="Times New Roman"/>
          <w:b/>
          <w:iCs/>
          <w:sz w:val="23"/>
          <w:szCs w:val="23"/>
        </w:rPr>
      </w:pPr>
    </w:p>
    <w:p w14:paraId="576FD981" w14:textId="39E2C7ED" w:rsidR="00636714" w:rsidRDefault="00636714" w:rsidP="00636714">
      <w:pPr>
        <w:jc w:val="both"/>
        <w:rPr>
          <w:rFonts w:ascii="Times New Roman" w:hAnsi="Times New Roman" w:cs="Times New Roman"/>
          <w:b/>
          <w:iCs/>
          <w:sz w:val="23"/>
          <w:szCs w:val="23"/>
        </w:rPr>
      </w:pPr>
    </w:p>
    <w:p w14:paraId="4C1CA1BE" w14:textId="0175DD47" w:rsidR="00636714" w:rsidRDefault="00636714" w:rsidP="00636714">
      <w:pPr>
        <w:jc w:val="both"/>
        <w:rPr>
          <w:rFonts w:ascii="Times New Roman" w:hAnsi="Times New Roman" w:cs="Times New Roman"/>
          <w:b/>
          <w:iCs/>
          <w:sz w:val="23"/>
          <w:szCs w:val="23"/>
        </w:rPr>
      </w:pPr>
    </w:p>
    <w:p w14:paraId="21B6ABCF" w14:textId="77E9F4D2" w:rsidR="00636714" w:rsidRDefault="00636714" w:rsidP="00636714">
      <w:pPr>
        <w:jc w:val="both"/>
        <w:rPr>
          <w:rFonts w:ascii="Times New Roman" w:hAnsi="Times New Roman" w:cs="Times New Roman"/>
          <w:b/>
          <w:iCs/>
          <w:sz w:val="23"/>
          <w:szCs w:val="23"/>
        </w:rPr>
      </w:pPr>
    </w:p>
    <w:p w14:paraId="656212B6" w14:textId="7E74C06E" w:rsidR="00636714" w:rsidRDefault="00636714" w:rsidP="00636714">
      <w:pPr>
        <w:jc w:val="both"/>
        <w:rPr>
          <w:rFonts w:ascii="Times New Roman" w:hAnsi="Times New Roman" w:cs="Times New Roman"/>
          <w:b/>
          <w:iCs/>
          <w:sz w:val="23"/>
          <w:szCs w:val="23"/>
        </w:rPr>
      </w:pPr>
    </w:p>
    <w:p w14:paraId="600746E0" w14:textId="1236F697" w:rsidR="00636714" w:rsidRDefault="00636714" w:rsidP="00636714">
      <w:pPr>
        <w:jc w:val="both"/>
        <w:rPr>
          <w:rFonts w:ascii="Times New Roman" w:hAnsi="Times New Roman" w:cs="Times New Roman"/>
          <w:b/>
          <w:iCs/>
          <w:sz w:val="23"/>
          <w:szCs w:val="23"/>
        </w:rPr>
      </w:pPr>
    </w:p>
    <w:p w14:paraId="619EB1F4" w14:textId="201DD933" w:rsidR="00636714" w:rsidRDefault="00636714" w:rsidP="00636714">
      <w:pPr>
        <w:jc w:val="both"/>
        <w:rPr>
          <w:rFonts w:ascii="Times New Roman" w:hAnsi="Times New Roman" w:cs="Times New Roman"/>
          <w:b/>
          <w:iCs/>
          <w:sz w:val="23"/>
          <w:szCs w:val="23"/>
        </w:rPr>
      </w:pPr>
    </w:p>
    <w:p w14:paraId="34224129" w14:textId="212A8E40" w:rsidR="00636714" w:rsidRDefault="00636714" w:rsidP="00636714">
      <w:pPr>
        <w:jc w:val="both"/>
        <w:rPr>
          <w:rFonts w:ascii="Times New Roman" w:hAnsi="Times New Roman" w:cs="Times New Roman"/>
          <w:b/>
          <w:iCs/>
          <w:sz w:val="23"/>
          <w:szCs w:val="23"/>
        </w:rPr>
      </w:pPr>
    </w:p>
    <w:p w14:paraId="789FE43F" w14:textId="29042B2A" w:rsidR="00636714" w:rsidRDefault="00636714" w:rsidP="00636714">
      <w:pPr>
        <w:jc w:val="both"/>
        <w:rPr>
          <w:rFonts w:ascii="Times New Roman" w:hAnsi="Times New Roman" w:cs="Times New Roman"/>
          <w:b/>
          <w:iCs/>
          <w:sz w:val="23"/>
          <w:szCs w:val="23"/>
        </w:rPr>
      </w:pPr>
    </w:p>
    <w:p w14:paraId="1FF8C1DA" w14:textId="77777777" w:rsidR="00636714" w:rsidRPr="00636714" w:rsidRDefault="00636714" w:rsidP="00636714">
      <w:pPr>
        <w:jc w:val="both"/>
        <w:rPr>
          <w:rFonts w:ascii="Times New Roman" w:hAnsi="Times New Roman" w:cs="Times New Roman"/>
          <w:b/>
          <w:iCs/>
          <w:sz w:val="23"/>
          <w:szCs w:val="23"/>
        </w:rPr>
      </w:pPr>
    </w:p>
    <w:p w14:paraId="78F7FFCE" w14:textId="3315CFA7" w:rsidR="00636714" w:rsidRPr="00636714" w:rsidRDefault="00636714" w:rsidP="00636714">
      <w:pPr>
        <w:jc w:val="center"/>
        <w:rPr>
          <w:rFonts w:ascii="Times New Roman" w:hAnsi="Times New Roman" w:cs="Times New Roman"/>
          <w:b/>
          <w:iCs/>
          <w:sz w:val="23"/>
          <w:szCs w:val="23"/>
        </w:rPr>
      </w:pPr>
      <w:r w:rsidRPr="00636714">
        <w:rPr>
          <w:rFonts w:ascii="Times New Roman" w:hAnsi="Times New Roman" w:cs="Times New Roman"/>
          <w:b/>
          <w:iCs/>
          <w:sz w:val="23"/>
          <w:szCs w:val="23"/>
        </w:rPr>
        <w:t xml:space="preserve">Gráfica </w:t>
      </w:r>
      <w:r w:rsidRPr="00636714">
        <w:rPr>
          <w:rFonts w:ascii="Times New Roman" w:hAnsi="Times New Roman" w:cs="Times New Roman"/>
          <w:b/>
          <w:iCs/>
          <w:sz w:val="23"/>
          <w:szCs w:val="23"/>
        </w:rPr>
        <w:fldChar w:fldCharType="begin"/>
      </w:r>
      <w:r w:rsidRPr="00636714">
        <w:rPr>
          <w:rFonts w:ascii="Times New Roman" w:hAnsi="Times New Roman" w:cs="Times New Roman"/>
          <w:b/>
          <w:iCs/>
          <w:sz w:val="23"/>
          <w:szCs w:val="23"/>
        </w:rPr>
        <w:instrText xml:space="preserve"> SEQ Gráfica \* ARABIC </w:instrText>
      </w:r>
      <w:r w:rsidRPr="00636714">
        <w:rPr>
          <w:rFonts w:ascii="Times New Roman" w:hAnsi="Times New Roman" w:cs="Times New Roman"/>
          <w:b/>
          <w:iCs/>
          <w:sz w:val="23"/>
          <w:szCs w:val="23"/>
        </w:rPr>
        <w:fldChar w:fldCharType="separate"/>
      </w:r>
      <w:r w:rsidR="00F263B6">
        <w:rPr>
          <w:rFonts w:ascii="Times New Roman" w:hAnsi="Times New Roman" w:cs="Times New Roman"/>
          <w:b/>
          <w:iCs/>
          <w:noProof/>
          <w:sz w:val="23"/>
          <w:szCs w:val="23"/>
        </w:rPr>
        <w:t>2</w:t>
      </w:r>
      <w:r w:rsidRPr="00636714">
        <w:rPr>
          <w:rFonts w:ascii="Times New Roman" w:hAnsi="Times New Roman" w:cs="Times New Roman"/>
          <w:sz w:val="23"/>
          <w:szCs w:val="23"/>
        </w:rPr>
        <w:fldChar w:fldCharType="end"/>
      </w:r>
      <w:r w:rsidRPr="00636714">
        <w:rPr>
          <w:rFonts w:ascii="Times New Roman" w:hAnsi="Times New Roman" w:cs="Times New Roman"/>
          <w:b/>
          <w:iCs/>
          <w:sz w:val="23"/>
          <w:szCs w:val="23"/>
        </w:rPr>
        <w:t xml:space="preserve"> Tasa de cobertura bruta en educación superior (2011 – 2021)</w:t>
      </w:r>
    </w:p>
    <w:p w14:paraId="5D1D68C9"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lastRenderedPageBreak/>
        <w:drawing>
          <wp:inline distT="0" distB="0" distL="0" distR="0" wp14:anchorId="19E50E5B" wp14:editId="03646E1D">
            <wp:extent cx="5612130" cy="1631290"/>
            <wp:effectExtent l="0" t="0" r="7620" b="762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49D709"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MEN (SNIES)</w:t>
      </w:r>
    </w:p>
    <w:p w14:paraId="47CB6350" w14:textId="77777777" w:rsidR="00636714" w:rsidRPr="00636714" w:rsidRDefault="00636714" w:rsidP="00636714">
      <w:pPr>
        <w:jc w:val="both"/>
        <w:rPr>
          <w:rFonts w:ascii="Times New Roman" w:hAnsi="Times New Roman" w:cs="Times New Roman"/>
          <w:sz w:val="23"/>
          <w:szCs w:val="23"/>
        </w:rPr>
      </w:pPr>
    </w:p>
    <w:p w14:paraId="60ADD53E"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Al desagregar este indicador según el sexo del estudiante, no se encuentran diferencias importantes, aunque el número de mujeres matriculadas en Instituciones de Educación Superior, tiende a ser levemente superior al número de hombres matriculados.</w:t>
      </w:r>
    </w:p>
    <w:p w14:paraId="07DA9BEB" w14:textId="77777777" w:rsidR="00636714" w:rsidRPr="00636714" w:rsidRDefault="00636714" w:rsidP="00636714">
      <w:pPr>
        <w:jc w:val="both"/>
        <w:rPr>
          <w:rFonts w:ascii="Times New Roman" w:hAnsi="Times New Roman" w:cs="Times New Roman"/>
          <w:sz w:val="23"/>
          <w:szCs w:val="23"/>
        </w:rPr>
      </w:pPr>
    </w:p>
    <w:p w14:paraId="689C4B87" w14:textId="574A03CB" w:rsidR="00636714" w:rsidRPr="00636714" w:rsidRDefault="00636714" w:rsidP="00636714">
      <w:pPr>
        <w:jc w:val="center"/>
        <w:rPr>
          <w:rFonts w:ascii="Times New Roman" w:hAnsi="Times New Roman" w:cs="Times New Roman"/>
          <w:b/>
          <w:iCs/>
          <w:sz w:val="23"/>
          <w:szCs w:val="23"/>
        </w:rPr>
      </w:pPr>
      <w:r w:rsidRPr="00636714">
        <w:rPr>
          <w:rFonts w:ascii="Times New Roman" w:hAnsi="Times New Roman" w:cs="Times New Roman"/>
          <w:b/>
          <w:iCs/>
          <w:sz w:val="23"/>
          <w:szCs w:val="23"/>
        </w:rPr>
        <w:t xml:space="preserve">Tabla </w:t>
      </w:r>
      <w:r w:rsidRPr="00636714">
        <w:rPr>
          <w:rFonts w:ascii="Times New Roman" w:hAnsi="Times New Roman" w:cs="Times New Roman"/>
          <w:b/>
          <w:iCs/>
          <w:sz w:val="23"/>
          <w:szCs w:val="23"/>
        </w:rPr>
        <w:fldChar w:fldCharType="begin"/>
      </w:r>
      <w:r w:rsidRPr="00636714">
        <w:rPr>
          <w:rFonts w:ascii="Times New Roman" w:hAnsi="Times New Roman" w:cs="Times New Roman"/>
          <w:b/>
          <w:iCs/>
          <w:sz w:val="23"/>
          <w:szCs w:val="23"/>
        </w:rPr>
        <w:instrText xml:space="preserve"> SEQ Tabla \* ARABIC </w:instrText>
      </w:r>
      <w:r w:rsidRPr="00636714">
        <w:rPr>
          <w:rFonts w:ascii="Times New Roman" w:hAnsi="Times New Roman" w:cs="Times New Roman"/>
          <w:b/>
          <w:iCs/>
          <w:sz w:val="23"/>
          <w:szCs w:val="23"/>
        </w:rPr>
        <w:fldChar w:fldCharType="separate"/>
      </w:r>
      <w:r w:rsidR="00F263B6">
        <w:rPr>
          <w:rFonts w:ascii="Times New Roman" w:hAnsi="Times New Roman" w:cs="Times New Roman"/>
          <w:b/>
          <w:iCs/>
          <w:noProof/>
          <w:sz w:val="23"/>
          <w:szCs w:val="23"/>
        </w:rPr>
        <w:t>3</w:t>
      </w:r>
      <w:r w:rsidRPr="00636714">
        <w:rPr>
          <w:rFonts w:ascii="Times New Roman" w:hAnsi="Times New Roman" w:cs="Times New Roman"/>
          <w:sz w:val="23"/>
          <w:szCs w:val="23"/>
        </w:rPr>
        <w:fldChar w:fldCharType="end"/>
      </w:r>
      <w:r w:rsidRPr="00636714">
        <w:rPr>
          <w:rFonts w:ascii="Times New Roman" w:hAnsi="Times New Roman" w:cs="Times New Roman"/>
          <w:b/>
          <w:bCs/>
          <w:iCs/>
          <w:sz w:val="23"/>
          <w:szCs w:val="23"/>
        </w:rPr>
        <w:t xml:space="preserve"> </w:t>
      </w:r>
      <w:r w:rsidRPr="00636714">
        <w:rPr>
          <w:rFonts w:ascii="Times New Roman" w:hAnsi="Times New Roman" w:cs="Times New Roman"/>
          <w:b/>
          <w:iCs/>
          <w:sz w:val="23"/>
          <w:szCs w:val="23"/>
        </w:rPr>
        <w:t>Matrícula por sexo (2015 – 2021)</w:t>
      </w:r>
    </w:p>
    <w:tbl>
      <w:tblPr>
        <w:tblW w:w="5000" w:type="pct"/>
        <w:tblCellMar>
          <w:left w:w="70" w:type="dxa"/>
          <w:right w:w="70" w:type="dxa"/>
        </w:tblCellMar>
        <w:tblLook w:val="04A0" w:firstRow="1" w:lastRow="0" w:firstColumn="1" w:lastColumn="0" w:noHBand="0" w:noVBand="1"/>
      </w:tblPr>
      <w:tblGrid>
        <w:gridCol w:w="2044"/>
        <w:gridCol w:w="1118"/>
        <w:gridCol w:w="1195"/>
        <w:gridCol w:w="1050"/>
        <w:gridCol w:w="1050"/>
        <w:gridCol w:w="1060"/>
        <w:gridCol w:w="1060"/>
        <w:gridCol w:w="1041"/>
      </w:tblGrid>
      <w:tr w:rsidR="00636714" w:rsidRPr="00636714" w14:paraId="4A0B8C3C" w14:textId="77777777" w:rsidTr="009A6D3A">
        <w:trPr>
          <w:trHeight w:val="390"/>
        </w:trPr>
        <w:tc>
          <w:tcPr>
            <w:tcW w:w="1063"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4F0A6CFB"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Sexo</w:t>
            </w:r>
          </w:p>
        </w:tc>
        <w:tc>
          <w:tcPr>
            <w:tcW w:w="581" w:type="pct"/>
            <w:tcBorders>
              <w:top w:val="single" w:sz="8" w:space="0" w:color="3366CC"/>
              <w:left w:val="nil"/>
              <w:bottom w:val="single" w:sz="8" w:space="0" w:color="3366CC"/>
              <w:right w:val="nil"/>
            </w:tcBorders>
            <w:shd w:val="clear" w:color="000000" w:fill="DDEBF7"/>
            <w:noWrap/>
            <w:vAlign w:val="center"/>
            <w:hideMark/>
          </w:tcPr>
          <w:p w14:paraId="5E03CB73"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2015</w:t>
            </w:r>
          </w:p>
        </w:tc>
        <w:tc>
          <w:tcPr>
            <w:tcW w:w="621" w:type="pct"/>
            <w:tcBorders>
              <w:top w:val="single" w:sz="8" w:space="0" w:color="3366CC"/>
              <w:left w:val="nil"/>
              <w:bottom w:val="single" w:sz="8" w:space="0" w:color="3366CC"/>
              <w:right w:val="nil"/>
            </w:tcBorders>
            <w:shd w:val="clear" w:color="000000" w:fill="DDEBF7"/>
            <w:vAlign w:val="center"/>
            <w:hideMark/>
          </w:tcPr>
          <w:p w14:paraId="52A0D4B1"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2016</w:t>
            </w:r>
          </w:p>
        </w:tc>
        <w:tc>
          <w:tcPr>
            <w:tcW w:w="546" w:type="pct"/>
            <w:tcBorders>
              <w:top w:val="single" w:sz="8" w:space="0" w:color="3366CC"/>
              <w:left w:val="nil"/>
              <w:bottom w:val="single" w:sz="8" w:space="0" w:color="3366CC"/>
              <w:right w:val="nil"/>
            </w:tcBorders>
            <w:shd w:val="clear" w:color="000000" w:fill="DDEBF7"/>
            <w:vAlign w:val="center"/>
            <w:hideMark/>
          </w:tcPr>
          <w:p w14:paraId="7F0C62F0"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2017</w:t>
            </w:r>
          </w:p>
        </w:tc>
        <w:tc>
          <w:tcPr>
            <w:tcW w:w="546" w:type="pct"/>
            <w:tcBorders>
              <w:top w:val="single" w:sz="8" w:space="0" w:color="3366CC"/>
              <w:left w:val="nil"/>
              <w:bottom w:val="single" w:sz="8" w:space="0" w:color="3366CC"/>
              <w:right w:val="nil"/>
            </w:tcBorders>
            <w:shd w:val="clear" w:color="000000" w:fill="DDEBF7"/>
            <w:vAlign w:val="center"/>
            <w:hideMark/>
          </w:tcPr>
          <w:p w14:paraId="193C8CD2"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2018</w:t>
            </w:r>
          </w:p>
        </w:tc>
        <w:tc>
          <w:tcPr>
            <w:tcW w:w="551" w:type="pct"/>
            <w:tcBorders>
              <w:top w:val="single" w:sz="8" w:space="0" w:color="3366CC"/>
              <w:left w:val="single" w:sz="4" w:space="0" w:color="808080"/>
              <w:bottom w:val="single" w:sz="8" w:space="0" w:color="3366CC"/>
              <w:right w:val="single" w:sz="4" w:space="0" w:color="808080"/>
            </w:tcBorders>
            <w:shd w:val="clear" w:color="000000" w:fill="DDEBF7"/>
            <w:vAlign w:val="center"/>
            <w:hideMark/>
          </w:tcPr>
          <w:p w14:paraId="42F3230A"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2019</w:t>
            </w:r>
          </w:p>
        </w:tc>
        <w:tc>
          <w:tcPr>
            <w:tcW w:w="551" w:type="pct"/>
            <w:tcBorders>
              <w:top w:val="single" w:sz="8" w:space="0" w:color="3366CC"/>
              <w:left w:val="nil"/>
              <w:bottom w:val="single" w:sz="8" w:space="0" w:color="3366CC"/>
              <w:right w:val="single" w:sz="4" w:space="0" w:color="808080"/>
            </w:tcBorders>
            <w:shd w:val="clear" w:color="000000" w:fill="DDEBF7"/>
            <w:vAlign w:val="center"/>
            <w:hideMark/>
          </w:tcPr>
          <w:p w14:paraId="04940CCE"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2020</w:t>
            </w:r>
          </w:p>
        </w:tc>
        <w:tc>
          <w:tcPr>
            <w:tcW w:w="541" w:type="pct"/>
            <w:tcBorders>
              <w:top w:val="single" w:sz="8" w:space="0" w:color="3366CC"/>
              <w:left w:val="nil"/>
              <w:bottom w:val="single" w:sz="8" w:space="0" w:color="3366CC"/>
              <w:right w:val="single" w:sz="8" w:space="0" w:color="3366CC"/>
            </w:tcBorders>
            <w:shd w:val="clear" w:color="000000" w:fill="DDEBF7"/>
            <w:vAlign w:val="center"/>
            <w:hideMark/>
          </w:tcPr>
          <w:p w14:paraId="3EBBE9F7"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2021</w:t>
            </w:r>
          </w:p>
        </w:tc>
      </w:tr>
      <w:tr w:rsidR="00636714" w:rsidRPr="00636714" w14:paraId="48CEAF3D" w14:textId="77777777" w:rsidTr="009A6D3A">
        <w:trPr>
          <w:trHeight w:val="375"/>
        </w:trPr>
        <w:tc>
          <w:tcPr>
            <w:tcW w:w="1063" w:type="pct"/>
            <w:tcBorders>
              <w:top w:val="single" w:sz="8" w:space="0" w:color="3366CC"/>
              <w:left w:val="single" w:sz="8" w:space="0" w:color="3366CC"/>
              <w:bottom w:val="single" w:sz="4" w:space="0" w:color="808080"/>
              <w:right w:val="single" w:sz="8" w:space="0" w:color="3366CC"/>
            </w:tcBorders>
            <w:shd w:val="clear" w:color="auto" w:fill="auto"/>
            <w:noWrap/>
            <w:vAlign w:val="center"/>
            <w:hideMark/>
          </w:tcPr>
          <w:p w14:paraId="380FBC07"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Hombre</w:t>
            </w:r>
          </w:p>
        </w:tc>
        <w:tc>
          <w:tcPr>
            <w:tcW w:w="581" w:type="pct"/>
            <w:tcBorders>
              <w:top w:val="nil"/>
              <w:left w:val="nil"/>
              <w:bottom w:val="single" w:sz="4" w:space="0" w:color="808080"/>
              <w:right w:val="single" w:sz="4" w:space="0" w:color="808080"/>
            </w:tcBorders>
            <w:shd w:val="clear" w:color="auto" w:fill="auto"/>
            <w:noWrap/>
            <w:vAlign w:val="center"/>
            <w:hideMark/>
          </w:tcPr>
          <w:p w14:paraId="4EAD3767"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22.753</w:t>
            </w:r>
          </w:p>
        </w:tc>
        <w:tc>
          <w:tcPr>
            <w:tcW w:w="621" w:type="pct"/>
            <w:tcBorders>
              <w:top w:val="nil"/>
              <w:left w:val="nil"/>
              <w:bottom w:val="single" w:sz="4" w:space="0" w:color="808080"/>
              <w:right w:val="single" w:sz="4" w:space="0" w:color="808080"/>
            </w:tcBorders>
            <w:shd w:val="clear" w:color="auto" w:fill="auto"/>
            <w:noWrap/>
            <w:vAlign w:val="center"/>
            <w:hideMark/>
          </w:tcPr>
          <w:p w14:paraId="6633429B"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24.445</w:t>
            </w:r>
          </w:p>
        </w:tc>
        <w:tc>
          <w:tcPr>
            <w:tcW w:w="546" w:type="pct"/>
            <w:tcBorders>
              <w:top w:val="nil"/>
              <w:left w:val="nil"/>
              <w:bottom w:val="single" w:sz="4" w:space="0" w:color="808080"/>
              <w:right w:val="single" w:sz="4" w:space="0" w:color="808080"/>
            </w:tcBorders>
            <w:shd w:val="clear" w:color="auto" w:fill="auto"/>
            <w:noWrap/>
            <w:vAlign w:val="center"/>
            <w:hideMark/>
          </w:tcPr>
          <w:p w14:paraId="578F2C7E"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24.714</w:t>
            </w:r>
          </w:p>
        </w:tc>
        <w:tc>
          <w:tcPr>
            <w:tcW w:w="546" w:type="pct"/>
            <w:tcBorders>
              <w:top w:val="nil"/>
              <w:left w:val="nil"/>
              <w:bottom w:val="single" w:sz="4" w:space="0" w:color="808080"/>
              <w:right w:val="nil"/>
            </w:tcBorders>
            <w:shd w:val="clear" w:color="auto" w:fill="auto"/>
            <w:noWrap/>
            <w:vAlign w:val="center"/>
            <w:hideMark/>
          </w:tcPr>
          <w:p w14:paraId="2AAAC51A"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25.066</w:t>
            </w:r>
          </w:p>
        </w:tc>
        <w:tc>
          <w:tcPr>
            <w:tcW w:w="551" w:type="pct"/>
            <w:tcBorders>
              <w:top w:val="nil"/>
              <w:left w:val="single" w:sz="4" w:space="0" w:color="808080"/>
              <w:bottom w:val="single" w:sz="4" w:space="0" w:color="808080"/>
              <w:right w:val="nil"/>
            </w:tcBorders>
            <w:shd w:val="clear" w:color="auto" w:fill="auto"/>
            <w:noWrap/>
            <w:vAlign w:val="center"/>
            <w:hideMark/>
          </w:tcPr>
          <w:p w14:paraId="74583C6D"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24.711</w:t>
            </w:r>
          </w:p>
        </w:tc>
        <w:tc>
          <w:tcPr>
            <w:tcW w:w="551" w:type="pct"/>
            <w:tcBorders>
              <w:top w:val="nil"/>
              <w:left w:val="single" w:sz="4" w:space="0" w:color="808080"/>
              <w:bottom w:val="single" w:sz="4" w:space="0" w:color="808080"/>
              <w:right w:val="nil"/>
            </w:tcBorders>
            <w:shd w:val="clear" w:color="auto" w:fill="auto"/>
            <w:noWrap/>
            <w:vAlign w:val="center"/>
            <w:hideMark/>
          </w:tcPr>
          <w:p w14:paraId="78131476"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24.119</w:t>
            </w:r>
          </w:p>
        </w:tc>
        <w:tc>
          <w:tcPr>
            <w:tcW w:w="541" w:type="pct"/>
            <w:tcBorders>
              <w:top w:val="nil"/>
              <w:left w:val="single" w:sz="4" w:space="0" w:color="808080"/>
              <w:bottom w:val="single" w:sz="4" w:space="0" w:color="808080"/>
              <w:right w:val="single" w:sz="8" w:space="0" w:color="3366CC"/>
            </w:tcBorders>
            <w:shd w:val="clear" w:color="auto" w:fill="auto"/>
            <w:noWrap/>
            <w:vAlign w:val="center"/>
            <w:hideMark/>
          </w:tcPr>
          <w:p w14:paraId="0F04DE3E"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22.423</w:t>
            </w:r>
          </w:p>
        </w:tc>
      </w:tr>
      <w:tr w:rsidR="00636714" w:rsidRPr="00636714" w14:paraId="7B33F7BA" w14:textId="77777777" w:rsidTr="009A6D3A">
        <w:trPr>
          <w:trHeight w:val="375"/>
        </w:trPr>
        <w:tc>
          <w:tcPr>
            <w:tcW w:w="1063" w:type="pct"/>
            <w:tcBorders>
              <w:top w:val="single" w:sz="4" w:space="0" w:color="808080"/>
              <w:left w:val="single" w:sz="8" w:space="0" w:color="3366CC"/>
              <w:bottom w:val="single" w:sz="4" w:space="0" w:color="808080"/>
              <w:right w:val="single" w:sz="8" w:space="0" w:color="3366CC"/>
            </w:tcBorders>
            <w:shd w:val="clear" w:color="auto" w:fill="auto"/>
            <w:noWrap/>
            <w:vAlign w:val="center"/>
            <w:hideMark/>
          </w:tcPr>
          <w:p w14:paraId="3C259246"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Mujer</w:t>
            </w:r>
          </w:p>
        </w:tc>
        <w:tc>
          <w:tcPr>
            <w:tcW w:w="581" w:type="pct"/>
            <w:tcBorders>
              <w:top w:val="single" w:sz="4" w:space="0" w:color="A6A6A6"/>
              <w:left w:val="nil"/>
              <w:bottom w:val="single" w:sz="4" w:space="0" w:color="A6A6A6"/>
              <w:right w:val="single" w:sz="4" w:space="0" w:color="A6A6A6"/>
            </w:tcBorders>
            <w:shd w:val="clear" w:color="auto" w:fill="auto"/>
            <w:noWrap/>
            <w:vAlign w:val="center"/>
            <w:hideMark/>
          </w:tcPr>
          <w:p w14:paraId="08695C7A"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23.838</w:t>
            </w:r>
          </w:p>
        </w:tc>
        <w:tc>
          <w:tcPr>
            <w:tcW w:w="621" w:type="pct"/>
            <w:tcBorders>
              <w:top w:val="single" w:sz="4" w:space="0" w:color="A6A6A6"/>
              <w:left w:val="nil"/>
              <w:bottom w:val="single" w:sz="4" w:space="0" w:color="A6A6A6"/>
              <w:right w:val="single" w:sz="4" w:space="0" w:color="A6A6A6"/>
            </w:tcBorders>
            <w:shd w:val="clear" w:color="auto" w:fill="auto"/>
            <w:noWrap/>
            <w:vAlign w:val="center"/>
            <w:hideMark/>
          </w:tcPr>
          <w:p w14:paraId="4D0D6E04"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25.040</w:t>
            </w:r>
          </w:p>
        </w:tc>
        <w:tc>
          <w:tcPr>
            <w:tcW w:w="546" w:type="pct"/>
            <w:tcBorders>
              <w:top w:val="single" w:sz="4" w:space="0" w:color="A6A6A6"/>
              <w:left w:val="nil"/>
              <w:bottom w:val="single" w:sz="4" w:space="0" w:color="A6A6A6"/>
              <w:right w:val="single" w:sz="4" w:space="0" w:color="A6A6A6"/>
            </w:tcBorders>
            <w:shd w:val="clear" w:color="auto" w:fill="auto"/>
            <w:noWrap/>
            <w:vAlign w:val="center"/>
            <w:hideMark/>
          </w:tcPr>
          <w:p w14:paraId="1742640D"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25.443</w:t>
            </w:r>
          </w:p>
        </w:tc>
        <w:tc>
          <w:tcPr>
            <w:tcW w:w="546" w:type="pct"/>
            <w:tcBorders>
              <w:top w:val="single" w:sz="4" w:space="0" w:color="A6A6A6"/>
              <w:left w:val="nil"/>
              <w:bottom w:val="single" w:sz="4" w:space="0" w:color="A6A6A6"/>
              <w:right w:val="single" w:sz="4" w:space="0" w:color="A6A6A6"/>
            </w:tcBorders>
            <w:shd w:val="clear" w:color="auto" w:fill="auto"/>
            <w:noWrap/>
            <w:vAlign w:val="center"/>
            <w:hideMark/>
          </w:tcPr>
          <w:p w14:paraId="6904FCF8"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26.204</w:t>
            </w:r>
          </w:p>
        </w:tc>
        <w:tc>
          <w:tcPr>
            <w:tcW w:w="551" w:type="pct"/>
            <w:tcBorders>
              <w:top w:val="nil"/>
              <w:left w:val="single" w:sz="4" w:space="0" w:color="808080"/>
              <w:bottom w:val="single" w:sz="4" w:space="0" w:color="808080"/>
              <w:right w:val="nil"/>
            </w:tcBorders>
            <w:shd w:val="clear" w:color="auto" w:fill="auto"/>
            <w:noWrap/>
            <w:vAlign w:val="center"/>
            <w:hideMark/>
          </w:tcPr>
          <w:p w14:paraId="7F69A369"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25.869</w:t>
            </w:r>
          </w:p>
        </w:tc>
        <w:tc>
          <w:tcPr>
            <w:tcW w:w="551" w:type="pct"/>
            <w:tcBorders>
              <w:top w:val="nil"/>
              <w:left w:val="single" w:sz="4" w:space="0" w:color="808080"/>
              <w:bottom w:val="single" w:sz="4" w:space="0" w:color="808080"/>
              <w:right w:val="nil"/>
            </w:tcBorders>
            <w:shd w:val="clear" w:color="auto" w:fill="auto"/>
            <w:noWrap/>
            <w:vAlign w:val="center"/>
            <w:hideMark/>
          </w:tcPr>
          <w:p w14:paraId="12AEF3E0"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25.491</w:t>
            </w:r>
          </w:p>
        </w:tc>
        <w:tc>
          <w:tcPr>
            <w:tcW w:w="541" w:type="pct"/>
            <w:tcBorders>
              <w:top w:val="nil"/>
              <w:left w:val="single" w:sz="4" w:space="0" w:color="808080"/>
              <w:bottom w:val="single" w:sz="4" w:space="0" w:color="808080"/>
              <w:right w:val="single" w:sz="8" w:space="0" w:color="3366CC"/>
            </w:tcBorders>
            <w:shd w:val="clear" w:color="auto" w:fill="auto"/>
            <w:noWrap/>
            <w:vAlign w:val="center"/>
            <w:hideMark/>
          </w:tcPr>
          <w:p w14:paraId="5CCE8E3F"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24.048</w:t>
            </w:r>
          </w:p>
        </w:tc>
      </w:tr>
      <w:tr w:rsidR="00636714" w:rsidRPr="00636714" w14:paraId="0D056260" w14:textId="77777777" w:rsidTr="009A6D3A">
        <w:trPr>
          <w:trHeight w:val="390"/>
        </w:trPr>
        <w:tc>
          <w:tcPr>
            <w:tcW w:w="1063" w:type="pct"/>
            <w:tcBorders>
              <w:top w:val="single" w:sz="4" w:space="0" w:color="808080"/>
              <w:left w:val="single" w:sz="8" w:space="0" w:color="3366CC"/>
              <w:bottom w:val="single" w:sz="8" w:space="0" w:color="3366CC"/>
              <w:right w:val="single" w:sz="8" w:space="0" w:color="3366CC"/>
            </w:tcBorders>
            <w:shd w:val="clear" w:color="000000" w:fill="DDEBF7"/>
            <w:noWrap/>
            <w:vAlign w:val="center"/>
            <w:hideMark/>
          </w:tcPr>
          <w:p w14:paraId="13B3898B"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Total General</w:t>
            </w:r>
          </w:p>
        </w:tc>
        <w:tc>
          <w:tcPr>
            <w:tcW w:w="581" w:type="pct"/>
            <w:tcBorders>
              <w:top w:val="nil"/>
              <w:left w:val="nil"/>
              <w:bottom w:val="single" w:sz="8" w:space="0" w:color="3366CC"/>
              <w:right w:val="single" w:sz="4" w:space="0" w:color="A6A6A6"/>
            </w:tcBorders>
            <w:shd w:val="clear" w:color="000000" w:fill="DDEBF7"/>
            <w:noWrap/>
            <w:vAlign w:val="center"/>
            <w:hideMark/>
          </w:tcPr>
          <w:p w14:paraId="69B04D6B"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46.591</w:t>
            </w:r>
          </w:p>
        </w:tc>
        <w:tc>
          <w:tcPr>
            <w:tcW w:w="621" w:type="pct"/>
            <w:tcBorders>
              <w:top w:val="nil"/>
              <w:left w:val="nil"/>
              <w:bottom w:val="single" w:sz="8" w:space="0" w:color="3366CC"/>
              <w:right w:val="single" w:sz="4" w:space="0" w:color="A6A6A6"/>
            </w:tcBorders>
            <w:shd w:val="clear" w:color="000000" w:fill="DDEBF7"/>
            <w:noWrap/>
            <w:vAlign w:val="center"/>
            <w:hideMark/>
          </w:tcPr>
          <w:p w14:paraId="2B96FD5B"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49.485</w:t>
            </w:r>
          </w:p>
        </w:tc>
        <w:tc>
          <w:tcPr>
            <w:tcW w:w="546" w:type="pct"/>
            <w:tcBorders>
              <w:top w:val="nil"/>
              <w:left w:val="nil"/>
              <w:bottom w:val="single" w:sz="8" w:space="0" w:color="3366CC"/>
              <w:right w:val="single" w:sz="4" w:space="0" w:color="A6A6A6"/>
            </w:tcBorders>
            <w:shd w:val="clear" w:color="000000" w:fill="DDEBF7"/>
            <w:noWrap/>
            <w:vAlign w:val="center"/>
            <w:hideMark/>
          </w:tcPr>
          <w:p w14:paraId="5A824CB8"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50.157</w:t>
            </w:r>
          </w:p>
        </w:tc>
        <w:tc>
          <w:tcPr>
            <w:tcW w:w="546" w:type="pct"/>
            <w:tcBorders>
              <w:top w:val="nil"/>
              <w:left w:val="nil"/>
              <w:bottom w:val="single" w:sz="8" w:space="0" w:color="3366CC"/>
              <w:right w:val="single" w:sz="4" w:space="0" w:color="A6A6A6"/>
            </w:tcBorders>
            <w:shd w:val="clear" w:color="000000" w:fill="DDEBF7"/>
            <w:noWrap/>
            <w:vAlign w:val="center"/>
            <w:hideMark/>
          </w:tcPr>
          <w:p w14:paraId="53C625AE"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51.270</w:t>
            </w:r>
          </w:p>
        </w:tc>
        <w:tc>
          <w:tcPr>
            <w:tcW w:w="551" w:type="pct"/>
            <w:tcBorders>
              <w:top w:val="nil"/>
              <w:left w:val="single" w:sz="4" w:space="0" w:color="808080"/>
              <w:bottom w:val="single" w:sz="8" w:space="0" w:color="3366CC"/>
              <w:right w:val="nil"/>
            </w:tcBorders>
            <w:shd w:val="clear" w:color="000000" w:fill="DDEBF7"/>
            <w:noWrap/>
            <w:vAlign w:val="center"/>
            <w:hideMark/>
          </w:tcPr>
          <w:p w14:paraId="73A06132"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50.580</w:t>
            </w:r>
          </w:p>
        </w:tc>
        <w:tc>
          <w:tcPr>
            <w:tcW w:w="551" w:type="pct"/>
            <w:tcBorders>
              <w:top w:val="nil"/>
              <w:left w:val="single" w:sz="4" w:space="0" w:color="808080"/>
              <w:bottom w:val="single" w:sz="8" w:space="0" w:color="3366CC"/>
              <w:right w:val="nil"/>
            </w:tcBorders>
            <w:shd w:val="clear" w:color="000000" w:fill="DDEBF7"/>
            <w:noWrap/>
            <w:vAlign w:val="center"/>
            <w:hideMark/>
          </w:tcPr>
          <w:p w14:paraId="6ABDA4F6"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49.610</w:t>
            </w:r>
          </w:p>
        </w:tc>
        <w:tc>
          <w:tcPr>
            <w:tcW w:w="541" w:type="pct"/>
            <w:tcBorders>
              <w:top w:val="nil"/>
              <w:left w:val="single" w:sz="4" w:space="0" w:color="808080"/>
              <w:bottom w:val="single" w:sz="8" w:space="0" w:color="4472C4"/>
              <w:right w:val="single" w:sz="8" w:space="0" w:color="4472C4"/>
            </w:tcBorders>
            <w:shd w:val="clear" w:color="000000" w:fill="DDEBF7"/>
            <w:noWrap/>
            <w:vAlign w:val="center"/>
            <w:hideMark/>
          </w:tcPr>
          <w:p w14:paraId="086E5D7E"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color w:val="000000"/>
                <w:sz w:val="23"/>
                <w:szCs w:val="23"/>
                <w:lang w:eastAsia="es-CO"/>
              </w:rPr>
              <w:t>46.471</w:t>
            </w:r>
          </w:p>
        </w:tc>
      </w:tr>
    </w:tbl>
    <w:p w14:paraId="229BA7D0"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MEN (SNIES)</w:t>
      </w:r>
    </w:p>
    <w:p w14:paraId="48818D1C" w14:textId="77777777" w:rsidR="00636714" w:rsidRPr="00636714" w:rsidRDefault="00636714" w:rsidP="00636714">
      <w:pPr>
        <w:jc w:val="both"/>
        <w:rPr>
          <w:rFonts w:ascii="Times New Roman" w:hAnsi="Times New Roman" w:cs="Times New Roman"/>
          <w:sz w:val="23"/>
          <w:szCs w:val="23"/>
        </w:rPr>
      </w:pPr>
    </w:p>
    <w:p w14:paraId="2D0F4E01"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En cuanto a la tasa de tránsito inmediato a educación superior, esta se ha mantenido en niveles cercanos al 40%. En el año 2018, accedieron a educación superior 3.227 bachilleres de los 9.359 graduados en 2017 (34,5%), mientras que en 2021 accedieron 3.315 bachilleres de 9.067 graduados en 2020 (36.6%). Aunque la tasa de 2021 presenta un incremento de 2 puntos porcentuales frente a 2018, al compararla con los dos años inmediatamente anteriores, se observa una variación negativa. Frente al consolidado nacional, la tasa departamental se encuentra en niveles cercanos.</w:t>
      </w:r>
    </w:p>
    <w:p w14:paraId="3F30463E" w14:textId="77777777" w:rsidR="00636714" w:rsidRPr="00636714" w:rsidRDefault="00636714" w:rsidP="00636714">
      <w:pPr>
        <w:jc w:val="both"/>
        <w:rPr>
          <w:rFonts w:ascii="Times New Roman" w:hAnsi="Times New Roman" w:cs="Times New Roman"/>
          <w:b/>
          <w:iCs/>
          <w:sz w:val="23"/>
          <w:szCs w:val="23"/>
        </w:rPr>
      </w:pPr>
    </w:p>
    <w:p w14:paraId="3A03961C" w14:textId="3257C5E3" w:rsidR="00636714" w:rsidRPr="00636714" w:rsidRDefault="00636714" w:rsidP="00636714">
      <w:pPr>
        <w:jc w:val="center"/>
        <w:rPr>
          <w:rFonts w:ascii="Times New Roman" w:hAnsi="Times New Roman" w:cs="Times New Roman"/>
          <w:b/>
          <w:iCs/>
          <w:sz w:val="23"/>
          <w:szCs w:val="23"/>
        </w:rPr>
      </w:pPr>
      <w:r w:rsidRPr="00636714">
        <w:rPr>
          <w:rFonts w:ascii="Times New Roman" w:hAnsi="Times New Roman" w:cs="Times New Roman"/>
          <w:b/>
          <w:iCs/>
          <w:sz w:val="23"/>
          <w:szCs w:val="23"/>
        </w:rPr>
        <w:t xml:space="preserve">Tabla </w:t>
      </w:r>
      <w:r w:rsidRPr="00636714">
        <w:rPr>
          <w:rFonts w:ascii="Times New Roman" w:hAnsi="Times New Roman" w:cs="Times New Roman"/>
          <w:b/>
          <w:iCs/>
          <w:sz w:val="23"/>
          <w:szCs w:val="23"/>
        </w:rPr>
        <w:fldChar w:fldCharType="begin"/>
      </w:r>
      <w:r w:rsidRPr="00636714">
        <w:rPr>
          <w:rFonts w:ascii="Times New Roman" w:hAnsi="Times New Roman" w:cs="Times New Roman"/>
          <w:b/>
          <w:iCs/>
          <w:sz w:val="23"/>
          <w:szCs w:val="23"/>
        </w:rPr>
        <w:instrText xml:space="preserve"> SEQ Tabla \* ARABIC </w:instrText>
      </w:r>
      <w:r w:rsidRPr="00636714">
        <w:rPr>
          <w:rFonts w:ascii="Times New Roman" w:hAnsi="Times New Roman" w:cs="Times New Roman"/>
          <w:b/>
          <w:iCs/>
          <w:sz w:val="23"/>
          <w:szCs w:val="23"/>
        </w:rPr>
        <w:fldChar w:fldCharType="separate"/>
      </w:r>
      <w:r w:rsidR="00F263B6">
        <w:rPr>
          <w:rFonts w:ascii="Times New Roman" w:hAnsi="Times New Roman" w:cs="Times New Roman"/>
          <w:b/>
          <w:iCs/>
          <w:noProof/>
          <w:sz w:val="23"/>
          <w:szCs w:val="23"/>
        </w:rPr>
        <w:t>4</w:t>
      </w:r>
      <w:r w:rsidRPr="00636714">
        <w:rPr>
          <w:rFonts w:ascii="Times New Roman" w:hAnsi="Times New Roman" w:cs="Times New Roman"/>
          <w:sz w:val="23"/>
          <w:szCs w:val="23"/>
        </w:rPr>
        <w:fldChar w:fldCharType="end"/>
      </w:r>
      <w:r w:rsidRPr="00636714">
        <w:rPr>
          <w:rFonts w:ascii="Times New Roman" w:hAnsi="Times New Roman" w:cs="Times New Roman"/>
          <w:b/>
          <w:iCs/>
          <w:sz w:val="23"/>
          <w:szCs w:val="23"/>
        </w:rPr>
        <w:t xml:space="preserve"> Tasa de tránsito inmediato a educación superior (2018 – 2021)</w:t>
      </w:r>
    </w:p>
    <w:tbl>
      <w:tblPr>
        <w:tblW w:w="3387" w:type="pct"/>
        <w:jc w:val="center"/>
        <w:tblCellMar>
          <w:left w:w="70" w:type="dxa"/>
          <w:right w:w="70" w:type="dxa"/>
        </w:tblCellMar>
        <w:tblLook w:val="04A0" w:firstRow="1" w:lastRow="0" w:firstColumn="1" w:lastColumn="0" w:noHBand="0" w:noVBand="1"/>
      </w:tblPr>
      <w:tblGrid>
        <w:gridCol w:w="2319"/>
        <w:gridCol w:w="1049"/>
        <w:gridCol w:w="1049"/>
        <w:gridCol w:w="1049"/>
        <w:gridCol w:w="1049"/>
      </w:tblGrid>
      <w:tr w:rsidR="00636714" w:rsidRPr="00636714" w14:paraId="6D766B0C" w14:textId="77777777" w:rsidTr="009A6D3A">
        <w:trPr>
          <w:trHeight w:val="354"/>
          <w:tblHeader/>
          <w:jc w:val="center"/>
        </w:trPr>
        <w:tc>
          <w:tcPr>
            <w:tcW w:w="1779"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36A284FE"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Tasa de Tránsito</w:t>
            </w:r>
          </w:p>
        </w:tc>
        <w:tc>
          <w:tcPr>
            <w:tcW w:w="805" w:type="pct"/>
            <w:tcBorders>
              <w:top w:val="single" w:sz="8" w:space="0" w:color="3366CC"/>
              <w:left w:val="nil"/>
              <w:bottom w:val="single" w:sz="8" w:space="0" w:color="3366CC"/>
              <w:right w:val="single" w:sz="8" w:space="0" w:color="3366CC"/>
            </w:tcBorders>
            <w:shd w:val="clear" w:color="000000" w:fill="DDEBF7"/>
            <w:vAlign w:val="center"/>
            <w:hideMark/>
          </w:tcPr>
          <w:p w14:paraId="13D4CF6E"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2018</w:t>
            </w:r>
          </w:p>
        </w:tc>
        <w:tc>
          <w:tcPr>
            <w:tcW w:w="805" w:type="pct"/>
            <w:tcBorders>
              <w:top w:val="single" w:sz="8" w:space="0" w:color="3366CC"/>
              <w:left w:val="nil"/>
              <w:bottom w:val="single" w:sz="8" w:space="0" w:color="3366CC"/>
              <w:right w:val="single" w:sz="8" w:space="0" w:color="3366CC"/>
            </w:tcBorders>
            <w:shd w:val="clear" w:color="000000" w:fill="DDEBF7"/>
            <w:vAlign w:val="center"/>
            <w:hideMark/>
          </w:tcPr>
          <w:p w14:paraId="6626698E"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2019</w:t>
            </w:r>
          </w:p>
        </w:tc>
        <w:tc>
          <w:tcPr>
            <w:tcW w:w="805" w:type="pct"/>
            <w:tcBorders>
              <w:top w:val="single" w:sz="8" w:space="0" w:color="3366CC"/>
              <w:left w:val="nil"/>
              <w:bottom w:val="single" w:sz="8" w:space="0" w:color="3366CC"/>
              <w:right w:val="single" w:sz="8" w:space="0" w:color="3366CC"/>
            </w:tcBorders>
            <w:shd w:val="clear" w:color="000000" w:fill="DDEBF7"/>
            <w:vAlign w:val="center"/>
            <w:hideMark/>
          </w:tcPr>
          <w:p w14:paraId="6AAC4812"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2020</w:t>
            </w:r>
          </w:p>
        </w:tc>
        <w:tc>
          <w:tcPr>
            <w:tcW w:w="805" w:type="pct"/>
            <w:tcBorders>
              <w:top w:val="single" w:sz="8" w:space="0" w:color="3366CC"/>
              <w:left w:val="nil"/>
              <w:bottom w:val="single" w:sz="8" w:space="0" w:color="3366CC"/>
              <w:right w:val="single" w:sz="8" w:space="0" w:color="3366CC"/>
            </w:tcBorders>
            <w:shd w:val="clear" w:color="000000" w:fill="DDEBF7"/>
            <w:vAlign w:val="center"/>
            <w:hideMark/>
          </w:tcPr>
          <w:p w14:paraId="6E55D26C"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2021</w:t>
            </w:r>
          </w:p>
        </w:tc>
      </w:tr>
      <w:tr w:rsidR="00636714" w:rsidRPr="00636714" w14:paraId="79033101" w14:textId="77777777" w:rsidTr="009A6D3A">
        <w:trPr>
          <w:trHeight w:val="375"/>
          <w:jc w:val="center"/>
        </w:trPr>
        <w:tc>
          <w:tcPr>
            <w:tcW w:w="1779" w:type="pct"/>
            <w:tcBorders>
              <w:top w:val="single" w:sz="8" w:space="0" w:color="3366CC"/>
              <w:left w:val="single" w:sz="8" w:space="0" w:color="3366CC"/>
              <w:bottom w:val="single" w:sz="4" w:space="0" w:color="808080"/>
              <w:right w:val="single" w:sz="8" w:space="0" w:color="3366CC"/>
            </w:tcBorders>
            <w:shd w:val="clear" w:color="auto" w:fill="auto"/>
            <w:noWrap/>
            <w:vAlign w:val="center"/>
            <w:hideMark/>
          </w:tcPr>
          <w:p w14:paraId="72F5A843"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Departamento</w:t>
            </w:r>
          </w:p>
        </w:tc>
        <w:tc>
          <w:tcPr>
            <w:tcW w:w="805" w:type="pct"/>
            <w:tcBorders>
              <w:top w:val="single" w:sz="4" w:space="0" w:color="808080"/>
              <w:left w:val="nil"/>
              <w:bottom w:val="single" w:sz="4" w:space="0" w:color="808080"/>
              <w:right w:val="single" w:sz="8" w:space="0" w:color="3366CC"/>
            </w:tcBorders>
            <w:shd w:val="clear" w:color="auto" w:fill="auto"/>
            <w:noWrap/>
            <w:vAlign w:val="center"/>
            <w:hideMark/>
          </w:tcPr>
          <w:p w14:paraId="55450AC0"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34,5%</w:t>
            </w:r>
          </w:p>
        </w:tc>
        <w:tc>
          <w:tcPr>
            <w:tcW w:w="805" w:type="pct"/>
            <w:tcBorders>
              <w:top w:val="single" w:sz="4" w:space="0" w:color="808080"/>
              <w:left w:val="nil"/>
              <w:bottom w:val="single" w:sz="4" w:space="0" w:color="808080"/>
              <w:right w:val="single" w:sz="8" w:space="0" w:color="3366CC"/>
            </w:tcBorders>
            <w:shd w:val="clear" w:color="auto" w:fill="auto"/>
            <w:noWrap/>
            <w:vAlign w:val="center"/>
            <w:hideMark/>
          </w:tcPr>
          <w:p w14:paraId="54BA3DB1"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39,5%</w:t>
            </w:r>
          </w:p>
        </w:tc>
        <w:tc>
          <w:tcPr>
            <w:tcW w:w="805" w:type="pct"/>
            <w:tcBorders>
              <w:top w:val="single" w:sz="4" w:space="0" w:color="808080"/>
              <w:left w:val="nil"/>
              <w:bottom w:val="single" w:sz="4" w:space="0" w:color="808080"/>
              <w:right w:val="single" w:sz="8" w:space="0" w:color="3366CC"/>
            </w:tcBorders>
            <w:shd w:val="clear" w:color="auto" w:fill="auto"/>
            <w:noWrap/>
            <w:vAlign w:val="center"/>
            <w:hideMark/>
          </w:tcPr>
          <w:p w14:paraId="07DD9642"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38,7%</w:t>
            </w:r>
          </w:p>
        </w:tc>
        <w:tc>
          <w:tcPr>
            <w:tcW w:w="805" w:type="pct"/>
            <w:tcBorders>
              <w:top w:val="single" w:sz="4" w:space="0" w:color="808080"/>
              <w:left w:val="nil"/>
              <w:bottom w:val="single" w:sz="4" w:space="0" w:color="808080"/>
              <w:right w:val="single" w:sz="8" w:space="0" w:color="3366CC"/>
            </w:tcBorders>
            <w:shd w:val="clear" w:color="auto" w:fill="auto"/>
            <w:noWrap/>
            <w:vAlign w:val="center"/>
            <w:hideMark/>
          </w:tcPr>
          <w:p w14:paraId="5ADA051E"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36,6%</w:t>
            </w:r>
          </w:p>
        </w:tc>
      </w:tr>
      <w:tr w:rsidR="00636714" w:rsidRPr="00636714" w14:paraId="03BA520F" w14:textId="77777777" w:rsidTr="009A6D3A">
        <w:trPr>
          <w:trHeight w:val="390"/>
          <w:jc w:val="center"/>
        </w:trPr>
        <w:tc>
          <w:tcPr>
            <w:tcW w:w="1779" w:type="pct"/>
            <w:tcBorders>
              <w:top w:val="single" w:sz="4" w:space="0" w:color="808080"/>
              <w:left w:val="single" w:sz="8" w:space="0" w:color="3366CC"/>
              <w:bottom w:val="single" w:sz="8" w:space="0" w:color="3366CC"/>
              <w:right w:val="single" w:sz="8" w:space="0" w:color="3366CC"/>
            </w:tcBorders>
            <w:shd w:val="clear" w:color="auto" w:fill="auto"/>
            <w:noWrap/>
            <w:vAlign w:val="center"/>
            <w:hideMark/>
          </w:tcPr>
          <w:p w14:paraId="0A7BDCCA"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Nacional</w:t>
            </w:r>
          </w:p>
        </w:tc>
        <w:tc>
          <w:tcPr>
            <w:tcW w:w="805" w:type="pct"/>
            <w:tcBorders>
              <w:top w:val="nil"/>
              <w:left w:val="nil"/>
              <w:bottom w:val="single" w:sz="8" w:space="0" w:color="3366CC"/>
              <w:right w:val="single" w:sz="8" w:space="0" w:color="3366CC"/>
            </w:tcBorders>
            <w:shd w:val="clear" w:color="auto" w:fill="auto"/>
            <w:noWrap/>
            <w:vAlign w:val="center"/>
            <w:hideMark/>
          </w:tcPr>
          <w:p w14:paraId="4CD1FAB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38,7%</w:t>
            </w:r>
          </w:p>
        </w:tc>
        <w:tc>
          <w:tcPr>
            <w:tcW w:w="805" w:type="pct"/>
            <w:tcBorders>
              <w:top w:val="nil"/>
              <w:left w:val="nil"/>
              <w:bottom w:val="single" w:sz="8" w:space="0" w:color="3366CC"/>
              <w:right w:val="single" w:sz="8" w:space="0" w:color="3366CC"/>
            </w:tcBorders>
            <w:shd w:val="clear" w:color="auto" w:fill="auto"/>
            <w:noWrap/>
            <w:vAlign w:val="center"/>
            <w:hideMark/>
          </w:tcPr>
          <w:p w14:paraId="2E8CF7D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39,7%</w:t>
            </w:r>
          </w:p>
        </w:tc>
        <w:tc>
          <w:tcPr>
            <w:tcW w:w="805" w:type="pct"/>
            <w:tcBorders>
              <w:top w:val="nil"/>
              <w:left w:val="nil"/>
              <w:bottom w:val="single" w:sz="8" w:space="0" w:color="3366CC"/>
              <w:right w:val="single" w:sz="8" w:space="0" w:color="3366CC"/>
            </w:tcBorders>
            <w:shd w:val="clear" w:color="auto" w:fill="auto"/>
            <w:noWrap/>
            <w:vAlign w:val="center"/>
            <w:hideMark/>
          </w:tcPr>
          <w:p w14:paraId="710C71AE"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40,0%</w:t>
            </w:r>
          </w:p>
        </w:tc>
        <w:tc>
          <w:tcPr>
            <w:tcW w:w="805" w:type="pct"/>
            <w:tcBorders>
              <w:top w:val="nil"/>
              <w:left w:val="nil"/>
              <w:bottom w:val="single" w:sz="8" w:space="0" w:color="3366CC"/>
              <w:right w:val="single" w:sz="8" w:space="0" w:color="3366CC"/>
            </w:tcBorders>
            <w:shd w:val="clear" w:color="auto" w:fill="auto"/>
            <w:noWrap/>
            <w:vAlign w:val="center"/>
            <w:hideMark/>
          </w:tcPr>
          <w:p w14:paraId="05720F1C"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39,7%</w:t>
            </w:r>
          </w:p>
        </w:tc>
      </w:tr>
    </w:tbl>
    <w:p w14:paraId="1DEAB55C"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MEN (SNIES)</w:t>
      </w:r>
    </w:p>
    <w:p w14:paraId="503C4ED5" w14:textId="77777777" w:rsidR="00636714" w:rsidRPr="00636714" w:rsidRDefault="00636714" w:rsidP="00636714">
      <w:pPr>
        <w:jc w:val="both"/>
        <w:rPr>
          <w:rFonts w:ascii="Times New Roman" w:hAnsi="Times New Roman" w:cs="Times New Roman"/>
          <w:sz w:val="23"/>
          <w:szCs w:val="23"/>
        </w:rPr>
      </w:pPr>
    </w:p>
    <w:p w14:paraId="34A91500"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En la siguiente tabla se observa que, de los 27 municipios del departamento, solamente 13 contaron con matrículas en IES en el año 2021. En la tasa de cobertura bruta, Manizales, en 2021, se posicionó como la primera en el desempeño de este indicador, seguida por la Dorada (42.8%) y Pensilvania (28.8%). En la tasa de tránsito inmediato, en 2021, Villamaría ocupó el primer lugar con 48,6%, seguida por Manizales (48,2%) y San José (38.9%).</w:t>
      </w:r>
    </w:p>
    <w:p w14:paraId="55976FC0" w14:textId="17DD1922" w:rsidR="00636714" w:rsidRDefault="00636714" w:rsidP="00636714">
      <w:pPr>
        <w:jc w:val="both"/>
        <w:rPr>
          <w:rFonts w:ascii="Times New Roman" w:hAnsi="Times New Roman" w:cs="Times New Roman"/>
          <w:sz w:val="23"/>
          <w:szCs w:val="23"/>
        </w:rPr>
      </w:pPr>
    </w:p>
    <w:p w14:paraId="1819FB81" w14:textId="37D248A6" w:rsidR="008F0AE8" w:rsidRDefault="008F0AE8" w:rsidP="00636714">
      <w:pPr>
        <w:jc w:val="both"/>
        <w:rPr>
          <w:rFonts w:ascii="Times New Roman" w:hAnsi="Times New Roman" w:cs="Times New Roman"/>
          <w:sz w:val="23"/>
          <w:szCs w:val="23"/>
        </w:rPr>
      </w:pPr>
    </w:p>
    <w:p w14:paraId="1939D868" w14:textId="5B2FC7ED" w:rsidR="008F0AE8" w:rsidRDefault="008F0AE8" w:rsidP="00636714">
      <w:pPr>
        <w:jc w:val="both"/>
        <w:rPr>
          <w:rFonts w:ascii="Times New Roman" w:hAnsi="Times New Roman" w:cs="Times New Roman"/>
          <w:sz w:val="23"/>
          <w:szCs w:val="23"/>
        </w:rPr>
      </w:pPr>
    </w:p>
    <w:p w14:paraId="5315A723" w14:textId="32E29D82" w:rsidR="008F0AE8" w:rsidRDefault="008F0AE8" w:rsidP="00636714">
      <w:pPr>
        <w:jc w:val="both"/>
        <w:rPr>
          <w:rFonts w:ascii="Times New Roman" w:hAnsi="Times New Roman" w:cs="Times New Roman"/>
          <w:sz w:val="23"/>
          <w:szCs w:val="23"/>
        </w:rPr>
      </w:pPr>
    </w:p>
    <w:p w14:paraId="3AC14DE2" w14:textId="77777777" w:rsidR="00F263B6" w:rsidRDefault="00F263B6" w:rsidP="00636714">
      <w:pPr>
        <w:jc w:val="both"/>
        <w:rPr>
          <w:rFonts w:ascii="Times New Roman" w:hAnsi="Times New Roman" w:cs="Times New Roman"/>
          <w:sz w:val="23"/>
          <w:szCs w:val="23"/>
        </w:rPr>
      </w:pPr>
    </w:p>
    <w:p w14:paraId="740573EF" w14:textId="77777777" w:rsidR="008F0AE8" w:rsidRPr="00636714" w:rsidRDefault="008F0AE8" w:rsidP="00636714">
      <w:pPr>
        <w:jc w:val="both"/>
        <w:rPr>
          <w:rFonts w:ascii="Times New Roman" w:hAnsi="Times New Roman" w:cs="Times New Roman"/>
          <w:sz w:val="23"/>
          <w:szCs w:val="23"/>
        </w:rPr>
      </w:pPr>
    </w:p>
    <w:p w14:paraId="2DA6EEEB" w14:textId="0E7DA326" w:rsidR="00636714" w:rsidRPr="00636714" w:rsidRDefault="00636714" w:rsidP="00636714">
      <w:pPr>
        <w:jc w:val="center"/>
        <w:rPr>
          <w:rFonts w:ascii="Times New Roman" w:hAnsi="Times New Roman" w:cs="Times New Roman"/>
          <w:b/>
          <w:iCs/>
          <w:sz w:val="23"/>
          <w:szCs w:val="23"/>
        </w:rPr>
      </w:pPr>
      <w:r w:rsidRPr="00636714">
        <w:rPr>
          <w:rFonts w:ascii="Times New Roman" w:hAnsi="Times New Roman" w:cs="Times New Roman"/>
          <w:b/>
          <w:iCs/>
          <w:sz w:val="23"/>
          <w:szCs w:val="23"/>
        </w:rPr>
        <w:lastRenderedPageBreak/>
        <w:t xml:space="preserve">Tabla </w:t>
      </w:r>
      <w:r w:rsidRPr="00636714">
        <w:rPr>
          <w:rFonts w:ascii="Times New Roman" w:hAnsi="Times New Roman" w:cs="Times New Roman"/>
          <w:b/>
          <w:iCs/>
          <w:sz w:val="23"/>
          <w:szCs w:val="23"/>
        </w:rPr>
        <w:fldChar w:fldCharType="begin"/>
      </w:r>
      <w:r w:rsidRPr="00636714">
        <w:rPr>
          <w:rFonts w:ascii="Times New Roman" w:hAnsi="Times New Roman" w:cs="Times New Roman"/>
          <w:b/>
          <w:iCs/>
          <w:sz w:val="23"/>
          <w:szCs w:val="23"/>
        </w:rPr>
        <w:instrText xml:space="preserve"> SEQ Tabla \* ARABIC </w:instrText>
      </w:r>
      <w:r w:rsidRPr="00636714">
        <w:rPr>
          <w:rFonts w:ascii="Times New Roman" w:hAnsi="Times New Roman" w:cs="Times New Roman"/>
          <w:b/>
          <w:iCs/>
          <w:sz w:val="23"/>
          <w:szCs w:val="23"/>
        </w:rPr>
        <w:fldChar w:fldCharType="separate"/>
      </w:r>
      <w:r w:rsidR="00F263B6">
        <w:rPr>
          <w:rFonts w:ascii="Times New Roman" w:hAnsi="Times New Roman" w:cs="Times New Roman"/>
          <w:b/>
          <w:iCs/>
          <w:noProof/>
          <w:sz w:val="23"/>
          <w:szCs w:val="23"/>
        </w:rPr>
        <w:t>5</w:t>
      </w:r>
      <w:r w:rsidRPr="00636714">
        <w:rPr>
          <w:rFonts w:ascii="Times New Roman" w:hAnsi="Times New Roman" w:cs="Times New Roman"/>
          <w:sz w:val="23"/>
          <w:szCs w:val="23"/>
        </w:rPr>
        <w:fldChar w:fldCharType="end"/>
      </w:r>
      <w:r w:rsidRPr="00636714">
        <w:rPr>
          <w:rFonts w:ascii="Times New Roman" w:hAnsi="Times New Roman" w:cs="Times New Roman"/>
          <w:sz w:val="23"/>
          <w:szCs w:val="23"/>
        </w:rPr>
        <w:t>.</w:t>
      </w:r>
      <w:r w:rsidRPr="00636714">
        <w:rPr>
          <w:rFonts w:ascii="Times New Roman" w:hAnsi="Times New Roman" w:cs="Times New Roman"/>
          <w:b/>
          <w:iCs/>
          <w:sz w:val="23"/>
          <w:szCs w:val="23"/>
        </w:rPr>
        <w:t xml:space="preserve"> Matrículas, tasa de cobertura bruta y de tránsito, según municipios de Caldas</w:t>
      </w:r>
    </w:p>
    <w:tbl>
      <w:tblPr>
        <w:tblW w:w="5000" w:type="pct"/>
        <w:tblCellMar>
          <w:left w:w="70" w:type="dxa"/>
          <w:right w:w="70" w:type="dxa"/>
        </w:tblCellMar>
        <w:tblLook w:val="04A0" w:firstRow="1" w:lastRow="0" w:firstColumn="1" w:lastColumn="0" w:noHBand="0" w:noVBand="1"/>
      </w:tblPr>
      <w:tblGrid>
        <w:gridCol w:w="2297"/>
        <w:gridCol w:w="2515"/>
        <w:gridCol w:w="2234"/>
        <w:gridCol w:w="2577"/>
      </w:tblGrid>
      <w:tr w:rsidR="00636714" w:rsidRPr="00636714" w14:paraId="1920A062" w14:textId="77777777" w:rsidTr="009A6D3A">
        <w:trPr>
          <w:trHeight w:val="20"/>
          <w:tblHeader/>
        </w:trPr>
        <w:tc>
          <w:tcPr>
            <w:tcW w:w="1193" w:type="pct"/>
            <w:tcBorders>
              <w:top w:val="single" w:sz="8" w:space="0" w:color="3366CC"/>
              <w:left w:val="single" w:sz="4" w:space="0" w:color="auto"/>
              <w:bottom w:val="single" w:sz="4" w:space="0" w:color="auto"/>
              <w:right w:val="single" w:sz="4" w:space="0" w:color="auto"/>
            </w:tcBorders>
            <w:shd w:val="clear" w:color="000000" w:fill="DDEBF7"/>
            <w:vAlign w:val="center"/>
            <w:hideMark/>
          </w:tcPr>
          <w:p w14:paraId="782882DC"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Municipio</w:t>
            </w:r>
          </w:p>
        </w:tc>
        <w:tc>
          <w:tcPr>
            <w:tcW w:w="1306" w:type="pct"/>
            <w:tcBorders>
              <w:top w:val="single" w:sz="8" w:space="0" w:color="3366CC"/>
              <w:left w:val="nil"/>
              <w:bottom w:val="single" w:sz="4" w:space="0" w:color="auto"/>
              <w:right w:val="single" w:sz="8" w:space="0" w:color="3366CC"/>
            </w:tcBorders>
            <w:shd w:val="clear" w:color="000000" w:fill="DDEBF7"/>
            <w:vAlign w:val="center"/>
            <w:hideMark/>
          </w:tcPr>
          <w:p w14:paraId="45313BCA"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No. de matrículas</w:t>
            </w:r>
            <w:r w:rsidRPr="00636714">
              <w:rPr>
                <w:rFonts w:ascii="Times New Roman" w:hAnsi="Times New Roman" w:cs="Times New Roman"/>
                <w:b/>
                <w:bCs/>
                <w:sz w:val="23"/>
                <w:szCs w:val="23"/>
              </w:rPr>
              <w:br/>
              <w:t>2021</w:t>
            </w:r>
          </w:p>
        </w:tc>
        <w:tc>
          <w:tcPr>
            <w:tcW w:w="1161" w:type="pct"/>
            <w:tcBorders>
              <w:top w:val="single" w:sz="8" w:space="0" w:color="3366CC"/>
              <w:left w:val="nil"/>
              <w:bottom w:val="single" w:sz="4" w:space="0" w:color="auto"/>
              <w:right w:val="single" w:sz="8" w:space="0" w:color="3366CC"/>
            </w:tcBorders>
            <w:shd w:val="clear" w:color="000000" w:fill="DDEBF7"/>
            <w:vAlign w:val="center"/>
            <w:hideMark/>
          </w:tcPr>
          <w:p w14:paraId="0CCF969E"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Tasa de cobertura bruta 2021</w:t>
            </w:r>
          </w:p>
        </w:tc>
        <w:tc>
          <w:tcPr>
            <w:tcW w:w="1339" w:type="pct"/>
            <w:tcBorders>
              <w:top w:val="single" w:sz="8" w:space="0" w:color="3366CC"/>
              <w:left w:val="single" w:sz="4" w:space="0" w:color="auto"/>
              <w:bottom w:val="single" w:sz="4" w:space="0" w:color="auto"/>
              <w:right w:val="single" w:sz="8" w:space="0" w:color="3366CC"/>
            </w:tcBorders>
            <w:shd w:val="clear" w:color="000000" w:fill="DDEBF7"/>
            <w:vAlign w:val="center"/>
            <w:hideMark/>
          </w:tcPr>
          <w:p w14:paraId="12D1E3E6"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 xml:space="preserve">Tasa de Tránsito Inmediato </w:t>
            </w:r>
            <w:r w:rsidRPr="00636714">
              <w:rPr>
                <w:rFonts w:ascii="Times New Roman" w:hAnsi="Times New Roman" w:cs="Times New Roman"/>
                <w:b/>
                <w:bCs/>
                <w:sz w:val="23"/>
                <w:szCs w:val="23"/>
              </w:rPr>
              <w:br/>
              <w:t>2021</w:t>
            </w:r>
          </w:p>
        </w:tc>
      </w:tr>
      <w:tr w:rsidR="00636714" w:rsidRPr="00636714" w14:paraId="0836168C"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13B5A16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Manizales</w:t>
            </w:r>
          </w:p>
        </w:tc>
        <w:tc>
          <w:tcPr>
            <w:tcW w:w="1306" w:type="pct"/>
            <w:tcBorders>
              <w:top w:val="nil"/>
              <w:left w:val="nil"/>
              <w:bottom w:val="single" w:sz="4" w:space="0" w:color="auto"/>
              <w:right w:val="single" w:sz="8" w:space="0" w:color="3366CC"/>
            </w:tcBorders>
            <w:shd w:val="clear" w:color="auto" w:fill="auto"/>
            <w:noWrap/>
            <w:vAlign w:val="center"/>
            <w:hideMark/>
          </w:tcPr>
          <w:p w14:paraId="39FE939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41.893</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766FC14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111,5%</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38574D1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48,2%</w:t>
            </w:r>
          </w:p>
        </w:tc>
      </w:tr>
      <w:tr w:rsidR="00636714" w:rsidRPr="00636714" w14:paraId="7B8FF4F6"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1E0BB78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Aguadas</w:t>
            </w:r>
          </w:p>
        </w:tc>
        <w:tc>
          <w:tcPr>
            <w:tcW w:w="1306" w:type="pct"/>
            <w:tcBorders>
              <w:top w:val="nil"/>
              <w:left w:val="nil"/>
              <w:bottom w:val="single" w:sz="4" w:space="0" w:color="auto"/>
              <w:right w:val="single" w:sz="8" w:space="0" w:color="3366CC"/>
            </w:tcBorders>
            <w:shd w:val="clear" w:color="auto" w:fill="auto"/>
            <w:noWrap/>
            <w:vAlign w:val="center"/>
            <w:hideMark/>
          </w:tcPr>
          <w:p w14:paraId="428B7DA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147</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7C5FFC1A"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9,4%</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0957777F"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19,8%</w:t>
            </w:r>
          </w:p>
        </w:tc>
      </w:tr>
      <w:tr w:rsidR="00636714" w:rsidRPr="00636714" w14:paraId="3DAAD069"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5CB5798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Anserma</w:t>
            </w:r>
          </w:p>
        </w:tc>
        <w:tc>
          <w:tcPr>
            <w:tcW w:w="1306" w:type="pct"/>
            <w:tcBorders>
              <w:top w:val="nil"/>
              <w:left w:val="nil"/>
              <w:bottom w:val="single" w:sz="4" w:space="0" w:color="auto"/>
              <w:right w:val="single" w:sz="8" w:space="0" w:color="3366CC"/>
            </w:tcBorders>
            <w:shd w:val="clear" w:color="auto" w:fill="auto"/>
            <w:noWrap/>
            <w:vAlign w:val="center"/>
            <w:hideMark/>
          </w:tcPr>
          <w:p w14:paraId="3904FD8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222</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0F7FD03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8,6%</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35634DC2"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21,0%</w:t>
            </w:r>
          </w:p>
        </w:tc>
      </w:tr>
      <w:tr w:rsidR="00636714" w:rsidRPr="00636714" w14:paraId="7B94D218"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5D0A2A2E" w14:textId="77777777" w:rsidR="00636714" w:rsidRPr="00636714" w:rsidRDefault="00636714" w:rsidP="00636714">
            <w:pPr>
              <w:jc w:val="center"/>
              <w:rPr>
                <w:rFonts w:ascii="Times New Roman" w:hAnsi="Times New Roman" w:cs="Times New Roman"/>
                <w:sz w:val="23"/>
                <w:szCs w:val="23"/>
              </w:rPr>
            </w:pPr>
            <w:proofErr w:type="spellStart"/>
            <w:r w:rsidRPr="00636714">
              <w:rPr>
                <w:rFonts w:ascii="Times New Roman" w:hAnsi="Times New Roman" w:cs="Times New Roman"/>
                <w:sz w:val="23"/>
                <w:szCs w:val="23"/>
              </w:rPr>
              <w:t>Aranzazu</w:t>
            </w:r>
            <w:proofErr w:type="spellEnd"/>
          </w:p>
        </w:tc>
        <w:tc>
          <w:tcPr>
            <w:tcW w:w="1306" w:type="pct"/>
            <w:tcBorders>
              <w:top w:val="nil"/>
              <w:left w:val="nil"/>
              <w:bottom w:val="single" w:sz="4" w:space="0" w:color="auto"/>
              <w:right w:val="single" w:sz="8" w:space="0" w:color="3366CC"/>
            </w:tcBorders>
            <w:shd w:val="clear" w:color="auto" w:fill="auto"/>
            <w:noWrap/>
            <w:vAlign w:val="center"/>
            <w:hideMark/>
          </w:tcPr>
          <w:p w14:paraId="6A00FEF9"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4342959C"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6C7264E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8,8%</w:t>
            </w:r>
          </w:p>
        </w:tc>
      </w:tr>
      <w:tr w:rsidR="00636714" w:rsidRPr="00636714" w14:paraId="3F7C22A9"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174CD224"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Belalcázar</w:t>
            </w:r>
          </w:p>
        </w:tc>
        <w:tc>
          <w:tcPr>
            <w:tcW w:w="1306" w:type="pct"/>
            <w:tcBorders>
              <w:top w:val="nil"/>
              <w:left w:val="nil"/>
              <w:bottom w:val="single" w:sz="4" w:space="0" w:color="auto"/>
              <w:right w:val="single" w:sz="8" w:space="0" w:color="3366CC"/>
            </w:tcBorders>
            <w:shd w:val="clear" w:color="auto" w:fill="auto"/>
            <w:noWrap/>
            <w:vAlign w:val="center"/>
            <w:hideMark/>
          </w:tcPr>
          <w:p w14:paraId="79266672"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68</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51352C8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8,5%</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7FFA46D4"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31,0%</w:t>
            </w:r>
          </w:p>
        </w:tc>
      </w:tr>
      <w:tr w:rsidR="00636714" w:rsidRPr="00636714" w14:paraId="6E014C35"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184A79C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Chinchiná</w:t>
            </w:r>
          </w:p>
        </w:tc>
        <w:tc>
          <w:tcPr>
            <w:tcW w:w="1306" w:type="pct"/>
            <w:tcBorders>
              <w:top w:val="nil"/>
              <w:left w:val="nil"/>
              <w:bottom w:val="single" w:sz="4" w:space="0" w:color="auto"/>
              <w:right w:val="single" w:sz="8" w:space="0" w:color="3366CC"/>
            </w:tcBorders>
            <w:shd w:val="clear" w:color="auto" w:fill="auto"/>
            <w:noWrap/>
            <w:vAlign w:val="center"/>
            <w:hideMark/>
          </w:tcPr>
          <w:p w14:paraId="7C2D71BE"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686</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767192A9"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17,6%</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7E145B5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37,6%</w:t>
            </w:r>
          </w:p>
        </w:tc>
      </w:tr>
      <w:tr w:rsidR="00636714" w:rsidRPr="00636714" w14:paraId="7A3E6207"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42D5763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Filadelfia</w:t>
            </w:r>
          </w:p>
        </w:tc>
        <w:tc>
          <w:tcPr>
            <w:tcW w:w="1306" w:type="pct"/>
            <w:tcBorders>
              <w:top w:val="nil"/>
              <w:left w:val="nil"/>
              <w:bottom w:val="single" w:sz="4" w:space="0" w:color="auto"/>
              <w:right w:val="single" w:sz="8" w:space="0" w:color="3366CC"/>
            </w:tcBorders>
            <w:shd w:val="clear" w:color="auto" w:fill="auto"/>
            <w:noWrap/>
            <w:vAlign w:val="center"/>
            <w:hideMark/>
          </w:tcPr>
          <w:p w14:paraId="12257B5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17</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42F9A481"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2,2%</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7E28B1EA"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22,6%</w:t>
            </w:r>
          </w:p>
        </w:tc>
      </w:tr>
      <w:tr w:rsidR="00636714" w:rsidRPr="00636714" w14:paraId="11EA282B"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4643A8D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La Dorada</w:t>
            </w:r>
          </w:p>
        </w:tc>
        <w:tc>
          <w:tcPr>
            <w:tcW w:w="1306" w:type="pct"/>
            <w:tcBorders>
              <w:top w:val="nil"/>
              <w:left w:val="nil"/>
              <w:bottom w:val="single" w:sz="4" w:space="0" w:color="auto"/>
              <w:right w:val="single" w:sz="8" w:space="0" w:color="3366CC"/>
            </w:tcBorders>
            <w:shd w:val="clear" w:color="auto" w:fill="auto"/>
            <w:noWrap/>
            <w:vAlign w:val="center"/>
            <w:hideMark/>
          </w:tcPr>
          <w:p w14:paraId="2CB13B84"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2.366</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2644F0A6"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42,8%</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3DD0E4E6"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32,4%</w:t>
            </w:r>
          </w:p>
        </w:tc>
      </w:tr>
      <w:tr w:rsidR="00636714" w:rsidRPr="00636714" w14:paraId="6D046B0B"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5F13C094"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La Merced</w:t>
            </w:r>
          </w:p>
        </w:tc>
        <w:tc>
          <w:tcPr>
            <w:tcW w:w="1306" w:type="pct"/>
            <w:tcBorders>
              <w:top w:val="nil"/>
              <w:left w:val="nil"/>
              <w:bottom w:val="single" w:sz="4" w:space="0" w:color="auto"/>
              <w:right w:val="single" w:sz="8" w:space="0" w:color="3366CC"/>
            </w:tcBorders>
            <w:shd w:val="clear" w:color="auto" w:fill="auto"/>
            <w:noWrap/>
            <w:vAlign w:val="center"/>
            <w:hideMark/>
          </w:tcPr>
          <w:p w14:paraId="13CFC822"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253D7614"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41E799CF"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12,3%</w:t>
            </w:r>
          </w:p>
        </w:tc>
      </w:tr>
      <w:tr w:rsidR="00636714" w:rsidRPr="00636714" w14:paraId="0F27FDE7"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5D8B84D3"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Manzanares</w:t>
            </w:r>
          </w:p>
        </w:tc>
        <w:tc>
          <w:tcPr>
            <w:tcW w:w="1306" w:type="pct"/>
            <w:tcBorders>
              <w:top w:val="nil"/>
              <w:left w:val="nil"/>
              <w:bottom w:val="single" w:sz="4" w:space="0" w:color="auto"/>
              <w:right w:val="single" w:sz="8" w:space="0" w:color="3366CC"/>
            </w:tcBorders>
            <w:shd w:val="clear" w:color="auto" w:fill="auto"/>
            <w:noWrap/>
            <w:vAlign w:val="center"/>
            <w:hideMark/>
          </w:tcPr>
          <w:p w14:paraId="4C7367FF"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94</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0269773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7,3%</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230EF05E"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22,8%</w:t>
            </w:r>
          </w:p>
        </w:tc>
      </w:tr>
      <w:tr w:rsidR="00636714" w:rsidRPr="00636714" w14:paraId="1D16BA15"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0C44306F"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Marmato</w:t>
            </w:r>
          </w:p>
        </w:tc>
        <w:tc>
          <w:tcPr>
            <w:tcW w:w="1306" w:type="pct"/>
            <w:tcBorders>
              <w:top w:val="nil"/>
              <w:left w:val="nil"/>
              <w:bottom w:val="single" w:sz="4" w:space="0" w:color="auto"/>
              <w:right w:val="single" w:sz="8" w:space="0" w:color="3366CC"/>
            </w:tcBorders>
            <w:shd w:val="clear" w:color="auto" w:fill="auto"/>
            <w:noWrap/>
            <w:vAlign w:val="center"/>
            <w:hideMark/>
          </w:tcPr>
          <w:p w14:paraId="2F02B791"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1648F3B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07BA9C9C"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17,4%</w:t>
            </w:r>
          </w:p>
        </w:tc>
      </w:tr>
      <w:tr w:rsidR="00636714" w:rsidRPr="00636714" w14:paraId="580094C3"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0BED6DF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Marquetalia</w:t>
            </w:r>
          </w:p>
        </w:tc>
        <w:tc>
          <w:tcPr>
            <w:tcW w:w="1306" w:type="pct"/>
            <w:tcBorders>
              <w:top w:val="nil"/>
              <w:left w:val="nil"/>
              <w:bottom w:val="single" w:sz="4" w:space="0" w:color="auto"/>
              <w:right w:val="single" w:sz="8" w:space="0" w:color="3366CC"/>
            </w:tcBorders>
            <w:shd w:val="clear" w:color="auto" w:fill="auto"/>
            <w:noWrap/>
            <w:vAlign w:val="center"/>
            <w:hideMark/>
          </w:tcPr>
          <w:p w14:paraId="2E9FF791"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76</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49E94BE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8,0%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161252D6"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27,2%</w:t>
            </w:r>
          </w:p>
        </w:tc>
      </w:tr>
      <w:tr w:rsidR="00636714" w:rsidRPr="00636714" w14:paraId="3CAD02ED"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2957DF72"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Marulanda</w:t>
            </w:r>
          </w:p>
        </w:tc>
        <w:tc>
          <w:tcPr>
            <w:tcW w:w="1306" w:type="pct"/>
            <w:tcBorders>
              <w:top w:val="nil"/>
              <w:left w:val="nil"/>
              <w:bottom w:val="single" w:sz="4" w:space="0" w:color="auto"/>
              <w:right w:val="single" w:sz="8" w:space="0" w:color="3366CC"/>
            </w:tcBorders>
            <w:shd w:val="clear" w:color="auto" w:fill="auto"/>
            <w:noWrap/>
            <w:vAlign w:val="center"/>
            <w:hideMark/>
          </w:tcPr>
          <w:p w14:paraId="2B23F3C1"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1D4AF6B3"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5FE704B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35,7%</w:t>
            </w:r>
          </w:p>
        </w:tc>
      </w:tr>
      <w:tr w:rsidR="00636714" w:rsidRPr="00636714" w14:paraId="62E7EB42"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5456102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Neira</w:t>
            </w:r>
          </w:p>
        </w:tc>
        <w:tc>
          <w:tcPr>
            <w:tcW w:w="1306" w:type="pct"/>
            <w:tcBorders>
              <w:top w:val="nil"/>
              <w:left w:val="nil"/>
              <w:bottom w:val="single" w:sz="4" w:space="0" w:color="auto"/>
              <w:right w:val="single" w:sz="8" w:space="0" w:color="3366CC"/>
            </w:tcBorders>
            <w:shd w:val="clear" w:color="auto" w:fill="auto"/>
            <w:noWrap/>
            <w:vAlign w:val="center"/>
            <w:hideMark/>
          </w:tcPr>
          <w:p w14:paraId="04B6315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5C8E83AE"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625E9E33"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23,4%</w:t>
            </w:r>
          </w:p>
        </w:tc>
      </w:tr>
      <w:tr w:rsidR="00636714" w:rsidRPr="00636714" w14:paraId="42A9DD50"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76392FE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Norcasia</w:t>
            </w:r>
          </w:p>
        </w:tc>
        <w:tc>
          <w:tcPr>
            <w:tcW w:w="1306" w:type="pct"/>
            <w:tcBorders>
              <w:top w:val="nil"/>
              <w:left w:val="nil"/>
              <w:bottom w:val="single" w:sz="4" w:space="0" w:color="auto"/>
              <w:right w:val="single" w:sz="8" w:space="0" w:color="3366CC"/>
            </w:tcBorders>
            <w:shd w:val="clear" w:color="auto" w:fill="auto"/>
            <w:noWrap/>
            <w:vAlign w:val="center"/>
            <w:hideMark/>
          </w:tcPr>
          <w:p w14:paraId="0AF04EA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4004F42A"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1917D743"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17,2%</w:t>
            </w:r>
          </w:p>
        </w:tc>
      </w:tr>
      <w:tr w:rsidR="00636714" w:rsidRPr="00636714" w14:paraId="36D8D8E1"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099C13D7"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Pacora</w:t>
            </w:r>
          </w:p>
        </w:tc>
        <w:tc>
          <w:tcPr>
            <w:tcW w:w="1306" w:type="pct"/>
            <w:tcBorders>
              <w:top w:val="nil"/>
              <w:left w:val="nil"/>
              <w:bottom w:val="single" w:sz="4" w:space="0" w:color="auto"/>
              <w:right w:val="single" w:sz="8" w:space="0" w:color="3366CC"/>
            </w:tcBorders>
            <w:shd w:val="clear" w:color="auto" w:fill="auto"/>
            <w:noWrap/>
            <w:vAlign w:val="center"/>
            <w:hideMark/>
          </w:tcPr>
          <w:p w14:paraId="43B1E769"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1B078BDA"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0B8CE27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17,7%</w:t>
            </w:r>
          </w:p>
        </w:tc>
      </w:tr>
      <w:tr w:rsidR="00636714" w:rsidRPr="00636714" w14:paraId="403C77EE"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38050DE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Palestina</w:t>
            </w:r>
          </w:p>
        </w:tc>
        <w:tc>
          <w:tcPr>
            <w:tcW w:w="1306" w:type="pct"/>
            <w:tcBorders>
              <w:top w:val="nil"/>
              <w:left w:val="nil"/>
              <w:bottom w:val="single" w:sz="4" w:space="0" w:color="auto"/>
              <w:right w:val="single" w:sz="8" w:space="0" w:color="3366CC"/>
            </w:tcBorders>
            <w:shd w:val="clear" w:color="auto" w:fill="auto"/>
            <w:noWrap/>
            <w:vAlign w:val="center"/>
            <w:hideMark/>
          </w:tcPr>
          <w:p w14:paraId="34F3FCF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0F3B53B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7208374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18,5%</w:t>
            </w:r>
          </w:p>
        </w:tc>
      </w:tr>
      <w:tr w:rsidR="00636714" w:rsidRPr="00636714" w14:paraId="390D0D09"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6AD1ABA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Pensilvania</w:t>
            </w:r>
          </w:p>
        </w:tc>
        <w:tc>
          <w:tcPr>
            <w:tcW w:w="1306" w:type="pct"/>
            <w:tcBorders>
              <w:top w:val="nil"/>
              <w:left w:val="nil"/>
              <w:bottom w:val="single" w:sz="4" w:space="0" w:color="auto"/>
              <w:right w:val="single" w:sz="8" w:space="0" w:color="3366CC"/>
            </w:tcBorders>
            <w:shd w:val="clear" w:color="auto" w:fill="auto"/>
            <w:noWrap/>
            <w:vAlign w:val="center"/>
            <w:hideMark/>
          </w:tcPr>
          <w:p w14:paraId="08B3A08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405</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6E2239FA"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28,8%</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32170AF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46,2%</w:t>
            </w:r>
          </w:p>
        </w:tc>
      </w:tr>
      <w:tr w:rsidR="00636714" w:rsidRPr="00636714" w14:paraId="1506B688"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44B9E18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Riosucio</w:t>
            </w:r>
          </w:p>
        </w:tc>
        <w:tc>
          <w:tcPr>
            <w:tcW w:w="1306" w:type="pct"/>
            <w:tcBorders>
              <w:top w:val="nil"/>
              <w:left w:val="nil"/>
              <w:bottom w:val="single" w:sz="4" w:space="0" w:color="auto"/>
              <w:right w:val="single" w:sz="8" w:space="0" w:color="3366CC"/>
            </w:tcBorders>
            <w:shd w:val="clear" w:color="auto" w:fill="auto"/>
            <w:noWrap/>
            <w:vAlign w:val="center"/>
            <w:hideMark/>
          </w:tcPr>
          <w:p w14:paraId="2A0E721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377</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073B4847"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8,8%</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08508B9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21,3%</w:t>
            </w:r>
          </w:p>
        </w:tc>
      </w:tr>
      <w:tr w:rsidR="00636714" w:rsidRPr="00636714" w14:paraId="573B9F50"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3D95411E"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Risaralda</w:t>
            </w:r>
          </w:p>
        </w:tc>
        <w:tc>
          <w:tcPr>
            <w:tcW w:w="1306" w:type="pct"/>
            <w:tcBorders>
              <w:top w:val="nil"/>
              <w:left w:val="nil"/>
              <w:bottom w:val="single" w:sz="4" w:space="0" w:color="auto"/>
              <w:right w:val="single" w:sz="8" w:space="0" w:color="3366CC"/>
            </w:tcBorders>
            <w:shd w:val="clear" w:color="auto" w:fill="auto"/>
            <w:noWrap/>
            <w:vAlign w:val="center"/>
            <w:hideMark/>
          </w:tcPr>
          <w:p w14:paraId="21F00134"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0F6AF18C"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14C1508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27,2%</w:t>
            </w:r>
          </w:p>
        </w:tc>
      </w:tr>
      <w:tr w:rsidR="00636714" w:rsidRPr="00636714" w14:paraId="1E861F5C"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255BB07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Salamina</w:t>
            </w:r>
          </w:p>
        </w:tc>
        <w:tc>
          <w:tcPr>
            <w:tcW w:w="1306" w:type="pct"/>
            <w:tcBorders>
              <w:top w:val="nil"/>
              <w:left w:val="nil"/>
              <w:bottom w:val="single" w:sz="4" w:space="0" w:color="auto"/>
              <w:right w:val="single" w:sz="8" w:space="0" w:color="3366CC"/>
            </w:tcBorders>
            <w:shd w:val="clear" w:color="auto" w:fill="auto"/>
            <w:noWrap/>
            <w:vAlign w:val="center"/>
            <w:hideMark/>
          </w:tcPr>
          <w:p w14:paraId="498D3DAA"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50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4A836F56"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3,9%</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2F53022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25,2%</w:t>
            </w:r>
          </w:p>
        </w:tc>
      </w:tr>
      <w:tr w:rsidR="00636714" w:rsidRPr="00636714" w14:paraId="71D8ED6F"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1A6DBEB4"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Samaná</w:t>
            </w:r>
          </w:p>
        </w:tc>
        <w:tc>
          <w:tcPr>
            <w:tcW w:w="1306" w:type="pct"/>
            <w:tcBorders>
              <w:top w:val="nil"/>
              <w:left w:val="nil"/>
              <w:bottom w:val="single" w:sz="4" w:space="0" w:color="auto"/>
              <w:right w:val="single" w:sz="8" w:space="0" w:color="3366CC"/>
            </w:tcBorders>
            <w:shd w:val="clear" w:color="auto" w:fill="auto"/>
            <w:noWrap/>
            <w:vAlign w:val="center"/>
            <w:hideMark/>
          </w:tcPr>
          <w:p w14:paraId="7F39AE4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62E0683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560AA7EC"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27,6%</w:t>
            </w:r>
          </w:p>
        </w:tc>
      </w:tr>
      <w:tr w:rsidR="00636714" w:rsidRPr="00636714" w14:paraId="61ABE0BB"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2A19C053"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San José</w:t>
            </w:r>
          </w:p>
        </w:tc>
        <w:tc>
          <w:tcPr>
            <w:tcW w:w="1306" w:type="pct"/>
            <w:tcBorders>
              <w:top w:val="nil"/>
              <w:left w:val="nil"/>
              <w:bottom w:val="single" w:sz="4" w:space="0" w:color="auto"/>
              <w:right w:val="single" w:sz="8" w:space="0" w:color="3366CC"/>
            </w:tcBorders>
            <w:shd w:val="clear" w:color="auto" w:fill="auto"/>
            <w:noWrap/>
            <w:vAlign w:val="center"/>
            <w:hideMark/>
          </w:tcPr>
          <w:p w14:paraId="38F3F383"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01D1CDBF"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68CED41A"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38,9%</w:t>
            </w:r>
          </w:p>
        </w:tc>
      </w:tr>
      <w:tr w:rsidR="00636714" w:rsidRPr="00636714" w14:paraId="49465819"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19D95D5F"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Supía</w:t>
            </w:r>
          </w:p>
        </w:tc>
        <w:tc>
          <w:tcPr>
            <w:tcW w:w="1306" w:type="pct"/>
            <w:tcBorders>
              <w:top w:val="nil"/>
              <w:left w:val="nil"/>
              <w:bottom w:val="single" w:sz="4" w:space="0" w:color="auto"/>
              <w:right w:val="single" w:sz="8" w:space="0" w:color="3366CC"/>
            </w:tcBorders>
            <w:shd w:val="clear" w:color="auto" w:fill="auto"/>
            <w:noWrap/>
            <w:vAlign w:val="center"/>
            <w:hideMark/>
          </w:tcPr>
          <w:p w14:paraId="42DFCD8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70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1EDC3026"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3,1%</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002FEA9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27,1%</w:t>
            </w:r>
          </w:p>
        </w:tc>
      </w:tr>
      <w:tr w:rsidR="00636714" w:rsidRPr="00636714" w14:paraId="4072AF39"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2AAEA35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Victoria</w:t>
            </w:r>
          </w:p>
        </w:tc>
        <w:tc>
          <w:tcPr>
            <w:tcW w:w="1306" w:type="pct"/>
            <w:tcBorders>
              <w:top w:val="nil"/>
              <w:left w:val="nil"/>
              <w:bottom w:val="single" w:sz="4" w:space="0" w:color="auto"/>
              <w:right w:val="single" w:sz="8" w:space="0" w:color="3366CC"/>
            </w:tcBorders>
            <w:shd w:val="clear" w:color="auto" w:fill="auto"/>
            <w:noWrap/>
            <w:vAlign w:val="center"/>
            <w:hideMark/>
          </w:tcPr>
          <w:p w14:paraId="08BDADF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6FC83A71"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6F76ED1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23,7%</w:t>
            </w:r>
          </w:p>
        </w:tc>
      </w:tr>
      <w:tr w:rsidR="00636714" w:rsidRPr="00636714" w14:paraId="74DE4B18"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0AB90124"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Villamaría</w:t>
            </w:r>
          </w:p>
        </w:tc>
        <w:tc>
          <w:tcPr>
            <w:tcW w:w="1306" w:type="pct"/>
            <w:tcBorders>
              <w:top w:val="nil"/>
              <w:left w:val="nil"/>
              <w:bottom w:val="single" w:sz="4" w:space="0" w:color="auto"/>
              <w:right w:val="single" w:sz="8" w:space="0" w:color="3366CC"/>
            </w:tcBorders>
            <w:shd w:val="clear" w:color="auto" w:fill="auto"/>
            <w:noWrap/>
            <w:vAlign w:val="center"/>
            <w:hideMark/>
          </w:tcPr>
          <w:p w14:paraId="766D76F9"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607A37C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4BBB8B5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48,6%</w:t>
            </w:r>
          </w:p>
        </w:tc>
      </w:tr>
      <w:tr w:rsidR="00636714" w:rsidRPr="00636714" w14:paraId="21B5A13F" w14:textId="77777777" w:rsidTr="009A6D3A">
        <w:trPr>
          <w:trHeight w:val="20"/>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0EF3CF8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Viterbo</w:t>
            </w:r>
          </w:p>
        </w:tc>
        <w:tc>
          <w:tcPr>
            <w:tcW w:w="1306" w:type="pct"/>
            <w:tcBorders>
              <w:top w:val="nil"/>
              <w:left w:val="nil"/>
              <w:bottom w:val="single" w:sz="4" w:space="0" w:color="auto"/>
              <w:right w:val="single" w:sz="8" w:space="0" w:color="3366CC"/>
            </w:tcBorders>
            <w:shd w:val="clear" w:color="auto" w:fill="auto"/>
            <w:noWrap/>
            <w:vAlign w:val="center"/>
            <w:hideMark/>
          </w:tcPr>
          <w:p w14:paraId="3A6D58F7"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w:t>
            </w:r>
          </w:p>
        </w:tc>
        <w:tc>
          <w:tcPr>
            <w:tcW w:w="1161" w:type="pct"/>
            <w:tcBorders>
              <w:top w:val="nil"/>
              <w:left w:val="single" w:sz="4" w:space="0" w:color="auto"/>
              <w:bottom w:val="single" w:sz="4" w:space="0" w:color="auto"/>
              <w:right w:val="single" w:sz="8" w:space="0" w:color="3366CC"/>
            </w:tcBorders>
            <w:shd w:val="clear" w:color="auto" w:fill="auto"/>
            <w:noWrap/>
            <w:vAlign w:val="center"/>
            <w:hideMark/>
          </w:tcPr>
          <w:p w14:paraId="0FFADD4A"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0,0%</w:t>
            </w:r>
          </w:p>
        </w:tc>
        <w:tc>
          <w:tcPr>
            <w:tcW w:w="1339" w:type="pct"/>
            <w:tcBorders>
              <w:top w:val="nil"/>
              <w:left w:val="single" w:sz="4" w:space="0" w:color="auto"/>
              <w:bottom w:val="single" w:sz="4" w:space="0" w:color="auto"/>
              <w:right w:val="single" w:sz="8" w:space="0" w:color="2F75B5"/>
            </w:tcBorders>
            <w:shd w:val="clear" w:color="auto" w:fill="auto"/>
            <w:noWrap/>
            <w:vAlign w:val="center"/>
            <w:hideMark/>
          </w:tcPr>
          <w:p w14:paraId="26082664"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19,8%</w:t>
            </w:r>
          </w:p>
        </w:tc>
      </w:tr>
    </w:tbl>
    <w:p w14:paraId="4FF7BC56"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MEN (SNIES)</w:t>
      </w:r>
    </w:p>
    <w:p w14:paraId="6E010FE6" w14:textId="77777777" w:rsidR="00636714" w:rsidRPr="00636714" w:rsidRDefault="00636714" w:rsidP="00636714">
      <w:pPr>
        <w:jc w:val="both"/>
        <w:rPr>
          <w:rFonts w:ascii="Times New Roman" w:hAnsi="Times New Roman" w:cs="Times New Roman"/>
          <w:sz w:val="23"/>
          <w:szCs w:val="23"/>
        </w:rPr>
      </w:pPr>
    </w:p>
    <w:p w14:paraId="39CBD088"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Manizales Como Vamos (2020), menciona que año tras años, el análisis del origen de los estudiantes da cuenta de la valoración de Manizales como ciudad con vocación universitaria con casi la mitad de sus estudiantes provenientes de otras partes del país e incluso del extranjero. Como muestra la siguiente gráfica, el 53,7% de los estudiantes que se encuentran matriculados en algún nivel de pregrado de la ciudad, reportaron como su lugar de origen a Manizales. Una proporción levemente inferior (46,3%), se distribuye entre quienes provienen de otros municipios del departamento (16,8%), otros departamentos (29,3%) y el extranjero (0,2%).</w:t>
      </w:r>
    </w:p>
    <w:p w14:paraId="5B0BD37C" w14:textId="253188A3" w:rsidR="00636714" w:rsidRDefault="00636714" w:rsidP="00636714">
      <w:pPr>
        <w:jc w:val="both"/>
        <w:rPr>
          <w:rFonts w:ascii="Times New Roman" w:hAnsi="Times New Roman" w:cs="Times New Roman"/>
          <w:sz w:val="23"/>
          <w:szCs w:val="23"/>
        </w:rPr>
      </w:pPr>
    </w:p>
    <w:p w14:paraId="785390C8" w14:textId="38E63202" w:rsidR="00636714" w:rsidRDefault="00636714" w:rsidP="00636714">
      <w:pPr>
        <w:jc w:val="both"/>
        <w:rPr>
          <w:rFonts w:ascii="Times New Roman" w:hAnsi="Times New Roman" w:cs="Times New Roman"/>
          <w:sz w:val="23"/>
          <w:szCs w:val="23"/>
        </w:rPr>
      </w:pPr>
    </w:p>
    <w:p w14:paraId="7219392F" w14:textId="062416EA" w:rsidR="00636714" w:rsidRDefault="00636714" w:rsidP="00636714">
      <w:pPr>
        <w:jc w:val="both"/>
        <w:rPr>
          <w:rFonts w:ascii="Times New Roman" w:hAnsi="Times New Roman" w:cs="Times New Roman"/>
          <w:sz w:val="23"/>
          <w:szCs w:val="23"/>
        </w:rPr>
      </w:pPr>
    </w:p>
    <w:p w14:paraId="318FC4BC" w14:textId="1D124E2F" w:rsidR="00636714" w:rsidRDefault="00636714" w:rsidP="00636714">
      <w:pPr>
        <w:jc w:val="both"/>
        <w:rPr>
          <w:rFonts w:ascii="Times New Roman" w:hAnsi="Times New Roman" w:cs="Times New Roman"/>
          <w:sz w:val="23"/>
          <w:szCs w:val="23"/>
        </w:rPr>
      </w:pPr>
    </w:p>
    <w:p w14:paraId="624E16DF" w14:textId="343680A4" w:rsidR="00636714" w:rsidRDefault="00636714" w:rsidP="00636714">
      <w:pPr>
        <w:jc w:val="both"/>
        <w:rPr>
          <w:rFonts w:ascii="Times New Roman" w:hAnsi="Times New Roman" w:cs="Times New Roman"/>
          <w:sz w:val="23"/>
          <w:szCs w:val="23"/>
        </w:rPr>
      </w:pPr>
    </w:p>
    <w:p w14:paraId="29F1E540" w14:textId="75155096" w:rsidR="00636714" w:rsidRDefault="00636714" w:rsidP="00636714">
      <w:pPr>
        <w:jc w:val="both"/>
        <w:rPr>
          <w:rFonts w:ascii="Times New Roman" w:hAnsi="Times New Roman" w:cs="Times New Roman"/>
          <w:sz w:val="23"/>
          <w:szCs w:val="23"/>
        </w:rPr>
      </w:pPr>
    </w:p>
    <w:p w14:paraId="4DC17CD5" w14:textId="326CDF59" w:rsidR="00636714" w:rsidRDefault="00636714" w:rsidP="00636714">
      <w:pPr>
        <w:jc w:val="both"/>
        <w:rPr>
          <w:rFonts w:ascii="Times New Roman" w:hAnsi="Times New Roman" w:cs="Times New Roman"/>
          <w:sz w:val="23"/>
          <w:szCs w:val="23"/>
        </w:rPr>
      </w:pPr>
    </w:p>
    <w:p w14:paraId="15C1252A" w14:textId="0773058C" w:rsidR="00636714" w:rsidRDefault="00636714" w:rsidP="00636714">
      <w:pPr>
        <w:jc w:val="both"/>
        <w:rPr>
          <w:rFonts w:ascii="Times New Roman" w:hAnsi="Times New Roman" w:cs="Times New Roman"/>
          <w:sz w:val="23"/>
          <w:szCs w:val="23"/>
        </w:rPr>
      </w:pPr>
    </w:p>
    <w:p w14:paraId="62A8779E" w14:textId="0F20A38C" w:rsidR="00636714" w:rsidRDefault="00636714" w:rsidP="00636714">
      <w:pPr>
        <w:jc w:val="both"/>
        <w:rPr>
          <w:rFonts w:ascii="Times New Roman" w:hAnsi="Times New Roman" w:cs="Times New Roman"/>
          <w:sz w:val="23"/>
          <w:szCs w:val="23"/>
        </w:rPr>
      </w:pPr>
    </w:p>
    <w:p w14:paraId="0C49A866" w14:textId="77777777" w:rsidR="00636714" w:rsidRPr="00636714" w:rsidRDefault="00636714" w:rsidP="00636714">
      <w:pPr>
        <w:jc w:val="both"/>
        <w:rPr>
          <w:rFonts w:ascii="Times New Roman" w:hAnsi="Times New Roman" w:cs="Times New Roman"/>
          <w:sz w:val="23"/>
          <w:szCs w:val="23"/>
        </w:rPr>
      </w:pPr>
    </w:p>
    <w:p w14:paraId="6FBD3355" w14:textId="39AE46B0" w:rsidR="00636714" w:rsidRPr="00636714" w:rsidRDefault="00636714" w:rsidP="00636714">
      <w:pPr>
        <w:jc w:val="center"/>
        <w:rPr>
          <w:rFonts w:ascii="Times New Roman" w:hAnsi="Times New Roman" w:cs="Times New Roman"/>
          <w:b/>
          <w:sz w:val="23"/>
          <w:szCs w:val="23"/>
        </w:rPr>
      </w:pPr>
      <w:bookmarkStart w:id="0" w:name="_Toc63666813"/>
      <w:r w:rsidRPr="00636714">
        <w:rPr>
          <w:rFonts w:ascii="Times New Roman" w:hAnsi="Times New Roman" w:cs="Times New Roman"/>
          <w:b/>
          <w:sz w:val="23"/>
          <w:szCs w:val="23"/>
        </w:rPr>
        <w:lastRenderedPageBreak/>
        <w:t xml:space="preserve">Gráfica </w:t>
      </w:r>
      <w:r w:rsidRPr="00636714">
        <w:rPr>
          <w:rFonts w:ascii="Times New Roman" w:hAnsi="Times New Roman" w:cs="Times New Roman"/>
          <w:b/>
          <w:sz w:val="23"/>
          <w:szCs w:val="23"/>
        </w:rPr>
        <w:fldChar w:fldCharType="begin"/>
      </w:r>
      <w:r w:rsidRPr="00636714">
        <w:rPr>
          <w:rFonts w:ascii="Times New Roman" w:hAnsi="Times New Roman" w:cs="Times New Roman"/>
          <w:b/>
          <w:sz w:val="23"/>
          <w:szCs w:val="23"/>
        </w:rPr>
        <w:instrText xml:space="preserve"> SEQ Gráfica \* ARABIC </w:instrText>
      </w:r>
      <w:r w:rsidRPr="00636714">
        <w:rPr>
          <w:rFonts w:ascii="Times New Roman" w:hAnsi="Times New Roman" w:cs="Times New Roman"/>
          <w:b/>
          <w:sz w:val="23"/>
          <w:szCs w:val="23"/>
        </w:rPr>
        <w:fldChar w:fldCharType="separate"/>
      </w:r>
      <w:r w:rsidR="00F263B6">
        <w:rPr>
          <w:rFonts w:ascii="Times New Roman" w:hAnsi="Times New Roman" w:cs="Times New Roman"/>
          <w:b/>
          <w:noProof/>
          <w:sz w:val="23"/>
          <w:szCs w:val="23"/>
        </w:rPr>
        <w:t>3</w:t>
      </w:r>
      <w:r w:rsidRPr="00636714">
        <w:rPr>
          <w:rFonts w:ascii="Times New Roman" w:hAnsi="Times New Roman" w:cs="Times New Roman"/>
          <w:sz w:val="23"/>
          <w:szCs w:val="23"/>
        </w:rPr>
        <w:fldChar w:fldCharType="end"/>
      </w:r>
      <w:r w:rsidRPr="00636714">
        <w:rPr>
          <w:rFonts w:ascii="Times New Roman" w:hAnsi="Times New Roman" w:cs="Times New Roman"/>
          <w:b/>
          <w:sz w:val="23"/>
          <w:szCs w:val="23"/>
        </w:rPr>
        <w:t>. Lugar de origen de los estudiantes de pregrado en Manizales (2020)</w:t>
      </w:r>
      <w:bookmarkEnd w:id="0"/>
    </w:p>
    <w:p w14:paraId="4867245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3EE0F2BA" wp14:editId="56CC9925">
            <wp:extent cx="3619500" cy="21717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E8E236"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Cálculos MCV con base en información de las Oficinas de Registro Académico y de Planeación de las universidades de la ciudad</w:t>
      </w:r>
    </w:p>
    <w:p w14:paraId="7C3B0097" w14:textId="77777777" w:rsidR="00636714" w:rsidRPr="00636714" w:rsidRDefault="00636714" w:rsidP="00636714">
      <w:pPr>
        <w:jc w:val="both"/>
        <w:rPr>
          <w:rFonts w:ascii="Times New Roman" w:hAnsi="Times New Roman" w:cs="Times New Roman"/>
          <w:color w:val="808080" w:themeColor="background1" w:themeShade="80"/>
          <w:sz w:val="23"/>
          <w:szCs w:val="23"/>
        </w:rPr>
      </w:pPr>
    </w:p>
    <w:p w14:paraId="7E928BED"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Un análisis a través de los años revela que la proporción de estudiantes foráneos viene ganando peso en términos relativos. Mientras que, en 2016, representaban el 43%, en 2020 aumentó cuatro puntos porcentuales. La distribución entre estudiantes de otros municipios de Caldas y otros departamentos ha permanecido relativamente estable, con una tercera parte de estudiantes que llegan desde otras regiones del país a cursar sus estudios de pregrado en nuestra ciudad.</w:t>
      </w:r>
    </w:p>
    <w:p w14:paraId="570EF2AA" w14:textId="77777777" w:rsidR="00636714" w:rsidRPr="00636714" w:rsidRDefault="00636714" w:rsidP="00636714">
      <w:pPr>
        <w:jc w:val="both"/>
        <w:rPr>
          <w:rFonts w:ascii="Times New Roman" w:hAnsi="Times New Roman" w:cs="Times New Roman"/>
          <w:b/>
          <w:sz w:val="23"/>
          <w:szCs w:val="23"/>
        </w:rPr>
      </w:pPr>
      <w:bookmarkStart w:id="1" w:name="_Toc63666814"/>
    </w:p>
    <w:p w14:paraId="7F2D00F2" w14:textId="0AD38D67" w:rsidR="00636714" w:rsidRPr="00636714" w:rsidRDefault="00636714" w:rsidP="00636714">
      <w:pPr>
        <w:jc w:val="center"/>
        <w:rPr>
          <w:rFonts w:ascii="Times New Roman" w:hAnsi="Times New Roman" w:cs="Times New Roman"/>
          <w:b/>
          <w:sz w:val="23"/>
          <w:szCs w:val="23"/>
        </w:rPr>
      </w:pPr>
      <w:r w:rsidRPr="00636714">
        <w:rPr>
          <w:rFonts w:ascii="Times New Roman" w:hAnsi="Times New Roman" w:cs="Times New Roman"/>
          <w:b/>
          <w:sz w:val="23"/>
          <w:szCs w:val="23"/>
        </w:rPr>
        <w:t xml:space="preserve">Gráfica </w:t>
      </w:r>
      <w:r w:rsidRPr="00636714">
        <w:rPr>
          <w:rFonts w:ascii="Times New Roman" w:hAnsi="Times New Roman" w:cs="Times New Roman"/>
          <w:b/>
          <w:sz w:val="23"/>
          <w:szCs w:val="23"/>
        </w:rPr>
        <w:fldChar w:fldCharType="begin"/>
      </w:r>
      <w:r w:rsidRPr="00636714">
        <w:rPr>
          <w:rFonts w:ascii="Times New Roman" w:hAnsi="Times New Roman" w:cs="Times New Roman"/>
          <w:b/>
          <w:sz w:val="23"/>
          <w:szCs w:val="23"/>
        </w:rPr>
        <w:instrText xml:space="preserve"> SEQ Gráfica \* ARABIC </w:instrText>
      </w:r>
      <w:r w:rsidRPr="00636714">
        <w:rPr>
          <w:rFonts w:ascii="Times New Roman" w:hAnsi="Times New Roman" w:cs="Times New Roman"/>
          <w:b/>
          <w:sz w:val="23"/>
          <w:szCs w:val="23"/>
        </w:rPr>
        <w:fldChar w:fldCharType="separate"/>
      </w:r>
      <w:r w:rsidR="00F263B6">
        <w:rPr>
          <w:rFonts w:ascii="Times New Roman" w:hAnsi="Times New Roman" w:cs="Times New Roman"/>
          <w:b/>
          <w:noProof/>
          <w:sz w:val="23"/>
          <w:szCs w:val="23"/>
        </w:rPr>
        <w:t>4</w:t>
      </w:r>
      <w:r w:rsidRPr="00636714">
        <w:rPr>
          <w:rFonts w:ascii="Times New Roman" w:hAnsi="Times New Roman" w:cs="Times New Roman"/>
          <w:sz w:val="23"/>
          <w:szCs w:val="23"/>
        </w:rPr>
        <w:fldChar w:fldCharType="end"/>
      </w:r>
      <w:r w:rsidRPr="00636714">
        <w:rPr>
          <w:rFonts w:ascii="Times New Roman" w:hAnsi="Times New Roman" w:cs="Times New Roman"/>
          <w:b/>
          <w:sz w:val="23"/>
          <w:szCs w:val="23"/>
        </w:rPr>
        <w:t>. Origen de los estudiantes de pregrado en Manizales (2016 – 2020)</w:t>
      </w:r>
      <w:bookmarkEnd w:id="1"/>
    </w:p>
    <w:p w14:paraId="7C8A35BA" w14:textId="77777777" w:rsidR="00636714" w:rsidRPr="00636714" w:rsidRDefault="00636714" w:rsidP="00636714">
      <w:pPr>
        <w:jc w:val="center"/>
        <w:rPr>
          <w:rFonts w:ascii="Times New Roman" w:hAnsi="Times New Roman" w:cs="Times New Roman"/>
          <w:b/>
          <w:sz w:val="23"/>
          <w:szCs w:val="23"/>
        </w:rPr>
      </w:pPr>
    </w:p>
    <w:p w14:paraId="5D3C1D79"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021BF68A" wp14:editId="05CDB44C">
            <wp:extent cx="4219575" cy="2114550"/>
            <wp:effectExtent l="0" t="0" r="9525"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43A35D"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Cálculos MCV con base en información de las Oficinas de Registro Académico y de Planeación de las universidades de la ciudad</w:t>
      </w:r>
    </w:p>
    <w:p w14:paraId="4BDF2304" w14:textId="77777777" w:rsidR="00636714" w:rsidRPr="00636714" w:rsidRDefault="00636714" w:rsidP="00636714">
      <w:pPr>
        <w:jc w:val="both"/>
        <w:rPr>
          <w:rFonts w:ascii="Times New Roman" w:hAnsi="Times New Roman" w:cs="Times New Roman"/>
          <w:sz w:val="23"/>
          <w:szCs w:val="23"/>
        </w:rPr>
      </w:pPr>
    </w:p>
    <w:p w14:paraId="4A4F3070"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La ciudad sigue siendo una plaza atractiva para estudiantes de todo el país, al encontrarse una procedencia de todos los departamentos, así como extranjeros provenientes de España, Aruba, Estados Unidos, Venezuela, Argentina y México. Sin embargo, como se ha constatado anteriormente, la ciudad es un destino importante para estudiantes de Nariño, Risaralda y Valle del Cauca, especialmente. Estos tres departamentos participan con casi el 50% de la matrícula foránea.</w:t>
      </w:r>
    </w:p>
    <w:p w14:paraId="5B020650" w14:textId="77777777" w:rsidR="00636714" w:rsidRPr="00636714" w:rsidRDefault="00636714" w:rsidP="00636714">
      <w:pPr>
        <w:jc w:val="both"/>
        <w:rPr>
          <w:rFonts w:ascii="Times New Roman" w:hAnsi="Times New Roman" w:cs="Times New Roman"/>
          <w:sz w:val="23"/>
          <w:szCs w:val="23"/>
        </w:rPr>
      </w:pPr>
    </w:p>
    <w:p w14:paraId="76DBA604" w14:textId="77777777" w:rsidR="00636714" w:rsidRDefault="00636714" w:rsidP="00636714">
      <w:pPr>
        <w:jc w:val="both"/>
        <w:rPr>
          <w:rFonts w:ascii="Times New Roman" w:hAnsi="Times New Roman" w:cs="Times New Roman"/>
          <w:b/>
          <w:bCs/>
          <w:sz w:val="23"/>
          <w:szCs w:val="23"/>
        </w:rPr>
      </w:pPr>
      <w:bookmarkStart w:id="2" w:name="_Toc63666858"/>
    </w:p>
    <w:p w14:paraId="4793E370" w14:textId="77777777" w:rsidR="00636714" w:rsidRDefault="00636714" w:rsidP="00636714">
      <w:pPr>
        <w:jc w:val="both"/>
        <w:rPr>
          <w:rFonts w:ascii="Times New Roman" w:hAnsi="Times New Roman" w:cs="Times New Roman"/>
          <w:b/>
          <w:bCs/>
          <w:sz w:val="23"/>
          <w:szCs w:val="23"/>
        </w:rPr>
      </w:pPr>
    </w:p>
    <w:p w14:paraId="1BBEA989" w14:textId="77777777" w:rsidR="00636714" w:rsidRDefault="00636714" w:rsidP="00636714">
      <w:pPr>
        <w:jc w:val="both"/>
        <w:rPr>
          <w:rFonts w:ascii="Times New Roman" w:hAnsi="Times New Roman" w:cs="Times New Roman"/>
          <w:b/>
          <w:bCs/>
          <w:sz w:val="23"/>
          <w:szCs w:val="23"/>
        </w:rPr>
      </w:pPr>
    </w:p>
    <w:p w14:paraId="06CFC928" w14:textId="77777777" w:rsidR="00636714" w:rsidRDefault="00636714" w:rsidP="00636714">
      <w:pPr>
        <w:jc w:val="both"/>
        <w:rPr>
          <w:rFonts w:ascii="Times New Roman" w:hAnsi="Times New Roman" w:cs="Times New Roman"/>
          <w:b/>
          <w:bCs/>
          <w:sz w:val="23"/>
          <w:szCs w:val="23"/>
        </w:rPr>
      </w:pPr>
    </w:p>
    <w:p w14:paraId="77B90BCB" w14:textId="2A0B725B" w:rsidR="00636714" w:rsidRPr="00636714" w:rsidRDefault="00636714" w:rsidP="00636714">
      <w:pPr>
        <w:jc w:val="center"/>
        <w:rPr>
          <w:rFonts w:ascii="Times New Roman" w:hAnsi="Times New Roman" w:cs="Times New Roman"/>
          <w:b/>
          <w:sz w:val="23"/>
          <w:szCs w:val="23"/>
        </w:rPr>
      </w:pPr>
      <w:r w:rsidRPr="00636714">
        <w:rPr>
          <w:rFonts w:ascii="Times New Roman" w:hAnsi="Times New Roman" w:cs="Times New Roman"/>
          <w:b/>
          <w:bCs/>
          <w:sz w:val="23"/>
          <w:szCs w:val="23"/>
        </w:rPr>
        <w:lastRenderedPageBreak/>
        <w:t xml:space="preserve">Tabla </w:t>
      </w:r>
      <w:r w:rsidRPr="00636714">
        <w:rPr>
          <w:rFonts w:ascii="Times New Roman" w:hAnsi="Times New Roman" w:cs="Times New Roman"/>
          <w:b/>
          <w:bCs/>
          <w:sz w:val="23"/>
          <w:szCs w:val="23"/>
        </w:rPr>
        <w:fldChar w:fldCharType="begin"/>
      </w:r>
      <w:r w:rsidRPr="00636714">
        <w:rPr>
          <w:rFonts w:ascii="Times New Roman" w:hAnsi="Times New Roman" w:cs="Times New Roman"/>
          <w:b/>
          <w:bCs/>
          <w:sz w:val="23"/>
          <w:szCs w:val="23"/>
        </w:rPr>
        <w:instrText xml:space="preserve"> SEQ Tabla \* ARABIC </w:instrText>
      </w:r>
      <w:r w:rsidRPr="00636714">
        <w:rPr>
          <w:rFonts w:ascii="Times New Roman" w:hAnsi="Times New Roman" w:cs="Times New Roman"/>
          <w:b/>
          <w:bCs/>
          <w:sz w:val="23"/>
          <w:szCs w:val="23"/>
        </w:rPr>
        <w:fldChar w:fldCharType="separate"/>
      </w:r>
      <w:r w:rsidR="00F263B6">
        <w:rPr>
          <w:rFonts w:ascii="Times New Roman" w:hAnsi="Times New Roman" w:cs="Times New Roman"/>
          <w:b/>
          <w:bCs/>
          <w:noProof/>
          <w:sz w:val="23"/>
          <w:szCs w:val="23"/>
        </w:rPr>
        <w:t>6</w:t>
      </w:r>
      <w:r w:rsidRPr="00636714">
        <w:rPr>
          <w:rFonts w:ascii="Times New Roman" w:hAnsi="Times New Roman" w:cs="Times New Roman"/>
          <w:sz w:val="23"/>
          <w:szCs w:val="23"/>
        </w:rPr>
        <w:fldChar w:fldCharType="end"/>
      </w:r>
      <w:r w:rsidRPr="00636714">
        <w:rPr>
          <w:rFonts w:ascii="Times New Roman" w:hAnsi="Times New Roman" w:cs="Times New Roman"/>
          <w:b/>
          <w:bCs/>
          <w:sz w:val="23"/>
          <w:szCs w:val="23"/>
        </w:rPr>
        <w:t>.</w:t>
      </w:r>
      <w:r w:rsidRPr="00636714">
        <w:rPr>
          <w:rFonts w:ascii="Times New Roman" w:hAnsi="Times New Roman" w:cs="Times New Roman"/>
          <w:sz w:val="23"/>
          <w:szCs w:val="23"/>
        </w:rPr>
        <w:t xml:space="preserve"> </w:t>
      </w:r>
      <w:r w:rsidRPr="00636714">
        <w:rPr>
          <w:rFonts w:ascii="Times New Roman" w:hAnsi="Times New Roman" w:cs="Times New Roman"/>
          <w:b/>
          <w:sz w:val="23"/>
          <w:szCs w:val="23"/>
        </w:rPr>
        <w:t>Procedencia de los estudiantes en Manizales según departamento (2019)</w:t>
      </w:r>
      <w:bookmarkEnd w:id="2"/>
    </w:p>
    <w:p w14:paraId="110657B2" w14:textId="77777777" w:rsidR="00636714" w:rsidRPr="00636714" w:rsidRDefault="00636714" w:rsidP="00636714">
      <w:pPr>
        <w:jc w:val="center"/>
        <w:rPr>
          <w:rFonts w:ascii="Times New Roman" w:hAnsi="Times New Roman" w:cs="Times New Roman"/>
          <w:sz w:val="23"/>
          <w:szCs w:val="23"/>
        </w:rPr>
      </w:pPr>
    </w:p>
    <w:tbl>
      <w:tblPr>
        <w:tblW w:w="3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1239"/>
      </w:tblGrid>
      <w:tr w:rsidR="00636714" w:rsidRPr="00636714" w14:paraId="46147A04" w14:textId="77777777" w:rsidTr="009A6D3A">
        <w:trPr>
          <w:trHeight w:val="300"/>
          <w:tblHeader/>
          <w:jc w:val="center"/>
        </w:trPr>
        <w:tc>
          <w:tcPr>
            <w:tcW w:w="2127" w:type="dxa"/>
            <w:shd w:val="clear" w:color="DDEBF7" w:fill="DDEBF7"/>
            <w:noWrap/>
            <w:vAlign w:val="bottom"/>
            <w:hideMark/>
          </w:tcPr>
          <w:p w14:paraId="3B5EFF56"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Departamento</w:t>
            </w:r>
          </w:p>
        </w:tc>
        <w:tc>
          <w:tcPr>
            <w:tcW w:w="1239" w:type="dxa"/>
            <w:shd w:val="clear" w:color="DDEBF7" w:fill="DDEBF7"/>
            <w:noWrap/>
            <w:vAlign w:val="bottom"/>
            <w:hideMark/>
          </w:tcPr>
          <w:p w14:paraId="46765E82"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Pregrado</w:t>
            </w:r>
          </w:p>
        </w:tc>
      </w:tr>
      <w:tr w:rsidR="00636714" w:rsidRPr="00636714" w14:paraId="418F8818" w14:textId="77777777" w:rsidTr="009A6D3A">
        <w:trPr>
          <w:trHeight w:val="300"/>
          <w:jc w:val="center"/>
        </w:trPr>
        <w:tc>
          <w:tcPr>
            <w:tcW w:w="2127" w:type="dxa"/>
            <w:shd w:val="clear" w:color="auto" w:fill="auto"/>
            <w:noWrap/>
            <w:vAlign w:val="bottom"/>
            <w:hideMark/>
          </w:tcPr>
          <w:p w14:paraId="1A99CEA9" w14:textId="6C64C8FD"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Nariño</w:t>
            </w:r>
          </w:p>
        </w:tc>
        <w:tc>
          <w:tcPr>
            <w:tcW w:w="1239" w:type="dxa"/>
            <w:shd w:val="clear" w:color="auto" w:fill="auto"/>
            <w:noWrap/>
            <w:vAlign w:val="bottom"/>
            <w:hideMark/>
          </w:tcPr>
          <w:p w14:paraId="1999EFC1"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16,6%</w:t>
            </w:r>
          </w:p>
        </w:tc>
      </w:tr>
      <w:tr w:rsidR="00636714" w:rsidRPr="00636714" w14:paraId="68835ABE" w14:textId="77777777" w:rsidTr="009A6D3A">
        <w:trPr>
          <w:trHeight w:val="300"/>
          <w:jc w:val="center"/>
        </w:trPr>
        <w:tc>
          <w:tcPr>
            <w:tcW w:w="2127" w:type="dxa"/>
            <w:shd w:val="clear" w:color="auto" w:fill="auto"/>
            <w:noWrap/>
            <w:vAlign w:val="bottom"/>
            <w:hideMark/>
          </w:tcPr>
          <w:p w14:paraId="3A64D769" w14:textId="717F7A5C"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Risaralda</w:t>
            </w:r>
          </w:p>
        </w:tc>
        <w:tc>
          <w:tcPr>
            <w:tcW w:w="1239" w:type="dxa"/>
            <w:shd w:val="clear" w:color="auto" w:fill="auto"/>
            <w:noWrap/>
            <w:vAlign w:val="bottom"/>
            <w:hideMark/>
          </w:tcPr>
          <w:p w14:paraId="49A8B70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14,8%</w:t>
            </w:r>
          </w:p>
        </w:tc>
      </w:tr>
      <w:tr w:rsidR="00636714" w:rsidRPr="00636714" w14:paraId="78A65551" w14:textId="77777777" w:rsidTr="009A6D3A">
        <w:trPr>
          <w:trHeight w:val="300"/>
          <w:jc w:val="center"/>
        </w:trPr>
        <w:tc>
          <w:tcPr>
            <w:tcW w:w="2127" w:type="dxa"/>
            <w:shd w:val="clear" w:color="auto" w:fill="auto"/>
            <w:noWrap/>
            <w:vAlign w:val="bottom"/>
            <w:hideMark/>
          </w:tcPr>
          <w:p w14:paraId="123D0FE1" w14:textId="4285FD5A"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Valle del Cauca</w:t>
            </w:r>
          </w:p>
        </w:tc>
        <w:tc>
          <w:tcPr>
            <w:tcW w:w="1239" w:type="dxa"/>
            <w:shd w:val="clear" w:color="auto" w:fill="auto"/>
            <w:noWrap/>
            <w:vAlign w:val="bottom"/>
            <w:hideMark/>
          </w:tcPr>
          <w:p w14:paraId="4B96F0F2"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14,5%</w:t>
            </w:r>
          </w:p>
        </w:tc>
      </w:tr>
      <w:tr w:rsidR="00636714" w:rsidRPr="00636714" w14:paraId="0D5D0CB9" w14:textId="77777777" w:rsidTr="009A6D3A">
        <w:trPr>
          <w:trHeight w:val="300"/>
          <w:jc w:val="center"/>
        </w:trPr>
        <w:tc>
          <w:tcPr>
            <w:tcW w:w="2127" w:type="dxa"/>
            <w:shd w:val="clear" w:color="auto" w:fill="auto"/>
            <w:noWrap/>
            <w:vAlign w:val="bottom"/>
            <w:hideMark/>
          </w:tcPr>
          <w:p w14:paraId="202409BA" w14:textId="29554F1F"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Tolima</w:t>
            </w:r>
          </w:p>
        </w:tc>
        <w:tc>
          <w:tcPr>
            <w:tcW w:w="1239" w:type="dxa"/>
            <w:shd w:val="clear" w:color="auto" w:fill="auto"/>
            <w:noWrap/>
            <w:vAlign w:val="bottom"/>
            <w:hideMark/>
          </w:tcPr>
          <w:p w14:paraId="2195DD71"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9,0%</w:t>
            </w:r>
          </w:p>
        </w:tc>
      </w:tr>
      <w:tr w:rsidR="00636714" w:rsidRPr="00636714" w14:paraId="5A531710" w14:textId="77777777" w:rsidTr="009A6D3A">
        <w:trPr>
          <w:trHeight w:val="300"/>
          <w:jc w:val="center"/>
        </w:trPr>
        <w:tc>
          <w:tcPr>
            <w:tcW w:w="2127" w:type="dxa"/>
            <w:shd w:val="clear" w:color="auto" w:fill="auto"/>
            <w:noWrap/>
            <w:vAlign w:val="bottom"/>
            <w:hideMark/>
          </w:tcPr>
          <w:p w14:paraId="45BDD26C" w14:textId="48C9218B"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Bogotá D.C.</w:t>
            </w:r>
          </w:p>
        </w:tc>
        <w:tc>
          <w:tcPr>
            <w:tcW w:w="1239" w:type="dxa"/>
            <w:shd w:val="clear" w:color="auto" w:fill="auto"/>
            <w:noWrap/>
            <w:vAlign w:val="bottom"/>
            <w:hideMark/>
          </w:tcPr>
          <w:p w14:paraId="1E3E627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6,2%</w:t>
            </w:r>
          </w:p>
        </w:tc>
      </w:tr>
      <w:tr w:rsidR="00636714" w:rsidRPr="00636714" w14:paraId="674F3CDA" w14:textId="77777777" w:rsidTr="009A6D3A">
        <w:trPr>
          <w:trHeight w:val="300"/>
          <w:jc w:val="center"/>
        </w:trPr>
        <w:tc>
          <w:tcPr>
            <w:tcW w:w="2127" w:type="dxa"/>
            <w:shd w:val="clear" w:color="auto" w:fill="auto"/>
            <w:noWrap/>
            <w:vAlign w:val="bottom"/>
            <w:hideMark/>
          </w:tcPr>
          <w:p w14:paraId="40A89961" w14:textId="67189DB2"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Putumayo</w:t>
            </w:r>
          </w:p>
        </w:tc>
        <w:tc>
          <w:tcPr>
            <w:tcW w:w="1239" w:type="dxa"/>
            <w:shd w:val="clear" w:color="auto" w:fill="auto"/>
            <w:noWrap/>
            <w:vAlign w:val="bottom"/>
            <w:hideMark/>
          </w:tcPr>
          <w:p w14:paraId="1F10EC8A"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5,6%</w:t>
            </w:r>
          </w:p>
        </w:tc>
      </w:tr>
      <w:tr w:rsidR="00636714" w:rsidRPr="00636714" w14:paraId="40BD5433" w14:textId="77777777" w:rsidTr="009A6D3A">
        <w:trPr>
          <w:trHeight w:val="300"/>
          <w:jc w:val="center"/>
        </w:trPr>
        <w:tc>
          <w:tcPr>
            <w:tcW w:w="2127" w:type="dxa"/>
            <w:shd w:val="clear" w:color="auto" w:fill="auto"/>
            <w:noWrap/>
            <w:vAlign w:val="bottom"/>
            <w:hideMark/>
          </w:tcPr>
          <w:p w14:paraId="65DE656A" w14:textId="3666AB74"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Quindío</w:t>
            </w:r>
          </w:p>
        </w:tc>
        <w:tc>
          <w:tcPr>
            <w:tcW w:w="1239" w:type="dxa"/>
            <w:shd w:val="clear" w:color="auto" w:fill="auto"/>
            <w:noWrap/>
            <w:vAlign w:val="bottom"/>
            <w:hideMark/>
          </w:tcPr>
          <w:p w14:paraId="1FE574C4"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4,0%</w:t>
            </w:r>
          </w:p>
        </w:tc>
      </w:tr>
      <w:tr w:rsidR="00636714" w:rsidRPr="00636714" w14:paraId="3974ACE4" w14:textId="77777777" w:rsidTr="009A6D3A">
        <w:trPr>
          <w:trHeight w:val="300"/>
          <w:jc w:val="center"/>
        </w:trPr>
        <w:tc>
          <w:tcPr>
            <w:tcW w:w="2127" w:type="dxa"/>
            <w:shd w:val="clear" w:color="auto" w:fill="auto"/>
            <w:noWrap/>
            <w:vAlign w:val="bottom"/>
            <w:hideMark/>
          </w:tcPr>
          <w:p w14:paraId="3A540FEE" w14:textId="1BCC494D"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Huila</w:t>
            </w:r>
          </w:p>
        </w:tc>
        <w:tc>
          <w:tcPr>
            <w:tcW w:w="1239" w:type="dxa"/>
            <w:shd w:val="clear" w:color="auto" w:fill="auto"/>
            <w:noWrap/>
            <w:vAlign w:val="bottom"/>
            <w:hideMark/>
          </w:tcPr>
          <w:p w14:paraId="45F3EA6A"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3,8%</w:t>
            </w:r>
          </w:p>
        </w:tc>
      </w:tr>
      <w:tr w:rsidR="00636714" w:rsidRPr="00636714" w14:paraId="39107C18" w14:textId="77777777" w:rsidTr="009A6D3A">
        <w:trPr>
          <w:trHeight w:val="300"/>
          <w:jc w:val="center"/>
        </w:trPr>
        <w:tc>
          <w:tcPr>
            <w:tcW w:w="2127" w:type="dxa"/>
            <w:shd w:val="clear" w:color="auto" w:fill="auto"/>
            <w:noWrap/>
            <w:vAlign w:val="bottom"/>
            <w:hideMark/>
          </w:tcPr>
          <w:p w14:paraId="4C196C23" w14:textId="0724BF61"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Antioquia</w:t>
            </w:r>
          </w:p>
        </w:tc>
        <w:tc>
          <w:tcPr>
            <w:tcW w:w="1239" w:type="dxa"/>
            <w:shd w:val="clear" w:color="auto" w:fill="auto"/>
            <w:noWrap/>
            <w:vAlign w:val="bottom"/>
            <w:hideMark/>
          </w:tcPr>
          <w:p w14:paraId="0656553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3,5%</w:t>
            </w:r>
          </w:p>
        </w:tc>
      </w:tr>
      <w:tr w:rsidR="00636714" w:rsidRPr="00636714" w14:paraId="6D3C0AF2" w14:textId="77777777" w:rsidTr="009A6D3A">
        <w:trPr>
          <w:trHeight w:val="300"/>
          <w:jc w:val="center"/>
        </w:trPr>
        <w:tc>
          <w:tcPr>
            <w:tcW w:w="2127" w:type="dxa"/>
            <w:shd w:val="clear" w:color="auto" w:fill="auto"/>
            <w:noWrap/>
            <w:vAlign w:val="bottom"/>
            <w:hideMark/>
          </w:tcPr>
          <w:p w14:paraId="48757F62" w14:textId="27CEACC1"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Cundinamarca</w:t>
            </w:r>
          </w:p>
        </w:tc>
        <w:tc>
          <w:tcPr>
            <w:tcW w:w="1239" w:type="dxa"/>
            <w:shd w:val="clear" w:color="auto" w:fill="auto"/>
            <w:noWrap/>
            <w:vAlign w:val="bottom"/>
            <w:hideMark/>
          </w:tcPr>
          <w:p w14:paraId="5EA4A432"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3,4%</w:t>
            </w:r>
          </w:p>
        </w:tc>
      </w:tr>
      <w:tr w:rsidR="00636714" w:rsidRPr="00636714" w14:paraId="2BACE33C" w14:textId="77777777" w:rsidTr="009A6D3A">
        <w:trPr>
          <w:trHeight w:val="300"/>
          <w:jc w:val="center"/>
        </w:trPr>
        <w:tc>
          <w:tcPr>
            <w:tcW w:w="2127" w:type="dxa"/>
            <w:shd w:val="clear" w:color="auto" w:fill="auto"/>
            <w:noWrap/>
            <w:vAlign w:val="bottom"/>
            <w:hideMark/>
          </w:tcPr>
          <w:p w14:paraId="337CDEA0" w14:textId="3EC62AA6"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Cauca</w:t>
            </w:r>
          </w:p>
        </w:tc>
        <w:tc>
          <w:tcPr>
            <w:tcW w:w="1239" w:type="dxa"/>
            <w:shd w:val="clear" w:color="auto" w:fill="auto"/>
            <w:noWrap/>
            <w:vAlign w:val="bottom"/>
            <w:hideMark/>
          </w:tcPr>
          <w:p w14:paraId="58756B94"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2,9%</w:t>
            </w:r>
          </w:p>
        </w:tc>
      </w:tr>
      <w:tr w:rsidR="00636714" w:rsidRPr="00636714" w14:paraId="060DBB82" w14:textId="77777777" w:rsidTr="009A6D3A">
        <w:trPr>
          <w:trHeight w:val="300"/>
          <w:jc w:val="center"/>
        </w:trPr>
        <w:tc>
          <w:tcPr>
            <w:tcW w:w="2127" w:type="dxa"/>
            <w:shd w:val="clear" w:color="auto" w:fill="auto"/>
            <w:noWrap/>
            <w:vAlign w:val="bottom"/>
            <w:hideMark/>
          </w:tcPr>
          <w:p w14:paraId="22963FCD" w14:textId="535F0788"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Caquetá</w:t>
            </w:r>
          </w:p>
        </w:tc>
        <w:tc>
          <w:tcPr>
            <w:tcW w:w="1239" w:type="dxa"/>
            <w:shd w:val="clear" w:color="auto" w:fill="auto"/>
            <w:noWrap/>
            <w:vAlign w:val="bottom"/>
            <w:hideMark/>
          </w:tcPr>
          <w:p w14:paraId="791A6E7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2,4%</w:t>
            </w:r>
          </w:p>
        </w:tc>
      </w:tr>
      <w:tr w:rsidR="00636714" w:rsidRPr="00636714" w14:paraId="093B2053" w14:textId="77777777" w:rsidTr="009A6D3A">
        <w:trPr>
          <w:trHeight w:val="300"/>
          <w:jc w:val="center"/>
        </w:trPr>
        <w:tc>
          <w:tcPr>
            <w:tcW w:w="2127" w:type="dxa"/>
            <w:shd w:val="clear" w:color="auto" w:fill="auto"/>
            <w:noWrap/>
            <w:vAlign w:val="bottom"/>
            <w:hideMark/>
          </w:tcPr>
          <w:p w14:paraId="57DF14B6" w14:textId="7FB0D574"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Santander</w:t>
            </w:r>
          </w:p>
        </w:tc>
        <w:tc>
          <w:tcPr>
            <w:tcW w:w="1239" w:type="dxa"/>
            <w:shd w:val="clear" w:color="auto" w:fill="auto"/>
            <w:noWrap/>
            <w:vAlign w:val="bottom"/>
            <w:hideMark/>
          </w:tcPr>
          <w:p w14:paraId="242A639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1,9%</w:t>
            </w:r>
          </w:p>
        </w:tc>
      </w:tr>
      <w:tr w:rsidR="00636714" w:rsidRPr="00636714" w14:paraId="052347E0" w14:textId="77777777" w:rsidTr="009A6D3A">
        <w:trPr>
          <w:trHeight w:val="300"/>
          <w:jc w:val="center"/>
        </w:trPr>
        <w:tc>
          <w:tcPr>
            <w:tcW w:w="2127" w:type="dxa"/>
            <w:shd w:val="clear" w:color="auto" w:fill="auto"/>
            <w:noWrap/>
            <w:vAlign w:val="bottom"/>
            <w:hideMark/>
          </w:tcPr>
          <w:p w14:paraId="3C53D7C9" w14:textId="3DF9B64E"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Norte de Santander</w:t>
            </w:r>
          </w:p>
        </w:tc>
        <w:tc>
          <w:tcPr>
            <w:tcW w:w="1239" w:type="dxa"/>
            <w:shd w:val="clear" w:color="auto" w:fill="auto"/>
            <w:noWrap/>
            <w:vAlign w:val="bottom"/>
            <w:hideMark/>
          </w:tcPr>
          <w:p w14:paraId="778A065E"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1,4%</w:t>
            </w:r>
          </w:p>
        </w:tc>
      </w:tr>
      <w:tr w:rsidR="00636714" w:rsidRPr="00636714" w14:paraId="03016EAC" w14:textId="77777777" w:rsidTr="009A6D3A">
        <w:trPr>
          <w:trHeight w:val="300"/>
          <w:jc w:val="center"/>
        </w:trPr>
        <w:tc>
          <w:tcPr>
            <w:tcW w:w="2127" w:type="dxa"/>
            <w:shd w:val="clear" w:color="auto" w:fill="auto"/>
            <w:noWrap/>
            <w:vAlign w:val="bottom"/>
            <w:hideMark/>
          </w:tcPr>
          <w:p w14:paraId="35891C71" w14:textId="2FD3AF38"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Córdoba</w:t>
            </w:r>
          </w:p>
        </w:tc>
        <w:tc>
          <w:tcPr>
            <w:tcW w:w="1239" w:type="dxa"/>
            <w:shd w:val="clear" w:color="auto" w:fill="auto"/>
            <w:noWrap/>
            <w:vAlign w:val="bottom"/>
            <w:hideMark/>
          </w:tcPr>
          <w:p w14:paraId="6814DA23"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1,4%</w:t>
            </w:r>
          </w:p>
        </w:tc>
      </w:tr>
      <w:tr w:rsidR="00636714" w:rsidRPr="00636714" w14:paraId="382BB91C" w14:textId="77777777" w:rsidTr="009A6D3A">
        <w:trPr>
          <w:trHeight w:val="300"/>
          <w:jc w:val="center"/>
        </w:trPr>
        <w:tc>
          <w:tcPr>
            <w:tcW w:w="2127" w:type="dxa"/>
            <w:shd w:val="clear" w:color="auto" w:fill="auto"/>
            <w:noWrap/>
            <w:vAlign w:val="bottom"/>
            <w:hideMark/>
          </w:tcPr>
          <w:p w14:paraId="68FF7CEC" w14:textId="66F5CBDC"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Boyacá</w:t>
            </w:r>
          </w:p>
        </w:tc>
        <w:tc>
          <w:tcPr>
            <w:tcW w:w="1239" w:type="dxa"/>
            <w:shd w:val="clear" w:color="auto" w:fill="auto"/>
            <w:noWrap/>
            <w:vAlign w:val="bottom"/>
            <w:hideMark/>
          </w:tcPr>
          <w:p w14:paraId="2C684BA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1,1%</w:t>
            </w:r>
          </w:p>
        </w:tc>
      </w:tr>
      <w:tr w:rsidR="00636714" w:rsidRPr="00636714" w14:paraId="18E2A8D1" w14:textId="77777777" w:rsidTr="009A6D3A">
        <w:trPr>
          <w:trHeight w:val="300"/>
          <w:jc w:val="center"/>
        </w:trPr>
        <w:tc>
          <w:tcPr>
            <w:tcW w:w="2127" w:type="dxa"/>
            <w:shd w:val="clear" w:color="auto" w:fill="auto"/>
            <w:noWrap/>
            <w:vAlign w:val="bottom"/>
            <w:hideMark/>
          </w:tcPr>
          <w:p w14:paraId="006946C9" w14:textId="7E9AB2ED"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Meta</w:t>
            </w:r>
          </w:p>
        </w:tc>
        <w:tc>
          <w:tcPr>
            <w:tcW w:w="1239" w:type="dxa"/>
            <w:shd w:val="clear" w:color="auto" w:fill="auto"/>
            <w:noWrap/>
            <w:vAlign w:val="bottom"/>
            <w:hideMark/>
          </w:tcPr>
          <w:p w14:paraId="61CD37C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1,1%</w:t>
            </w:r>
          </w:p>
        </w:tc>
      </w:tr>
      <w:tr w:rsidR="00636714" w:rsidRPr="00636714" w14:paraId="7926E395" w14:textId="77777777" w:rsidTr="009A6D3A">
        <w:trPr>
          <w:trHeight w:val="300"/>
          <w:jc w:val="center"/>
        </w:trPr>
        <w:tc>
          <w:tcPr>
            <w:tcW w:w="2127" w:type="dxa"/>
            <w:shd w:val="clear" w:color="auto" w:fill="auto"/>
            <w:noWrap/>
            <w:vAlign w:val="bottom"/>
            <w:hideMark/>
          </w:tcPr>
          <w:p w14:paraId="4A7306A8" w14:textId="0FCF1F8B"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Sucre</w:t>
            </w:r>
          </w:p>
        </w:tc>
        <w:tc>
          <w:tcPr>
            <w:tcW w:w="1239" w:type="dxa"/>
            <w:shd w:val="clear" w:color="auto" w:fill="auto"/>
            <w:noWrap/>
            <w:vAlign w:val="bottom"/>
            <w:hideMark/>
          </w:tcPr>
          <w:p w14:paraId="39D345B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6,2%</w:t>
            </w:r>
          </w:p>
        </w:tc>
      </w:tr>
      <w:tr w:rsidR="00636714" w:rsidRPr="00636714" w14:paraId="16CB3B86" w14:textId="77777777" w:rsidTr="009A6D3A">
        <w:trPr>
          <w:trHeight w:val="300"/>
          <w:jc w:val="center"/>
        </w:trPr>
        <w:tc>
          <w:tcPr>
            <w:tcW w:w="2127" w:type="dxa"/>
            <w:shd w:val="clear" w:color="auto" w:fill="auto"/>
            <w:noWrap/>
            <w:vAlign w:val="bottom"/>
            <w:hideMark/>
          </w:tcPr>
          <w:p w14:paraId="63F5C45C"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Total</w:t>
            </w:r>
          </w:p>
        </w:tc>
        <w:tc>
          <w:tcPr>
            <w:tcW w:w="1239" w:type="dxa"/>
            <w:shd w:val="clear" w:color="auto" w:fill="auto"/>
            <w:noWrap/>
            <w:vAlign w:val="bottom"/>
            <w:hideMark/>
          </w:tcPr>
          <w:p w14:paraId="667AF9BA"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100,0%</w:t>
            </w:r>
          </w:p>
        </w:tc>
      </w:tr>
    </w:tbl>
    <w:p w14:paraId="0DB74D30"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Cálculos MCV con base en información de las Oficinas de Registro Académico y de Planeación de las universidades de la ciudad</w:t>
      </w:r>
    </w:p>
    <w:p w14:paraId="4C18E52E" w14:textId="77777777" w:rsidR="00636714" w:rsidRPr="00636714" w:rsidRDefault="00636714" w:rsidP="00636714">
      <w:pPr>
        <w:jc w:val="both"/>
        <w:rPr>
          <w:rFonts w:ascii="Times New Roman" w:hAnsi="Times New Roman" w:cs="Times New Roman"/>
          <w:color w:val="808080" w:themeColor="background1" w:themeShade="80"/>
          <w:sz w:val="23"/>
          <w:szCs w:val="23"/>
        </w:rPr>
      </w:pPr>
    </w:p>
    <w:p w14:paraId="721CFF22"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En el nivel de posgrado, se invierte la participación entre estudiantes locales y foráneos. Según se observa, mientras que una tercera parte corresponde a estudiantes de la ciudad, casi el 70% pertenece a otras regiones del país o son extranjeros. Este resultado puede deberse a que este año las universidades reportaron también la matrícula bajo la metodología virtual, la cual tiende a tener una participación alta de estudiantes foráneos aprovechando las tecnologías de la información y la comunicación.</w:t>
      </w:r>
    </w:p>
    <w:p w14:paraId="5D74AAFE" w14:textId="77777777" w:rsidR="00636714" w:rsidRPr="00636714" w:rsidRDefault="00636714" w:rsidP="00636714">
      <w:pPr>
        <w:jc w:val="both"/>
        <w:rPr>
          <w:rFonts w:ascii="Times New Roman" w:hAnsi="Times New Roman" w:cs="Times New Roman"/>
          <w:b/>
          <w:sz w:val="23"/>
          <w:szCs w:val="23"/>
        </w:rPr>
      </w:pPr>
      <w:bookmarkStart w:id="3" w:name="_Toc63666815"/>
    </w:p>
    <w:p w14:paraId="39059A5C" w14:textId="392EEAD0" w:rsidR="00636714" w:rsidRPr="00636714" w:rsidRDefault="00636714" w:rsidP="00636714">
      <w:pPr>
        <w:jc w:val="center"/>
        <w:rPr>
          <w:rFonts w:ascii="Times New Roman" w:hAnsi="Times New Roman" w:cs="Times New Roman"/>
          <w:b/>
          <w:sz w:val="23"/>
          <w:szCs w:val="23"/>
        </w:rPr>
      </w:pPr>
      <w:r w:rsidRPr="00636714">
        <w:rPr>
          <w:rFonts w:ascii="Times New Roman" w:hAnsi="Times New Roman" w:cs="Times New Roman"/>
          <w:b/>
          <w:sz w:val="23"/>
          <w:szCs w:val="23"/>
        </w:rPr>
        <w:t xml:space="preserve">Gráfica </w:t>
      </w:r>
      <w:r w:rsidRPr="00636714">
        <w:rPr>
          <w:rFonts w:ascii="Times New Roman" w:hAnsi="Times New Roman" w:cs="Times New Roman"/>
          <w:b/>
          <w:sz w:val="23"/>
          <w:szCs w:val="23"/>
        </w:rPr>
        <w:fldChar w:fldCharType="begin"/>
      </w:r>
      <w:r w:rsidRPr="00636714">
        <w:rPr>
          <w:rFonts w:ascii="Times New Roman" w:hAnsi="Times New Roman" w:cs="Times New Roman"/>
          <w:b/>
          <w:sz w:val="23"/>
          <w:szCs w:val="23"/>
        </w:rPr>
        <w:instrText xml:space="preserve"> SEQ Gráfica \* ARABIC </w:instrText>
      </w:r>
      <w:r w:rsidRPr="00636714">
        <w:rPr>
          <w:rFonts w:ascii="Times New Roman" w:hAnsi="Times New Roman" w:cs="Times New Roman"/>
          <w:b/>
          <w:sz w:val="23"/>
          <w:szCs w:val="23"/>
        </w:rPr>
        <w:fldChar w:fldCharType="separate"/>
      </w:r>
      <w:r w:rsidR="00F263B6">
        <w:rPr>
          <w:rFonts w:ascii="Times New Roman" w:hAnsi="Times New Roman" w:cs="Times New Roman"/>
          <w:b/>
          <w:noProof/>
          <w:sz w:val="23"/>
          <w:szCs w:val="23"/>
        </w:rPr>
        <w:t>5</w:t>
      </w:r>
      <w:r w:rsidRPr="00636714">
        <w:rPr>
          <w:rFonts w:ascii="Times New Roman" w:hAnsi="Times New Roman" w:cs="Times New Roman"/>
          <w:sz w:val="23"/>
          <w:szCs w:val="23"/>
        </w:rPr>
        <w:fldChar w:fldCharType="end"/>
      </w:r>
      <w:r w:rsidRPr="00636714">
        <w:rPr>
          <w:rFonts w:ascii="Times New Roman" w:hAnsi="Times New Roman" w:cs="Times New Roman"/>
          <w:b/>
          <w:sz w:val="23"/>
          <w:szCs w:val="23"/>
        </w:rPr>
        <w:t>. Procedencia de los estudiantes de posgrado en Manizales (2020)</w:t>
      </w:r>
      <w:bookmarkEnd w:id="3"/>
    </w:p>
    <w:p w14:paraId="26FF8142"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3F8A88E0" wp14:editId="6BFB3A2F">
            <wp:extent cx="4392386" cy="1845128"/>
            <wp:effectExtent l="0" t="0" r="14605" b="952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0E7F8B" w14:textId="77777777" w:rsidR="00636714" w:rsidRPr="00636714" w:rsidRDefault="00636714" w:rsidP="00636714">
      <w:pPr>
        <w:jc w:val="center"/>
        <w:rPr>
          <w:rFonts w:ascii="Times New Roman" w:hAnsi="Times New Roman" w:cs="Times New Roman"/>
          <w:i/>
          <w:iCs/>
          <w:smallCaps/>
          <w:color w:val="5A5A5A" w:themeColor="text1" w:themeTint="A5"/>
          <w:sz w:val="23"/>
          <w:szCs w:val="23"/>
        </w:rPr>
      </w:pPr>
      <w:r w:rsidRPr="00636714">
        <w:rPr>
          <w:rStyle w:val="Referenciasutil"/>
          <w:rFonts w:ascii="Times New Roman" w:hAnsi="Times New Roman" w:cs="Times New Roman"/>
          <w:sz w:val="23"/>
          <w:szCs w:val="23"/>
        </w:rPr>
        <w:t>Fuente: Cálculos MCV con base en información de las Oficinas de Registro Académico y de Planeación de las universidades de la ciudad</w:t>
      </w:r>
    </w:p>
    <w:p w14:paraId="4E3FC4AC" w14:textId="704DFE68" w:rsidR="00636714" w:rsidRPr="00636714" w:rsidRDefault="00636714" w:rsidP="00636714">
      <w:pPr>
        <w:pStyle w:val="Ttulo1"/>
        <w:jc w:val="both"/>
        <w:rPr>
          <w:rFonts w:ascii="Times New Roman" w:hAnsi="Times New Roman" w:cs="Times New Roman"/>
          <w:sz w:val="23"/>
          <w:szCs w:val="23"/>
        </w:rPr>
      </w:pPr>
      <w:r w:rsidRPr="00636714">
        <w:rPr>
          <w:rFonts w:ascii="Times New Roman" w:hAnsi="Times New Roman" w:cs="Times New Roman"/>
          <w:sz w:val="23"/>
          <w:szCs w:val="23"/>
        </w:rPr>
        <w:lastRenderedPageBreak/>
        <w:t>Comportamiento de la matrícula por Institución de Educación Superior y por sector</w:t>
      </w:r>
      <w:r>
        <w:rPr>
          <w:rFonts w:ascii="Times New Roman" w:hAnsi="Times New Roman" w:cs="Times New Roman"/>
          <w:sz w:val="23"/>
          <w:szCs w:val="23"/>
        </w:rPr>
        <w:t>:</w:t>
      </w:r>
    </w:p>
    <w:p w14:paraId="742A7FDF"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Las seis instituciones con domicilio en el departamento (Universidad de Caldas, Universidad Nacional de Colombia -sede Manizales-, Universidad Autónoma de Manizales, Universidad Católica de Manizales, Universidad de Manizales y el Colegio Integrado Nacional Oriente de Caldas), concentraron el 75% de la matrícula total en el año 2021. De esta proporción, la matrícula de la Universidad de Caldas participa con casi una tercera parte, con 14.055 estudiantes. En la matrícula oficial, esta Institución concentra casi la mitad de los estudiantes. La Universidad Nacional de Colombia, con 6.007 estudiantes, participa con el 21% de la matrícula oficial y con el 17% de la total. La matrícula total del sector oficial de la ciudad alcanzó en 2021 28.567 estudiantes.</w:t>
      </w:r>
    </w:p>
    <w:p w14:paraId="1D789004" w14:textId="77777777" w:rsidR="00636714" w:rsidRPr="00636714" w:rsidRDefault="00636714" w:rsidP="00636714">
      <w:pPr>
        <w:jc w:val="both"/>
        <w:rPr>
          <w:rFonts w:ascii="Times New Roman" w:hAnsi="Times New Roman" w:cs="Times New Roman"/>
          <w:sz w:val="23"/>
          <w:szCs w:val="23"/>
        </w:rPr>
      </w:pPr>
    </w:p>
    <w:p w14:paraId="3539A2A0"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Las Instituciones de Educación Superior privadas con oferta en el departamento tienen 17.904 estudiantes, con una gran parte (39%) en la Universidad de Manizales. Otra universidad con una participación importante en la matrícula privada es la Universidad Autónoma de Manizales con 4.729 estudiantes, seguida por la universidad católica de Manizales con 2.671 estudiantes (15%). Entre las Instituciones de Educación Superior con oferta en Manizales, pero con domicilio por fuera de ella, se destacan en SENA con 4.535 estudiantes, la Universidad Católica Luis Amigó con 1.865 y Universidad Nacional Abierta y a Distancia con 1.332 estudiantes.</w:t>
      </w:r>
    </w:p>
    <w:p w14:paraId="7F209E4D" w14:textId="77777777" w:rsidR="00636714" w:rsidRPr="00636714" w:rsidRDefault="00636714" w:rsidP="00636714">
      <w:pPr>
        <w:jc w:val="both"/>
        <w:rPr>
          <w:rFonts w:ascii="Times New Roman" w:hAnsi="Times New Roman" w:cs="Times New Roman"/>
          <w:b/>
          <w:iCs/>
          <w:sz w:val="23"/>
          <w:szCs w:val="23"/>
        </w:rPr>
      </w:pPr>
    </w:p>
    <w:p w14:paraId="2165E96F" w14:textId="77777777" w:rsidR="00636714" w:rsidRPr="00636714" w:rsidRDefault="00636714" w:rsidP="00636714">
      <w:pPr>
        <w:jc w:val="center"/>
        <w:rPr>
          <w:rFonts w:ascii="Times New Roman" w:hAnsi="Times New Roman" w:cs="Times New Roman"/>
          <w:b/>
          <w:iCs/>
          <w:sz w:val="23"/>
          <w:szCs w:val="23"/>
        </w:rPr>
      </w:pPr>
      <w:r w:rsidRPr="00636714">
        <w:rPr>
          <w:rFonts w:ascii="Times New Roman" w:hAnsi="Times New Roman" w:cs="Times New Roman"/>
          <w:b/>
          <w:iCs/>
          <w:sz w:val="23"/>
          <w:szCs w:val="23"/>
        </w:rPr>
        <w:t>Tabla 7 Instituciones de Educación Superior que reportan estudiantes atendidos en programas ofertados en el departamento</w:t>
      </w:r>
    </w:p>
    <w:tbl>
      <w:tblPr>
        <w:tblW w:w="8818" w:type="dxa"/>
        <w:tblCellMar>
          <w:left w:w="70" w:type="dxa"/>
          <w:right w:w="70" w:type="dxa"/>
        </w:tblCellMar>
        <w:tblLook w:val="04A0" w:firstRow="1" w:lastRow="0" w:firstColumn="1" w:lastColumn="0" w:noHBand="0" w:noVBand="1"/>
      </w:tblPr>
      <w:tblGrid>
        <w:gridCol w:w="3281"/>
        <w:gridCol w:w="1558"/>
        <w:gridCol w:w="947"/>
        <w:gridCol w:w="2174"/>
        <w:gridCol w:w="1124"/>
      </w:tblGrid>
      <w:tr w:rsidR="00636714" w:rsidRPr="00636714" w14:paraId="686D8176" w14:textId="77777777" w:rsidTr="009A6D3A">
        <w:trPr>
          <w:trHeight w:val="315"/>
          <w:tblHeader/>
        </w:trPr>
        <w:tc>
          <w:tcPr>
            <w:tcW w:w="3281" w:type="dxa"/>
            <w:tcBorders>
              <w:top w:val="single" w:sz="8" w:space="0" w:color="3366CC"/>
              <w:left w:val="single" w:sz="8" w:space="0" w:color="3366CC"/>
              <w:bottom w:val="single" w:sz="8" w:space="0" w:color="3366CC"/>
              <w:right w:val="single" w:sz="8" w:space="0" w:color="3366CC"/>
            </w:tcBorders>
            <w:shd w:val="clear" w:color="auto" w:fill="auto"/>
            <w:noWrap/>
            <w:vAlign w:val="center"/>
            <w:hideMark/>
          </w:tcPr>
          <w:p w14:paraId="5DB90BBB"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iCs/>
                <w:color w:val="000000"/>
                <w:sz w:val="23"/>
                <w:szCs w:val="23"/>
                <w:lang w:eastAsia="es-CO"/>
              </w:rPr>
              <w:t>Institución de Educación Superior</w:t>
            </w:r>
          </w:p>
        </w:tc>
        <w:tc>
          <w:tcPr>
            <w:tcW w:w="1432" w:type="dxa"/>
            <w:tcBorders>
              <w:top w:val="single" w:sz="8" w:space="0" w:color="3366CC"/>
              <w:left w:val="nil"/>
              <w:bottom w:val="single" w:sz="8" w:space="0" w:color="3366CC"/>
              <w:right w:val="single" w:sz="8" w:space="0" w:color="3366CC"/>
            </w:tcBorders>
            <w:shd w:val="clear" w:color="auto" w:fill="auto"/>
            <w:noWrap/>
            <w:vAlign w:val="center"/>
            <w:hideMark/>
          </w:tcPr>
          <w:p w14:paraId="1F03FEEB"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iCs/>
                <w:color w:val="000000"/>
                <w:sz w:val="23"/>
                <w:szCs w:val="23"/>
                <w:lang w:eastAsia="es-CO"/>
              </w:rPr>
              <w:t>Departamento de domicilio de la IES</w:t>
            </w:r>
          </w:p>
        </w:tc>
        <w:tc>
          <w:tcPr>
            <w:tcW w:w="947" w:type="dxa"/>
            <w:tcBorders>
              <w:top w:val="single" w:sz="8" w:space="0" w:color="3366CC"/>
              <w:left w:val="nil"/>
              <w:bottom w:val="single" w:sz="8" w:space="0" w:color="3366CC"/>
              <w:right w:val="single" w:sz="8" w:space="0" w:color="3366CC"/>
            </w:tcBorders>
            <w:shd w:val="clear" w:color="auto" w:fill="auto"/>
            <w:noWrap/>
            <w:vAlign w:val="center"/>
            <w:hideMark/>
          </w:tcPr>
          <w:p w14:paraId="77574C1E"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iCs/>
                <w:color w:val="000000"/>
                <w:sz w:val="23"/>
                <w:szCs w:val="23"/>
                <w:lang w:eastAsia="es-CO"/>
              </w:rPr>
              <w:t>Sector IES</w:t>
            </w:r>
          </w:p>
        </w:tc>
        <w:tc>
          <w:tcPr>
            <w:tcW w:w="2174" w:type="dxa"/>
            <w:tcBorders>
              <w:top w:val="single" w:sz="8" w:space="0" w:color="3366CC"/>
              <w:left w:val="nil"/>
              <w:bottom w:val="single" w:sz="8" w:space="0" w:color="3366CC"/>
              <w:right w:val="single" w:sz="8" w:space="0" w:color="3366CC"/>
            </w:tcBorders>
            <w:shd w:val="clear" w:color="auto" w:fill="auto"/>
            <w:noWrap/>
            <w:vAlign w:val="center"/>
            <w:hideMark/>
          </w:tcPr>
          <w:p w14:paraId="6B10176D"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iCs/>
                <w:color w:val="000000"/>
                <w:sz w:val="23"/>
                <w:szCs w:val="23"/>
                <w:lang w:eastAsia="es-CO"/>
              </w:rPr>
              <w:t>Carácter IES</w:t>
            </w:r>
          </w:p>
        </w:tc>
        <w:tc>
          <w:tcPr>
            <w:tcW w:w="984" w:type="dxa"/>
            <w:tcBorders>
              <w:top w:val="single" w:sz="8" w:space="0" w:color="3366CC"/>
              <w:left w:val="nil"/>
              <w:bottom w:val="single" w:sz="8" w:space="0" w:color="3366CC"/>
              <w:right w:val="single" w:sz="8" w:space="0" w:color="3366CC"/>
            </w:tcBorders>
            <w:shd w:val="clear" w:color="auto" w:fill="auto"/>
            <w:noWrap/>
            <w:vAlign w:val="center"/>
            <w:hideMark/>
          </w:tcPr>
          <w:p w14:paraId="635FAC9A" w14:textId="77777777" w:rsidR="00636714" w:rsidRPr="00636714" w:rsidRDefault="00636714" w:rsidP="00636714">
            <w:pPr>
              <w:jc w:val="center"/>
              <w:rPr>
                <w:rFonts w:ascii="Times New Roman" w:eastAsia="Times New Roman" w:hAnsi="Times New Roman" w:cs="Times New Roman"/>
                <w:b/>
                <w:bCs/>
                <w:color w:val="000000"/>
                <w:sz w:val="23"/>
                <w:szCs w:val="23"/>
                <w:lang w:eastAsia="es-CO"/>
              </w:rPr>
            </w:pPr>
            <w:r w:rsidRPr="00636714">
              <w:rPr>
                <w:rFonts w:ascii="Times New Roman" w:eastAsia="Times New Roman" w:hAnsi="Times New Roman" w:cs="Times New Roman"/>
                <w:b/>
                <w:bCs/>
                <w:iCs/>
                <w:color w:val="000000"/>
                <w:sz w:val="23"/>
                <w:szCs w:val="23"/>
                <w:lang w:eastAsia="es-CO"/>
              </w:rPr>
              <w:t>Matrícula 2021</w:t>
            </w:r>
          </w:p>
        </w:tc>
      </w:tr>
      <w:tr w:rsidR="00636714" w:rsidRPr="00636714" w14:paraId="537FDDAF"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4C0C6CD3"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 Nacional De Colombia</w:t>
            </w:r>
          </w:p>
        </w:tc>
        <w:tc>
          <w:tcPr>
            <w:tcW w:w="1432" w:type="dxa"/>
            <w:tcBorders>
              <w:top w:val="nil"/>
              <w:left w:val="nil"/>
              <w:bottom w:val="single" w:sz="8" w:space="0" w:color="3366CC"/>
              <w:right w:val="single" w:sz="8" w:space="0" w:color="3366CC"/>
            </w:tcBorders>
            <w:shd w:val="clear" w:color="auto" w:fill="auto"/>
            <w:noWrap/>
            <w:vAlign w:val="center"/>
            <w:hideMark/>
          </w:tcPr>
          <w:p w14:paraId="13B7B625"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Caldas</w:t>
            </w:r>
          </w:p>
        </w:tc>
        <w:tc>
          <w:tcPr>
            <w:tcW w:w="947" w:type="dxa"/>
            <w:tcBorders>
              <w:top w:val="nil"/>
              <w:left w:val="nil"/>
              <w:bottom w:val="single" w:sz="8" w:space="0" w:color="3366CC"/>
              <w:right w:val="single" w:sz="8" w:space="0" w:color="3366CC"/>
            </w:tcBorders>
            <w:shd w:val="clear" w:color="auto" w:fill="auto"/>
            <w:noWrap/>
            <w:vAlign w:val="center"/>
            <w:hideMark/>
          </w:tcPr>
          <w:p w14:paraId="09D3549B"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0B616367"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322F1686"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6.007</w:t>
            </w:r>
          </w:p>
        </w:tc>
      </w:tr>
      <w:tr w:rsidR="00636714" w:rsidRPr="00636714" w14:paraId="71D5E2ED"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6B685598"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 de Caldas</w:t>
            </w:r>
          </w:p>
        </w:tc>
        <w:tc>
          <w:tcPr>
            <w:tcW w:w="1432" w:type="dxa"/>
            <w:tcBorders>
              <w:top w:val="nil"/>
              <w:left w:val="nil"/>
              <w:bottom w:val="single" w:sz="8" w:space="0" w:color="3366CC"/>
              <w:right w:val="single" w:sz="8" w:space="0" w:color="3366CC"/>
            </w:tcBorders>
            <w:shd w:val="clear" w:color="auto" w:fill="auto"/>
            <w:noWrap/>
            <w:vAlign w:val="center"/>
            <w:hideMark/>
          </w:tcPr>
          <w:p w14:paraId="1CA88BF3"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Caldas</w:t>
            </w:r>
          </w:p>
        </w:tc>
        <w:tc>
          <w:tcPr>
            <w:tcW w:w="947" w:type="dxa"/>
            <w:tcBorders>
              <w:top w:val="nil"/>
              <w:left w:val="nil"/>
              <w:bottom w:val="single" w:sz="8" w:space="0" w:color="3366CC"/>
              <w:right w:val="single" w:sz="8" w:space="0" w:color="3366CC"/>
            </w:tcBorders>
            <w:shd w:val="clear" w:color="auto" w:fill="auto"/>
            <w:noWrap/>
            <w:vAlign w:val="center"/>
            <w:hideMark/>
          </w:tcPr>
          <w:p w14:paraId="090DBA21"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6EAA3716"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1310428D"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14.055</w:t>
            </w:r>
          </w:p>
        </w:tc>
      </w:tr>
      <w:tr w:rsidR="00636714" w:rsidRPr="00636714" w14:paraId="5887516E"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356F97C8"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 de Quindío</w:t>
            </w:r>
          </w:p>
        </w:tc>
        <w:tc>
          <w:tcPr>
            <w:tcW w:w="1432" w:type="dxa"/>
            <w:tcBorders>
              <w:top w:val="nil"/>
              <w:left w:val="nil"/>
              <w:bottom w:val="single" w:sz="8" w:space="0" w:color="3366CC"/>
              <w:right w:val="single" w:sz="8" w:space="0" w:color="3366CC"/>
            </w:tcBorders>
            <w:shd w:val="clear" w:color="auto" w:fill="auto"/>
            <w:noWrap/>
            <w:vAlign w:val="center"/>
            <w:hideMark/>
          </w:tcPr>
          <w:p w14:paraId="151EACE6"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Quindío</w:t>
            </w:r>
          </w:p>
        </w:tc>
        <w:tc>
          <w:tcPr>
            <w:tcW w:w="947" w:type="dxa"/>
            <w:tcBorders>
              <w:top w:val="nil"/>
              <w:left w:val="nil"/>
              <w:bottom w:val="single" w:sz="8" w:space="0" w:color="3366CC"/>
              <w:right w:val="single" w:sz="8" w:space="0" w:color="3366CC"/>
            </w:tcBorders>
            <w:shd w:val="clear" w:color="auto" w:fill="auto"/>
            <w:noWrap/>
            <w:vAlign w:val="center"/>
            <w:hideMark/>
          </w:tcPr>
          <w:p w14:paraId="54DBB3D8"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0B8F3978"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109C5576"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406</w:t>
            </w:r>
          </w:p>
        </w:tc>
      </w:tr>
      <w:tr w:rsidR="00636714" w:rsidRPr="00636714" w14:paraId="37B538E1"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5A4BC053"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 Santo Tomas</w:t>
            </w:r>
          </w:p>
        </w:tc>
        <w:tc>
          <w:tcPr>
            <w:tcW w:w="1432" w:type="dxa"/>
            <w:tcBorders>
              <w:top w:val="nil"/>
              <w:left w:val="nil"/>
              <w:bottom w:val="single" w:sz="8" w:space="0" w:color="3366CC"/>
              <w:right w:val="single" w:sz="8" w:space="0" w:color="3366CC"/>
            </w:tcBorders>
            <w:shd w:val="clear" w:color="auto" w:fill="auto"/>
            <w:noWrap/>
            <w:vAlign w:val="center"/>
            <w:hideMark/>
          </w:tcPr>
          <w:p w14:paraId="271E286A"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4B013270"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07F8DAEB"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70F30FE2"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107</w:t>
            </w:r>
          </w:p>
        </w:tc>
      </w:tr>
      <w:tr w:rsidR="00636714" w:rsidRPr="00636714" w14:paraId="601CA928"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3E53D93E"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 Pontificia Bolivariana</w:t>
            </w:r>
          </w:p>
        </w:tc>
        <w:tc>
          <w:tcPr>
            <w:tcW w:w="1432" w:type="dxa"/>
            <w:tcBorders>
              <w:top w:val="nil"/>
              <w:left w:val="nil"/>
              <w:bottom w:val="single" w:sz="8" w:space="0" w:color="3366CC"/>
              <w:right w:val="single" w:sz="8" w:space="0" w:color="3366CC"/>
            </w:tcBorders>
            <w:shd w:val="clear" w:color="auto" w:fill="auto"/>
            <w:noWrap/>
            <w:vAlign w:val="center"/>
            <w:hideMark/>
          </w:tcPr>
          <w:p w14:paraId="31C200A2"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Antioquia</w:t>
            </w:r>
          </w:p>
        </w:tc>
        <w:tc>
          <w:tcPr>
            <w:tcW w:w="947" w:type="dxa"/>
            <w:tcBorders>
              <w:top w:val="nil"/>
              <w:left w:val="nil"/>
              <w:bottom w:val="single" w:sz="8" w:space="0" w:color="3366CC"/>
              <w:right w:val="single" w:sz="8" w:space="0" w:color="3366CC"/>
            </w:tcBorders>
            <w:shd w:val="clear" w:color="auto" w:fill="auto"/>
            <w:noWrap/>
            <w:vAlign w:val="center"/>
            <w:hideMark/>
          </w:tcPr>
          <w:p w14:paraId="7A9F09E9"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424C1F4A"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7D59263B"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7</w:t>
            </w:r>
          </w:p>
        </w:tc>
      </w:tr>
      <w:tr w:rsidR="00636714" w:rsidRPr="00636714" w14:paraId="5EC4DC20"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469249F5"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 De Manizales</w:t>
            </w:r>
          </w:p>
        </w:tc>
        <w:tc>
          <w:tcPr>
            <w:tcW w:w="1432" w:type="dxa"/>
            <w:tcBorders>
              <w:top w:val="nil"/>
              <w:left w:val="nil"/>
              <w:bottom w:val="single" w:sz="8" w:space="0" w:color="3366CC"/>
              <w:right w:val="single" w:sz="8" w:space="0" w:color="3366CC"/>
            </w:tcBorders>
            <w:shd w:val="clear" w:color="auto" w:fill="auto"/>
            <w:noWrap/>
            <w:vAlign w:val="center"/>
            <w:hideMark/>
          </w:tcPr>
          <w:p w14:paraId="752C2174"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Caldas</w:t>
            </w:r>
          </w:p>
        </w:tc>
        <w:tc>
          <w:tcPr>
            <w:tcW w:w="947" w:type="dxa"/>
            <w:tcBorders>
              <w:top w:val="nil"/>
              <w:left w:val="nil"/>
              <w:bottom w:val="single" w:sz="8" w:space="0" w:color="3366CC"/>
              <w:right w:val="single" w:sz="8" w:space="0" w:color="3366CC"/>
            </w:tcBorders>
            <w:shd w:val="clear" w:color="auto" w:fill="auto"/>
            <w:noWrap/>
            <w:vAlign w:val="center"/>
            <w:hideMark/>
          </w:tcPr>
          <w:p w14:paraId="390C5D19"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2A5C4899"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3159D81F"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6.931</w:t>
            </w:r>
          </w:p>
        </w:tc>
      </w:tr>
      <w:tr w:rsidR="00636714" w:rsidRPr="00636714" w14:paraId="7928122D"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413DA0AD"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 Autónoma de Manizales</w:t>
            </w:r>
          </w:p>
        </w:tc>
        <w:tc>
          <w:tcPr>
            <w:tcW w:w="1432" w:type="dxa"/>
            <w:tcBorders>
              <w:top w:val="nil"/>
              <w:left w:val="nil"/>
              <w:bottom w:val="single" w:sz="8" w:space="0" w:color="3366CC"/>
              <w:right w:val="single" w:sz="8" w:space="0" w:color="3366CC"/>
            </w:tcBorders>
            <w:shd w:val="clear" w:color="auto" w:fill="auto"/>
            <w:noWrap/>
            <w:vAlign w:val="center"/>
            <w:hideMark/>
          </w:tcPr>
          <w:p w14:paraId="7449D9A5"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Caldas</w:t>
            </w:r>
          </w:p>
        </w:tc>
        <w:tc>
          <w:tcPr>
            <w:tcW w:w="947" w:type="dxa"/>
            <w:tcBorders>
              <w:top w:val="nil"/>
              <w:left w:val="nil"/>
              <w:bottom w:val="single" w:sz="8" w:space="0" w:color="3366CC"/>
              <w:right w:val="single" w:sz="8" w:space="0" w:color="3366CC"/>
            </w:tcBorders>
            <w:shd w:val="clear" w:color="auto" w:fill="auto"/>
            <w:noWrap/>
            <w:vAlign w:val="center"/>
            <w:hideMark/>
          </w:tcPr>
          <w:p w14:paraId="502F961D"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4C9EA416"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7D09B9C1"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4.729</w:t>
            </w:r>
          </w:p>
        </w:tc>
      </w:tr>
      <w:tr w:rsidR="00636714" w:rsidRPr="00636714" w14:paraId="278C943C"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114E4C4D"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 Antonio Nariño</w:t>
            </w:r>
          </w:p>
        </w:tc>
        <w:tc>
          <w:tcPr>
            <w:tcW w:w="1432" w:type="dxa"/>
            <w:tcBorders>
              <w:top w:val="nil"/>
              <w:left w:val="nil"/>
              <w:bottom w:val="single" w:sz="8" w:space="0" w:color="3366CC"/>
              <w:right w:val="single" w:sz="8" w:space="0" w:color="3366CC"/>
            </w:tcBorders>
            <w:shd w:val="clear" w:color="auto" w:fill="auto"/>
            <w:noWrap/>
            <w:vAlign w:val="center"/>
            <w:hideMark/>
          </w:tcPr>
          <w:p w14:paraId="03D1D482"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23D22AFD"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50C7E262"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1F44A577"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41</w:t>
            </w:r>
          </w:p>
        </w:tc>
      </w:tr>
      <w:tr w:rsidR="00636714" w:rsidRPr="00636714" w14:paraId="31B58562"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571F78A5"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 Católica de Manizales</w:t>
            </w:r>
          </w:p>
        </w:tc>
        <w:tc>
          <w:tcPr>
            <w:tcW w:w="1432" w:type="dxa"/>
            <w:tcBorders>
              <w:top w:val="nil"/>
              <w:left w:val="nil"/>
              <w:bottom w:val="single" w:sz="8" w:space="0" w:color="3366CC"/>
              <w:right w:val="single" w:sz="8" w:space="0" w:color="3366CC"/>
            </w:tcBorders>
            <w:shd w:val="clear" w:color="auto" w:fill="auto"/>
            <w:noWrap/>
            <w:vAlign w:val="center"/>
            <w:hideMark/>
          </w:tcPr>
          <w:p w14:paraId="6D642A48"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Caldas</w:t>
            </w:r>
          </w:p>
        </w:tc>
        <w:tc>
          <w:tcPr>
            <w:tcW w:w="947" w:type="dxa"/>
            <w:tcBorders>
              <w:top w:val="nil"/>
              <w:left w:val="nil"/>
              <w:bottom w:val="single" w:sz="8" w:space="0" w:color="3366CC"/>
              <w:right w:val="single" w:sz="8" w:space="0" w:color="3366CC"/>
            </w:tcBorders>
            <w:shd w:val="clear" w:color="auto" w:fill="auto"/>
            <w:noWrap/>
            <w:vAlign w:val="center"/>
            <w:hideMark/>
          </w:tcPr>
          <w:p w14:paraId="36B6EBEA"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22854F3E"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6F3DD231"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2.671</w:t>
            </w:r>
          </w:p>
        </w:tc>
      </w:tr>
      <w:tr w:rsidR="00636714" w:rsidRPr="00636714" w14:paraId="30253240"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1BCAC384"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 xml:space="preserve">Universidad Nacional Abierta Y A Distancia </w:t>
            </w:r>
            <w:proofErr w:type="spellStart"/>
            <w:r w:rsidRPr="00636714">
              <w:rPr>
                <w:rFonts w:ascii="Times New Roman" w:eastAsia="Times New Roman" w:hAnsi="Times New Roman" w:cs="Times New Roman"/>
                <w:color w:val="000000"/>
                <w:sz w:val="23"/>
                <w:szCs w:val="23"/>
                <w:lang w:eastAsia="es-CO"/>
              </w:rPr>
              <w:t>Unad</w:t>
            </w:r>
            <w:proofErr w:type="spellEnd"/>
          </w:p>
        </w:tc>
        <w:tc>
          <w:tcPr>
            <w:tcW w:w="1432" w:type="dxa"/>
            <w:tcBorders>
              <w:top w:val="nil"/>
              <w:left w:val="nil"/>
              <w:bottom w:val="single" w:sz="8" w:space="0" w:color="3366CC"/>
              <w:right w:val="single" w:sz="8" w:space="0" w:color="3366CC"/>
            </w:tcBorders>
            <w:shd w:val="clear" w:color="auto" w:fill="auto"/>
            <w:noWrap/>
            <w:vAlign w:val="center"/>
            <w:hideMark/>
          </w:tcPr>
          <w:p w14:paraId="4CBB5A4C"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4A83EA0E"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41B6E9C3"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2132AD0B"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1.332</w:t>
            </w:r>
          </w:p>
        </w:tc>
      </w:tr>
      <w:tr w:rsidR="00636714" w:rsidRPr="00636714" w14:paraId="4C160599"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1E057E05"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 xml:space="preserve">Escuela Superior De Administración </w:t>
            </w:r>
            <w:proofErr w:type="spellStart"/>
            <w:r w:rsidRPr="00636714">
              <w:rPr>
                <w:rFonts w:ascii="Times New Roman" w:eastAsia="Times New Roman" w:hAnsi="Times New Roman" w:cs="Times New Roman"/>
                <w:color w:val="000000"/>
                <w:sz w:val="23"/>
                <w:szCs w:val="23"/>
                <w:lang w:eastAsia="es-CO"/>
              </w:rPr>
              <w:t>Publica</w:t>
            </w:r>
            <w:proofErr w:type="spellEnd"/>
            <w:r w:rsidRPr="00636714">
              <w:rPr>
                <w:rFonts w:ascii="Times New Roman" w:eastAsia="Times New Roman" w:hAnsi="Times New Roman" w:cs="Times New Roman"/>
                <w:color w:val="000000"/>
                <w:sz w:val="23"/>
                <w:szCs w:val="23"/>
                <w:lang w:eastAsia="es-CO"/>
              </w:rPr>
              <w:t>-</w:t>
            </w:r>
            <w:proofErr w:type="spellStart"/>
            <w:r w:rsidRPr="00636714">
              <w:rPr>
                <w:rFonts w:ascii="Times New Roman" w:eastAsia="Times New Roman" w:hAnsi="Times New Roman" w:cs="Times New Roman"/>
                <w:color w:val="000000"/>
                <w:sz w:val="23"/>
                <w:szCs w:val="23"/>
                <w:lang w:eastAsia="es-CO"/>
              </w:rPr>
              <w:t>Esap</w:t>
            </w:r>
            <w:proofErr w:type="spellEnd"/>
            <w:r w:rsidRPr="00636714">
              <w:rPr>
                <w:rFonts w:ascii="Times New Roman" w:eastAsia="Times New Roman" w:hAnsi="Times New Roman" w:cs="Times New Roman"/>
                <w:color w:val="000000"/>
                <w:sz w:val="23"/>
                <w:szCs w:val="23"/>
                <w:lang w:eastAsia="es-CO"/>
              </w:rPr>
              <w:t>-</w:t>
            </w:r>
          </w:p>
        </w:tc>
        <w:tc>
          <w:tcPr>
            <w:tcW w:w="1432" w:type="dxa"/>
            <w:tcBorders>
              <w:top w:val="nil"/>
              <w:left w:val="nil"/>
              <w:bottom w:val="single" w:sz="8" w:space="0" w:color="3366CC"/>
              <w:right w:val="single" w:sz="8" w:space="0" w:color="3366CC"/>
            </w:tcBorders>
            <w:shd w:val="clear" w:color="auto" w:fill="auto"/>
            <w:noWrap/>
            <w:vAlign w:val="center"/>
            <w:hideMark/>
          </w:tcPr>
          <w:p w14:paraId="53C04534"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122BCF5C"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35BEAC60"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Institución Universitaria/Escuela Tecnológica</w:t>
            </w:r>
          </w:p>
        </w:tc>
        <w:tc>
          <w:tcPr>
            <w:tcW w:w="984" w:type="dxa"/>
            <w:tcBorders>
              <w:top w:val="nil"/>
              <w:left w:val="nil"/>
              <w:bottom w:val="single" w:sz="8" w:space="0" w:color="3366CC"/>
              <w:right w:val="single" w:sz="8" w:space="0" w:color="3366CC"/>
            </w:tcBorders>
            <w:shd w:val="clear" w:color="auto" w:fill="auto"/>
            <w:noWrap/>
            <w:vAlign w:val="center"/>
            <w:hideMark/>
          </w:tcPr>
          <w:p w14:paraId="6EE7C24D"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806</w:t>
            </w:r>
          </w:p>
        </w:tc>
      </w:tr>
      <w:tr w:rsidR="00636714" w:rsidRPr="00636714" w14:paraId="3B8841D6"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03E1A1B7"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Dirección Nacional De Escuelas</w:t>
            </w:r>
          </w:p>
        </w:tc>
        <w:tc>
          <w:tcPr>
            <w:tcW w:w="1432" w:type="dxa"/>
            <w:tcBorders>
              <w:top w:val="nil"/>
              <w:left w:val="nil"/>
              <w:bottom w:val="single" w:sz="8" w:space="0" w:color="3366CC"/>
              <w:right w:val="single" w:sz="8" w:space="0" w:color="3366CC"/>
            </w:tcBorders>
            <w:shd w:val="clear" w:color="auto" w:fill="auto"/>
            <w:noWrap/>
            <w:vAlign w:val="center"/>
            <w:hideMark/>
          </w:tcPr>
          <w:p w14:paraId="0205A8E0"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2E2C401D"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72A46EDA"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Institución Universitaria/Escuela Tecnológica</w:t>
            </w:r>
          </w:p>
        </w:tc>
        <w:tc>
          <w:tcPr>
            <w:tcW w:w="984" w:type="dxa"/>
            <w:tcBorders>
              <w:top w:val="nil"/>
              <w:left w:val="nil"/>
              <w:bottom w:val="single" w:sz="8" w:space="0" w:color="3366CC"/>
              <w:right w:val="single" w:sz="8" w:space="0" w:color="3366CC"/>
            </w:tcBorders>
            <w:shd w:val="clear" w:color="auto" w:fill="auto"/>
            <w:noWrap/>
            <w:vAlign w:val="center"/>
            <w:hideMark/>
          </w:tcPr>
          <w:p w14:paraId="293D9BA1"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810</w:t>
            </w:r>
          </w:p>
        </w:tc>
      </w:tr>
      <w:tr w:rsidR="00636714" w:rsidRPr="00636714" w14:paraId="1DD21C19"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75527A1E"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 Católica Luis Amigó</w:t>
            </w:r>
          </w:p>
        </w:tc>
        <w:tc>
          <w:tcPr>
            <w:tcW w:w="1432" w:type="dxa"/>
            <w:tcBorders>
              <w:top w:val="nil"/>
              <w:left w:val="nil"/>
              <w:bottom w:val="single" w:sz="8" w:space="0" w:color="3366CC"/>
              <w:right w:val="single" w:sz="8" w:space="0" w:color="3366CC"/>
            </w:tcBorders>
            <w:shd w:val="clear" w:color="auto" w:fill="auto"/>
            <w:noWrap/>
            <w:vAlign w:val="center"/>
            <w:hideMark/>
          </w:tcPr>
          <w:p w14:paraId="7823C6C2"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Antioquia</w:t>
            </w:r>
          </w:p>
        </w:tc>
        <w:tc>
          <w:tcPr>
            <w:tcW w:w="947" w:type="dxa"/>
            <w:tcBorders>
              <w:top w:val="nil"/>
              <w:left w:val="nil"/>
              <w:bottom w:val="single" w:sz="8" w:space="0" w:color="3366CC"/>
              <w:right w:val="single" w:sz="8" w:space="0" w:color="3366CC"/>
            </w:tcBorders>
            <w:shd w:val="clear" w:color="auto" w:fill="auto"/>
            <w:noWrap/>
            <w:vAlign w:val="center"/>
            <w:hideMark/>
          </w:tcPr>
          <w:p w14:paraId="0F8CF60B"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2DC7B753"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61D0AEE3"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1.865</w:t>
            </w:r>
          </w:p>
        </w:tc>
      </w:tr>
      <w:tr w:rsidR="00636714" w:rsidRPr="00636714" w14:paraId="7ACA73EC"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208CB88F"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Corporación Universitaria Minuto De Dios -</w:t>
            </w:r>
            <w:proofErr w:type="spellStart"/>
            <w:r w:rsidRPr="00636714">
              <w:rPr>
                <w:rFonts w:ascii="Times New Roman" w:eastAsia="Times New Roman" w:hAnsi="Times New Roman" w:cs="Times New Roman"/>
                <w:color w:val="000000"/>
                <w:sz w:val="23"/>
                <w:szCs w:val="23"/>
                <w:lang w:eastAsia="es-CO"/>
              </w:rPr>
              <w:t>Uniminuto</w:t>
            </w:r>
            <w:proofErr w:type="spellEnd"/>
            <w:r w:rsidRPr="00636714">
              <w:rPr>
                <w:rFonts w:ascii="Times New Roman" w:eastAsia="Times New Roman" w:hAnsi="Times New Roman" w:cs="Times New Roman"/>
                <w:color w:val="000000"/>
                <w:sz w:val="23"/>
                <w:szCs w:val="23"/>
                <w:lang w:eastAsia="es-CO"/>
              </w:rPr>
              <w:t>-</w:t>
            </w:r>
          </w:p>
        </w:tc>
        <w:tc>
          <w:tcPr>
            <w:tcW w:w="1432" w:type="dxa"/>
            <w:tcBorders>
              <w:top w:val="nil"/>
              <w:left w:val="nil"/>
              <w:bottom w:val="single" w:sz="8" w:space="0" w:color="3366CC"/>
              <w:right w:val="single" w:sz="8" w:space="0" w:color="3366CC"/>
            </w:tcBorders>
            <w:shd w:val="clear" w:color="auto" w:fill="auto"/>
            <w:noWrap/>
            <w:vAlign w:val="center"/>
            <w:hideMark/>
          </w:tcPr>
          <w:p w14:paraId="519118BF"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466F2636"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3119C2C1"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Institución Universitaria/Escuela Tecnológica</w:t>
            </w:r>
          </w:p>
        </w:tc>
        <w:tc>
          <w:tcPr>
            <w:tcW w:w="984" w:type="dxa"/>
            <w:tcBorders>
              <w:top w:val="nil"/>
              <w:left w:val="nil"/>
              <w:bottom w:val="single" w:sz="8" w:space="0" w:color="3366CC"/>
              <w:right w:val="single" w:sz="8" w:space="0" w:color="3366CC"/>
            </w:tcBorders>
            <w:shd w:val="clear" w:color="auto" w:fill="auto"/>
            <w:noWrap/>
            <w:vAlign w:val="center"/>
            <w:hideMark/>
          </w:tcPr>
          <w:p w14:paraId="4451377C"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686</w:t>
            </w:r>
          </w:p>
        </w:tc>
      </w:tr>
      <w:tr w:rsidR="00636714" w:rsidRPr="00636714" w14:paraId="736B7B1C"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43CE29CF"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lastRenderedPageBreak/>
              <w:t>Corporación Universitaria Remington</w:t>
            </w:r>
          </w:p>
        </w:tc>
        <w:tc>
          <w:tcPr>
            <w:tcW w:w="1432" w:type="dxa"/>
            <w:tcBorders>
              <w:top w:val="nil"/>
              <w:left w:val="nil"/>
              <w:bottom w:val="single" w:sz="8" w:space="0" w:color="3366CC"/>
              <w:right w:val="single" w:sz="8" w:space="0" w:color="3366CC"/>
            </w:tcBorders>
            <w:shd w:val="clear" w:color="auto" w:fill="auto"/>
            <w:noWrap/>
            <w:vAlign w:val="center"/>
            <w:hideMark/>
          </w:tcPr>
          <w:p w14:paraId="5726B474"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Antioquia</w:t>
            </w:r>
          </w:p>
        </w:tc>
        <w:tc>
          <w:tcPr>
            <w:tcW w:w="947" w:type="dxa"/>
            <w:tcBorders>
              <w:top w:val="nil"/>
              <w:left w:val="nil"/>
              <w:bottom w:val="single" w:sz="8" w:space="0" w:color="3366CC"/>
              <w:right w:val="single" w:sz="8" w:space="0" w:color="3366CC"/>
            </w:tcBorders>
            <w:shd w:val="clear" w:color="auto" w:fill="auto"/>
            <w:noWrap/>
            <w:vAlign w:val="center"/>
            <w:hideMark/>
          </w:tcPr>
          <w:p w14:paraId="02E5A035"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3E3FD178"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Institución Universitaria/Escuela Tecnológica</w:t>
            </w:r>
          </w:p>
        </w:tc>
        <w:tc>
          <w:tcPr>
            <w:tcW w:w="984" w:type="dxa"/>
            <w:tcBorders>
              <w:top w:val="nil"/>
              <w:left w:val="nil"/>
              <w:bottom w:val="single" w:sz="8" w:space="0" w:color="3366CC"/>
              <w:right w:val="single" w:sz="8" w:space="0" w:color="3366CC"/>
            </w:tcBorders>
            <w:shd w:val="clear" w:color="auto" w:fill="auto"/>
            <w:noWrap/>
            <w:vAlign w:val="center"/>
            <w:hideMark/>
          </w:tcPr>
          <w:p w14:paraId="3153B5A0"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866</w:t>
            </w:r>
          </w:p>
        </w:tc>
      </w:tr>
      <w:tr w:rsidR="00636714" w:rsidRPr="00636714" w14:paraId="3DA676A7"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7D5EE604"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 xml:space="preserve">Corporación de Educación Del Norte Del Tolima - </w:t>
            </w:r>
            <w:proofErr w:type="spellStart"/>
            <w:r w:rsidRPr="00636714">
              <w:rPr>
                <w:rFonts w:ascii="Times New Roman" w:eastAsia="Times New Roman" w:hAnsi="Times New Roman" w:cs="Times New Roman"/>
                <w:color w:val="000000"/>
                <w:sz w:val="23"/>
                <w:szCs w:val="23"/>
                <w:lang w:eastAsia="es-CO"/>
              </w:rPr>
              <w:t>Coreducacion</w:t>
            </w:r>
            <w:proofErr w:type="spellEnd"/>
          </w:p>
        </w:tc>
        <w:tc>
          <w:tcPr>
            <w:tcW w:w="1432" w:type="dxa"/>
            <w:tcBorders>
              <w:top w:val="nil"/>
              <w:left w:val="nil"/>
              <w:bottom w:val="single" w:sz="8" w:space="0" w:color="3366CC"/>
              <w:right w:val="single" w:sz="8" w:space="0" w:color="3366CC"/>
            </w:tcBorders>
            <w:shd w:val="clear" w:color="auto" w:fill="auto"/>
            <w:noWrap/>
            <w:vAlign w:val="center"/>
            <w:hideMark/>
          </w:tcPr>
          <w:p w14:paraId="3CAB299B"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Tolima</w:t>
            </w:r>
          </w:p>
        </w:tc>
        <w:tc>
          <w:tcPr>
            <w:tcW w:w="947" w:type="dxa"/>
            <w:tcBorders>
              <w:top w:val="nil"/>
              <w:left w:val="nil"/>
              <w:bottom w:val="single" w:sz="8" w:space="0" w:color="3366CC"/>
              <w:right w:val="single" w:sz="8" w:space="0" w:color="3366CC"/>
            </w:tcBorders>
            <w:shd w:val="clear" w:color="auto" w:fill="auto"/>
            <w:noWrap/>
            <w:vAlign w:val="center"/>
            <w:hideMark/>
          </w:tcPr>
          <w:p w14:paraId="0D67E66B"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Privada</w:t>
            </w:r>
          </w:p>
        </w:tc>
        <w:tc>
          <w:tcPr>
            <w:tcW w:w="2174" w:type="dxa"/>
            <w:tcBorders>
              <w:top w:val="nil"/>
              <w:left w:val="nil"/>
              <w:bottom w:val="single" w:sz="8" w:space="0" w:color="3366CC"/>
              <w:right w:val="single" w:sz="8" w:space="0" w:color="3366CC"/>
            </w:tcBorders>
            <w:shd w:val="clear" w:color="auto" w:fill="auto"/>
            <w:noWrap/>
            <w:vAlign w:val="center"/>
            <w:hideMark/>
          </w:tcPr>
          <w:p w14:paraId="65FF58CE"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Institución Tecnológica</w:t>
            </w:r>
          </w:p>
        </w:tc>
        <w:tc>
          <w:tcPr>
            <w:tcW w:w="984" w:type="dxa"/>
            <w:tcBorders>
              <w:top w:val="nil"/>
              <w:left w:val="nil"/>
              <w:bottom w:val="single" w:sz="8" w:space="0" w:color="3366CC"/>
              <w:right w:val="single" w:sz="8" w:space="0" w:color="3366CC"/>
            </w:tcBorders>
            <w:shd w:val="clear" w:color="auto" w:fill="auto"/>
            <w:noWrap/>
            <w:vAlign w:val="center"/>
            <w:hideMark/>
          </w:tcPr>
          <w:p w14:paraId="0FFED10C"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1</w:t>
            </w:r>
          </w:p>
        </w:tc>
      </w:tr>
      <w:tr w:rsidR="00636714" w:rsidRPr="00636714" w14:paraId="66972723"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3622AE79"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 xml:space="preserve">Colegio Integrado Nacional Oriente de Caldas - </w:t>
            </w:r>
            <w:proofErr w:type="spellStart"/>
            <w:r w:rsidRPr="00636714">
              <w:rPr>
                <w:rFonts w:ascii="Times New Roman" w:eastAsia="Times New Roman" w:hAnsi="Times New Roman" w:cs="Times New Roman"/>
                <w:color w:val="000000"/>
                <w:sz w:val="23"/>
                <w:szCs w:val="23"/>
                <w:lang w:eastAsia="es-CO"/>
              </w:rPr>
              <w:t>Ies</w:t>
            </w:r>
            <w:proofErr w:type="spellEnd"/>
            <w:r w:rsidRPr="00636714">
              <w:rPr>
                <w:rFonts w:ascii="Times New Roman" w:eastAsia="Times New Roman" w:hAnsi="Times New Roman" w:cs="Times New Roman"/>
                <w:color w:val="000000"/>
                <w:sz w:val="23"/>
                <w:szCs w:val="23"/>
                <w:lang w:eastAsia="es-CO"/>
              </w:rPr>
              <w:t xml:space="preserve"> </w:t>
            </w:r>
            <w:proofErr w:type="spellStart"/>
            <w:r w:rsidRPr="00636714">
              <w:rPr>
                <w:rFonts w:ascii="Times New Roman" w:eastAsia="Times New Roman" w:hAnsi="Times New Roman" w:cs="Times New Roman"/>
                <w:color w:val="000000"/>
                <w:sz w:val="23"/>
                <w:szCs w:val="23"/>
                <w:lang w:eastAsia="es-CO"/>
              </w:rPr>
              <w:t>Cinoc</w:t>
            </w:r>
            <w:proofErr w:type="spellEnd"/>
          </w:p>
        </w:tc>
        <w:tc>
          <w:tcPr>
            <w:tcW w:w="1432" w:type="dxa"/>
            <w:tcBorders>
              <w:top w:val="nil"/>
              <w:left w:val="nil"/>
              <w:bottom w:val="single" w:sz="8" w:space="0" w:color="3366CC"/>
              <w:right w:val="single" w:sz="8" w:space="0" w:color="3366CC"/>
            </w:tcBorders>
            <w:shd w:val="clear" w:color="auto" w:fill="auto"/>
            <w:noWrap/>
            <w:vAlign w:val="center"/>
            <w:hideMark/>
          </w:tcPr>
          <w:p w14:paraId="6B8C2E92"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Caldas</w:t>
            </w:r>
          </w:p>
        </w:tc>
        <w:tc>
          <w:tcPr>
            <w:tcW w:w="947" w:type="dxa"/>
            <w:tcBorders>
              <w:top w:val="nil"/>
              <w:left w:val="nil"/>
              <w:bottom w:val="single" w:sz="8" w:space="0" w:color="3366CC"/>
              <w:right w:val="single" w:sz="8" w:space="0" w:color="3366CC"/>
            </w:tcBorders>
            <w:shd w:val="clear" w:color="auto" w:fill="auto"/>
            <w:noWrap/>
            <w:vAlign w:val="center"/>
            <w:hideMark/>
          </w:tcPr>
          <w:p w14:paraId="7BE39657"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650B78D2"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Institución Técnica Profesional</w:t>
            </w:r>
          </w:p>
        </w:tc>
        <w:tc>
          <w:tcPr>
            <w:tcW w:w="984" w:type="dxa"/>
            <w:tcBorders>
              <w:top w:val="nil"/>
              <w:left w:val="nil"/>
              <w:bottom w:val="single" w:sz="8" w:space="0" w:color="3366CC"/>
              <w:right w:val="single" w:sz="8" w:space="0" w:color="3366CC"/>
            </w:tcBorders>
            <w:shd w:val="clear" w:color="auto" w:fill="auto"/>
            <w:noWrap/>
            <w:vAlign w:val="center"/>
            <w:hideMark/>
          </w:tcPr>
          <w:p w14:paraId="0426FBD1"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615</w:t>
            </w:r>
          </w:p>
        </w:tc>
      </w:tr>
      <w:tr w:rsidR="00636714" w:rsidRPr="00636714" w14:paraId="3F54FAF7"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4FC55BFB"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Servicio Nacional de Aprendizaje-Sena-</w:t>
            </w:r>
          </w:p>
        </w:tc>
        <w:tc>
          <w:tcPr>
            <w:tcW w:w="1432" w:type="dxa"/>
            <w:tcBorders>
              <w:top w:val="nil"/>
              <w:left w:val="nil"/>
              <w:bottom w:val="single" w:sz="8" w:space="0" w:color="3366CC"/>
              <w:right w:val="single" w:sz="8" w:space="0" w:color="3366CC"/>
            </w:tcBorders>
            <w:shd w:val="clear" w:color="auto" w:fill="auto"/>
            <w:noWrap/>
            <w:vAlign w:val="center"/>
            <w:hideMark/>
          </w:tcPr>
          <w:p w14:paraId="61668619"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Bogotá, D.C.</w:t>
            </w:r>
          </w:p>
        </w:tc>
        <w:tc>
          <w:tcPr>
            <w:tcW w:w="947" w:type="dxa"/>
            <w:tcBorders>
              <w:top w:val="nil"/>
              <w:left w:val="nil"/>
              <w:bottom w:val="single" w:sz="8" w:space="0" w:color="3366CC"/>
              <w:right w:val="single" w:sz="8" w:space="0" w:color="3366CC"/>
            </w:tcBorders>
            <w:shd w:val="clear" w:color="auto" w:fill="auto"/>
            <w:noWrap/>
            <w:vAlign w:val="center"/>
            <w:hideMark/>
          </w:tcPr>
          <w:p w14:paraId="353345B9"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0B069F7B"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Institución Tecnológica</w:t>
            </w:r>
          </w:p>
        </w:tc>
        <w:tc>
          <w:tcPr>
            <w:tcW w:w="984" w:type="dxa"/>
            <w:tcBorders>
              <w:top w:val="nil"/>
              <w:left w:val="nil"/>
              <w:bottom w:val="single" w:sz="8" w:space="0" w:color="3366CC"/>
              <w:right w:val="single" w:sz="8" w:space="0" w:color="3366CC"/>
            </w:tcBorders>
            <w:shd w:val="clear" w:color="auto" w:fill="auto"/>
            <w:noWrap/>
            <w:vAlign w:val="center"/>
            <w:hideMark/>
          </w:tcPr>
          <w:p w14:paraId="1820D9EC"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4.535</w:t>
            </w:r>
          </w:p>
        </w:tc>
      </w:tr>
      <w:tr w:rsidR="00636714" w:rsidRPr="00636714" w14:paraId="25AB4E4E" w14:textId="77777777" w:rsidTr="009A6D3A">
        <w:trPr>
          <w:trHeight w:val="315"/>
        </w:trPr>
        <w:tc>
          <w:tcPr>
            <w:tcW w:w="3281" w:type="dxa"/>
            <w:tcBorders>
              <w:top w:val="nil"/>
              <w:left w:val="single" w:sz="8" w:space="0" w:color="3366CC"/>
              <w:bottom w:val="single" w:sz="8" w:space="0" w:color="3366CC"/>
              <w:right w:val="single" w:sz="8" w:space="0" w:color="3366CC"/>
            </w:tcBorders>
            <w:shd w:val="clear" w:color="auto" w:fill="auto"/>
            <w:noWrap/>
            <w:vAlign w:val="center"/>
            <w:hideMark/>
          </w:tcPr>
          <w:p w14:paraId="3A2CB377"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 xml:space="preserve">Universidad Autónoma Indígena Intercultural - </w:t>
            </w:r>
            <w:proofErr w:type="spellStart"/>
            <w:r w:rsidRPr="00636714">
              <w:rPr>
                <w:rFonts w:ascii="Times New Roman" w:eastAsia="Times New Roman" w:hAnsi="Times New Roman" w:cs="Times New Roman"/>
                <w:color w:val="000000"/>
                <w:sz w:val="23"/>
                <w:szCs w:val="23"/>
                <w:lang w:eastAsia="es-CO"/>
              </w:rPr>
              <w:t>Uaiin</w:t>
            </w:r>
            <w:proofErr w:type="spellEnd"/>
          </w:p>
        </w:tc>
        <w:tc>
          <w:tcPr>
            <w:tcW w:w="1432" w:type="dxa"/>
            <w:tcBorders>
              <w:top w:val="nil"/>
              <w:left w:val="nil"/>
              <w:bottom w:val="single" w:sz="8" w:space="0" w:color="3366CC"/>
              <w:right w:val="single" w:sz="8" w:space="0" w:color="3366CC"/>
            </w:tcBorders>
            <w:shd w:val="clear" w:color="auto" w:fill="auto"/>
            <w:noWrap/>
            <w:vAlign w:val="center"/>
            <w:hideMark/>
          </w:tcPr>
          <w:p w14:paraId="5FEDBEFC"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Cauca</w:t>
            </w:r>
          </w:p>
        </w:tc>
        <w:tc>
          <w:tcPr>
            <w:tcW w:w="947" w:type="dxa"/>
            <w:tcBorders>
              <w:top w:val="nil"/>
              <w:left w:val="nil"/>
              <w:bottom w:val="single" w:sz="8" w:space="0" w:color="3366CC"/>
              <w:right w:val="single" w:sz="8" w:space="0" w:color="3366CC"/>
            </w:tcBorders>
            <w:shd w:val="clear" w:color="auto" w:fill="auto"/>
            <w:noWrap/>
            <w:vAlign w:val="center"/>
            <w:hideMark/>
          </w:tcPr>
          <w:p w14:paraId="3EC4B2D2"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Oficial</w:t>
            </w:r>
          </w:p>
        </w:tc>
        <w:tc>
          <w:tcPr>
            <w:tcW w:w="2174" w:type="dxa"/>
            <w:tcBorders>
              <w:top w:val="nil"/>
              <w:left w:val="nil"/>
              <w:bottom w:val="single" w:sz="8" w:space="0" w:color="3366CC"/>
              <w:right w:val="single" w:sz="8" w:space="0" w:color="3366CC"/>
            </w:tcBorders>
            <w:shd w:val="clear" w:color="auto" w:fill="auto"/>
            <w:noWrap/>
            <w:vAlign w:val="center"/>
            <w:hideMark/>
          </w:tcPr>
          <w:p w14:paraId="1B0D0400"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Universidad</w:t>
            </w:r>
          </w:p>
        </w:tc>
        <w:tc>
          <w:tcPr>
            <w:tcW w:w="984" w:type="dxa"/>
            <w:tcBorders>
              <w:top w:val="nil"/>
              <w:left w:val="nil"/>
              <w:bottom w:val="single" w:sz="8" w:space="0" w:color="3366CC"/>
              <w:right w:val="single" w:sz="8" w:space="0" w:color="3366CC"/>
            </w:tcBorders>
            <w:shd w:val="clear" w:color="auto" w:fill="auto"/>
            <w:noWrap/>
            <w:vAlign w:val="center"/>
            <w:hideMark/>
          </w:tcPr>
          <w:p w14:paraId="5D5F2214" w14:textId="77777777" w:rsidR="00636714" w:rsidRPr="00636714" w:rsidRDefault="00636714" w:rsidP="00636714">
            <w:pPr>
              <w:jc w:val="center"/>
              <w:rPr>
                <w:rFonts w:ascii="Times New Roman" w:eastAsia="Times New Roman" w:hAnsi="Times New Roman" w:cs="Times New Roman"/>
                <w:color w:val="000000"/>
                <w:sz w:val="23"/>
                <w:szCs w:val="23"/>
                <w:lang w:eastAsia="es-CO"/>
              </w:rPr>
            </w:pPr>
            <w:r w:rsidRPr="00636714">
              <w:rPr>
                <w:rFonts w:ascii="Times New Roman" w:eastAsia="Times New Roman" w:hAnsi="Times New Roman" w:cs="Times New Roman"/>
                <w:color w:val="000000"/>
                <w:sz w:val="23"/>
                <w:szCs w:val="23"/>
                <w:lang w:eastAsia="es-CO"/>
              </w:rPr>
              <w:t>1</w:t>
            </w:r>
          </w:p>
        </w:tc>
      </w:tr>
    </w:tbl>
    <w:p w14:paraId="37E7D589" w14:textId="77777777" w:rsidR="00636714" w:rsidRPr="00636714" w:rsidRDefault="00636714" w:rsidP="00636714">
      <w:pPr>
        <w:jc w:val="center"/>
        <w:rPr>
          <w:rFonts w:ascii="Times New Roman" w:hAnsi="Times New Roman" w:cs="Times New Roman"/>
          <w:b/>
          <w:iCs/>
          <w:sz w:val="23"/>
          <w:szCs w:val="23"/>
        </w:rPr>
      </w:pPr>
      <w:r w:rsidRPr="00636714">
        <w:rPr>
          <w:rStyle w:val="Referenciasutil"/>
          <w:rFonts w:ascii="Times New Roman" w:hAnsi="Times New Roman" w:cs="Times New Roman"/>
          <w:sz w:val="23"/>
          <w:szCs w:val="23"/>
        </w:rPr>
        <w:t>Fuente: Cálculos MCV</w:t>
      </w:r>
    </w:p>
    <w:p w14:paraId="53F7C262" w14:textId="77777777" w:rsidR="00636714" w:rsidRPr="00636714" w:rsidRDefault="00636714" w:rsidP="00636714">
      <w:pPr>
        <w:jc w:val="both"/>
        <w:rPr>
          <w:rFonts w:ascii="Times New Roman" w:hAnsi="Times New Roman" w:cs="Times New Roman"/>
          <w:b/>
          <w:iCs/>
          <w:sz w:val="23"/>
          <w:szCs w:val="23"/>
        </w:rPr>
      </w:pPr>
    </w:p>
    <w:p w14:paraId="62E90CBB" w14:textId="77777777" w:rsidR="00636714" w:rsidRPr="00636714" w:rsidRDefault="00636714" w:rsidP="00636714">
      <w:pPr>
        <w:jc w:val="both"/>
        <w:rPr>
          <w:rFonts w:ascii="Times New Roman" w:hAnsi="Times New Roman" w:cs="Times New Roman"/>
          <w:bCs/>
          <w:iCs/>
          <w:sz w:val="23"/>
          <w:szCs w:val="23"/>
        </w:rPr>
      </w:pPr>
      <w:r w:rsidRPr="00636714">
        <w:rPr>
          <w:rFonts w:ascii="Times New Roman" w:hAnsi="Times New Roman" w:cs="Times New Roman"/>
          <w:bCs/>
          <w:iCs/>
          <w:sz w:val="23"/>
          <w:szCs w:val="23"/>
        </w:rPr>
        <w:t>En la siguiente tabla se observa que entre 2015 y 2016 la matrícula reportó un crecimiento en las Instituciones de Educación Superior oficiales y privadas, de 1.500 estudiantes en promedio.  En las Instituciones privadas este incremento se mantuvo hasta el año 2018 y a partir de este año empezó a caer en ambos sectores hasta el año 2021, en el cual la matrícula se consolidó en 28.567 estudiantes en el sector oficial (un 6% menos que en 2020) y 17.904 estudiantes en el sector privado (7% menos que en 2020).</w:t>
      </w:r>
    </w:p>
    <w:p w14:paraId="219A47B0" w14:textId="77777777" w:rsidR="00636714" w:rsidRPr="00636714" w:rsidRDefault="00636714" w:rsidP="00636714">
      <w:pPr>
        <w:jc w:val="both"/>
        <w:rPr>
          <w:rFonts w:ascii="Times New Roman" w:hAnsi="Times New Roman" w:cs="Times New Roman"/>
          <w:b/>
          <w:iCs/>
          <w:sz w:val="23"/>
          <w:szCs w:val="23"/>
        </w:rPr>
      </w:pPr>
    </w:p>
    <w:p w14:paraId="36BCF80A" w14:textId="77777777" w:rsidR="00636714" w:rsidRPr="00636714" w:rsidRDefault="00636714" w:rsidP="00636714">
      <w:pPr>
        <w:jc w:val="center"/>
        <w:rPr>
          <w:rFonts w:ascii="Times New Roman" w:hAnsi="Times New Roman" w:cs="Times New Roman"/>
          <w:b/>
          <w:iCs/>
          <w:sz w:val="23"/>
          <w:szCs w:val="23"/>
        </w:rPr>
      </w:pPr>
      <w:r w:rsidRPr="00636714">
        <w:rPr>
          <w:rFonts w:ascii="Times New Roman" w:hAnsi="Times New Roman" w:cs="Times New Roman"/>
          <w:b/>
          <w:iCs/>
          <w:sz w:val="23"/>
          <w:szCs w:val="23"/>
        </w:rPr>
        <w:t>Tabla 8 Matrícula por sector (2015 – 2021)</w:t>
      </w:r>
    </w:p>
    <w:tbl>
      <w:tblPr>
        <w:tblW w:w="5000" w:type="pct"/>
        <w:tblCellMar>
          <w:left w:w="70" w:type="dxa"/>
          <w:right w:w="70" w:type="dxa"/>
        </w:tblCellMar>
        <w:tblLook w:val="04A0" w:firstRow="1" w:lastRow="0" w:firstColumn="1" w:lastColumn="0" w:noHBand="0" w:noVBand="1"/>
      </w:tblPr>
      <w:tblGrid>
        <w:gridCol w:w="2044"/>
        <w:gridCol w:w="1118"/>
        <w:gridCol w:w="1195"/>
        <w:gridCol w:w="1050"/>
        <w:gridCol w:w="1050"/>
        <w:gridCol w:w="1060"/>
        <w:gridCol w:w="1060"/>
        <w:gridCol w:w="1041"/>
      </w:tblGrid>
      <w:tr w:rsidR="00636714" w:rsidRPr="00636714" w14:paraId="6C1CC8C3" w14:textId="77777777" w:rsidTr="009A6D3A">
        <w:trPr>
          <w:trHeight w:val="20"/>
          <w:tblHeader/>
        </w:trPr>
        <w:tc>
          <w:tcPr>
            <w:tcW w:w="1063"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0A846DF4"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Sector</w:t>
            </w:r>
          </w:p>
        </w:tc>
        <w:tc>
          <w:tcPr>
            <w:tcW w:w="581" w:type="pct"/>
            <w:tcBorders>
              <w:top w:val="single" w:sz="8" w:space="0" w:color="3366CC"/>
              <w:left w:val="nil"/>
              <w:bottom w:val="single" w:sz="8" w:space="0" w:color="3366CC"/>
              <w:right w:val="nil"/>
            </w:tcBorders>
            <w:shd w:val="clear" w:color="000000" w:fill="DDEBF7"/>
            <w:noWrap/>
            <w:vAlign w:val="center"/>
            <w:hideMark/>
          </w:tcPr>
          <w:p w14:paraId="157AE6B6"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2015</w:t>
            </w:r>
          </w:p>
        </w:tc>
        <w:tc>
          <w:tcPr>
            <w:tcW w:w="621" w:type="pct"/>
            <w:tcBorders>
              <w:top w:val="single" w:sz="8" w:space="0" w:color="3366CC"/>
              <w:left w:val="nil"/>
              <w:bottom w:val="single" w:sz="8" w:space="0" w:color="3366CC"/>
              <w:right w:val="nil"/>
            </w:tcBorders>
            <w:shd w:val="clear" w:color="000000" w:fill="DDEBF7"/>
            <w:vAlign w:val="center"/>
            <w:hideMark/>
          </w:tcPr>
          <w:p w14:paraId="26F18905"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2016</w:t>
            </w:r>
          </w:p>
        </w:tc>
        <w:tc>
          <w:tcPr>
            <w:tcW w:w="546" w:type="pct"/>
            <w:tcBorders>
              <w:top w:val="single" w:sz="8" w:space="0" w:color="3366CC"/>
              <w:left w:val="nil"/>
              <w:bottom w:val="single" w:sz="8" w:space="0" w:color="3366CC"/>
              <w:right w:val="nil"/>
            </w:tcBorders>
            <w:shd w:val="clear" w:color="000000" w:fill="DDEBF7"/>
            <w:vAlign w:val="center"/>
            <w:hideMark/>
          </w:tcPr>
          <w:p w14:paraId="1B224170"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2017</w:t>
            </w:r>
          </w:p>
        </w:tc>
        <w:tc>
          <w:tcPr>
            <w:tcW w:w="546" w:type="pct"/>
            <w:tcBorders>
              <w:top w:val="single" w:sz="8" w:space="0" w:color="3366CC"/>
              <w:left w:val="nil"/>
              <w:bottom w:val="single" w:sz="8" w:space="0" w:color="3366CC"/>
              <w:right w:val="nil"/>
            </w:tcBorders>
            <w:shd w:val="clear" w:color="000000" w:fill="DDEBF7"/>
            <w:vAlign w:val="center"/>
            <w:hideMark/>
          </w:tcPr>
          <w:p w14:paraId="0C351725"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2018</w:t>
            </w:r>
          </w:p>
        </w:tc>
        <w:tc>
          <w:tcPr>
            <w:tcW w:w="551" w:type="pct"/>
            <w:tcBorders>
              <w:top w:val="single" w:sz="8" w:space="0" w:color="3366CC"/>
              <w:left w:val="single" w:sz="4" w:space="0" w:color="808080"/>
              <w:bottom w:val="single" w:sz="8" w:space="0" w:color="3366CC"/>
              <w:right w:val="single" w:sz="4" w:space="0" w:color="808080"/>
            </w:tcBorders>
            <w:shd w:val="clear" w:color="000000" w:fill="DDEBF7"/>
            <w:vAlign w:val="center"/>
            <w:hideMark/>
          </w:tcPr>
          <w:p w14:paraId="6BC5956B"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2019</w:t>
            </w:r>
          </w:p>
        </w:tc>
        <w:tc>
          <w:tcPr>
            <w:tcW w:w="551" w:type="pct"/>
            <w:tcBorders>
              <w:top w:val="single" w:sz="8" w:space="0" w:color="3366CC"/>
              <w:left w:val="nil"/>
              <w:bottom w:val="single" w:sz="8" w:space="0" w:color="3366CC"/>
              <w:right w:val="single" w:sz="4" w:space="0" w:color="808080"/>
            </w:tcBorders>
            <w:shd w:val="clear" w:color="000000" w:fill="DDEBF7"/>
            <w:vAlign w:val="center"/>
            <w:hideMark/>
          </w:tcPr>
          <w:p w14:paraId="160225CE"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2020</w:t>
            </w:r>
          </w:p>
        </w:tc>
        <w:tc>
          <w:tcPr>
            <w:tcW w:w="541" w:type="pct"/>
            <w:tcBorders>
              <w:top w:val="single" w:sz="8" w:space="0" w:color="3366CC"/>
              <w:left w:val="nil"/>
              <w:bottom w:val="single" w:sz="8" w:space="0" w:color="3366CC"/>
              <w:right w:val="single" w:sz="8" w:space="0" w:color="3366CC"/>
            </w:tcBorders>
            <w:shd w:val="clear" w:color="000000" w:fill="DDEBF7"/>
            <w:vAlign w:val="center"/>
            <w:hideMark/>
          </w:tcPr>
          <w:p w14:paraId="6B711418"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2021</w:t>
            </w:r>
          </w:p>
        </w:tc>
      </w:tr>
      <w:tr w:rsidR="00636714" w:rsidRPr="00636714" w14:paraId="2459F08C" w14:textId="77777777" w:rsidTr="009A6D3A">
        <w:trPr>
          <w:trHeight w:val="20"/>
        </w:trPr>
        <w:tc>
          <w:tcPr>
            <w:tcW w:w="1063" w:type="pct"/>
            <w:tcBorders>
              <w:top w:val="single" w:sz="8" w:space="0" w:color="3366CC"/>
              <w:left w:val="single" w:sz="8" w:space="0" w:color="3366CC"/>
              <w:bottom w:val="single" w:sz="4" w:space="0" w:color="808080"/>
              <w:right w:val="single" w:sz="8" w:space="0" w:color="3366CC"/>
            </w:tcBorders>
            <w:shd w:val="clear" w:color="auto" w:fill="auto"/>
            <w:noWrap/>
            <w:vAlign w:val="center"/>
            <w:hideMark/>
          </w:tcPr>
          <w:p w14:paraId="274EDE59"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Oficial</w:t>
            </w:r>
          </w:p>
        </w:tc>
        <w:tc>
          <w:tcPr>
            <w:tcW w:w="581" w:type="pct"/>
            <w:tcBorders>
              <w:top w:val="nil"/>
              <w:left w:val="nil"/>
              <w:bottom w:val="single" w:sz="4" w:space="0" w:color="808080"/>
              <w:right w:val="single" w:sz="4" w:space="0" w:color="808080"/>
            </w:tcBorders>
            <w:shd w:val="clear" w:color="auto" w:fill="auto"/>
            <w:noWrap/>
            <w:vAlign w:val="center"/>
            <w:hideMark/>
          </w:tcPr>
          <w:p w14:paraId="17B4B967"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29.753</w:t>
            </w:r>
          </w:p>
        </w:tc>
        <w:tc>
          <w:tcPr>
            <w:tcW w:w="621" w:type="pct"/>
            <w:tcBorders>
              <w:top w:val="nil"/>
              <w:left w:val="nil"/>
              <w:bottom w:val="single" w:sz="4" w:space="0" w:color="808080"/>
              <w:right w:val="single" w:sz="4" w:space="0" w:color="808080"/>
            </w:tcBorders>
            <w:shd w:val="clear" w:color="auto" w:fill="auto"/>
            <w:noWrap/>
            <w:vAlign w:val="center"/>
            <w:hideMark/>
          </w:tcPr>
          <w:p w14:paraId="0B395952"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31.007</w:t>
            </w:r>
          </w:p>
        </w:tc>
        <w:tc>
          <w:tcPr>
            <w:tcW w:w="546" w:type="pct"/>
            <w:tcBorders>
              <w:top w:val="nil"/>
              <w:left w:val="nil"/>
              <w:bottom w:val="single" w:sz="4" w:space="0" w:color="808080"/>
              <w:right w:val="single" w:sz="4" w:space="0" w:color="808080"/>
            </w:tcBorders>
            <w:shd w:val="clear" w:color="auto" w:fill="auto"/>
            <w:noWrap/>
            <w:vAlign w:val="center"/>
            <w:hideMark/>
          </w:tcPr>
          <w:p w14:paraId="32245B68"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30.277</w:t>
            </w:r>
          </w:p>
        </w:tc>
        <w:tc>
          <w:tcPr>
            <w:tcW w:w="546" w:type="pct"/>
            <w:tcBorders>
              <w:top w:val="nil"/>
              <w:left w:val="nil"/>
              <w:bottom w:val="single" w:sz="4" w:space="0" w:color="808080"/>
              <w:right w:val="nil"/>
            </w:tcBorders>
            <w:shd w:val="clear" w:color="auto" w:fill="auto"/>
            <w:noWrap/>
            <w:vAlign w:val="center"/>
            <w:hideMark/>
          </w:tcPr>
          <w:p w14:paraId="37D37C99"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30.516</w:t>
            </w:r>
          </w:p>
        </w:tc>
        <w:tc>
          <w:tcPr>
            <w:tcW w:w="551" w:type="pct"/>
            <w:tcBorders>
              <w:top w:val="nil"/>
              <w:left w:val="single" w:sz="4" w:space="0" w:color="808080"/>
              <w:bottom w:val="single" w:sz="4" w:space="0" w:color="808080"/>
              <w:right w:val="nil"/>
            </w:tcBorders>
            <w:shd w:val="clear" w:color="auto" w:fill="auto"/>
            <w:noWrap/>
            <w:vAlign w:val="center"/>
            <w:hideMark/>
          </w:tcPr>
          <w:p w14:paraId="475FCEED"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30.468</w:t>
            </w:r>
          </w:p>
        </w:tc>
        <w:tc>
          <w:tcPr>
            <w:tcW w:w="551" w:type="pct"/>
            <w:tcBorders>
              <w:top w:val="nil"/>
              <w:left w:val="single" w:sz="4" w:space="0" w:color="808080"/>
              <w:bottom w:val="single" w:sz="4" w:space="0" w:color="808080"/>
              <w:right w:val="nil"/>
            </w:tcBorders>
            <w:shd w:val="clear" w:color="auto" w:fill="auto"/>
            <w:noWrap/>
            <w:vAlign w:val="center"/>
            <w:hideMark/>
          </w:tcPr>
          <w:p w14:paraId="41922FAA"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30.420</w:t>
            </w:r>
          </w:p>
        </w:tc>
        <w:tc>
          <w:tcPr>
            <w:tcW w:w="541" w:type="pct"/>
            <w:tcBorders>
              <w:top w:val="nil"/>
              <w:left w:val="single" w:sz="4" w:space="0" w:color="808080"/>
              <w:bottom w:val="single" w:sz="4" w:space="0" w:color="808080"/>
              <w:right w:val="single" w:sz="8" w:space="0" w:color="3366CC"/>
            </w:tcBorders>
            <w:shd w:val="clear" w:color="auto" w:fill="auto"/>
            <w:noWrap/>
            <w:vAlign w:val="center"/>
            <w:hideMark/>
          </w:tcPr>
          <w:p w14:paraId="203B773C"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28.567</w:t>
            </w:r>
          </w:p>
        </w:tc>
      </w:tr>
      <w:tr w:rsidR="00636714" w:rsidRPr="00636714" w14:paraId="08290CDD" w14:textId="77777777" w:rsidTr="009A6D3A">
        <w:trPr>
          <w:trHeight w:val="20"/>
        </w:trPr>
        <w:tc>
          <w:tcPr>
            <w:tcW w:w="1063" w:type="pct"/>
            <w:tcBorders>
              <w:top w:val="single" w:sz="4" w:space="0" w:color="808080"/>
              <w:left w:val="single" w:sz="8" w:space="0" w:color="3366CC"/>
              <w:bottom w:val="single" w:sz="4" w:space="0" w:color="808080"/>
              <w:right w:val="single" w:sz="8" w:space="0" w:color="3366CC"/>
            </w:tcBorders>
            <w:shd w:val="clear" w:color="auto" w:fill="auto"/>
            <w:noWrap/>
            <w:vAlign w:val="center"/>
            <w:hideMark/>
          </w:tcPr>
          <w:p w14:paraId="296DE3BB"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Privada</w:t>
            </w:r>
          </w:p>
        </w:tc>
        <w:tc>
          <w:tcPr>
            <w:tcW w:w="581" w:type="pct"/>
            <w:tcBorders>
              <w:top w:val="nil"/>
              <w:left w:val="nil"/>
              <w:bottom w:val="single" w:sz="4" w:space="0" w:color="808080"/>
              <w:right w:val="single" w:sz="4" w:space="0" w:color="808080"/>
            </w:tcBorders>
            <w:shd w:val="clear" w:color="auto" w:fill="auto"/>
            <w:noWrap/>
            <w:vAlign w:val="center"/>
            <w:hideMark/>
          </w:tcPr>
          <w:p w14:paraId="77C65199"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16.838</w:t>
            </w:r>
          </w:p>
        </w:tc>
        <w:tc>
          <w:tcPr>
            <w:tcW w:w="621" w:type="pct"/>
            <w:tcBorders>
              <w:top w:val="nil"/>
              <w:left w:val="nil"/>
              <w:bottom w:val="single" w:sz="4" w:space="0" w:color="808080"/>
              <w:right w:val="single" w:sz="4" w:space="0" w:color="808080"/>
            </w:tcBorders>
            <w:shd w:val="clear" w:color="auto" w:fill="auto"/>
            <w:noWrap/>
            <w:vAlign w:val="center"/>
            <w:hideMark/>
          </w:tcPr>
          <w:p w14:paraId="0E356487"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18.478</w:t>
            </w:r>
          </w:p>
        </w:tc>
        <w:tc>
          <w:tcPr>
            <w:tcW w:w="546" w:type="pct"/>
            <w:tcBorders>
              <w:top w:val="nil"/>
              <w:left w:val="nil"/>
              <w:bottom w:val="single" w:sz="4" w:space="0" w:color="808080"/>
              <w:right w:val="single" w:sz="4" w:space="0" w:color="808080"/>
            </w:tcBorders>
            <w:shd w:val="clear" w:color="auto" w:fill="auto"/>
            <w:noWrap/>
            <w:vAlign w:val="center"/>
            <w:hideMark/>
          </w:tcPr>
          <w:p w14:paraId="315E51F5"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19.880</w:t>
            </w:r>
          </w:p>
        </w:tc>
        <w:tc>
          <w:tcPr>
            <w:tcW w:w="546" w:type="pct"/>
            <w:tcBorders>
              <w:top w:val="nil"/>
              <w:left w:val="nil"/>
              <w:bottom w:val="single" w:sz="4" w:space="0" w:color="808080"/>
              <w:right w:val="nil"/>
            </w:tcBorders>
            <w:shd w:val="clear" w:color="auto" w:fill="auto"/>
            <w:noWrap/>
            <w:vAlign w:val="center"/>
            <w:hideMark/>
          </w:tcPr>
          <w:p w14:paraId="0A7ADF5A"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20.754</w:t>
            </w:r>
          </w:p>
        </w:tc>
        <w:tc>
          <w:tcPr>
            <w:tcW w:w="551" w:type="pct"/>
            <w:tcBorders>
              <w:top w:val="nil"/>
              <w:left w:val="single" w:sz="4" w:space="0" w:color="808080"/>
              <w:bottom w:val="single" w:sz="4" w:space="0" w:color="808080"/>
              <w:right w:val="nil"/>
            </w:tcBorders>
            <w:shd w:val="clear" w:color="auto" w:fill="auto"/>
            <w:noWrap/>
            <w:vAlign w:val="center"/>
            <w:hideMark/>
          </w:tcPr>
          <w:p w14:paraId="26D72DC7"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20.112</w:t>
            </w:r>
          </w:p>
        </w:tc>
        <w:tc>
          <w:tcPr>
            <w:tcW w:w="551" w:type="pct"/>
            <w:tcBorders>
              <w:top w:val="nil"/>
              <w:left w:val="single" w:sz="4" w:space="0" w:color="808080"/>
              <w:bottom w:val="single" w:sz="4" w:space="0" w:color="808080"/>
              <w:right w:val="nil"/>
            </w:tcBorders>
            <w:shd w:val="clear" w:color="auto" w:fill="auto"/>
            <w:noWrap/>
            <w:vAlign w:val="center"/>
            <w:hideMark/>
          </w:tcPr>
          <w:p w14:paraId="2803F9F8"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19.190</w:t>
            </w:r>
          </w:p>
        </w:tc>
        <w:tc>
          <w:tcPr>
            <w:tcW w:w="541" w:type="pct"/>
            <w:tcBorders>
              <w:top w:val="nil"/>
              <w:left w:val="single" w:sz="4" w:space="0" w:color="808080"/>
              <w:bottom w:val="single" w:sz="4" w:space="0" w:color="808080"/>
              <w:right w:val="single" w:sz="8" w:space="0" w:color="3366CC"/>
            </w:tcBorders>
            <w:shd w:val="clear" w:color="auto" w:fill="auto"/>
            <w:noWrap/>
            <w:vAlign w:val="center"/>
            <w:hideMark/>
          </w:tcPr>
          <w:p w14:paraId="3B996E4B" w14:textId="77777777" w:rsidR="00636714" w:rsidRPr="00636714" w:rsidRDefault="00636714" w:rsidP="00636714">
            <w:pPr>
              <w:jc w:val="center"/>
              <w:rPr>
                <w:rFonts w:ascii="Times New Roman" w:hAnsi="Times New Roman" w:cs="Times New Roman"/>
                <w:bCs/>
                <w:iCs/>
                <w:sz w:val="23"/>
                <w:szCs w:val="23"/>
              </w:rPr>
            </w:pPr>
            <w:r w:rsidRPr="00636714">
              <w:rPr>
                <w:rFonts w:ascii="Times New Roman" w:hAnsi="Times New Roman" w:cs="Times New Roman"/>
                <w:bCs/>
                <w:iCs/>
                <w:sz w:val="23"/>
                <w:szCs w:val="23"/>
              </w:rPr>
              <w:t>17.904</w:t>
            </w:r>
          </w:p>
        </w:tc>
      </w:tr>
      <w:tr w:rsidR="00636714" w:rsidRPr="00636714" w14:paraId="2D33A5E6" w14:textId="77777777" w:rsidTr="009A6D3A">
        <w:trPr>
          <w:trHeight w:val="20"/>
        </w:trPr>
        <w:tc>
          <w:tcPr>
            <w:tcW w:w="1063" w:type="pct"/>
            <w:tcBorders>
              <w:top w:val="single" w:sz="4" w:space="0" w:color="808080"/>
              <w:left w:val="single" w:sz="8" w:space="0" w:color="3366CC"/>
              <w:bottom w:val="single" w:sz="8" w:space="0" w:color="3366CC"/>
              <w:right w:val="single" w:sz="8" w:space="0" w:color="3366CC"/>
            </w:tcBorders>
            <w:shd w:val="clear" w:color="000000" w:fill="DDEBF7"/>
            <w:noWrap/>
            <w:vAlign w:val="center"/>
            <w:hideMark/>
          </w:tcPr>
          <w:p w14:paraId="29DF370E"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Total General</w:t>
            </w:r>
          </w:p>
        </w:tc>
        <w:tc>
          <w:tcPr>
            <w:tcW w:w="581" w:type="pct"/>
            <w:tcBorders>
              <w:top w:val="nil"/>
              <w:left w:val="nil"/>
              <w:bottom w:val="single" w:sz="8" w:space="0" w:color="3366CC"/>
              <w:right w:val="single" w:sz="4" w:space="0" w:color="808080"/>
            </w:tcBorders>
            <w:shd w:val="clear" w:color="000000" w:fill="DDEBF7"/>
            <w:noWrap/>
            <w:vAlign w:val="center"/>
            <w:hideMark/>
          </w:tcPr>
          <w:p w14:paraId="734FD379"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46.591</w:t>
            </w:r>
          </w:p>
        </w:tc>
        <w:tc>
          <w:tcPr>
            <w:tcW w:w="621" w:type="pct"/>
            <w:tcBorders>
              <w:top w:val="nil"/>
              <w:left w:val="nil"/>
              <w:bottom w:val="single" w:sz="8" w:space="0" w:color="3366CC"/>
              <w:right w:val="single" w:sz="4" w:space="0" w:color="808080"/>
            </w:tcBorders>
            <w:shd w:val="clear" w:color="000000" w:fill="DDEBF7"/>
            <w:noWrap/>
            <w:vAlign w:val="center"/>
            <w:hideMark/>
          </w:tcPr>
          <w:p w14:paraId="5870BC6C"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49.485</w:t>
            </w:r>
          </w:p>
        </w:tc>
        <w:tc>
          <w:tcPr>
            <w:tcW w:w="546" w:type="pct"/>
            <w:tcBorders>
              <w:top w:val="nil"/>
              <w:left w:val="nil"/>
              <w:bottom w:val="single" w:sz="8" w:space="0" w:color="3366CC"/>
              <w:right w:val="single" w:sz="4" w:space="0" w:color="808080"/>
            </w:tcBorders>
            <w:shd w:val="clear" w:color="000000" w:fill="DDEBF7"/>
            <w:noWrap/>
            <w:vAlign w:val="center"/>
            <w:hideMark/>
          </w:tcPr>
          <w:p w14:paraId="77F951A0"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50.157</w:t>
            </w:r>
          </w:p>
        </w:tc>
        <w:tc>
          <w:tcPr>
            <w:tcW w:w="546" w:type="pct"/>
            <w:tcBorders>
              <w:top w:val="nil"/>
              <w:left w:val="nil"/>
              <w:bottom w:val="single" w:sz="8" w:space="0" w:color="3366CC"/>
              <w:right w:val="nil"/>
            </w:tcBorders>
            <w:shd w:val="clear" w:color="000000" w:fill="DDEBF7"/>
            <w:noWrap/>
            <w:vAlign w:val="center"/>
            <w:hideMark/>
          </w:tcPr>
          <w:p w14:paraId="32BD5186"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51.270</w:t>
            </w:r>
          </w:p>
        </w:tc>
        <w:tc>
          <w:tcPr>
            <w:tcW w:w="551" w:type="pct"/>
            <w:tcBorders>
              <w:top w:val="nil"/>
              <w:left w:val="single" w:sz="4" w:space="0" w:color="808080"/>
              <w:bottom w:val="single" w:sz="8" w:space="0" w:color="3366CC"/>
              <w:right w:val="nil"/>
            </w:tcBorders>
            <w:shd w:val="clear" w:color="000000" w:fill="DDEBF7"/>
            <w:noWrap/>
            <w:vAlign w:val="center"/>
            <w:hideMark/>
          </w:tcPr>
          <w:p w14:paraId="23ED58D3"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50.580</w:t>
            </w:r>
          </w:p>
        </w:tc>
        <w:tc>
          <w:tcPr>
            <w:tcW w:w="551" w:type="pct"/>
            <w:tcBorders>
              <w:top w:val="nil"/>
              <w:left w:val="single" w:sz="4" w:space="0" w:color="808080"/>
              <w:bottom w:val="single" w:sz="8" w:space="0" w:color="3366CC"/>
              <w:right w:val="nil"/>
            </w:tcBorders>
            <w:shd w:val="clear" w:color="000000" w:fill="DDEBF7"/>
            <w:noWrap/>
            <w:vAlign w:val="center"/>
            <w:hideMark/>
          </w:tcPr>
          <w:p w14:paraId="637553A4"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49.610</w:t>
            </w:r>
          </w:p>
        </w:tc>
        <w:tc>
          <w:tcPr>
            <w:tcW w:w="541" w:type="pct"/>
            <w:tcBorders>
              <w:top w:val="nil"/>
              <w:left w:val="single" w:sz="4" w:space="0" w:color="808080"/>
              <w:bottom w:val="single" w:sz="8" w:space="0" w:color="3366CC"/>
              <w:right w:val="single" w:sz="8" w:space="0" w:color="3366CC"/>
            </w:tcBorders>
            <w:shd w:val="clear" w:color="000000" w:fill="DDEBF7"/>
            <w:noWrap/>
            <w:vAlign w:val="center"/>
            <w:hideMark/>
          </w:tcPr>
          <w:p w14:paraId="2716B53D" w14:textId="77777777" w:rsidR="00636714" w:rsidRPr="00636714" w:rsidRDefault="00636714" w:rsidP="00636714">
            <w:pPr>
              <w:jc w:val="center"/>
              <w:rPr>
                <w:rFonts w:ascii="Times New Roman" w:hAnsi="Times New Roman" w:cs="Times New Roman"/>
                <w:b/>
                <w:bCs/>
                <w:iCs/>
                <w:sz w:val="23"/>
                <w:szCs w:val="23"/>
              </w:rPr>
            </w:pPr>
            <w:r w:rsidRPr="00636714">
              <w:rPr>
                <w:rFonts w:ascii="Times New Roman" w:hAnsi="Times New Roman" w:cs="Times New Roman"/>
                <w:b/>
                <w:bCs/>
                <w:iCs/>
                <w:sz w:val="23"/>
                <w:szCs w:val="23"/>
              </w:rPr>
              <w:t>46.471</w:t>
            </w:r>
          </w:p>
        </w:tc>
      </w:tr>
    </w:tbl>
    <w:p w14:paraId="31703FFF" w14:textId="77777777" w:rsidR="00636714" w:rsidRPr="00636714" w:rsidRDefault="00636714" w:rsidP="00636714">
      <w:pPr>
        <w:jc w:val="center"/>
        <w:rPr>
          <w:rFonts w:ascii="Times New Roman" w:hAnsi="Times New Roman" w:cs="Times New Roman"/>
          <w:sz w:val="23"/>
          <w:szCs w:val="23"/>
        </w:rPr>
      </w:pPr>
      <w:r w:rsidRPr="00636714">
        <w:rPr>
          <w:rStyle w:val="Referenciasutil"/>
          <w:rFonts w:ascii="Times New Roman" w:hAnsi="Times New Roman" w:cs="Times New Roman"/>
          <w:sz w:val="23"/>
          <w:szCs w:val="23"/>
        </w:rPr>
        <w:t>Fuente: Cálculos MCV</w:t>
      </w:r>
    </w:p>
    <w:p w14:paraId="3A53F281" w14:textId="73B4E40D" w:rsidR="00636714" w:rsidRPr="00636714" w:rsidRDefault="00636714" w:rsidP="00636714">
      <w:pPr>
        <w:pStyle w:val="Ttulo1"/>
        <w:jc w:val="both"/>
        <w:rPr>
          <w:rFonts w:ascii="Times New Roman" w:hAnsi="Times New Roman" w:cs="Times New Roman"/>
          <w:sz w:val="23"/>
          <w:szCs w:val="23"/>
        </w:rPr>
      </w:pPr>
      <w:r w:rsidRPr="00636714">
        <w:rPr>
          <w:rFonts w:ascii="Times New Roman" w:hAnsi="Times New Roman" w:cs="Times New Roman"/>
          <w:sz w:val="23"/>
          <w:szCs w:val="23"/>
        </w:rPr>
        <w:t>Acceso a la educación superior según nivel de formación</w:t>
      </w:r>
      <w:r>
        <w:rPr>
          <w:rFonts w:ascii="Times New Roman" w:hAnsi="Times New Roman" w:cs="Times New Roman"/>
          <w:sz w:val="23"/>
          <w:szCs w:val="23"/>
        </w:rPr>
        <w:t>:</w:t>
      </w:r>
    </w:p>
    <w:p w14:paraId="0CF26916"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La composición de la matrícula según el nivel de formación revela que la fortaleza del departamento está en el de nivel de formación universitario con el 69% en el año 2021. El departamento no solo se destaca por su vocación universitaria, sino también por brindar diversas oportunidades de formación a la población que opta por continuar con educación terciaria. </w:t>
      </w:r>
    </w:p>
    <w:p w14:paraId="4AB63A59" w14:textId="77777777" w:rsidR="00636714" w:rsidRPr="00636714" w:rsidRDefault="00636714" w:rsidP="00636714">
      <w:pPr>
        <w:jc w:val="both"/>
        <w:rPr>
          <w:rFonts w:ascii="Times New Roman" w:hAnsi="Times New Roman" w:cs="Times New Roman"/>
          <w:sz w:val="23"/>
          <w:szCs w:val="23"/>
        </w:rPr>
      </w:pPr>
    </w:p>
    <w:p w14:paraId="4BE93B81"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La distribución muestra que, en el año 2021, en Caldas, de cada 100 estudiantes de educación superior, 69 fueron universitarios, 21 cursaron educación técnica y tecnológica y 10 cursaron un posgrado. Vale la pena mencionar que esta composición tiene una tendencia estructural con muy poca variación entre años.</w:t>
      </w:r>
    </w:p>
    <w:p w14:paraId="4D9C8F2A" w14:textId="77777777" w:rsidR="00636714" w:rsidRPr="00636714" w:rsidRDefault="00636714" w:rsidP="00636714">
      <w:pPr>
        <w:jc w:val="both"/>
        <w:rPr>
          <w:rFonts w:ascii="Times New Roman" w:hAnsi="Times New Roman" w:cs="Times New Roman"/>
          <w:sz w:val="23"/>
          <w:szCs w:val="23"/>
        </w:rPr>
      </w:pPr>
    </w:p>
    <w:p w14:paraId="022A046B" w14:textId="7D9DBA55" w:rsidR="00636714" w:rsidRPr="00636714" w:rsidRDefault="00636714" w:rsidP="00636714">
      <w:pPr>
        <w:jc w:val="center"/>
        <w:rPr>
          <w:rFonts w:ascii="Times New Roman" w:hAnsi="Times New Roman" w:cs="Times New Roman"/>
          <w:b/>
          <w:iCs/>
          <w:sz w:val="23"/>
          <w:szCs w:val="23"/>
        </w:rPr>
      </w:pPr>
      <w:r w:rsidRPr="00636714">
        <w:rPr>
          <w:rFonts w:ascii="Times New Roman" w:hAnsi="Times New Roman" w:cs="Times New Roman"/>
          <w:b/>
          <w:iCs/>
          <w:sz w:val="23"/>
          <w:szCs w:val="23"/>
        </w:rPr>
        <w:t>Tabla 9 Matrícula por nivel de formación (2015 – 2021)</w:t>
      </w:r>
    </w:p>
    <w:tbl>
      <w:tblPr>
        <w:tblW w:w="5000" w:type="pct"/>
        <w:tblCellMar>
          <w:left w:w="70" w:type="dxa"/>
          <w:right w:w="70" w:type="dxa"/>
        </w:tblCellMar>
        <w:tblLook w:val="04A0" w:firstRow="1" w:lastRow="0" w:firstColumn="1" w:lastColumn="0" w:noHBand="0" w:noVBand="1"/>
      </w:tblPr>
      <w:tblGrid>
        <w:gridCol w:w="2670"/>
        <w:gridCol w:w="1025"/>
        <w:gridCol w:w="1102"/>
        <w:gridCol w:w="958"/>
        <w:gridCol w:w="958"/>
        <w:gridCol w:w="1012"/>
        <w:gridCol w:w="991"/>
        <w:gridCol w:w="902"/>
      </w:tblGrid>
      <w:tr w:rsidR="00636714" w:rsidRPr="00636714" w14:paraId="6E7F4D37" w14:textId="77777777" w:rsidTr="009A6D3A">
        <w:trPr>
          <w:trHeight w:val="390"/>
        </w:trPr>
        <w:tc>
          <w:tcPr>
            <w:tcW w:w="1388"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20F828C8"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Nivel de formación</w:t>
            </w:r>
          </w:p>
        </w:tc>
        <w:tc>
          <w:tcPr>
            <w:tcW w:w="533" w:type="pct"/>
            <w:tcBorders>
              <w:top w:val="single" w:sz="8" w:space="0" w:color="3366CC"/>
              <w:left w:val="nil"/>
              <w:bottom w:val="single" w:sz="8" w:space="0" w:color="3366CC"/>
              <w:right w:val="nil"/>
            </w:tcBorders>
            <w:shd w:val="clear" w:color="000000" w:fill="DDEBF7"/>
            <w:noWrap/>
            <w:vAlign w:val="center"/>
            <w:hideMark/>
          </w:tcPr>
          <w:p w14:paraId="6B414511"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2015</w:t>
            </w:r>
          </w:p>
        </w:tc>
        <w:tc>
          <w:tcPr>
            <w:tcW w:w="573" w:type="pct"/>
            <w:tcBorders>
              <w:top w:val="single" w:sz="8" w:space="0" w:color="3366CC"/>
              <w:left w:val="nil"/>
              <w:bottom w:val="single" w:sz="8" w:space="0" w:color="3366CC"/>
              <w:right w:val="nil"/>
            </w:tcBorders>
            <w:shd w:val="clear" w:color="000000" w:fill="DDEBF7"/>
            <w:vAlign w:val="center"/>
            <w:hideMark/>
          </w:tcPr>
          <w:p w14:paraId="420387CD"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2016</w:t>
            </w:r>
          </w:p>
        </w:tc>
        <w:tc>
          <w:tcPr>
            <w:tcW w:w="498" w:type="pct"/>
            <w:tcBorders>
              <w:top w:val="single" w:sz="8" w:space="0" w:color="3366CC"/>
              <w:left w:val="nil"/>
              <w:bottom w:val="single" w:sz="8" w:space="0" w:color="3366CC"/>
              <w:right w:val="nil"/>
            </w:tcBorders>
            <w:shd w:val="clear" w:color="000000" w:fill="DDEBF7"/>
            <w:vAlign w:val="center"/>
            <w:hideMark/>
          </w:tcPr>
          <w:p w14:paraId="1C7D893C"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2017</w:t>
            </w:r>
          </w:p>
        </w:tc>
        <w:tc>
          <w:tcPr>
            <w:tcW w:w="498" w:type="pct"/>
            <w:tcBorders>
              <w:top w:val="single" w:sz="8" w:space="0" w:color="3366CC"/>
              <w:left w:val="nil"/>
              <w:bottom w:val="single" w:sz="8" w:space="0" w:color="3366CC"/>
              <w:right w:val="nil"/>
            </w:tcBorders>
            <w:shd w:val="clear" w:color="000000" w:fill="DDEBF7"/>
            <w:vAlign w:val="center"/>
            <w:hideMark/>
          </w:tcPr>
          <w:p w14:paraId="17067A66"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2018</w:t>
            </w:r>
          </w:p>
        </w:tc>
        <w:tc>
          <w:tcPr>
            <w:tcW w:w="526" w:type="pct"/>
            <w:tcBorders>
              <w:top w:val="single" w:sz="8" w:space="0" w:color="3366CC"/>
              <w:left w:val="single" w:sz="4" w:space="0" w:color="808080"/>
              <w:bottom w:val="single" w:sz="8" w:space="0" w:color="3366CC"/>
              <w:right w:val="single" w:sz="4" w:space="0" w:color="808080"/>
            </w:tcBorders>
            <w:shd w:val="clear" w:color="000000" w:fill="DDEBF7"/>
            <w:vAlign w:val="center"/>
            <w:hideMark/>
          </w:tcPr>
          <w:p w14:paraId="6E9245FC"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2019</w:t>
            </w:r>
          </w:p>
        </w:tc>
        <w:tc>
          <w:tcPr>
            <w:tcW w:w="515" w:type="pct"/>
            <w:tcBorders>
              <w:top w:val="single" w:sz="8" w:space="0" w:color="3366CC"/>
              <w:left w:val="nil"/>
              <w:bottom w:val="single" w:sz="8" w:space="0" w:color="3366CC"/>
              <w:right w:val="single" w:sz="4" w:space="0" w:color="808080"/>
            </w:tcBorders>
            <w:shd w:val="clear" w:color="000000" w:fill="DDEBF7"/>
            <w:vAlign w:val="center"/>
            <w:hideMark/>
          </w:tcPr>
          <w:p w14:paraId="7C93D7D1"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2020</w:t>
            </w:r>
          </w:p>
        </w:tc>
        <w:tc>
          <w:tcPr>
            <w:tcW w:w="469" w:type="pct"/>
            <w:tcBorders>
              <w:top w:val="single" w:sz="8" w:space="0" w:color="3366CC"/>
              <w:left w:val="nil"/>
              <w:bottom w:val="single" w:sz="8" w:space="0" w:color="3366CC"/>
              <w:right w:val="single" w:sz="8" w:space="0" w:color="3366CC"/>
            </w:tcBorders>
            <w:shd w:val="clear" w:color="000000" w:fill="DDEBF7"/>
            <w:vAlign w:val="center"/>
            <w:hideMark/>
          </w:tcPr>
          <w:p w14:paraId="4ECB761E"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2021</w:t>
            </w:r>
          </w:p>
        </w:tc>
      </w:tr>
      <w:tr w:rsidR="00636714" w:rsidRPr="00636714" w14:paraId="434E3F6E" w14:textId="77777777" w:rsidTr="009A6D3A">
        <w:trPr>
          <w:trHeight w:val="375"/>
        </w:trPr>
        <w:tc>
          <w:tcPr>
            <w:tcW w:w="1388" w:type="pct"/>
            <w:tcBorders>
              <w:top w:val="single" w:sz="8" w:space="0" w:color="3366CC"/>
              <w:left w:val="single" w:sz="8" w:space="0" w:color="3366CC"/>
              <w:bottom w:val="single" w:sz="4" w:space="0" w:color="A6A6A6"/>
              <w:right w:val="single" w:sz="8" w:space="0" w:color="3366CC"/>
            </w:tcBorders>
            <w:shd w:val="clear" w:color="auto" w:fill="auto"/>
            <w:noWrap/>
            <w:vAlign w:val="center"/>
            <w:hideMark/>
          </w:tcPr>
          <w:p w14:paraId="24C21B89"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Técnica Profesional</w:t>
            </w:r>
          </w:p>
        </w:tc>
        <w:tc>
          <w:tcPr>
            <w:tcW w:w="533" w:type="pct"/>
            <w:tcBorders>
              <w:top w:val="nil"/>
              <w:left w:val="nil"/>
              <w:bottom w:val="single" w:sz="4" w:space="0" w:color="A6A6A6"/>
              <w:right w:val="single" w:sz="4" w:space="0" w:color="A6A6A6"/>
            </w:tcBorders>
            <w:shd w:val="clear" w:color="auto" w:fill="auto"/>
            <w:noWrap/>
            <w:vAlign w:val="center"/>
            <w:hideMark/>
          </w:tcPr>
          <w:p w14:paraId="45A7279E"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2.298</w:t>
            </w:r>
          </w:p>
        </w:tc>
        <w:tc>
          <w:tcPr>
            <w:tcW w:w="573" w:type="pct"/>
            <w:tcBorders>
              <w:top w:val="nil"/>
              <w:left w:val="nil"/>
              <w:bottom w:val="single" w:sz="4" w:space="0" w:color="A6A6A6"/>
              <w:right w:val="single" w:sz="4" w:space="0" w:color="A6A6A6"/>
            </w:tcBorders>
            <w:shd w:val="clear" w:color="auto" w:fill="auto"/>
            <w:noWrap/>
            <w:vAlign w:val="center"/>
            <w:hideMark/>
          </w:tcPr>
          <w:p w14:paraId="38A7B1D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2.954</w:t>
            </w:r>
          </w:p>
        </w:tc>
        <w:tc>
          <w:tcPr>
            <w:tcW w:w="498" w:type="pct"/>
            <w:tcBorders>
              <w:top w:val="nil"/>
              <w:left w:val="nil"/>
              <w:bottom w:val="single" w:sz="4" w:space="0" w:color="A6A6A6"/>
              <w:right w:val="single" w:sz="4" w:space="0" w:color="A6A6A6"/>
            </w:tcBorders>
            <w:shd w:val="clear" w:color="auto" w:fill="auto"/>
            <w:noWrap/>
            <w:vAlign w:val="center"/>
            <w:hideMark/>
          </w:tcPr>
          <w:p w14:paraId="145F407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2.185</w:t>
            </w:r>
          </w:p>
        </w:tc>
        <w:tc>
          <w:tcPr>
            <w:tcW w:w="498" w:type="pct"/>
            <w:tcBorders>
              <w:top w:val="nil"/>
              <w:left w:val="nil"/>
              <w:bottom w:val="single" w:sz="4" w:space="0" w:color="A6A6A6"/>
              <w:right w:val="nil"/>
            </w:tcBorders>
            <w:shd w:val="clear" w:color="auto" w:fill="auto"/>
            <w:noWrap/>
            <w:vAlign w:val="center"/>
            <w:hideMark/>
          </w:tcPr>
          <w:p w14:paraId="25397651"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3.294</w:t>
            </w:r>
          </w:p>
        </w:tc>
        <w:tc>
          <w:tcPr>
            <w:tcW w:w="526" w:type="pct"/>
            <w:tcBorders>
              <w:top w:val="nil"/>
              <w:left w:val="single" w:sz="4" w:space="0" w:color="808080"/>
              <w:bottom w:val="single" w:sz="4" w:space="0" w:color="808080"/>
              <w:right w:val="nil"/>
            </w:tcBorders>
            <w:shd w:val="clear" w:color="auto" w:fill="auto"/>
            <w:noWrap/>
            <w:vAlign w:val="center"/>
            <w:hideMark/>
          </w:tcPr>
          <w:p w14:paraId="287CCDC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3.694</w:t>
            </w:r>
          </w:p>
        </w:tc>
        <w:tc>
          <w:tcPr>
            <w:tcW w:w="515" w:type="pct"/>
            <w:tcBorders>
              <w:top w:val="nil"/>
              <w:left w:val="single" w:sz="4" w:space="0" w:color="808080"/>
              <w:bottom w:val="single" w:sz="4" w:space="0" w:color="808080"/>
              <w:right w:val="nil"/>
            </w:tcBorders>
            <w:shd w:val="clear" w:color="auto" w:fill="auto"/>
            <w:noWrap/>
            <w:vAlign w:val="center"/>
            <w:hideMark/>
          </w:tcPr>
          <w:p w14:paraId="56EF28A7"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3.011</w:t>
            </w:r>
          </w:p>
        </w:tc>
        <w:tc>
          <w:tcPr>
            <w:tcW w:w="469" w:type="pct"/>
            <w:tcBorders>
              <w:top w:val="nil"/>
              <w:left w:val="single" w:sz="4" w:space="0" w:color="808080"/>
              <w:bottom w:val="single" w:sz="4" w:space="0" w:color="808080"/>
              <w:right w:val="single" w:sz="8" w:space="0" w:color="3366CC"/>
            </w:tcBorders>
            <w:shd w:val="clear" w:color="auto" w:fill="auto"/>
            <w:noWrap/>
            <w:vAlign w:val="center"/>
            <w:hideMark/>
          </w:tcPr>
          <w:p w14:paraId="2FF774F2"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2.961</w:t>
            </w:r>
          </w:p>
        </w:tc>
      </w:tr>
      <w:tr w:rsidR="00636714" w:rsidRPr="00636714" w14:paraId="10328816" w14:textId="77777777" w:rsidTr="009A6D3A">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2BE43ECC"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Tecnológica</w:t>
            </w:r>
          </w:p>
        </w:tc>
        <w:tc>
          <w:tcPr>
            <w:tcW w:w="533" w:type="pct"/>
            <w:tcBorders>
              <w:top w:val="nil"/>
              <w:left w:val="nil"/>
              <w:bottom w:val="single" w:sz="4" w:space="0" w:color="A6A6A6"/>
              <w:right w:val="single" w:sz="4" w:space="0" w:color="A6A6A6"/>
            </w:tcBorders>
            <w:shd w:val="clear" w:color="auto" w:fill="auto"/>
            <w:noWrap/>
            <w:vAlign w:val="center"/>
            <w:hideMark/>
          </w:tcPr>
          <w:p w14:paraId="6E49D7CC"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10.999</w:t>
            </w:r>
          </w:p>
        </w:tc>
        <w:tc>
          <w:tcPr>
            <w:tcW w:w="573" w:type="pct"/>
            <w:tcBorders>
              <w:top w:val="nil"/>
              <w:left w:val="nil"/>
              <w:bottom w:val="single" w:sz="4" w:space="0" w:color="A6A6A6"/>
              <w:right w:val="single" w:sz="4" w:space="0" w:color="A6A6A6"/>
            </w:tcBorders>
            <w:shd w:val="clear" w:color="auto" w:fill="auto"/>
            <w:noWrap/>
            <w:vAlign w:val="center"/>
            <w:hideMark/>
          </w:tcPr>
          <w:p w14:paraId="21E89616"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11.063</w:t>
            </w:r>
          </w:p>
        </w:tc>
        <w:tc>
          <w:tcPr>
            <w:tcW w:w="498" w:type="pct"/>
            <w:tcBorders>
              <w:top w:val="nil"/>
              <w:left w:val="nil"/>
              <w:bottom w:val="single" w:sz="4" w:space="0" w:color="A6A6A6"/>
              <w:right w:val="single" w:sz="4" w:space="0" w:color="A6A6A6"/>
            </w:tcBorders>
            <w:shd w:val="clear" w:color="auto" w:fill="auto"/>
            <w:noWrap/>
            <w:vAlign w:val="center"/>
            <w:hideMark/>
          </w:tcPr>
          <w:p w14:paraId="72D28FE6"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10.729</w:t>
            </w:r>
          </w:p>
        </w:tc>
        <w:tc>
          <w:tcPr>
            <w:tcW w:w="498" w:type="pct"/>
            <w:tcBorders>
              <w:top w:val="nil"/>
              <w:left w:val="nil"/>
              <w:bottom w:val="single" w:sz="4" w:space="0" w:color="A6A6A6"/>
              <w:right w:val="nil"/>
            </w:tcBorders>
            <w:shd w:val="clear" w:color="auto" w:fill="auto"/>
            <w:noWrap/>
            <w:vAlign w:val="center"/>
            <w:hideMark/>
          </w:tcPr>
          <w:p w14:paraId="12E75674"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10.341</w:t>
            </w:r>
          </w:p>
        </w:tc>
        <w:tc>
          <w:tcPr>
            <w:tcW w:w="526" w:type="pct"/>
            <w:tcBorders>
              <w:top w:val="nil"/>
              <w:left w:val="single" w:sz="4" w:space="0" w:color="808080"/>
              <w:bottom w:val="single" w:sz="4" w:space="0" w:color="808080"/>
              <w:right w:val="nil"/>
            </w:tcBorders>
            <w:shd w:val="clear" w:color="auto" w:fill="auto"/>
            <w:noWrap/>
            <w:vAlign w:val="center"/>
            <w:hideMark/>
          </w:tcPr>
          <w:p w14:paraId="4FEC6932"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9.069</w:t>
            </w:r>
          </w:p>
        </w:tc>
        <w:tc>
          <w:tcPr>
            <w:tcW w:w="515" w:type="pct"/>
            <w:tcBorders>
              <w:top w:val="nil"/>
              <w:left w:val="single" w:sz="4" w:space="0" w:color="808080"/>
              <w:bottom w:val="single" w:sz="4" w:space="0" w:color="808080"/>
              <w:right w:val="nil"/>
            </w:tcBorders>
            <w:shd w:val="clear" w:color="auto" w:fill="auto"/>
            <w:noWrap/>
            <w:vAlign w:val="center"/>
            <w:hideMark/>
          </w:tcPr>
          <w:p w14:paraId="3B8C80D3"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9.038</w:t>
            </w:r>
          </w:p>
        </w:tc>
        <w:tc>
          <w:tcPr>
            <w:tcW w:w="469" w:type="pct"/>
            <w:tcBorders>
              <w:top w:val="nil"/>
              <w:left w:val="single" w:sz="4" w:space="0" w:color="808080"/>
              <w:bottom w:val="single" w:sz="4" w:space="0" w:color="808080"/>
              <w:right w:val="single" w:sz="8" w:space="0" w:color="3366CC"/>
            </w:tcBorders>
            <w:shd w:val="clear" w:color="auto" w:fill="auto"/>
            <w:noWrap/>
            <w:vAlign w:val="center"/>
            <w:hideMark/>
          </w:tcPr>
          <w:p w14:paraId="1836FA71"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6.866</w:t>
            </w:r>
          </w:p>
        </w:tc>
      </w:tr>
      <w:tr w:rsidR="00636714" w:rsidRPr="00636714" w14:paraId="073F5AFD" w14:textId="77777777" w:rsidTr="009A6D3A">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7D9B6EF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Universitaria</w:t>
            </w:r>
          </w:p>
        </w:tc>
        <w:tc>
          <w:tcPr>
            <w:tcW w:w="533" w:type="pct"/>
            <w:tcBorders>
              <w:top w:val="nil"/>
              <w:left w:val="nil"/>
              <w:bottom w:val="single" w:sz="4" w:space="0" w:color="A6A6A6"/>
              <w:right w:val="single" w:sz="4" w:space="0" w:color="A6A6A6"/>
            </w:tcBorders>
            <w:shd w:val="clear" w:color="auto" w:fill="auto"/>
            <w:noWrap/>
            <w:vAlign w:val="center"/>
            <w:hideMark/>
          </w:tcPr>
          <w:p w14:paraId="4EFCAB5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28.430</w:t>
            </w:r>
          </w:p>
        </w:tc>
        <w:tc>
          <w:tcPr>
            <w:tcW w:w="573" w:type="pct"/>
            <w:tcBorders>
              <w:top w:val="nil"/>
              <w:left w:val="nil"/>
              <w:bottom w:val="single" w:sz="4" w:space="0" w:color="A6A6A6"/>
              <w:right w:val="single" w:sz="4" w:space="0" w:color="A6A6A6"/>
            </w:tcBorders>
            <w:shd w:val="clear" w:color="auto" w:fill="auto"/>
            <w:noWrap/>
            <w:vAlign w:val="center"/>
            <w:hideMark/>
          </w:tcPr>
          <w:p w14:paraId="4E45BF4F"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30.309</w:t>
            </w:r>
          </w:p>
        </w:tc>
        <w:tc>
          <w:tcPr>
            <w:tcW w:w="498" w:type="pct"/>
            <w:tcBorders>
              <w:top w:val="nil"/>
              <w:left w:val="nil"/>
              <w:bottom w:val="single" w:sz="4" w:space="0" w:color="A6A6A6"/>
              <w:right w:val="single" w:sz="4" w:space="0" w:color="A6A6A6"/>
            </w:tcBorders>
            <w:shd w:val="clear" w:color="auto" w:fill="auto"/>
            <w:noWrap/>
            <w:vAlign w:val="center"/>
            <w:hideMark/>
          </w:tcPr>
          <w:p w14:paraId="64C914F6"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31.550</w:t>
            </w:r>
          </w:p>
        </w:tc>
        <w:tc>
          <w:tcPr>
            <w:tcW w:w="498" w:type="pct"/>
            <w:tcBorders>
              <w:top w:val="nil"/>
              <w:left w:val="nil"/>
              <w:bottom w:val="single" w:sz="4" w:space="0" w:color="A6A6A6"/>
              <w:right w:val="nil"/>
            </w:tcBorders>
            <w:shd w:val="clear" w:color="auto" w:fill="auto"/>
            <w:noWrap/>
            <w:vAlign w:val="center"/>
            <w:hideMark/>
          </w:tcPr>
          <w:p w14:paraId="1136045A"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31.772</w:t>
            </w:r>
          </w:p>
        </w:tc>
        <w:tc>
          <w:tcPr>
            <w:tcW w:w="526" w:type="pct"/>
            <w:tcBorders>
              <w:top w:val="nil"/>
              <w:left w:val="single" w:sz="4" w:space="0" w:color="808080"/>
              <w:bottom w:val="single" w:sz="4" w:space="0" w:color="808080"/>
              <w:right w:val="nil"/>
            </w:tcBorders>
            <w:shd w:val="clear" w:color="auto" w:fill="auto"/>
            <w:noWrap/>
            <w:vAlign w:val="center"/>
            <w:hideMark/>
          </w:tcPr>
          <w:p w14:paraId="6051A22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31.779</w:t>
            </w:r>
          </w:p>
        </w:tc>
        <w:tc>
          <w:tcPr>
            <w:tcW w:w="515" w:type="pct"/>
            <w:tcBorders>
              <w:top w:val="nil"/>
              <w:left w:val="single" w:sz="4" w:space="0" w:color="808080"/>
              <w:bottom w:val="single" w:sz="4" w:space="0" w:color="808080"/>
              <w:right w:val="nil"/>
            </w:tcBorders>
            <w:shd w:val="clear" w:color="auto" w:fill="auto"/>
            <w:noWrap/>
            <w:vAlign w:val="center"/>
            <w:hideMark/>
          </w:tcPr>
          <w:p w14:paraId="36C66126"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32.098</w:t>
            </w:r>
          </w:p>
        </w:tc>
        <w:tc>
          <w:tcPr>
            <w:tcW w:w="469" w:type="pct"/>
            <w:tcBorders>
              <w:top w:val="nil"/>
              <w:left w:val="single" w:sz="4" w:space="0" w:color="808080"/>
              <w:bottom w:val="single" w:sz="4" w:space="0" w:color="808080"/>
              <w:right w:val="single" w:sz="8" w:space="0" w:color="3366CC"/>
            </w:tcBorders>
            <w:shd w:val="clear" w:color="auto" w:fill="auto"/>
            <w:noWrap/>
            <w:vAlign w:val="center"/>
            <w:hideMark/>
          </w:tcPr>
          <w:p w14:paraId="7389C45F"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31.937</w:t>
            </w:r>
          </w:p>
        </w:tc>
      </w:tr>
      <w:tr w:rsidR="00636714" w:rsidRPr="00636714" w14:paraId="7C8149F5" w14:textId="77777777" w:rsidTr="009A6D3A">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249253BC"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Especialización</w:t>
            </w:r>
          </w:p>
        </w:tc>
        <w:tc>
          <w:tcPr>
            <w:tcW w:w="533" w:type="pct"/>
            <w:tcBorders>
              <w:top w:val="nil"/>
              <w:left w:val="nil"/>
              <w:bottom w:val="single" w:sz="4" w:space="0" w:color="A6A6A6"/>
              <w:right w:val="single" w:sz="4" w:space="0" w:color="A6A6A6"/>
            </w:tcBorders>
            <w:shd w:val="clear" w:color="auto" w:fill="auto"/>
            <w:noWrap/>
            <w:vAlign w:val="center"/>
            <w:hideMark/>
          </w:tcPr>
          <w:p w14:paraId="1CA31323"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1.575</w:t>
            </w:r>
          </w:p>
        </w:tc>
        <w:tc>
          <w:tcPr>
            <w:tcW w:w="573" w:type="pct"/>
            <w:tcBorders>
              <w:top w:val="nil"/>
              <w:left w:val="nil"/>
              <w:bottom w:val="single" w:sz="4" w:space="0" w:color="A6A6A6"/>
              <w:right w:val="single" w:sz="4" w:space="0" w:color="A6A6A6"/>
            </w:tcBorders>
            <w:shd w:val="clear" w:color="auto" w:fill="auto"/>
            <w:noWrap/>
            <w:vAlign w:val="center"/>
            <w:hideMark/>
          </w:tcPr>
          <w:p w14:paraId="3721F643"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1.532</w:t>
            </w:r>
          </w:p>
        </w:tc>
        <w:tc>
          <w:tcPr>
            <w:tcW w:w="498" w:type="pct"/>
            <w:tcBorders>
              <w:top w:val="nil"/>
              <w:left w:val="nil"/>
              <w:bottom w:val="single" w:sz="4" w:space="0" w:color="A6A6A6"/>
              <w:right w:val="single" w:sz="4" w:space="0" w:color="A6A6A6"/>
            </w:tcBorders>
            <w:shd w:val="clear" w:color="auto" w:fill="auto"/>
            <w:noWrap/>
            <w:vAlign w:val="center"/>
            <w:hideMark/>
          </w:tcPr>
          <w:p w14:paraId="2CF14C4C"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1.758</w:t>
            </w:r>
          </w:p>
        </w:tc>
        <w:tc>
          <w:tcPr>
            <w:tcW w:w="498" w:type="pct"/>
            <w:tcBorders>
              <w:top w:val="nil"/>
              <w:left w:val="nil"/>
              <w:bottom w:val="single" w:sz="4" w:space="0" w:color="A6A6A6"/>
              <w:right w:val="nil"/>
            </w:tcBorders>
            <w:shd w:val="clear" w:color="auto" w:fill="auto"/>
            <w:noWrap/>
            <w:vAlign w:val="center"/>
            <w:hideMark/>
          </w:tcPr>
          <w:p w14:paraId="4008BEE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2.265</w:t>
            </w:r>
          </w:p>
        </w:tc>
        <w:tc>
          <w:tcPr>
            <w:tcW w:w="526" w:type="pct"/>
            <w:tcBorders>
              <w:top w:val="nil"/>
              <w:left w:val="single" w:sz="4" w:space="0" w:color="808080"/>
              <w:bottom w:val="single" w:sz="4" w:space="0" w:color="808080"/>
              <w:right w:val="nil"/>
            </w:tcBorders>
            <w:shd w:val="clear" w:color="auto" w:fill="auto"/>
            <w:noWrap/>
            <w:vAlign w:val="center"/>
            <w:hideMark/>
          </w:tcPr>
          <w:p w14:paraId="2A91503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2.684</w:t>
            </w:r>
          </w:p>
        </w:tc>
        <w:tc>
          <w:tcPr>
            <w:tcW w:w="515" w:type="pct"/>
            <w:tcBorders>
              <w:top w:val="nil"/>
              <w:left w:val="single" w:sz="4" w:space="0" w:color="808080"/>
              <w:bottom w:val="single" w:sz="4" w:space="0" w:color="808080"/>
              <w:right w:val="nil"/>
            </w:tcBorders>
            <w:shd w:val="clear" w:color="auto" w:fill="auto"/>
            <w:noWrap/>
            <w:vAlign w:val="center"/>
            <w:hideMark/>
          </w:tcPr>
          <w:p w14:paraId="23BFC1E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2.233</w:t>
            </w:r>
          </w:p>
        </w:tc>
        <w:tc>
          <w:tcPr>
            <w:tcW w:w="469" w:type="pct"/>
            <w:tcBorders>
              <w:top w:val="nil"/>
              <w:left w:val="single" w:sz="4" w:space="0" w:color="808080"/>
              <w:bottom w:val="single" w:sz="4" w:space="0" w:color="808080"/>
              <w:right w:val="single" w:sz="8" w:space="0" w:color="3366CC"/>
            </w:tcBorders>
            <w:shd w:val="clear" w:color="auto" w:fill="auto"/>
            <w:noWrap/>
            <w:vAlign w:val="center"/>
            <w:hideMark/>
          </w:tcPr>
          <w:p w14:paraId="0E7D6B12"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1.841</w:t>
            </w:r>
          </w:p>
        </w:tc>
      </w:tr>
      <w:tr w:rsidR="00636714" w:rsidRPr="00636714" w14:paraId="36469D56" w14:textId="77777777" w:rsidTr="009A6D3A">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06FF339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Maestría</w:t>
            </w:r>
          </w:p>
        </w:tc>
        <w:tc>
          <w:tcPr>
            <w:tcW w:w="533" w:type="pct"/>
            <w:tcBorders>
              <w:top w:val="nil"/>
              <w:left w:val="nil"/>
              <w:bottom w:val="single" w:sz="4" w:space="0" w:color="A6A6A6"/>
              <w:right w:val="single" w:sz="4" w:space="0" w:color="A6A6A6"/>
            </w:tcBorders>
            <w:shd w:val="clear" w:color="auto" w:fill="auto"/>
            <w:noWrap/>
            <w:vAlign w:val="center"/>
            <w:hideMark/>
          </w:tcPr>
          <w:p w14:paraId="076AFDCD"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2.915</w:t>
            </w:r>
          </w:p>
        </w:tc>
        <w:tc>
          <w:tcPr>
            <w:tcW w:w="573" w:type="pct"/>
            <w:tcBorders>
              <w:top w:val="nil"/>
              <w:left w:val="nil"/>
              <w:bottom w:val="single" w:sz="4" w:space="0" w:color="A6A6A6"/>
              <w:right w:val="single" w:sz="4" w:space="0" w:color="A6A6A6"/>
            </w:tcBorders>
            <w:shd w:val="clear" w:color="auto" w:fill="auto"/>
            <w:noWrap/>
            <w:vAlign w:val="center"/>
            <w:hideMark/>
          </w:tcPr>
          <w:p w14:paraId="2E97621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3.250</w:t>
            </w:r>
          </w:p>
        </w:tc>
        <w:tc>
          <w:tcPr>
            <w:tcW w:w="498" w:type="pct"/>
            <w:tcBorders>
              <w:top w:val="nil"/>
              <w:left w:val="nil"/>
              <w:bottom w:val="single" w:sz="4" w:space="0" w:color="A6A6A6"/>
              <w:right w:val="single" w:sz="4" w:space="0" w:color="A6A6A6"/>
            </w:tcBorders>
            <w:shd w:val="clear" w:color="auto" w:fill="auto"/>
            <w:noWrap/>
            <w:vAlign w:val="center"/>
            <w:hideMark/>
          </w:tcPr>
          <w:p w14:paraId="0099C952"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3.497</w:t>
            </w:r>
          </w:p>
        </w:tc>
        <w:tc>
          <w:tcPr>
            <w:tcW w:w="498" w:type="pct"/>
            <w:tcBorders>
              <w:top w:val="nil"/>
              <w:left w:val="nil"/>
              <w:bottom w:val="single" w:sz="4" w:space="0" w:color="A6A6A6"/>
              <w:right w:val="nil"/>
            </w:tcBorders>
            <w:shd w:val="clear" w:color="auto" w:fill="auto"/>
            <w:noWrap/>
            <w:vAlign w:val="center"/>
            <w:hideMark/>
          </w:tcPr>
          <w:p w14:paraId="26CD0989"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3.121</w:t>
            </w:r>
          </w:p>
        </w:tc>
        <w:tc>
          <w:tcPr>
            <w:tcW w:w="526" w:type="pct"/>
            <w:tcBorders>
              <w:top w:val="nil"/>
              <w:left w:val="single" w:sz="4" w:space="0" w:color="808080"/>
              <w:bottom w:val="single" w:sz="4" w:space="0" w:color="808080"/>
              <w:right w:val="nil"/>
            </w:tcBorders>
            <w:shd w:val="clear" w:color="auto" w:fill="auto"/>
            <w:noWrap/>
            <w:vAlign w:val="center"/>
            <w:hideMark/>
          </w:tcPr>
          <w:p w14:paraId="22F38FD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2.867</w:t>
            </w:r>
          </w:p>
        </w:tc>
        <w:tc>
          <w:tcPr>
            <w:tcW w:w="515" w:type="pct"/>
            <w:tcBorders>
              <w:top w:val="nil"/>
              <w:left w:val="single" w:sz="4" w:space="0" w:color="808080"/>
              <w:bottom w:val="single" w:sz="4" w:space="0" w:color="808080"/>
              <w:right w:val="nil"/>
            </w:tcBorders>
            <w:shd w:val="clear" w:color="auto" w:fill="auto"/>
            <w:noWrap/>
            <w:vAlign w:val="center"/>
            <w:hideMark/>
          </w:tcPr>
          <w:p w14:paraId="74E1B32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2.731</w:t>
            </w:r>
          </w:p>
        </w:tc>
        <w:tc>
          <w:tcPr>
            <w:tcW w:w="469" w:type="pct"/>
            <w:tcBorders>
              <w:top w:val="nil"/>
              <w:left w:val="single" w:sz="4" w:space="0" w:color="808080"/>
              <w:bottom w:val="single" w:sz="4" w:space="0" w:color="808080"/>
              <w:right w:val="single" w:sz="8" w:space="0" w:color="3366CC"/>
            </w:tcBorders>
            <w:shd w:val="clear" w:color="auto" w:fill="auto"/>
            <w:noWrap/>
            <w:vAlign w:val="center"/>
            <w:hideMark/>
          </w:tcPr>
          <w:p w14:paraId="11A306C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2.357</w:t>
            </w:r>
          </w:p>
        </w:tc>
      </w:tr>
      <w:tr w:rsidR="00636714" w:rsidRPr="00636714" w14:paraId="3031EB9D" w14:textId="77777777" w:rsidTr="009A6D3A">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4E0EBED0"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lastRenderedPageBreak/>
              <w:t>Doctorado</w:t>
            </w:r>
          </w:p>
        </w:tc>
        <w:tc>
          <w:tcPr>
            <w:tcW w:w="533" w:type="pct"/>
            <w:tcBorders>
              <w:top w:val="nil"/>
              <w:left w:val="nil"/>
              <w:bottom w:val="single" w:sz="4" w:space="0" w:color="A6A6A6"/>
              <w:right w:val="single" w:sz="4" w:space="0" w:color="A6A6A6"/>
            </w:tcBorders>
            <w:shd w:val="clear" w:color="auto" w:fill="auto"/>
            <w:noWrap/>
            <w:vAlign w:val="center"/>
            <w:hideMark/>
          </w:tcPr>
          <w:p w14:paraId="26BB11D9"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374</w:t>
            </w:r>
          </w:p>
        </w:tc>
        <w:tc>
          <w:tcPr>
            <w:tcW w:w="573" w:type="pct"/>
            <w:tcBorders>
              <w:top w:val="nil"/>
              <w:left w:val="nil"/>
              <w:bottom w:val="single" w:sz="4" w:space="0" w:color="A6A6A6"/>
              <w:right w:val="single" w:sz="4" w:space="0" w:color="A6A6A6"/>
            </w:tcBorders>
            <w:shd w:val="clear" w:color="auto" w:fill="auto"/>
            <w:noWrap/>
            <w:vAlign w:val="center"/>
            <w:hideMark/>
          </w:tcPr>
          <w:p w14:paraId="71A874F7"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377</w:t>
            </w:r>
          </w:p>
        </w:tc>
        <w:tc>
          <w:tcPr>
            <w:tcW w:w="498" w:type="pct"/>
            <w:tcBorders>
              <w:top w:val="nil"/>
              <w:left w:val="nil"/>
              <w:bottom w:val="single" w:sz="4" w:space="0" w:color="A6A6A6"/>
              <w:right w:val="single" w:sz="4" w:space="0" w:color="A6A6A6"/>
            </w:tcBorders>
            <w:shd w:val="clear" w:color="auto" w:fill="auto"/>
            <w:noWrap/>
            <w:vAlign w:val="center"/>
            <w:hideMark/>
          </w:tcPr>
          <w:p w14:paraId="669C1E57"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438</w:t>
            </w:r>
          </w:p>
        </w:tc>
        <w:tc>
          <w:tcPr>
            <w:tcW w:w="498" w:type="pct"/>
            <w:tcBorders>
              <w:top w:val="nil"/>
              <w:left w:val="nil"/>
              <w:bottom w:val="single" w:sz="4" w:space="0" w:color="A6A6A6"/>
              <w:right w:val="nil"/>
            </w:tcBorders>
            <w:shd w:val="clear" w:color="auto" w:fill="auto"/>
            <w:noWrap/>
            <w:vAlign w:val="center"/>
            <w:hideMark/>
          </w:tcPr>
          <w:p w14:paraId="0E44DE21"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477</w:t>
            </w:r>
          </w:p>
        </w:tc>
        <w:tc>
          <w:tcPr>
            <w:tcW w:w="526" w:type="pct"/>
            <w:tcBorders>
              <w:top w:val="nil"/>
              <w:left w:val="single" w:sz="4" w:space="0" w:color="808080"/>
              <w:bottom w:val="single" w:sz="4" w:space="0" w:color="808080"/>
              <w:right w:val="nil"/>
            </w:tcBorders>
            <w:shd w:val="clear" w:color="auto" w:fill="auto"/>
            <w:noWrap/>
            <w:vAlign w:val="center"/>
            <w:hideMark/>
          </w:tcPr>
          <w:p w14:paraId="030A486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487</w:t>
            </w:r>
          </w:p>
        </w:tc>
        <w:tc>
          <w:tcPr>
            <w:tcW w:w="515" w:type="pct"/>
            <w:tcBorders>
              <w:top w:val="nil"/>
              <w:left w:val="single" w:sz="4" w:space="0" w:color="808080"/>
              <w:bottom w:val="single" w:sz="4" w:space="0" w:color="808080"/>
              <w:right w:val="nil"/>
            </w:tcBorders>
            <w:shd w:val="clear" w:color="auto" w:fill="auto"/>
            <w:noWrap/>
            <w:vAlign w:val="center"/>
            <w:hideMark/>
          </w:tcPr>
          <w:p w14:paraId="3C880B35"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499</w:t>
            </w:r>
          </w:p>
        </w:tc>
        <w:tc>
          <w:tcPr>
            <w:tcW w:w="469" w:type="pct"/>
            <w:tcBorders>
              <w:top w:val="nil"/>
              <w:left w:val="single" w:sz="4" w:space="0" w:color="808080"/>
              <w:bottom w:val="single" w:sz="4" w:space="0" w:color="808080"/>
              <w:right w:val="single" w:sz="8" w:space="0" w:color="3366CC"/>
            </w:tcBorders>
            <w:shd w:val="clear" w:color="auto" w:fill="auto"/>
            <w:noWrap/>
            <w:vAlign w:val="center"/>
            <w:hideMark/>
          </w:tcPr>
          <w:p w14:paraId="4A22B2CB"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sz w:val="23"/>
                <w:szCs w:val="23"/>
              </w:rPr>
              <w:t>509</w:t>
            </w:r>
          </w:p>
        </w:tc>
      </w:tr>
      <w:tr w:rsidR="00636714" w:rsidRPr="00636714" w14:paraId="557E5BFF" w14:textId="77777777" w:rsidTr="009A6D3A">
        <w:trPr>
          <w:trHeight w:val="390"/>
        </w:trPr>
        <w:tc>
          <w:tcPr>
            <w:tcW w:w="1388" w:type="pct"/>
            <w:tcBorders>
              <w:top w:val="single" w:sz="4" w:space="0" w:color="A6A6A6"/>
              <w:left w:val="single" w:sz="8" w:space="0" w:color="3366CC"/>
              <w:bottom w:val="single" w:sz="8" w:space="0" w:color="3366CC"/>
              <w:right w:val="single" w:sz="8" w:space="0" w:color="3366CC"/>
            </w:tcBorders>
            <w:shd w:val="clear" w:color="000000" w:fill="DDEBF7"/>
            <w:noWrap/>
            <w:vAlign w:val="center"/>
            <w:hideMark/>
          </w:tcPr>
          <w:p w14:paraId="0628C606"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Total General</w:t>
            </w:r>
          </w:p>
        </w:tc>
        <w:tc>
          <w:tcPr>
            <w:tcW w:w="533" w:type="pct"/>
            <w:tcBorders>
              <w:top w:val="nil"/>
              <w:left w:val="nil"/>
              <w:bottom w:val="single" w:sz="8" w:space="0" w:color="3366CC"/>
              <w:right w:val="single" w:sz="4" w:space="0" w:color="A6A6A6"/>
            </w:tcBorders>
            <w:shd w:val="clear" w:color="000000" w:fill="DDEBF7"/>
            <w:noWrap/>
            <w:vAlign w:val="center"/>
            <w:hideMark/>
          </w:tcPr>
          <w:p w14:paraId="65417B71"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46.591</w:t>
            </w:r>
          </w:p>
        </w:tc>
        <w:tc>
          <w:tcPr>
            <w:tcW w:w="573" w:type="pct"/>
            <w:tcBorders>
              <w:top w:val="nil"/>
              <w:left w:val="nil"/>
              <w:bottom w:val="single" w:sz="8" w:space="0" w:color="3366CC"/>
              <w:right w:val="single" w:sz="4" w:space="0" w:color="A6A6A6"/>
            </w:tcBorders>
            <w:shd w:val="clear" w:color="000000" w:fill="DDEBF7"/>
            <w:noWrap/>
            <w:vAlign w:val="center"/>
            <w:hideMark/>
          </w:tcPr>
          <w:p w14:paraId="1C297EC9"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49.485</w:t>
            </w:r>
          </w:p>
        </w:tc>
        <w:tc>
          <w:tcPr>
            <w:tcW w:w="498" w:type="pct"/>
            <w:tcBorders>
              <w:top w:val="nil"/>
              <w:left w:val="nil"/>
              <w:bottom w:val="single" w:sz="8" w:space="0" w:color="3366CC"/>
              <w:right w:val="single" w:sz="4" w:space="0" w:color="A6A6A6"/>
            </w:tcBorders>
            <w:shd w:val="clear" w:color="000000" w:fill="DDEBF7"/>
            <w:noWrap/>
            <w:vAlign w:val="center"/>
            <w:hideMark/>
          </w:tcPr>
          <w:p w14:paraId="7EF1AB99"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50.157</w:t>
            </w:r>
          </w:p>
        </w:tc>
        <w:tc>
          <w:tcPr>
            <w:tcW w:w="498" w:type="pct"/>
            <w:tcBorders>
              <w:top w:val="nil"/>
              <w:left w:val="nil"/>
              <w:bottom w:val="single" w:sz="8" w:space="0" w:color="3366CC"/>
              <w:right w:val="nil"/>
            </w:tcBorders>
            <w:shd w:val="clear" w:color="000000" w:fill="DDEBF7"/>
            <w:noWrap/>
            <w:vAlign w:val="center"/>
            <w:hideMark/>
          </w:tcPr>
          <w:p w14:paraId="185110D5"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51.270</w:t>
            </w:r>
          </w:p>
        </w:tc>
        <w:tc>
          <w:tcPr>
            <w:tcW w:w="526" w:type="pct"/>
            <w:tcBorders>
              <w:top w:val="nil"/>
              <w:left w:val="single" w:sz="4" w:space="0" w:color="808080"/>
              <w:bottom w:val="single" w:sz="8" w:space="0" w:color="3366CC"/>
              <w:right w:val="nil"/>
            </w:tcBorders>
            <w:shd w:val="clear" w:color="000000" w:fill="DDEBF7"/>
            <w:noWrap/>
            <w:vAlign w:val="center"/>
            <w:hideMark/>
          </w:tcPr>
          <w:p w14:paraId="78FF85C8"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50.580</w:t>
            </w:r>
          </w:p>
        </w:tc>
        <w:tc>
          <w:tcPr>
            <w:tcW w:w="515" w:type="pct"/>
            <w:tcBorders>
              <w:top w:val="nil"/>
              <w:left w:val="single" w:sz="4" w:space="0" w:color="808080"/>
              <w:bottom w:val="single" w:sz="8" w:space="0" w:color="3366CC"/>
              <w:right w:val="nil"/>
            </w:tcBorders>
            <w:shd w:val="clear" w:color="000000" w:fill="DDEBF7"/>
            <w:noWrap/>
            <w:vAlign w:val="center"/>
            <w:hideMark/>
          </w:tcPr>
          <w:p w14:paraId="7DBC31A7"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49.610</w:t>
            </w:r>
          </w:p>
        </w:tc>
        <w:tc>
          <w:tcPr>
            <w:tcW w:w="469" w:type="pct"/>
            <w:tcBorders>
              <w:top w:val="nil"/>
              <w:left w:val="single" w:sz="4" w:space="0" w:color="808080"/>
              <w:bottom w:val="single" w:sz="8" w:space="0" w:color="3366CC"/>
              <w:right w:val="single" w:sz="8" w:space="0" w:color="3366CC"/>
            </w:tcBorders>
            <w:shd w:val="clear" w:color="000000" w:fill="DDEBF7"/>
            <w:noWrap/>
            <w:vAlign w:val="center"/>
            <w:hideMark/>
          </w:tcPr>
          <w:p w14:paraId="37C9D85E" w14:textId="77777777"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t>46.471</w:t>
            </w:r>
          </w:p>
        </w:tc>
      </w:tr>
    </w:tbl>
    <w:p w14:paraId="6B9C3B46"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MEN (SNIES)</w:t>
      </w:r>
    </w:p>
    <w:p w14:paraId="639ACD03" w14:textId="77777777" w:rsidR="00636714" w:rsidRPr="00636714" w:rsidRDefault="00636714" w:rsidP="00636714">
      <w:pPr>
        <w:jc w:val="both"/>
        <w:rPr>
          <w:rFonts w:ascii="Times New Roman" w:hAnsi="Times New Roman" w:cs="Times New Roman"/>
          <w:sz w:val="23"/>
          <w:szCs w:val="23"/>
        </w:rPr>
      </w:pPr>
    </w:p>
    <w:p w14:paraId="44B7CB2D" w14:textId="77777777" w:rsidR="00636714" w:rsidRPr="00636714" w:rsidRDefault="00636714" w:rsidP="00636714">
      <w:pPr>
        <w:jc w:val="both"/>
        <w:rPr>
          <w:rFonts w:ascii="Times New Roman" w:hAnsi="Times New Roman" w:cs="Times New Roman"/>
          <w:bCs/>
          <w:iCs/>
          <w:sz w:val="23"/>
          <w:szCs w:val="23"/>
        </w:rPr>
      </w:pPr>
      <w:r w:rsidRPr="00636714">
        <w:rPr>
          <w:rFonts w:ascii="Times New Roman" w:hAnsi="Times New Roman" w:cs="Times New Roman"/>
          <w:bCs/>
          <w:iCs/>
          <w:sz w:val="23"/>
          <w:szCs w:val="23"/>
        </w:rPr>
        <w:t>A continuación, se describe la oferta educativa de las principales instituciones en el Departamento de Caldas, su participación en los procesos de formación, el número de programas ofertados y la distribución por áreas de conocimiento:</w:t>
      </w:r>
    </w:p>
    <w:p w14:paraId="59FA4414" w14:textId="77777777" w:rsidR="00636714" w:rsidRPr="00636714" w:rsidRDefault="00636714" w:rsidP="00636714">
      <w:pPr>
        <w:jc w:val="both"/>
        <w:rPr>
          <w:rFonts w:ascii="Times New Roman" w:hAnsi="Times New Roman" w:cs="Times New Roman"/>
          <w:b/>
          <w:iCs/>
          <w:sz w:val="23"/>
          <w:szCs w:val="23"/>
        </w:rPr>
      </w:pPr>
    </w:p>
    <w:p w14:paraId="71129F16" w14:textId="27025993" w:rsidR="00636714" w:rsidRPr="00636714" w:rsidRDefault="00636714" w:rsidP="00636714">
      <w:pPr>
        <w:pStyle w:val="Ttulo2"/>
        <w:rPr>
          <w:rFonts w:ascii="Times New Roman" w:hAnsi="Times New Roman" w:cs="Times New Roman"/>
          <w:sz w:val="23"/>
          <w:szCs w:val="23"/>
        </w:rPr>
      </w:pPr>
      <w:r w:rsidRPr="00636714">
        <w:rPr>
          <w:rFonts w:ascii="Times New Roman" w:hAnsi="Times New Roman" w:cs="Times New Roman"/>
          <w:sz w:val="23"/>
          <w:szCs w:val="23"/>
        </w:rPr>
        <w:t>Técnica profesional</w:t>
      </w:r>
      <w:r>
        <w:rPr>
          <w:rFonts w:ascii="Times New Roman" w:hAnsi="Times New Roman" w:cs="Times New Roman"/>
          <w:sz w:val="23"/>
          <w:szCs w:val="23"/>
        </w:rPr>
        <w:t>:</w:t>
      </w:r>
    </w:p>
    <w:p w14:paraId="7FBA8BFA"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Formación Técnica Profesional En Caldas se cuenta con 62 programas de Formación técnica superior, los cuales en su mayoría al igual que las tecnologías, se distribuyen en los núcleos de Ingeniería, arquitectura, urbanismo y afines, Economía, administración, contaduría y afines y Agronomía, veterinaria y afines, respectivamente. Las instituciones que ofrecen dichos programas en Caldas corresponden a: Universidad de Manizales, Universidad de Caldas, Universidad Católica de Manizales, Institución Universitaria Marco Fidel Suárez, Dirección Nacional de Escuelas y Colegio Integrado Nacional de Oriente de Caldas (CINOC).</w:t>
      </w:r>
    </w:p>
    <w:p w14:paraId="3299059C" w14:textId="77777777" w:rsidR="00636714" w:rsidRPr="00636714" w:rsidRDefault="00636714" w:rsidP="00636714">
      <w:pPr>
        <w:jc w:val="both"/>
        <w:rPr>
          <w:rFonts w:ascii="Times New Roman" w:hAnsi="Times New Roman" w:cs="Times New Roman"/>
          <w:sz w:val="23"/>
          <w:szCs w:val="23"/>
        </w:rPr>
      </w:pPr>
    </w:p>
    <w:p w14:paraId="3378FB07" w14:textId="3F628FA7" w:rsidR="00636714" w:rsidRPr="00636714" w:rsidRDefault="00636714" w:rsidP="00636714">
      <w:pPr>
        <w:jc w:val="center"/>
        <w:rPr>
          <w:rFonts w:ascii="Times New Roman" w:hAnsi="Times New Roman" w:cs="Times New Roman"/>
          <w:b/>
          <w:iCs/>
          <w:sz w:val="23"/>
          <w:szCs w:val="23"/>
        </w:rPr>
      </w:pPr>
      <w:r w:rsidRPr="00636714">
        <w:rPr>
          <w:rFonts w:ascii="Times New Roman" w:hAnsi="Times New Roman" w:cs="Times New Roman"/>
          <w:b/>
          <w:iCs/>
          <w:sz w:val="23"/>
          <w:szCs w:val="23"/>
        </w:rPr>
        <w:t xml:space="preserve">Gráfica </w:t>
      </w:r>
      <w:r w:rsidRPr="00636714">
        <w:rPr>
          <w:rFonts w:ascii="Times New Roman" w:hAnsi="Times New Roman" w:cs="Times New Roman"/>
          <w:b/>
          <w:iCs/>
          <w:sz w:val="23"/>
          <w:szCs w:val="23"/>
        </w:rPr>
        <w:fldChar w:fldCharType="begin"/>
      </w:r>
      <w:r w:rsidRPr="00636714">
        <w:rPr>
          <w:rFonts w:ascii="Times New Roman" w:hAnsi="Times New Roman" w:cs="Times New Roman"/>
          <w:b/>
          <w:iCs/>
          <w:sz w:val="23"/>
          <w:szCs w:val="23"/>
        </w:rPr>
        <w:instrText xml:space="preserve"> SEQ Gráfica \* ARABIC </w:instrText>
      </w:r>
      <w:r w:rsidRPr="00636714">
        <w:rPr>
          <w:rFonts w:ascii="Times New Roman" w:hAnsi="Times New Roman" w:cs="Times New Roman"/>
          <w:b/>
          <w:iCs/>
          <w:sz w:val="23"/>
          <w:szCs w:val="23"/>
        </w:rPr>
        <w:fldChar w:fldCharType="separate"/>
      </w:r>
      <w:r w:rsidR="00F263B6">
        <w:rPr>
          <w:rFonts w:ascii="Times New Roman" w:hAnsi="Times New Roman" w:cs="Times New Roman"/>
          <w:b/>
          <w:iCs/>
          <w:noProof/>
          <w:sz w:val="23"/>
          <w:szCs w:val="23"/>
        </w:rPr>
        <w:t>6</w:t>
      </w:r>
      <w:r w:rsidRPr="00636714">
        <w:rPr>
          <w:rFonts w:ascii="Times New Roman" w:hAnsi="Times New Roman" w:cs="Times New Roman"/>
          <w:sz w:val="23"/>
          <w:szCs w:val="23"/>
        </w:rPr>
        <w:fldChar w:fldCharType="end"/>
      </w:r>
      <w:r w:rsidRPr="00636714">
        <w:rPr>
          <w:rFonts w:ascii="Times New Roman" w:hAnsi="Times New Roman" w:cs="Times New Roman"/>
          <w:b/>
          <w:iCs/>
          <w:sz w:val="23"/>
          <w:szCs w:val="23"/>
        </w:rPr>
        <w:t xml:space="preserve"> Número de Programas de Formación Técnica Profesional Ofertados por Institución</w:t>
      </w:r>
    </w:p>
    <w:p w14:paraId="43430EB7" w14:textId="77777777" w:rsidR="00636714" w:rsidRPr="00636714" w:rsidRDefault="00636714" w:rsidP="00636714">
      <w:pPr>
        <w:jc w:val="center"/>
        <w:rPr>
          <w:rFonts w:ascii="Times New Roman" w:hAnsi="Times New Roman" w:cs="Times New Roman"/>
          <w:sz w:val="23"/>
          <w:szCs w:val="23"/>
        </w:rPr>
      </w:pPr>
    </w:p>
    <w:p w14:paraId="7E984DC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7FE6A750" wp14:editId="4EAD9396">
            <wp:extent cx="4873925" cy="2044065"/>
            <wp:effectExtent l="0" t="0" r="3175" b="1333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ECE08D"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informe de resultados de la Fase I de la Misión de Sabios por Caldas- 2020-2021</w:t>
      </w:r>
    </w:p>
    <w:p w14:paraId="216F5478" w14:textId="77777777" w:rsidR="00636714" w:rsidRPr="00636714" w:rsidRDefault="00636714" w:rsidP="00636714">
      <w:pPr>
        <w:jc w:val="both"/>
        <w:rPr>
          <w:rFonts w:ascii="Times New Roman" w:hAnsi="Times New Roman" w:cs="Times New Roman"/>
          <w:sz w:val="23"/>
          <w:szCs w:val="23"/>
        </w:rPr>
      </w:pPr>
    </w:p>
    <w:p w14:paraId="470851DD" w14:textId="20331846" w:rsidR="00636714" w:rsidRPr="00636714" w:rsidRDefault="00636714" w:rsidP="00636714">
      <w:pPr>
        <w:pStyle w:val="Ttulo2"/>
        <w:rPr>
          <w:rFonts w:ascii="Times New Roman" w:hAnsi="Times New Roman" w:cs="Times New Roman"/>
          <w:sz w:val="23"/>
          <w:szCs w:val="23"/>
        </w:rPr>
      </w:pPr>
      <w:r w:rsidRPr="00636714">
        <w:rPr>
          <w:rFonts w:ascii="Times New Roman" w:hAnsi="Times New Roman" w:cs="Times New Roman"/>
          <w:sz w:val="23"/>
          <w:szCs w:val="23"/>
        </w:rPr>
        <w:t>Tecnologías</w:t>
      </w:r>
      <w:r>
        <w:rPr>
          <w:rFonts w:ascii="Times New Roman" w:hAnsi="Times New Roman" w:cs="Times New Roman"/>
          <w:sz w:val="23"/>
          <w:szCs w:val="23"/>
        </w:rPr>
        <w:t>:</w:t>
      </w:r>
    </w:p>
    <w:p w14:paraId="2539760F" w14:textId="77777777" w:rsidR="00636714" w:rsidRPr="00636714" w:rsidRDefault="00636714" w:rsidP="00636714">
      <w:pPr>
        <w:jc w:val="both"/>
        <w:rPr>
          <w:rFonts w:ascii="Times New Roman" w:hAnsi="Times New Roman" w:cs="Times New Roman"/>
          <w:sz w:val="23"/>
          <w:szCs w:val="23"/>
        </w:rPr>
      </w:pPr>
    </w:p>
    <w:p w14:paraId="2872F112"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Para el caso de las tecnologías ofertadas en el Departamento de Caldas, se cuenta con un total de 139 programas. La mayoría se encuentra dentro del núcleo de conocimiento de la Ingeniería, arquitectura, urbanismo y afines. En segundo lugar, los programas se encuentran dentro de la economía, administración, contaduría y afines y en tercer lugar aquellos que tienen que ver con la Agronomía, veterinaria y afines.</w:t>
      </w:r>
    </w:p>
    <w:p w14:paraId="5C970E4A" w14:textId="77777777" w:rsidR="00636714" w:rsidRPr="00636714" w:rsidRDefault="00636714" w:rsidP="00636714">
      <w:pPr>
        <w:jc w:val="both"/>
        <w:rPr>
          <w:rFonts w:ascii="Times New Roman" w:hAnsi="Times New Roman" w:cs="Times New Roman"/>
          <w:sz w:val="23"/>
          <w:szCs w:val="23"/>
        </w:rPr>
      </w:pPr>
    </w:p>
    <w:p w14:paraId="4D52754A" w14:textId="77777777" w:rsidR="00636714" w:rsidRDefault="00636714" w:rsidP="00636714">
      <w:pPr>
        <w:jc w:val="both"/>
        <w:rPr>
          <w:rFonts w:ascii="Times New Roman" w:hAnsi="Times New Roman" w:cs="Times New Roman"/>
          <w:b/>
          <w:bCs/>
          <w:sz w:val="23"/>
          <w:szCs w:val="23"/>
        </w:rPr>
      </w:pPr>
    </w:p>
    <w:p w14:paraId="606605B7" w14:textId="77777777" w:rsidR="00636714" w:rsidRDefault="00636714" w:rsidP="00636714">
      <w:pPr>
        <w:jc w:val="both"/>
        <w:rPr>
          <w:rFonts w:ascii="Times New Roman" w:hAnsi="Times New Roman" w:cs="Times New Roman"/>
          <w:b/>
          <w:bCs/>
          <w:sz w:val="23"/>
          <w:szCs w:val="23"/>
        </w:rPr>
      </w:pPr>
    </w:p>
    <w:p w14:paraId="32B25664" w14:textId="77777777" w:rsidR="00636714" w:rsidRDefault="00636714" w:rsidP="00636714">
      <w:pPr>
        <w:jc w:val="both"/>
        <w:rPr>
          <w:rFonts w:ascii="Times New Roman" w:hAnsi="Times New Roman" w:cs="Times New Roman"/>
          <w:b/>
          <w:bCs/>
          <w:sz w:val="23"/>
          <w:szCs w:val="23"/>
        </w:rPr>
      </w:pPr>
    </w:p>
    <w:p w14:paraId="33B7727D" w14:textId="77777777" w:rsidR="00636714" w:rsidRDefault="00636714" w:rsidP="00636714">
      <w:pPr>
        <w:jc w:val="both"/>
        <w:rPr>
          <w:rFonts w:ascii="Times New Roman" w:hAnsi="Times New Roman" w:cs="Times New Roman"/>
          <w:b/>
          <w:bCs/>
          <w:sz w:val="23"/>
          <w:szCs w:val="23"/>
        </w:rPr>
      </w:pPr>
    </w:p>
    <w:p w14:paraId="3D1C94B7" w14:textId="103D836D" w:rsidR="00636714" w:rsidRDefault="00636714" w:rsidP="00636714">
      <w:pPr>
        <w:jc w:val="both"/>
        <w:rPr>
          <w:rFonts w:ascii="Times New Roman" w:hAnsi="Times New Roman" w:cs="Times New Roman"/>
          <w:b/>
          <w:bCs/>
          <w:sz w:val="23"/>
          <w:szCs w:val="23"/>
        </w:rPr>
      </w:pPr>
    </w:p>
    <w:p w14:paraId="22E7A552" w14:textId="2BBE0186" w:rsidR="008F0AE8" w:rsidRDefault="008F0AE8" w:rsidP="00636714">
      <w:pPr>
        <w:jc w:val="both"/>
        <w:rPr>
          <w:rFonts w:ascii="Times New Roman" w:hAnsi="Times New Roman" w:cs="Times New Roman"/>
          <w:b/>
          <w:bCs/>
          <w:sz w:val="23"/>
          <w:szCs w:val="23"/>
        </w:rPr>
      </w:pPr>
    </w:p>
    <w:p w14:paraId="334D3724" w14:textId="3449222A" w:rsidR="008F0AE8" w:rsidRDefault="008F0AE8" w:rsidP="00636714">
      <w:pPr>
        <w:jc w:val="both"/>
        <w:rPr>
          <w:rFonts w:ascii="Times New Roman" w:hAnsi="Times New Roman" w:cs="Times New Roman"/>
          <w:b/>
          <w:bCs/>
          <w:sz w:val="23"/>
          <w:szCs w:val="23"/>
        </w:rPr>
      </w:pPr>
    </w:p>
    <w:p w14:paraId="74B08709" w14:textId="77777777" w:rsidR="008F0AE8" w:rsidRDefault="008F0AE8" w:rsidP="00636714">
      <w:pPr>
        <w:jc w:val="both"/>
        <w:rPr>
          <w:rFonts w:ascii="Times New Roman" w:hAnsi="Times New Roman" w:cs="Times New Roman"/>
          <w:b/>
          <w:bCs/>
          <w:sz w:val="23"/>
          <w:szCs w:val="23"/>
        </w:rPr>
      </w:pPr>
    </w:p>
    <w:p w14:paraId="2A0C030D" w14:textId="084A1F64" w:rsidR="00636714" w:rsidRPr="00636714" w:rsidRDefault="00636714" w:rsidP="00636714">
      <w:pPr>
        <w:jc w:val="center"/>
        <w:rPr>
          <w:rFonts w:ascii="Times New Roman" w:hAnsi="Times New Roman" w:cs="Times New Roman"/>
          <w:b/>
          <w:bCs/>
          <w:sz w:val="23"/>
          <w:szCs w:val="23"/>
        </w:rPr>
      </w:pPr>
      <w:r w:rsidRPr="00636714">
        <w:rPr>
          <w:rFonts w:ascii="Times New Roman" w:hAnsi="Times New Roman" w:cs="Times New Roman"/>
          <w:b/>
          <w:bCs/>
          <w:sz w:val="23"/>
          <w:szCs w:val="23"/>
        </w:rPr>
        <w:lastRenderedPageBreak/>
        <w:t xml:space="preserve">Gráfica </w:t>
      </w:r>
      <w:r w:rsidRPr="00636714">
        <w:rPr>
          <w:rFonts w:ascii="Times New Roman" w:hAnsi="Times New Roman" w:cs="Times New Roman"/>
          <w:b/>
          <w:bCs/>
          <w:sz w:val="23"/>
          <w:szCs w:val="23"/>
        </w:rPr>
        <w:fldChar w:fldCharType="begin"/>
      </w:r>
      <w:r w:rsidRPr="00636714">
        <w:rPr>
          <w:rFonts w:ascii="Times New Roman" w:hAnsi="Times New Roman" w:cs="Times New Roman"/>
          <w:b/>
          <w:bCs/>
          <w:sz w:val="23"/>
          <w:szCs w:val="23"/>
        </w:rPr>
        <w:instrText xml:space="preserve"> SEQ Gráfica \* ARABIC </w:instrText>
      </w:r>
      <w:r w:rsidRPr="00636714">
        <w:rPr>
          <w:rFonts w:ascii="Times New Roman" w:hAnsi="Times New Roman" w:cs="Times New Roman"/>
          <w:b/>
          <w:bCs/>
          <w:sz w:val="23"/>
          <w:szCs w:val="23"/>
        </w:rPr>
        <w:fldChar w:fldCharType="separate"/>
      </w:r>
      <w:r w:rsidR="00F263B6">
        <w:rPr>
          <w:rFonts w:ascii="Times New Roman" w:hAnsi="Times New Roman" w:cs="Times New Roman"/>
          <w:b/>
          <w:bCs/>
          <w:noProof/>
          <w:sz w:val="23"/>
          <w:szCs w:val="23"/>
        </w:rPr>
        <w:t>7</w:t>
      </w:r>
      <w:r w:rsidRPr="00636714">
        <w:rPr>
          <w:rFonts w:ascii="Times New Roman" w:hAnsi="Times New Roman" w:cs="Times New Roman"/>
          <w:b/>
          <w:bCs/>
          <w:sz w:val="23"/>
          <w:szCs w:val="23"/>
        </w:rPr>
        <w:fldChar w:fldCharType="end"/>
      </w:r>
      <w:r w:rsidRPr="00636714">
        <w:rPr>
          <w:rFonts w:ascii="Times New Roman" w:hAnsi="Times New Roman" w:cs="Times New Roman"/>
          <w:b/>
          <w:bCs/>
          <w:sz w:val="23"/>
          <w:szCs w:val="23"/>
        </w:rPr>
        <w:t xml:space="preserve"> Número de Programas de Tecnología por Núcleo de Conocimiento</w:t>
      </w:r>
    </w:p>
    <w:p w14:paraId="29DDDF38" w14:textId="77777777" w:rsidR="00636714" w:rsidRPr="00636714" w:rsidRDefault="00636714" w:rsidP="00636714">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7403AE24" wp14:editId="4C3C9450">
            <wp:extent cx="4710022" cy="1880235"/>
            <wp:effectExtent l="0" t="0" r="14605" b="571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C9247C" w14:textId="77777777" w:rsidR="00636714" w:rsidRPr="00636714" w:rsidRDefault="00636714" w:rsidP="00636714">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informe de resultados de la Fase I de la Misión de Sabios por Caldas- 2020-2021</w:t>
      </w:r>
    </w:p>
    <w:p w14:paraId="22898B48" w14:textId="77777777" w:rsidR="00636714" w:rsidRPr="00636714" w:rsidRDefault="00636714" w:rsidP="00636714">
      <w:pPr>
        <w:jc w:val="both"/>
        <w:rPr>
          <w:rFonts w:ascii="Times New Roman" w:hAnsi="Times New Roman" w:cs="Times New Roman"/>
          <w:sz w:val="23"/>
          <w:szCs w:val="23"/>
        </w:rPr>
      </w:pPr>
    </w:p>
    <w:p w14:paraId="11B101A8" w14:textId="0C821590" w:rsidR="00636714" w:rsidRPr="00636714" w:rsidRDefault="00636714" w:rsidP="00636714">
      <w:pPr>
        <w:pStyle w:val="Ttulo2"/>
        <w:rPr>
          <w:rFonts w:ascii="Times New Roman" w:hAnsi="Times New Roman" w:cs="Times New Roman"/>
          <w:sz w:val="23"/>
          <w:szCs w:val="23"/>
        </w:rPr>
      </w:pPr>
      <w:r w:rsidRPr="00636714">
        <w:rPr>
          <w:rFonts w:ascii="Times New Roman" w:hAnsi="Times New Roman" w:cs="Times New Roman"/>
          <w:sz w:val="23"/>
          <w:szCs w:val="23"/>
        </w:rPr>
        <w:t>Pregrado</w:t>
      </w:r>
      <w:r>
        <w:rPr>
          <w:rFonts w:ascii="Times New Roman" w:hAnsi="Times New Roman" w:cs="Times New Roman"/>
          <w:sz w:val="23"/>
          <w:szCs w:val="23"/>
        </w:rPr>
        <w:t>:</w:t>
      </w:r>
    </w:p>
    <w:p w14:paraId="4E993BDC" w14:textId="77777777" w:rsidR="00636714" w:rsidRPr="00636714" w:rsidRDefault="00636714" w:rsidP="00636714">
      <w:pPr>
        <w:jc w:val="both"/>
        <w:rPr>
          <w:rFonts w:ascii="Times New Roman" w:hAnsi="Times New Roman" w:cs="Times New Roman"/>
          <w:sz w:val="23"/>
          <w:szCs w:val="23"/>
        </w:rPr>
      </w:pPr>
    </w:p>
    <w:p w14:paraId="679A38BE"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El Departamento de Caldas cuenta con una oferta de 169 programas de pregrado, distribuidos en su mayoría en 3 grandes núcleos del conocimiento. En primer lugar, para el núcleo de Ingeniería, arquitectura, urbanismo y afines (43). Seguido de las Ciencias de la educación (37) y en tercer lugar para el núcleo de Economía, administración, contaduría y afines (35).</w:t>
      </w:r>
    </w:p>
    <w:p w14:paraId="227FB85A" w14:textId="77777777" w:rsidR="00636714" w:rsidRPr="00636714" w:rsidRDefault="00636714" w:rsidP="00636714">
      <w:pPr>
        <w:jc w:val="both"/>
        <w:rPr>
          <w:rFonts w:ascii="Times New Roman" w:hAnsi="Times New Roman" w:cs="Times New Roman"/>
          <w:sz w:val="23"/>
          <w:szCs w:val="23"/>
        </w:rPr>
      </w:pPr>
    </w:p>
    <w:p w14:paraId="182A7346" w14:textId="777A7039" w:rsidR="00636714" w:rsidRPr="00636714" w:rsidRDefault="00636714" w:rsidP="004162FC">
      <w:pPr>
        <w:jc w:val="center"/>
        <w:rPr>
          <w:rFonts w:ascii="Times New Roman" w:hAnsi="Times New Roman" w:cs="Times New Roman"/>
          <w:b/>
          <w:iCs/>
          <w:sz w:val="23"/>
          <w:szCs w:val="23"/>
        </w:rPr>
      </w:pPr>
      <w:r w:rsidRPr="00636714">
        <w:rPr>
          <w:rFonts w:ascii="Times New Roman" w:hAnsi="Times New Roman" w:cs="Times New Roman"/>
          <w:b/>
          <w:iCs/>
          <w:sz w:val="23"/>
          <w:szCs w:val="23"/>
        </w:rPr>
        <w:t xml:space="preserve">Gráfica </w:t>
      </w:r>
      <w:r w:rsidRPr="00636714">
        <w:rPr>
          <w:rFonts w:ascii="Times New Roman" w:hAnsi="Times New Roman" w:cs="Times New Roman"/>
          <w:b/>
          <w:iCs/>
          <w:sz w:val="23"/>
          <w:szCs w:val="23"/>
        </w:rPr>
        <w:fldChar w:fldCharType="begin"/>
      </w:r>
      <w:r w:rsidRPr="00636714">
        <w:rPr>
          <w:rFonts w:ascii="Times New Roman" w:hAnsi="Times New Roman" w:cs="Times New Roman"/>
          <w:b/>
          <w:iCs/>
          <w:sz w:val="23"/>
          <w:szCs w:val="23"/>
        </w:rPr>
        <w:instrText xml:space="preserve"> SEQ Gráfica \* ARABIC </w:instrText>
      </w:r>
      <w:r w:rsidRPr="00636714">
        <w:rPr>
          <w:rFonts w:ascii="Times New Roman" w:hAnsi="Times New Roman" w:cs="Times New Roman"/>
          <w:b/>
          <w:iCs/>
          <w:sz w:val="23"/>
          <w:szCs w:val="23"/>
        </w:rPr>
        <w:fldChar w:fldCharType="separate"/>
      </w:r>
      <w:r w:rsidR="00F263B6">
        <w:rPr>
          <w:rFonts w:ascii="Times New Roman" w:hAnsi="Times New Roman" w:cs="Times New Roman"/>
          <w:b/>
          <w:iCs/>
          <w:noProof/>
          <w:sz w:val="23"/>
          <w:szCs w:val="23"/>
        </w:rPr>
        <w:t>8</w:t>
      </w:r>
      <w:r w:rsidRPr="00636714">
        <w:rPr>
          <w:rFonts w:ascii="Times New Roman" w:hAnsi="Times New Roman" w:cs="Times New Roman"/>
          <w:sz w:val="23"/>
          <w:szCs w:val="23"/>
        </w:rPr>
        <w:fldChar w:fldCharType="end"/>
      </w:r>
      <w:r w:rsidRPr="00636714">
        <w:rPr>
          <w:rFonts w:ascii="Times New Roman" w:hAnsi="Times New Roman" w:cs="Times New Roman"/>
          <w:b/>
          <w:iCs/>
          <w:sz w:val="23"/>
          <w:szCs w:val="23"/>
        </w:rPr>
        <w:t xml:space="preserve"> Número de Programas de Pregrado por Núcleo de Conocimiento</w:t>
      </w:r>
    </w:p>
    <w:p w14:paraId="2F950698" w14:textId="77777777" w:rsidR="00636714" w:rsidRPr="00636714" w:rsidRDefault="00636714" w:rsidP="004162FC">
      <w:pPr>
        <w:jc w:val="center"/>
        <w:rPr>
          <w:rFonts w:ascii="Times New Roman" w:hAnsi="Times New Roman" w:cs="Times New Roman"/>
          <w:color w:val="808080" w:themeColor="background1" w:themeShade="80"/>
          <w:sz w:val="23"/>
          <w:szCs w:val="23"/>
        </w:rPr>
      </w:pPr>
      <w:r w:rsidRPr="00636714">
        <w:rPr>
          <w:rFonts w:ascii="Times New Roman" w:hAnsi="Times New Roman" w:cs="Times New Roman"/>
          <w:noProof/>
          <w:sz w:val="23"/>
          <w:szCs w:val="23"/>
          <w:lang w:eastAsia="es-CO"/>
        </w:rPr>
        <w:drawing>
          <wp:inline distT="0" distB="0" distL="0" distR="0" wp14:anchorId="4B129701" wp14:editId="2337E851">
            <wp:extent cx="5483225" cy="1762125"/>
            <wp:effectExtent l="0" t="0" r="3175"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2AB79C" w14:textId="77777777" w:rsidR="00636714" w:rsidRPr="00636714" w:rsidRDefault="00636714" w:rsidP="004162FC">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informe de resultados de la Fase I de la Misión de Sabios por Caldas- 2020-2021</w:t>
      </w:r>
    </w:p>
    <w:p w14:paraId="18D28C9A" w14:textId="77777777" w:rsidR="00636714" w:rsidRPr="00636714" w:rsidRDefault="00636714" w:rsidP="00636714">
      <w:pPr>
        <w:jc w:val="both"/>
        <w:rPr>
          <w:rFonts w:ascii="Times New Roman" w:hAnsi="Times New Roman" w:cs="Times New Roman"/>
          <w:sz w:val="23"/>
          <w:szCs w:val="23"/>
        </w:rPr>
      </w:pPr>
    </w:p>
    <w:p w14:paraId="6068BAE0" w14:textId="2B2751C0" w:rsidR="00636714" w:rsidRPr="00636714" w:rsidRDefault="00636714" w:rsidP="00636714">
      <w:pPr>
        <w:pStyle w:val="Ttulo2"/>
        <w:rPr>
          <w:rFonts w:ascii="Times New Roman" w:hAnsi="Times New Roman" w:cs="Times New Roman"/>
          <w:sz w:val="23"/>
          <w:szCs w:val="23"/>
        </w:rPr>
      </w:pPr>
      <w:r w:rsidRPr="00636714">
        <w:rPr>
          <w:rFonts w:ascii="Times New Roman" w:hAnsi="Times New Roman" w:cs="Times New Roman"/>
          <w:sz w:val="23"/>
          <w:szCs w:val="23"/>
        </w:rPr>
        <w:t>Posgrados</w:t>
      </w:r>
      <w:r w:rsidR="004162FC">
        <w:rPr>
          <w:rFonts w:ascii="Times New Roman" w:hAnsi="Times New Roman" w:cs="Times New Roman"/>
          <w:sz w:val="23"/>
          <w:szCs w:val="23"/>
        </w:rPr>
        <w:t>:</w:t>
      </w:r>
    </w:p>
    <w:p w14:paraId="29C188BF"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Para los posgrados ofertados en Caldas, tenemos que la mayoría de ellos se ubican en el núcleo de Economía, administración, contaduría y afines. En segundo lugar, se ubican los posgrados para el núcleo de las Ciencias Sociales y Humanas y en tercer lugar aquellos del núcleo de Ingeniería, Arquitectura, Urbanismo y afines.</w:t>
      </w:r>
    </w:p>
    <w:p w14:paraId="00A7D89D" w14:textId="77777777" w:rsidR="00636714" w:rsidRPr="00636714" w:rsidRDefault="00636714" w:rsidP="00636714">
      <w:pPr>
        <w:jc w:val="both"/>
        <w:rPr>
          <w:rFonts w:ascii="Times New Roman" w:hAnsi="Times New Roman" w:cs="Times New Roman"/>
          <w:sz w:val="23"/>
          <w:szCs w:val="23"/>
        </w:rPr>
      </w:pPr>
    </w:p>
    <w:p w14:paraId="7BE44CEA" w14:textId="77777777" w:rsidR="004162FC" w:rsidRDefault="004162FC" w:rsidP="00636714">
      <w:pPr>
        <w:jc w:val="both"/>
        <w:rPr>
          <w:rFonts w:ascii="Times New Roman" w:hAnsi="Times New Roman" w:cs="Times New Roman"/>
          <w:b/>
          <w:iCs/>
          <w:sz w:val="23"/>
          <w:szCs w:val="23"/>
        </w:rPr>
      </w:pPr>
    </w:p>
    <w:p w14:paraId="25C2D30D" w14:textId="77777777" w:rsidR="004162FC" w:rsidRDefault="004162FC" w:rsidP="00636714">
      <w:pPr>
        <w:jc w:val="both"/>
        <w:rPr>
          <w:rFonts w:ascii="Times New Roman" w:hAnsi="Times New Roman" w:cs="Times New Roman"/>
          <w:b/>
          <w:iCs/>
          <w:sz w:val="23"/>
          <w:szCs w:val="23"/>
        </w:rPr>
      </w:pPr>
    </w:p>
    <w:p w14:paraId="080DF7F5" w14:textId="77777777" w:rsidR="004162FC" w:rsidRDefault="004162FC" w:rsidP="00636714">
      <w:pPr>
        <w:jc w:val="both"/>
        <w:rPr>
          <w:rFonts w:ascii="Times New Roman" w:hAnsi="Times New Roman" w:cs="Times New Roman"/>
          <w:b/>
          <w:iCs/>
          <w:sz w:val="23"/>
          <w:szCs w:val="23"/>
        </w:rPr>
      </w:pPr>
    </w:p>
    <w:p w14:paraId="3AD92B9C" w14:textId="77777777" w:rsidR="004162FC" w:rsidRDefault="004162FC" w:rsidP="00636714">
      <w:pPr>
        <w:jc w:val="both"/>
        <w:rPr>
          <w:rFonts w:ascii="Times New Roman" w:hAnsi="Times New Roman" w:cs="Times New Roman"/>
          <w:b/>
          <w:iCs/>
          <w:sz w:val="23"/>
          <w:szCs w:val="23"/>
        </w:rPr>
      </w:pPr>
    </w:p>
    <w:p w14:paraId="74F975D7" w14:textId="77777777" w:rsidR="004162FC" w:rsidRDefault="004162FC" w:rsidP="00636714">
      <w:pPr>
        <w:jc w:val="both"/>
        <w:rPr>
          <w:rFonts w:ascii="Times New Roman" w:hAnsi="Times New Roman" w:cs="Times New Roman"/>
          <w:b/>
          <w:iCs/>
          <w:sz w:val="23"/>
          <w:szCs w:val="23"/>
        </w:rPr>
      </w:pPr>
    </w:p>
    <w:p w14:paraId="7ADDEDDD" w14:textId="77777777" w:rsidR="004162FC" w:rsidRDefault="004162FC" w:rsidP="00636714">
      <w:pPr>
        <w:jc w:val="both"/>
        <w:rPr>
          <w:rFonts w:ascii="Times New Roman" w:hAnsi="Times New Roman" w:cs="Times New Roman"/>
          <w:b/>
          <w:iCs/>
          <w:sz w:val="23"/>
          <w:szCs w:val="23"/>
        </w:rPr>
      </w:pPr>
    </w:p>
    <w:p w14:paraId="781C1641" w14:textId="77777777" w:rsidR="004162FC" w:rsidRDefault="004162FC" w:rsidP="00636714">
      <w:pPr>
        <w:jc w:val="both"/>
        <w:rPr>
          <w:rFonts w:ascii="Times New Roman" w:hAnsi="Times New Roman" w:cs="Times New Roman"/>
          <w:b/>
          <w:iCs/>
          <w:sz w:val="23"/>
          <w:szCs w:val="23"/>
        </w:rPr>
      </w:pPr>
    </w:p>
    <w:p w14:paraId="43725928" w14:textId="77777777" w:rsidR="004162FC" w:rsidRDefault="004162FC" w:rsidP="00636714">
      <w:pPr>
        <w:jc w:val="both"/>
        <w:rPr>
          <w:rFonts w:ascii="Times New Roman" w:hAnsi="Times New Roman" w:cs="Times New Roman"/>
          <w:b/>
          <w:iCs/>
          <w:sz w:val="23"/>
          <w:szCs w:val="23"/>
        </w:rPr>
      </w:pPr>
    </w:p>
    <w:p w14:paraId="05F8F63F" w14:textId="77777777" w:rsidR="004162FC" w:rsidRDefault="004162FC" w:rsidP="00636714">
      <w:pPr>
        <w:jc w:val="both"/>
        <w:rPr>
          <w:rFonts w:ascii="Times New Roman" w:hAnsi="Times New Roman" w:cs="Times New Roman"/>
          <w:b/>
          <w:iCs/>
          <w:sz w:val="23"/>
          <w:szCs w:val="23"/>
        </w:rPr>
      </w:pPr>
    </w:p>
    <w:p w14:paraId="422DAE9D" w14:textId="240BACD9" w:rsidR="00636714" w:rsidRPr="00636714" w:rsidRDefault="00636714" w:rsidP="004162FC">
      <w:pPr>
        <w:jc w:val="center"/>
        <w:rPr>
          <w:rFonts w:ascii="Times New Roman" w:hAnsi="Times New Roman" w:cs="Times New Roman"/>
          <w:b/>
          <w:iCs/>
          <w:sz w:val="23"/>
          <w:szCs w:val="23"/>
        </w:rPr>
      </w:pPr>
      <w:r w:rsidRPr="00636714">
        <w:rPr>
          <w:rFonts w:ascii="Times New Roman" w:hAnsi="Times New Roman" w:cs="Times New Roman"/>
          <w:b/>
          <w:iCs/>
          <w:sz w:val="23"/>
          <w:szCs w:val="23"/>
        </w:rPr>
        <w:lastRenderedPageBreak/>
        <w:t xml:space="preserve">Gráfica </w:t>
      </w:r>
      <w:r w:rsidRPr="00636714">
        <w:rPr>
          <w:rFonts w:ascii="Times New Roman" w:hAnsi="Times New Roman" w:cs="Times New Roman"/>
          <w:b/>
          <w:iCs/>
          <w:sz w:val="23"/>
          <w:szCs w:val="23"/>
        </w:rPr>
        <w:fldChar w:fldCharType="begin"/>
      </w:r>
      <w:r w:rsidRPr="00636714">
        <w:rPr>
          <w:rFonts w:ascii="Times New Roman" w:hAnsi="Times New Roman" w:cs="Times New Roman"/>
          <w:b/>
          <w:iCs/>
          <w:sz w:val="23"/>
          <w:szCs w:val="23"/>
        </w:rPr>
        <w:instrText xml:space="preserve"> SEQ Gráfica \* ARABIC </w:instrText>
      </w:r>
      <w:r w:rsidRPr="00636714">
        <w:rPr>
          <w:rFonts w:ascii="Times New Roman" w:hAnsi="Times New Roman" w:cs="Times New Roman"/>
          <w:b/>
          <w:iCs/>
          <w:sz w:val="23"/>
          <w:szCs w:val="23"/>
        </w:rPr>
        <w:fldChar w:fldCharType="separate"/>
      </w:r>
      <w:r w:rsidR="00F263B6">
        <w:rPr>
          <w:rFonts w:ascii="Times New Roman" w:hAnsi="Times New Roman" w:cs="Times New Roman"/>
          <w:b/>
          <w:iCs/>
          <w:noProof/>
          <w:sz w:val="23"/>
          <w:szCs w:val="23"/>
        </w:rPr>
        <w:t>9</w:t>
      </w:r>
      <w:r w:rsidRPr="00636714">
        <w:rPr>
          <w:rFonts w:ascii="Times New Roman" w:hAnsi="Times New Roman" w:cs="Times New Roman"/>
          <w:sz w:val="23"/>
          <w:szCs w:val="23"/>
        </w:rPr>
        <w:fldChar w:fldCharType="end"/>
      </w:r>
      <w:r w:rsidRPr="00636714">
        <w:rPr>
          <w:rFonts w:ascii="Times New Roman" w:hAnsi="Times New Roman" w:cs="Times New Roman"/>
          <w:b/>
          <w:iCs/>
          <w:sz w:val="23"/>
          <w:szCs w:val="23"/>
        </w:rPr>
        <w:t xml:space="preserve"> Número de Programas de Posgrado por Núcleo del Conocimiento</w:t>
      </w:r>
    </w:p>
    <w:p w14:paraId="6D90A3FC"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32D834EE" wp14:editId="2B736F92">
            <wp:extent cx="5667375" cy="1524000"/>
            <wp:effectExtent l="0" t="0" r="952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EFF5E1" w14:textId="77777777" w:rsidR="00636714" w:rsidRPr="00636714" w:rsidRDefault="00636714" w:rsidP="004162FC">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informe de resultados de la Fase I de la Misión de Sabios por Caldas- 2020-2021</w:t>
      </w:r>
    </w:p>
    <w:p w14:paraId="70B891FA" w14:textId="77777777" w:rsidR="00636714" w:rsidRPr="00636714" w:rsidRDefault="00636714" w:rsidP="00636714">
      <w:pPr>
        <w:jc w:val="both"/>
        <w:rPr>
          <w:rFonts w:ascii="Times New Roman" w:hAnsi="Times New Roman" w:cs="Times New Roman"/>
          <w:sz w:val="23"/>
          <w:szCs w:val="23"/>
        </w:rPr>
      </w:pPr>
    </w:p>
    <w:p w14:paraId="73C50A78"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De acuerdo con la metodología, continúa predominando la metodología presencial con el 81% de los estudiantes, la metodología virtual ocupa el segundo puesto con el 7% y los estudiantes bajo la metodología a distancia tradicional representan el 12% (ver la siguiente gráfica).</w:t>
      </w:r>
    </w:p>
    <w:p w14:paraId="692F9819" w14:textId="77777777" w:rsidR="00636714" w:rsidRPr="00636714" w:rsidRDefault="00636714" w:rsidP="00636714">
      <w:pPr>
        <w:jc w:val="both"/>
        <w:rPr>
          <w:rFonts w:ascii="Times New Roman" w:hAnsi="Times New Roman" w:cs="Times New Roman"/>
          <w:sz w:val="23"/>
          <w:szCs w:val="23"/>
        </w:rPr>
      </w:pPr>
    </w:p>
    <w:p w14:paraId="61EAF6AF"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068BF71B" wp14:editId="429369BA">
            <wp:extent cx="5612130" cy="2152015"/>
            <wp:effectExtent l="0" t="0" r="7620" b="63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067E3B" w14:textId="77777777" w:rsidR="00636714" w:rsidRPr="00636714" w:rsidRDefault="00636714" w:rsidP="004162FC">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MEN (SNIES)</w:t>
      </w:r>
    </w:p>
    <w:p w14:paraId="2A254B11" w14:textId="77777777" w:rsidR="00636714" w:rsidRPr="00636714" w:rsidRDefault="00636714" w:rsidP="00636714">
      <w:pPr>
        <w:jc w:val="both"/>
        <w:rPr>
          <w:rFonts w:ascii="Times New Roman" w:hAnsi="Times New Roman" w:cs="Times New Roman"/>
          <w:sz w:val="23"/>
          <w:szCs w:val="23"/>
        </w:rPr>
      </w:pPr>
    </w:p>
    <w:p w14:paraId="73BD9667" w14:textId="3FABC798" w:rsidR="00636714" w:rsidRPr="00636714" w:rsidRDefault="00636714" w:rsidP="00636714">
      <w:pPr>
        <w:pStyle w:val="Ttulo3"/>
        <w:rPr>
          <w:rFonts w:ascii="Times New Roman" w:hAnsi="Times New Roman" w:cs="Times New Roman"/>
          <w:b w:val="0"/>
          <w:bCs/>
          <w:sz w:val="23"/>
          <w:szCs w:val="23"/>
        </w:rPr>
      </w:pPr>
      <w:bookmarkStart w:id="4" w:name="_Toc63342382"/>
      <w:bookmarkStart w:id="5" w:name="_Toc63343258"/>
      <w:bookmarkStart w:id="6" w:name="_Toc63666909"/>
      <w:r w:rsidRPr="00636714">
        <w:rPr>
          <w:rFonts w:ascii="Times New Roman" w:hAnsi="Times New Roman" w:cs="Times New Roman"/>
          <w:bCs/>
          <w:sz w:val="23"/>
          <w:szCs w:val="23"/>
        </w:rPr>
        <w:t>Estudiantes universitarios matriculados en IES con acreditación de alta calidad</w:t>
      </w:r>
      <w:bookmarkEnd w:id="4"/>
      <w:bookmarkEnd w:id="5"/>
      <w:bookmarkEnd w:id="6"/>
      <w:r w:rsidR="004162FC">
        <w:rPr>
          <w:rFonts w:ascii="Times New Roman" w:hAnsi="Times New Roman" w:cs="Times New Roman"/>
          <w:bCs/>
          <w:sz w:val="23"/>
          <w:szCs w:val="23"/>
        </w:rPr>
        <w:t>:</w:t>
      </w:r>
    </w:p>
    <w:p w14:paraId="6AE86868"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De acuerdo con Manizales Como Vamos (2021), con la acreditación de las cinco universidades con domicilio en la ciudad, Manizales se convierte en la ciudad con la mayor proporción de estudiantes matriculados en IES de acreditación de alta calidad, llegando casi al 100%. En efecto, como muestra la siguiente gráfica, el 92,7% de los estudiantes universitarios se encuentran matriculados en instituciones que cuentan con este reconocimiento y la proporción restante, son estudiantes que en 2019 se encontraban estudiando en IES que cuentan con una oferta educativa en la ciudad, pero su domicilio principal está ubicado en una ciudad distinta a Manizales. </w:t>
      </w:r>
    </w:p>
    <w:p w14:paraId="70FA5D02" w14:textId="77777777" w:rsidR="00636714" w:rsidRPr="00636714" w:rsidRDefault="00636714" w:rsidP="00636714">
      <w:pPr>
        <w:jc w:val="both"/>
        <w:rPr>
          <w:rFonts w:ascii="Times New Roman" w:hAnsi="Times New Roman" w:cs="Times New Roman"/>
          <w:sz w:val="23"/>
          <w:szCs w:val="23"/>
        </w:rPr>
      </w:pPr>
    </w:p>
    <w:p w14:paraId="4FCF000D"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Nueve ciudades presentaron un avance importante en este indicador, destacándose especialmente Montería Manizales que ocupó el segundo lugar con el 81,9%. Manizales presentó un crecimiento de 5,8 puntos porcentuales, siendo plausible esperar un estancamiento en este indicador, el cual se movería de aquí adelante por cambios en la matrícula o por la acreditación de alguna IES con oferta en la ciudad, pero con domicilio por fuera de ella.</w:t>
      </w:r>
    </w:p>
    <w:p w14:paraId="5341C2F8" w14:textId="77777777" w:rsidR="00636714" w:rsidRPr="00636714" w:rsidRDefault="00636714" w:rsidP="00636714">
      <w:pPr>
        <w:jc w:val="both"/>
        <w:rPr>
          <w:rFonts w:ascii="Times New Roman" w:hAnsi="Times New Roman" w:cs="Times New Roman"/>
          <w:sz w:val="23"/>
          <w:szCs w:val="23"/>
        </w:rPr>
      </w:pPr>
    </w:p>
    <w:p w14:paraId="1CE1928A"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Pereira, Cali y Cúcuta presentaron un retroceso en el indicador de -3,1 y -5,5 y -4,2 puntos porcentuales. En el resto de las ciudades, el indicador permaneció relativamente estable con leves variaciones entre los años analizados.</w:t>
      </w:r>
    </w:p>
    <w:p w14:paraId="14BF87EF" w14:textId="77777777" w:rsidR="00636714" w:rsidRPr="00636714" w:rsidRDefault="00636714" w:rsidP="00636714">
      <w:pPr>
        <w:jc w:val="both"/>
        <w:rPr>
          <w:rFonts w:ascii="Times New Roman" w:hAnsi="Times New Roman" w:cs="Times New Roman"/>
          <w:sz w:val="23"/>
          <w:szCs w:val="23"/>
        </w:rPr>
      </w:pPr>
    </w:p>
    <w:p w14:paraId="12CEA076" w14:textId="38177575" w:rsidR="00636714" w:rsidRPr="00636714" w:rsidRDefault="00636714" w:rsidP="004162FC">
      <w:pPr>
        <w:jc w:val="center"/>
        <w:rPr>
          <w:rFonts w:ascii="Times New Roman" w:hAnsi="Times New Roman" w:cs="Times New Roman"/>
          <w:b/>
          <w:sz w:val="23"/>
          <w:szCs w:val="23"/>
        </w:rPr>
      </w:pPr>
      <w:bookmarkStart w:id="7" w:name="_Toc63666820"/>
      <w:r w:rsidRPr="00636714">
        <w:rPr>
          <w:rFonts w:ascii="Times New Roman" w:hAnsi="Times New Roman" w:cs="Times New Roman"/>
          <w:b/>
          <w:sz w:val="23"/>
          <w:szCs w:val="23"/>
        </w:rPr>
        <w:lastRenderedPageBreak/>
        <w:t xml:space="preserve">Gráfica </w:t>
      </w:r>
      <w:r w:rsidRPr="00636714">
        <w:rPr>
          <w:rFonts w:ascii="Times New Roman" w:hAnsi="Times New Roman" w:cs="Times New Roman"/>
          <w:b/>
          <w:sz w:val="23"/>
          <w:szCs w:val="23"/>
        </w:rPr>
        <w:fldChar w:fldCharType="begin"/>
      </w:r>
      <w:r w:rsidRPr="00636714">
        <w:rPr>
          <w:rFonts w:ascii="Times New Roman" w:hAnsi="Times New Roman" w:cs="Times New Roman"/>
          <w:b/>
          <w:sz w:val="23"/>
          <w:szCs w:val="23"/>
        </w:rPr>
        <w:instrText xml:space="preserve"> SEQ Gráfica \* ARABIC </w:instrText>
      </w:r>
      <w:r w:rsidRPr="00636714">
        <w:rPr>
          <w:rFonts w:ascii="Times New Roman" w:hAnsi="Times New Roman" w:cs="Times New Roman"/>
          <w:b/>
          <w:sz w:val="23"/>
          <w:szCs w:val="23"/>
        </w:rPr>
        <w:fldChar w:fldCharType="separate"/>
      </w:r>
      <w:r w:rsidR="00F263B6">
        <w:rPr>
          <w:rFonts w:ascii="Times New Roman" w:hAnsi="Times New Roman" w:cs="Times New Roman"/>
          <w:b/>
          <w:noProof/>
          <w:sz w:val="23"/>
          <w:szCs w:val="23"/>
        </w:rPr>
        <w:t>10</w:t>
      </w:r>
      <w:r w:rsidRPr="00636714">
        <w:rPr>
          <w:rFonts w:ascii="Times New Roman" w:hAnsi="Times New Roman" w:cs="Times New Roman"/>
          <w:sz w:val="23"/>
          <w:szCs w:val="23"/>
        </w:rPr>
        <w:fldChar w:fldCharType="end"/>
      </w:r>
      <w:r w:rsidRPr="00636714">
        <w:rPr>
          <w:rFonts w:ascii="Times New Roman" w:hAnsi="Times New Roman" w:cs="Times New Roman"/>
          <w:b/>
          <w:sz w:val="23"/>
          <w:szCs w:val="23"/>
        </w:rPr>
        <w:t>. Proporción de estudiantes del nivel universitario presencial matriculados en IES con acreditación institucional por ciudad (2016 y e l2019)</w:t>
      </w:r>
      <w:bookmarkEnd w:id="7"/>
    </w:p>
    <w:p w14:paraId="1BEE9108"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2C4BD0C6" wp14:editId="73950B5A">
            <wp:extent cx="5612130" cy="3371850"/>
            <wp:effectExtent l="0" t="0" r="762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A304DE" w14:textId="0B48FAC3" w:rsidR="00636714" w:rsidRPr="00636714" w:rsidRDefault="00636714" w:rsidP="004162FC">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Cálculos MCV con base en MEN-SNIES</w:t>
      </w:r>
    </w:p>
    <w:p w14:paraId="3EFE7A23" w14:textId="09C8B421" w:rsidR="00636714" w:rsidRPr="00636714" w:rsidRDefault="00636714" w:rsidP="00636714">
      <w:pPr>
        <w:pStyle w:val="Ttulo1"/>
        <w:jc w:val="both"/>
        <w:rPr>
          <w:rFonts w:ascii="Times New Roman" w:hAnsi="Times New Roman" w:cs="Times New Roman"/>
          <w:sz w:val="23"/>
          <w:szCs w:val="23"/>
        </w:rPr>
      </w:pPr>
      <w:r w:rsidRPr="00636714">
        <w:rPr>
          <w:rFonts w:ascii="Times New Roman" w:hAnsi="Times New Roman" w:cs="Times New Roman"/>
          <w:sz w:val="23"/>
          <w:szCs w:val="23"/>
        </w:rPr>
        <w:t>Matricula por área de conocimiento</w:t>
      </w:r>
      <w:r w:rsidR="004162FC">
        <w:rPr>
          <w:rFonts w:ascii="Times New Roman" w:hAnsi="Times New Roman" w:cs="Times New Roman"/>
          <w:sz w:val="23"/>
          <w:szCs w:val="23"/>
        </w:rPr>
        <w:t>:</w:t>
      </w:r>
    </w:p>
    <w:p w14:paraId="7ABA6B8D"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En el año 2021, la tercera parte de los estudiantes matriculados en una Institución de Educación Superior de Caldas se inclinó por la economía, administración, contaduría y afines. Otra área por la que se inclinan es la ingeniería, arquitectura, urbanismo y afines con el 26%. Las ciencias sociales y humanas han ganado participación con el 18%. En cuarto lugar se ubican las ciencias de la salud, con una proporción similar las ciencias de la salud. Las áreas de matemáticas y ciencias naturales, así como las bellas artes y la agronomía y veterinaria, son áreas del conocimiento poco consolidados entre los estudiantes del departamento.</w:t>
      </w:r>
    </w:p>
    <w:p w14:paraId="5CBCEE24" w14:textId="77777777" w:rsidR="00636714" w:rsidRPr="00636714" w:rsidRDefault="00636714" w:rsidP="00636714">
      <w:pPr>
        <w:jc w:val="both"/>
        <w:rPr>
          <w:rFonts w:ascii="Times New Roman" w:hAnsi="Times New Roman" w:cs="Times New Roman"/>
          <w:sz w:val="23"/>
          <w:szCs w:val="23"/>
        </w:rPr>
      </w:pPr>
    </w:p>
    <w:p w14:paraId="5708C6E6" w14:textId="5D12B76A" w:rsidR="00636714" w:rsidRPr="00636714" w:rsidRDefault="00636714" w:rsidP="004162FC">
      <w:pPr>
        <w:jc w:val="center"/>
        <w:rPr>
          <w:rFonts w:ascii="Times New Roman" w:hAnsi="Times New Roman" w:cs="Times New Roman"/>
          <w:b/>
          <w:iCs/>
          <w:sz w:val="23"/>
          <w:szCs w:val="23"/>
        </w:rPr>
      </w:pPr>
      <w:r w:rsidRPr="00636714">
        <w:rPr>
          <w:rFonts w:ascii="Times New Roman" w:hAnsi="Times New Roman" w:cs="Times New Roman"/>
          <w:b/>
          <w:iCs/>
          <w:sz w:val="23"/>
          <w:szCs w:val="23"/>
        </w:rPr>
        <w:t xml:space="preserve">Gráfica </w:t>
      </w:r>
      <w:r w:rsidRPr="00636714">
        <w:rPr>
          <w:rFonts w:ascii="Times New Roman" w:hAnsi="Times New Roman" w:cs="Times New Roman"/>
          <w:b/>
          <w:iCs/>
          <w:sz w:val="23"/>
          <w:szCs w:val="23"/>
        </w:rPr>
        <w:fldChar w:fldCharType="begin"/>
      </w:r>
      <w:r w:rsidRPr="00636714">
        <w:rPr>
          <w:rFonts w:ascii="Times New Roman" w:hAnsi="Times New Roman" w:cs="Times New Roman"/>
          <w:b/>
          <w:iCs/>
          <w:sz w:val="23"/>
          <w:szCs w:val="23"/>
        </w:rPr>
        <w:instrText xml:space="preserve"> SEQ Gráfica \* ARABIC </w:instrText>
      </w:r>
      <w:r w:rsidRPr="00636714">
        <w:rPr>
          <w:rFonts w:ascii="Times New Roman" w:hAnsi="Times New Roman" w:cs="Times New Roman"/>
          <w:b/>
          <w:iCs/>
          <w:sz w:val="23"/>
          <w:szCs w:val="23"/>
        </w:rPr>
        <w:fldChar w:fldCharType="separate"/>
      </w:r>
      <w:r w:rsidR="00F263B6">
        <w:rPr>
          <w:rFonts w:ascii="Times New Roman" w:hAnsi="Times New Roman" w:cs="Times New Roman"/>
          <w:b/>
          <w:iCs/>
          <w:noProof/>
          <w:sz w:val="23"/>
          <w:szCs w:val="23"/>
        </w:rPr>
        <w:t>11</w:t>
      </w:r>
      <w:r w:rsidRPr="00636714">
        <w:rPr>
          <w:rFonts w:ascii="Times New Roman" w:hAnsi="Times New Roman" w:cs="Times New Roman"/>
          <w:sz w:val="23"/>
          <w:szCs w:val="23"/>
        </w:rPr>
        <w:fldChar w:fldCharType="end"/>
      </w:r>
      <w:r w:rsidRPr="00636714">
        <w:rPr>
          <w:rFonts w:ascii="Times New Roman" w:hAnsi="Times New Roman" w:cs="Times New Roman"/>
          <w:b/>
          <w:iCs/>
          <w:sz w:val="23"/>
          <w:szCs w:val="23"/>
        </w:rPr>
        <w:t xml:space="preserve"> Matrícula por área de conocimiento (2021)</w:t>
      </w:r>
    </w:p>
    <w:p w14:paraId="06C34E02" w14:textId="77777777" w:rsidR="00636714" w:rsidRPr="00636714" w:rsidRDefault="00636714" w:rsidP="004162FC">
      <w:pPr>
        <w:jc w:val="center"/>
        <w:rPr>
          <w:rFonts w:ascii="Times New Roman" w:hAnsi="Times New Roman" w:cs="Times New Roman"/>
          <w:b/>
          <w:iCs/>
          <w:sz w:val="23"/>
          <w:szCs w:val="23"/>
        </w:rPr>
      </w:pPr>
    </w:p>
    <w:p w14:paraId="0D945E26"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37E16A37" wp14:editId="2A6A5270">
            <wp:extent cx="5608864" cy="2130878"/>
            <wp:effectExtent l="0" t="0" r="5080" b="317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E0C01C" w14:textId="4BE95D3E" w:rsidR="00636714" w:rsidRPr="004162FC" w:rsidRDefault="00636714" w:rsidP="004162FC">
      <w:pPr>
        <w:jc w:val="center"/>
        <w:rPr>
          <w:rFonts w:ascii="Times New Roman" w:hAnsi="Times New Roman" w:cs="Times New Roman"/>
          <w:i/>
          <w:iCs/>
          <w:smallCaps/>
          <w:color w:val="5A5A5A" w:themeColor="text1" w:themeTint="A5"/>
          <w:sz w:val="23"/>
          <w:szCs w:val="23"/>
        </w:rPr>
      </w:pPr>
      <w:r w:rsidRPr="00636714">
        <w:rPr>
          <w:rStyle w:val="Referenciasutil"/>
          <w:rFonts w:ascii="Times New Roman" w:hAnsi="Times New Roman" w:cs="Times New Roman"/>
          <w:sz w:val="23"/>
          <w:szCs w:val="23"/>
        </w:rPr>
        <w:t>Fuente: MEN (SNIES)</w:t>
      </w:r>
    </w:p>
    <w:p w14:paraId="6436C844" w14:textId="52AAE319" w:rsidR="00636714" w:rsidRPr="00636714" w:rsidRDefault="00636714" w:rsidP="00636714">
      <w:pPr>
        <w:pStyle w:val="Ttulo1"/>
        <w:jc w:val="both"/>
        <w:rPr>
          <w:rFonts w:ascii="Times New Roman" w:hAnsi="Times New Roman" w:cs="Times New Roman"/>
          <w:sz w:val="23"/>
          <w:szCs w:val="23"/>
        </w:rPr>
      </w:pPr>
      <w:r w:rsidRPr="00636714">
        <w:rPr>
          <w:rFonts w:ascii="Times New Roman" w:hAnsi="Times New Roman" w:cs="Times New Roman"/>
          <w:sz w:val="23"/>
          <w:szCs w:val="23"/>
        </w:rPr>
        <w:lastRenderedPageBreak/>
        <w:t>Población con título de educación superior</w:t>
      </w:r>
      <w:r w:rsidR="004162FC">
        <w:rPr>
          <w:rFonts w:ascii="Times New Roman" w:hAnsi="Times New Roman" w:cs="Times New Roman"/>
          <w:sz w:val="23"/>
          <w:szCs w:val="23"/>
        </w:rPr>
        <w:t>:</w:t>
      </w:r>
    </w:p>
    <w:p w14:paraId="24ADB2B2" w14:textId="77777777" w:rsidR="00636714" w:rsidRPr="00636714" w:rsidRDefault="00636714" w:rsidP="00636714">
      <w:pPr>
        <w:jc w:val="both"/>
        <w:rPr>
          <w:rFonts w:ascii="Times New Roman" w:hAnsi="Times New Roman" w:cs="Times New Roman"/>
          <w:sz w:val="23"/>
          <w:szCs w:val="23"/>
        </w:rPr>
      </w:pPr>
    </w:p>
    <w:p w14:paraId="36AD0FE9"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El departamento anualmente logra graduar un promedio de 10.500 estudiantes en todos los niveles de formación, reflejo de la vocación universitaria de la capital. El 75.5% de los graduados lo hicieron en pregrado y el 24.5% corresponde a graduados de posgrado. Si se compara frente al año 2015, en el que el número de graduados alcanzó 8.576, la diferencia de 2.252 graduados adicionales (+26%), representa un incremento en el nivel educativo de la población en general, puesto que si bien, muchos emigran o retornan a su lugar de origen, otros prefieren vincularse al mercado laboral de la ciudad.</w:t>
      </w:r>
    </w:p>
    <w:p w14:paraId="28482ECB" w14:textId="77777777" w:rsidR="00636714" w:rsidRPr="00636714" w:rsidRDefault="00636714" w:rsidP="00636714">
      <w:pPr>
        <w:jc w:val="both"/>
        <w:rPr>
          <w:rFonts w:ascii="Times New Roman" w:hAnsi="Times New Roman" w:cs="Times New Roman"/>
          <w:b/>
          <w:iCs/>
          <w:sz w:val="23"/>
          <w:szCs w:val="23"/>
        </w:rPr>
      </w:pPr>
    </w:p>
    <w:p w14:paraId="7437F0B8" w14:textId="77777777" w:rsidR="00636714" w:rsidRPr="00636714" w:rsidRDefault="00636714" w:rsidP="004162FC">
      <w:pPr>
        <w:jc w:val="center"/>
        <w:rPr>
          <w:rFonts w:ascii="Times New Roman" w:hAnsi="Times New Roman" w:cs="Times New Roman"/>
          <w:b/>
          <w:iCs/>
          <w:sz w:val="23"/>
          <w:szCs w:val="23"/>
        </w:rPr>
      </w:pPr>
      <w:r w:rsidRPr="00636714">
        <w:rPr>
          <w:rFonts w:ascii="Times New Roman" w:hAnsi="Times New Roman" w:cs="Times New Roman"/>
          <w:b/>
          <w:iCs/>
          <w:sz w:val="23"/>
          <w:szCs w:val="23"/>
        </w:rPr>
        <w:t>Tabla 10 Graduados por nivel de formación (2015 – 2021)</w:t>
      </w:r>
    </w:p>
    <w:tbl>
      <w:tblPr>
        <w:tblW w:w="5000" w:type="pct"/>
        <w:tblCellMar>
          <w:left w:w="70" w:type="dxa"/>
          <w:right w:w="70" w:type="dxa"/>
        </w:tblCellMar>
        <w:tblLook w:val="04A0" w:firstRow="1" w:lastRow="0" w:firstColumn="1" w:lastColumn="0" w:noHBand="0" w:noVBand="1"/>
      </w:tblPr>
      <w:tblGrid>
        <w:gridCol w:w="2671"/>
        <w:gridCol w:w="1027"/>
        <w:gridCol w:w="1104"/>
        <w:gridCol w:w="962"/>
        <w:gridCol w:w="962"/>
        <w:gridCol w:w="971"/>
        <w:gridCol w:w="971"/>
        <w:gridCol w:w="950"/>
      </w:tblGrid>
      <w:tr w:rsidR="00636714" w:rsidRPr="00636714" w14:paraId="4AC91557" w14:textId="77777777" w:rsidTr="009A6D3A">
        <w:trPr>
          <w:trHeight w:val="390"/>
          <w:tblHeader/>
        </w:trPr>
        <w:tc>
          <w:tcPr>
            <w:tcW w:w="1388"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211AADEB"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Nivel de Formación</w:t>
            </w:r>
          </w:p>
        </w:tc>
        <w:tc>
          <w:tcPr>
            <w:tcW w:w="534" w:type="pct"/>
            <w:tcBorders>
              <w:top w:val="single" w:sz="8" w:space="0" w:color="3366CC"/>
              <w:left w:val="nil"/>
              <w:bottom w:val="single" w:sz="8" w:space="0" w:color="3366CC"/>
              <w:right w:val="single" w:sz="4" w:space="0" w:color="A6A6A6"/>
            </w:tcBorders>
            <w:shd w:val="clear" w:color="000000" w:fill="DDEBF7"/>
            <w:vAlign w:val="center"/>
            <w:hideMark/>
          </w:tcPr>
          <w:p w14:paraId="178ED994"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2015</w:t>
            </w:r>
          </w:p>
        </w:tc>
        <w:tc>
          <w:tcPr>
            <w:tcW w:w="574" w:type="pct"/>
            <w:tcBorders>
              <w:top w:val="single" w:sz="8" w:space="0" w:color="3366CC"/>
              <w:left w:val="nil"/>
              <w:bottom w:val="single" w:sz="8" w:space="0" w:color="3366CC"/>
              <w:right w:val="single" w:sz="4" w:space="0" w:color="A6A6A6"/>
            </w:tcBorders>
            <w:shd w:val="clear" w:color="000000" w:fill="DDEBF7"/>
            <w:vAlign w:val="center"/>
            <w:hideMark/>
          </w:tcPr>
          <w:p w14:paraId="5E3DC7FF"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2016</w:t>
            </w:r>
          </w:p>
        </w:tc>
        <w:tc>
          <w:tcPr>
            <w:tcW w:w="500" w:type="pct"/>
            <w:tcBorders>
              <w:top w:val="single" w:sz="8" w:space="0" w:color="3366CC"/>
              <w:left w:val="nil"/>
              <w:bottom w:val="single" w:sz="8" w:space="0" w:color="3366CC"/>
              <w:right w:val="nil"/>
            </w:tcBorders>
            <w:shd w:val="clear" w:color="000000" w:fill="DDEBF7"/>
            <w:vAlign w:val="center"/>
            <w:hideMark/>
          </w:tcPr>
          <w:p w14:paraId="032E7B8D"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2017</w:t>
            </w:r>
          </w:p>
        </w:tc>
        <w:tc>
          <w:tcPr>
            <w:tcW w:w="500" w:type="pct"/>
            <w:tcBorders>
              <w:top w:val="single" w:sz="8" w:space="0" w:color="3366CC"/>
              <w:left w:val="nil"/>
              <w:bottom w:val="single" w:sz="8" w:space="0" w:color="3366CC"/>
              <w:right w:val="single" w:sz="4" w:space="0" w:color="A6A6A6"/>
            </w:tcBorders>
            <w:shd w:val="clear" w:color="000000" w:fill="DDEBF7"/>
            <w:vAlign w:val="center"/>
            <w:hideMark/>
          </w:tcPr>
          <w:p w14:paraId="294671A4"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2018</w:t>
            </w:r>
          </w:p>
        </w:tc>
        <w:tc>
          <w:tcPr>
            <w:tcW w:w="505" w:type="pct"/>
            <w:tcBorders>
              <w:top w:val="single" w:sz="8" w:space="0" w:color="3366CC"/>
              <w:left w:val="nil"/>
              <w:bottom w:val="single" w:sz="8" w:space="0" w:color="3366CC"/>
              <w:right w:val="single" w:sz="4" w:space="0" w:color="A6A6A6"/>
            </w:tcBorders>
            <w:shd w:val="clear" w:color="000000" w:fill="DDEBF7"/>
            <w:vAlign w:val="center"/>
            <w:hideMark/>
          </w:tcPr>
          <w:p w14:paraId="0E827ADF"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2019</w:t>
            </w:r>
          </w:p>
        </w:tc>
        <w:tc>
          <w:tcPr>
            <w:tcW w:w="505" w:type="pct"/>
            <w:tcBorders>
              <w:top w:val="single" w:sz="8" w:space="0" w:color="3366CC"/>
              <w:left w:val="nil"/>
              <w:bottom w:val="single" w:sz="8" w:space="0" w:color="3366CC"/>
              <w:right w:val="single" w:sz="4" w:space="0" w:color="A6A6A6"/>
            </w:tcBorders>
            <w:shd w:val="clear" w:color="000000" w:fill="DDEBF7"/>
            <w:vAlign w:val="center"/>
            <w:hideMark/>
          </w:tcPr>
          <w:p w14:paraId="3EB082C5"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2020</w:t>
            </w:r>
          </w:p>
        </w:tc>
        <w:tc>
          <w:tcPr>
            <w:tcW w:w="494" w:type="pct"/>
            <w:tcBorders>
              <w:top w:val="single" w:sz="8" w:space="0" w:color="3366CC"/>
              <w:left w:val="nil"/>
              <w:bottom w:val="single" w:sz="8" w:space="0" w:color="3366CC"/>
              <w:right w:val="single" w:sz="8" w:space="0" w:color="3366CC"/>
            </w:tcBorders>
            <w:shd w:val="clear" w:color="000000" w:fill="DDEBF7"/>
            <w:vAlign w:val="center"/>
            <w:hideMark/>
          </w:tcPr>
          <w:p w14:paraId="14959D88"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2021</w:t>
            </w:r>
          </w:p>
        </w:tc>
      </w:tr>
      <w:tr w:rsidR="00636714" w:rsidRPr="00636714" w14:paraId="66D60A43" w14:textId="77777777" w:rsidTr="009A6D3A">
        <w:trPr>
          <w:trHeight w:val="375"/>
        </w:trPr>
        <w:tc>
          <w:tcPr>
            <w:tcW w:w="1388" w:type="pct"/>
            <w:tcBorders>
              <w:top w:val="single" w:sz="8" w:space="0" w:color="3366CC"/>
              <w:left w:val="single" w:sz="8" w:space="0" w:color="3366CC"/>
              <w:bottom w:val="single" w:sz="4" w:space="0" w:color="A6A6A6"/>
              <w:right w:val="single" w:sz="8" w:space="0" w:color="3366CC"/>
            </w:tcBorders>
            <w:shd w:val="clear" w:color="auto" w:fill="auto"/>
            <w:noWrap/>
            <w:vAlign w:val="center"/>
            <w:hideMark/>
          </w:tcPr>
          <w:p w14:paraId="1F448785"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Técnica Profesional</w:t>
            </w:r>
          </w:p>
        </w:tc>
        <w:tc>
          <w:tcPr>
            <w:tcW w:w="534" w:type="pct"/>
            <w:tcBorders>
              <w:top w:val="nil"/>
              <w:left w:val="nil"/>
              <w:bottom w:val="single" w:sz="4" w:space="0" w:color="A6A6A6"/>
              <w:right w:val="single" w:sz="4" w:space="0" w:color="A6A6A6"/>
            </w:tcBorders>
            <w:shd w:val="clear" w:color="auto" w:fill="auto"/>
            <w:noWrap/>
            <w:vAlign w:val="center"/>
            <w:hideMark/>
          </w:tcPr>
          <w:p w14:paraId="230FB5C9"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211</w:t>
            </w:r>
          </w:p>
        </w:tc>
        <w:tc>
          <w:tcPr>
            <w:tcW w:w="574" w:type="pct"/>
            <w:tcBorders>
              <w:top w:val="nil"/>
              <w:left w:val="nil"/>
              <w:bottom w:val="single" w:sz="4" w:space="0" w:color="A6A6A6"/>
              <w:right w:val="single" w:sz="4" w:space="0" w:color="A6A6A6"/>
            </w:tcBorders>
            <w:shd w:val="clear" w:color="auto" w:fill="auto"/>
            <w:noWrap/>
            <w:vAlign w:val="center"/>
            <w:hideMark/>
          </w:tcPr>
          <w:p w14:paraId="2CBDA9E6"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664</w:t>
            </w:r>
          </w:p>
        </w:tc>
        <w:tc>
          <w:tcPr>
            <w:tcW w:w="500" w:type="pct"/>
            <w:tcBorders>
              <w:top w:val="nil"/>
              <w:left w:val="nil"/>
              <w:bottom w:val="single" w:sz="4" w:space="0" w:color="A6A6A6"/>
              <w:right w:val="nil"/>
            </w:tcBorders>
            <w:shd w:val="clear" w:color="auto" w:fill="auto"/>
            <w:noWrap/>
            <w:vAlign w:val="center"/>
            <w:hideMark/>
          </w:tcPr>
          <w:p w14:paraId="032BBA25"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1.144</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3F90CBE6"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1.398</w:t>
            </w:r>
          </w:p>
        </w:tc>
        <w:tc>
          <w:tcPr>
            <w:tcW w:w="505" w:type="pct"/>
            <w:tcBorders>
              <w:top w:val="nil"/>
              <w:left w:val="nil"/>
              <w:bottom w:val="single" w:sz="4" w:space="0" w:color="A6A6A6"/>
              <w:right w:val="single" w:sz="4" w:space="0" w:color="A6A6A6"/>
            </w:tcBorders>
            <w:shd w:val="clear" w:color="auto" w:fill="auto"/>
            <w:noWrap/>
            <w:vAlign w:val="center"/>
            <w:hideMark/>
          </w:tcPr>
          <w:p w14:paraId="30EB01B6"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1.412</w:t>
            </w:r>
          </w:p>
        </w:tc>
        <w:tc>
          <w:tcPr>
            <w:tcW w:w="505" w:type="pct"/>
            <w:tcBorders>
              <w:top w:val="nil"/>
              <w:left w:val="nil"/>
              <w:bottom w:val="single" w:sz="4" w:space="0" w:color="A6A6A6"/>
              <w:right w:val="single" w:sz="4" w:space="0" w:color="A6A6A6"/>
            </w:tcBorders>
            <w:shd w:val="clear" w:color="auto" w:fill="auto"/>
            <w:noWrap/>
            <w:vAlign w:val="center"/>
            <w:hideMark/>
          </w:tcPr>
          <w:p w14:paraId="42AD74B7"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1.573</w:t>
            </w:r>
          </w:p>
        </w:tc>
        <w:tc>
          <w:tcPr>
            <w:tcW w:w="494" w:type="pct"/>
            <w:tcBorders>
              <w:top w:val="nil"/>
              <w:left w:val="nil"/>
              <w:bottom w:val="single" w:sz="4" w:space="0" w:color="A6A6A6"/>
              <w:right w:val="single" w:sz="8" w:space="0" w:color="3366CC"/>
            </w:tcBorders>
            <w:shd w:val="clear" w:color="auto" w:fill="auto"/>
            <w:noWrap/>
            <w:vAlign w:val="center"/>
            <w:hideMark/>
          </w:tcPr>
          <w:p w14:paraId="136362E8"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1.113</w:t>
            </w:r>
          </w:p>
        </w:tc>
      </w:tr>
      <w:tr w:rsidR="00636714" w:rsidRPr="00636714" w14:paraId="442A50F0" w14:textId="77777777" w:rsidTr="009A6D3A">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3C549E15"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Tecnológica</w:t>
            </w:r>
          </w:p>
        </w:tc>
        <w:tc>
          <w:tcPr>
            <w:tcW w:w="534" w:type="pct"/>
            <w:tcBorders>
              <w:top w:val="nil"/>
              <w:left w:val="nil"/>
              <w:bottom w:val="single" w:sz="4" w:space="0" w:color="A6A6A6"/>
              <w:right w:val="single" w:sz="4" w:space="0" w:color="A6A6A6"/>
            </w:tcBorders>
            <w:shd w:val="clear" w:color="auto" w:fill="auto"/>
            <w:noWrap/>
            <w:vAlign w:val="center"/>
            <w:hideMark/>
          </w:tcPr>
          <w:p w14:paraId="15415B2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2.631</w:t>
            </w:r>
          </w:p>
        </w:tc>
        <w:tc>
          <w:tcPr>
            <w:tcW w:w="574" w:type="pct"/>
            <w:tcBorders>
              <w:top w:val="nil"/>
              <w:left w:val="nil"/>
              <w:bottom w:val="single" w:sz="4" w:space="0" w:color="A6A6A6"/>
              <w:right w:val="single" w:sz="4" w:space="0" w:color="A6A6A6"/>
            </w:tcBorders>
            <w:shd w:val="clear" w:color="auto" w:fill="auto"/>
            <w:noWrap/>
            <w:vAlign w:val="center"/>
            <w:hideMark/>
          </w:tcPr>
          <w:p w14:paraId="0751D01E"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2.478</w:t>
            </w:r>
          </w:p>
        </w:tc>
        <w:tc>
          <w:tcPr>
            <w:tcW w:w="500" w:type="pct"/>
            <w:tcBorders>
              <w:top w:val="nil"/>
              <w:left w:val="nil"/>
              <w:bottom w:val="single" w:sz="4" w:space="0" w:color="A6A6A6"/>
              <w:right w:val="nil"/>
            </w:tcBorders>
            <w:shd w:val="clear" w:color="auto" w:fill="auto"/>
            <w:noWrap/>
            <w:vAlign w:val="center"/>
            <w:hideMark/>
          </w:tcPr>
          <w:p w14:paraId="68A9BB2E"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2.478</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527EBAF6"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2.667</w:t>
            </w:r>
          </w:p>
        </w:tc>
        <w:tc>
          <w:tcPr>
            <w:tcW w:w="505" w:type="pct"/>
            <w:tcBorders>
              <w:top w:val="nil"/>
              <w:left w:val="nil"/>
              <w:bottom w:val="single" w:sz="4" w:space="0" w:color="A6A6A6"/>
              <w:right w:val="single" w:sz="4" w:space="0" w:color="A6A6A6"/>
            </w:tcBorders>
            <w:shd w:val="clear" w:color="auto" w:fill="auto"/>
            <w:noWrap/>
            <w:vAlign w:val="center"/>
            <w:hideMark/>
          </w:tcPr>
          <w:p w14:paraId="62D754BE"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2.540</w:t>
            </w:r>
          </w:p>
        </w:tc>
        <w:tc>
          <w:tcPr>
            <w:tcW w:w="505" w:type="pct"/>
            <w:tcBorders>
              <w:top w:val="nil"/>
              <w:left w:val="nil"/>
              <w:bottom w:val="single" w:sz="4" w:space="0" w:color="A6A6A6"/>
              <w:right w:val="single" w:sz="4" w:space="0" w:color="A6A6A6"/>
            </w:tcBorders>
            <w:shd w:val="clear" w:color="auto" w:fill="auto"/>
            <w:noWrap/>
            <w:vAlign w:val="center"/>
            <w:hideMark/>
          </w:tcPr>
          <w:p w14:paraId="79DAF402"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1.579</w:t>
            </w:r>
          </w:p>
        </w:tc>
        <w:tc>
          <w:tcPr>
            <w:tcW w:w="494" w:type="pct"/>
            <w:tcBorders>
              <w:top w:val="nil"/>
              <w:left w:val="nil"/>
              <w:bottom w:val="single" w:sz="4" w:space="0" w:color="A6A6A6"/>
              <w:right w:val="single" w:sz="8" w:space="0" w:color="3366CC"/>
            </w:tcBorders>
            <w:shd w:val="clear" w:color="auto" w:fill="auto"/>
            <w:noWrap/>
            <w:vAlign w:val="center"/>
            <w:hideMark/>
          </w:tcPr>
          <w:p w14:paraId="5FCFDBA6"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2.492</w:t>
            </w:r>
          </w:p>
        </w:tc>
      </w:tr>
      <w:tr w:rsidR="00636714" w:rsidRPr="00636714" w14:paraId="60D41542" w14:textId="77777777" w:rsidTr="009A6D3A">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266FD4AA"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Universitaria</w:t>
            </w:r>
          </w:p>
        </w:tc>
        <w:tc>
          <w:tcPr>
            <w:tcW w:w="534" w:type="pct"/>
            <w:tcBorders>
              <w:top w:val="nil"/>
              <w:left w:val="nil"/>
              <w:bottom w:val="single" w:sz="4" w:space="0" w:color="A6A6A6"/>
              <w:right w:val="single" w:sz="4" w:space="0" w:color="A6A6A6"/>
            </w:tcBorders>
            <w:shd w:val="clear" w:color="auto" w:fill="auto"/>
            <w:noWrap/>
            <w:vAlign w:val="center"/>
            <w:hideMark/>
          </w:tcPr>
          <w:p w14:paraId="2B3E508E"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3.432</w:t>
            </w:r>
          </w:p>
        </w:tc>
        <w:tc>
          <w:tcPr>
            <w:tcW w:w="574" w:type="pct"/>
            <w:tcBorders>
              <w:top w:val="nil"/>
              <w:left w:val="nil"/>
              <w:bottom w:val="single" w:sz="4" w:space="0" w:color="A6A6A6"/>
              <w:right w:val="single" w:sz="4" w:space="0" w:color="A6A6A6"/>
            </w:tcBorders>
            <w:shd w:val="clear" w:color="auto" w:fill="auto"/>
            <w:noWrap/>
            <w:vAlign w:val="center"/>
            <w:hideMark/>
          </w:tcPr>
          <w:p w14:paraId="10A5266A"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4.302</w:t>
            </w:r>
          </w:p>
        </w:tc>
        <w:tc>
          <w:tcPr>
            <w:tcW w:w="500" w:type="pct"/>
            <w:tcBorders>
              <w:top w:val="nil"/>
              <w:left w:val="nil"/>
              <w:bottom w:val="single" w:sz="4" w:space="0" w:color="A6A6A6"/>
              <w:right w:val="nil"/>
            </w:tcBorders>
            <w:shd w:val="clear" w:color="auto" w:fill="auto"/>
            <w:noWrap/>
            <w:vAlign w:val="center"/>
            <w:hideMark/>
          </w:tcPr>
          <w:p w14:paraId="2ABF6748"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4.322</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0BEA0688"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4.697</w:t>
            </w:r>
          </w:p>
        </w:tc>
        <w:tc>
          <w:tcPr>
            <w:tcW w:w="505" w:type="pct"/>
            <w:tcBorders>
              <w:top w:val="nil"/>
              <w:left w:val="nil"/>
              <w:bottom w:val="single" w:sz="4" w:space="0" w:color="A6A6A6"/>
              <w:right w:val="single" w:sz="4" w:space="0" w:color="A6A6A6"/>
            </w:tcBorders>
            <w:shd w:val="clear" w:color="auto" w:fill="auto"/>
            <w:noWrap/>
            <w:vAlign w:val="center"/>
            <w:hideMark/>
          </w:tcPr>
          <w:p w14:paraId="2C094CED"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4.482</w:t>
            </w:r>
          </w:p>
        </w:tc>
        <w:tc>
          <w:tcPr>
            <w:tcW w:w="505" w:type="pct"/>
            <w:tcBorders>
              <w:top w:val="nil"/>
              <w:left w:val="nil"/>
              <w:bottom w:val="single" w:sz="4" w:space="0" w:color="A6A6A6"/>
              <w:right w:val="single" w:sz="4" w:space="0" w:color="A6A6A6"/>
            </w:tcBorders>
            <w:shd w:val="clear" w:color="auto" w:fill="auto"/>
            <w:noWrap/>
            <w:vAlign w:val="center"/>
            <w:hideMark/>
          </w:tcPr>
          <w:p w14:paraId="7BD8D87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4.472</w:t>
            </w:r>
          </w:p>
        </w:tc>
        <w:tc>
          <w:tcPr>
            <w:tcW w:w="494" w:type="pct"/>
            <w:tcBorders>
              <w:top w:val="nil"/>
              <w:left w:val="nil"/>
              <w:bottom w:val="single" w:sz="4" w:space="0" w:color="A6A6A6"/>
              <w:right w:val="single" w:sz="8" w:space="0" w:color="3366CC"/>
            </w:tcBorders>
            <w:shd w:val="clear" w:color="auto" w:fill="auto"/>
            <w:noWrap/>
            <w:vAlign w:val="center"/>
            <w:hideMark/>
          </w:tcPr>
          <w:p w14:paraId="48F457AB"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4.840</w:t>
            </w:r>
          </w:p>
        </w:tc>
      </w:tr>
      <w:tr w:rsidR="00636714" w:rsidRPr="00636714" w14:paraId="569FD2B2" w14:textId="77777777" w:rsidTr="009A6D3A">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43407286"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Especialización</w:t>
            </w:r>
          </w:p>
        </w:tc>
        <w:tc>
          <w:tcPr>
            <w:tcW w:w="534" w:type="pct"/>
            <w:tcBorders>
              <w:top w:val="nil"/>
              <w:left w:val="nil"/>
              <w:bottom w:val="single" w:sz="4" w:space="0" w:color="A6A6A6"/>
              <w:right w:val="single" w:sz="4" w:space="0" w:color="A6A6A6"/>
            </w:tcBorders>
            <w:shd w:val="clear" w:color="auto" w:fill="auto"/>
            <w:noWrap/>
            <w:vAlign w:val="center"/>
            <w:hideMark/>
          </w:tcPr>
          <w:p w14:paraId="1A764796"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1.391</w:t>
            </w:r>
          </w:p>
        </w:tc>
        <w:tc>
          <w:tcPr>
            <w:tcW w:w="574" w:type="pct"/>
            <w:tcBorders>
              <w:top w:val="nil"/>
              <w:left w:val="nil"/>
              <w:bottom w:val="single" w:sz="4" w:space="0" w:color="A6A6A6"/>
              <w:right w:val="single" w:sz="4" w:space="0" w:color="A6A6A6"/>
            </w:tcBorders>
            <w:shd w:val="clear" w:color="auto" w:fill="auto"/>
            <w:noWrap/>
            <w:vAlign w:val="center"/>
            <w:hideMark/>
          </w:tcPr>
          <w:p w14:paraId="46A51537"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1.455</w:t>
            </w:r>
          </w:p>
        </w:tc>
        <w:tc>
          <w:tcPr>
            <w:tcW w:w="500" w:type="pct"/>
            <w:tcBorders>
              <w:top w:val="nil"/>
              <w:left w:val="nil"/>
              <w:bottom w:val="single" w:sz="4" w:space="0" w:color="A6A6A6"/>
              <w:right w:val="nil"/>
            </w:tcBorders>
            <w:shd w:val="clear" w:color="auto" w:fill="auto"/>
            <w:noWrap/>
            <w:vAlign w:val="center"/>
            <w:hideMark/>
          </w:tcPr>
          <w:p w14:paraId="462BC302"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1.410</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17E51060"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1.902</w:t>
            </w:r>
          </w:p>
        </w:tc>
        <w:tc>
          <w:tcPr>
            <w:tcW w:w="505" w:type="pct"/>
            <w:tcBorders>
              <w:top w:val="nil"/>
              <w:left w:val="nil"/>
              <w:bottom w:val="single" w:sz="4" w:space="0" w:color="A6A6A6"/>
              <w:right w:val="single" w:sz="4" w:space="0" w:color="A6A6A6"/>
            </w:tcBorders>
            <w:shd w:val="clear" w:color="auto" w:fill="auto"/>
            <w:noWrap/>
            <w:vAlign w:val="center"/>
            <w:hideMark/>
          </w:tcPr>
          <w:p w14:paraId="49B1F4E3"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1.848</w:t>
            </w:r>
          </w:p>
        </w:tc>
        <w:tc>
          <w:tcPr>
            <w:tcW w:w="505" w:type="pct"/>
            <w:tcBorders>
              <w:top w:val="nil"/>
              <w:left w:val="nil"/>
              <w:bottom w:val="single" w:sz="4" w:space="0" w:color="A6A6A6"/>
              <w:right w:val="single" w:sz="4" w:space="0" w:color="A6A6A6"/>
            </w:tcBorders>
            <w:shd w:val="clear" w:color="auto" w:fill="auto"/>
            <w:noWrap/>
            <w:vAlign w:val="center"/>
            <w:hideMark/>
          </w:tcPr>
          <w:p w14:paraId="4B0C8347"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1.737</w:t>
            </w:r>
          </w:p>
        </w:tc>
        <w:tc>
          <w:tcPr>
            <w:tcW w:w="494" w:type="pct"/>
            <w:tcBorders>
              <w:top w:val="nil"/>
              <w:left w:val="nil"/>
              <w:bottom w:val="single" w:sz="4" w:space="0" w:color="A6A6A6"/>
              <w:right w:val="single" w:sz="8" w:space="0" w:color="3366CC"/>
            </w:tcBorders>
            <w:shd w:val="clear" w:color="auto" w:fill="auto"/>
            <w:noWrap/>
            <w:vAlign w:val="center"/>
            <w:hideMark/>
          </w:tcPr>
          <w:p w14:paraId="3A151A54"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1.546</w:t>
            </w:r>
          </w:p>
        </w:tc>
      </w:tr>
      <w:tr w:rsidR="00636714" w:rsidRPr="00636714" w14:paraId="634CF3BF" w14:textId="77777777" w:rsidTr="009A6D3A">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4C62C9C2"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Maestría</w:t>
            </w:r>
          </w:p>
        </w:tc>
        <w:tc>
          <w:tcPr>
            <w:tcW w:w="534" w:type="pct"/>
            <w:tcBorders>
              <w:top w:val="nil"/>
              <w:left w:val="nil"/>
              <w:bottom w:val="single" w:sz="4" w:space="0" w:color="A6A6A6"/>
              <w:right w:val="single" w:sz="4" w:space="0" w:color="A6A6A6"/>
            </w:tcBorders>
            <w:shd w:val="clear" w:color="auto" w:fill="auto"/>
            <w:noWrap/>
            <w:vAlign w:val="center"/>
            <w:hideMark/>
          </w:tcPr>
          <w:p w14:paraId="04E3022E"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887</w:t>
            </w:r>
          </w:p>
        </w:tc>
        <w:tc>
          <w:tcPr>
            <w:tcW w:w="574" w:type="pct"/>
            <w:tcBorders>
              <w:top w:val="nil"/>
              <w:left w:val="nil"/>
              <w:bottom w:val="single" w:sz="4" w:space="0" w:color="A6A6A6"/>
              <w:right w:val="single" w:sz="4" w:space="0" w:color="A6A6A6"/>
            </w:tcBorders>
            <w:shd w:val="clear" w:color="auto" w:fill="auto"/>
            <w:noWrap/>
            <w:vAlign w:val="center"/>
            <w:hideMark/>
          </w:tcPr>
          <w:p w14:paraId="13D7450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897</w:t>
            </w:r>
          </w:p>
        </w:tc>
        <w:tc>
          <w:tcPr>
            <w:tcW w:w="500" w:type="pct"/>
            <w:tcBorders>
              <w:top w:val="nil"/>
              <w:left w:val="nil"/>
              <w:bottom w:val="single" w:sz="4" w:space="0" w:color="A6A6A6"/>
              <w:right w:val="nil"/>
            </w:tcBorders>
            <w:shd w:val="clear" w:color="auto" w:fill="auto"/>
            <w:noWrap/>
            <w:vAlign w:val="center"/>
            <w:hideMark/>
          </w:tcPr>
          <w:p w14:paraId="447EE3DF"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1.120</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52F8B7CE"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1.403</w:t>
            </w:r>
          </w:p>
        </w:tc>
        <w:tc>
          <w:tcPr>
            <w:tcW w:w="505" w:type="pct"/>
            <w:tcBorders>
              <w:top w:val="nil"/>
              <w:left w:val="nil"/>
              <w:bottom w:val="single" w:sz="4" w:space="0" w:color="A6A6A6"/>
              <w:right w:val="single" w:sz="4" w:space="0" w:color="A6A6A6"/>
            </w:tcBorders>
            <w:shd w:val="clear" w:color="auto" w:fill="auto"/>
            <w:noWrap/>
            <w:vAlign w:val="center"/>
            <w:hideMark/>
          </w:tcPr>
          <w:p w14:paraId="2AB032DA"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1.064</w:t>
            </w:r>
          </w:p>
        </w:tc>
        <w:tc>
          <w:tcPr>
            <w:tcW w:w="505" w:type="pct"/>
            <w:tcBorders>
              <w:top w:val="nil"/>
              <w:left w:val="nil"/>
              <w:bottom w:val="single" w:sz="4" w:space="0" w:color="A6A6A6"/>
              <w:right w:val="single" w:sz="4" w:space="0" w:color="A6A6A6"/>
            </w:tcBorders>
            <w:shd w:val="clear" w:color="auto" w:fill="auto"/>
            <w:noWrap/>
            <w:vAlign w:val="center"/>
            <w:hideMark/>
          </w:tcPr>
          <w:p w14:paraId="449BA6F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922</w:t>
            </w:r>
          </w:p>
        </w:tc>
        <w:tc>
          <w:tcPr>
            <w:tcW w:w="494" w:type="pct"/>
            <w:tcBorders>
              <w:top w:val="nil"/>
              <w:left w:val="nil"/>
              <w:bottom w:val="single" w:sz="4" w:space="0" w:color="A6A6A6"/>
              <w:right w:val="single" w:sz="8" w:space="0" w:color="3366CC"/>
            </w:tcBorders>
            <w:shd w:val="clear" w:color="auto" w:fill="auto"/>
            <w:noWrap/>
            <w:vAlign w:val="center"/>
            <w:hideMark/>
          </w:tcPr>
          <w:p w14:paraId="22604BE9"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765</w:t>
            </w:r>
          </w:p>
        </w:tc>
      </w:tr>
      <w:tr w:rsidR="00636714" w:rsidRPr="00636714" w14:paraId="6071C3C1" w14:textId="77777777" w:rsidTr="009A6D3A">
        <w:trPr>
          <w:trHeight w:val="375"/>
        </w:trPr>
        <w:tc>
          <w:tcPr>
            <w:tcW w:w="1388"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1A2FD8E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Doctorado</w:t>
            </w:r>
          </w:p>
        </w:tc>
        <w:tc>
          <w:tcPr>
            <w:tcW w:w="534" w:type="pct"/>
            <w:tcBorders>
              <w:top w:val="nil"/>
              <w:left w:val="nil"/>
              <w:bottom w:val="single" w:sz="4" w:space="0" w:color="A6A6A6"/>
              <w:right w:val="single" w:sz="4" w:space="0" w:color="A6A6A6"/>
            </w:tcBorders>
            <w:shd w:val="clear" w:color="auto" w:fill="auto"/>
            <w:noWrap/>
            <w:vAlign w:val="center"/>
            <w:hideMark/>
          </w:tcPr>
          <w:p w14:paraId="389FF832"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24</w:t>
            </w:r>
          </w:p>
        </w:tc>
        <w:tc>
          <w:tcPr>
            <w:tcW w:w="574" w:type="pct"/>
            <w:tcBorders>
              <w:top w:val="nil"/>
              <w:left w:val="nil"/>
              <w:bottom w:val="single" w:sz="4" w:space="0" w:color="A6A6A6"/>
              <w:right w:val="single" w:sz="4" w:space="0" w:color="A6A6A6"/>
            </w:tcBorders>
            <w:shd w:val="clear" w:color="auto" w:fill="auto"/>
            <w:noWrap/>
            <w:vAlign w:val="center"/>
            <w:hideMark/>
          </w:tcPr>
          <w:p w14:paraId="6C016270"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49</w:t>
            </w:r>
          </w:p>
        </w:tc>
        <w:tc>
          <w:tcPr>
            <w:tcW w:w="500" w:type="pct"/>
            <w:tcBorders>
              <w:top w:val="nil"/>
              <w:left w:val="nil"/>
              <w:bottom w:val="single" w:sz="4" w:space="0" w:color="A6A6A6"/>
              <w:right w:val="nil"/>
            </w:tcBorders>
            <w:shd w:val="clear" w:color="auto" w:fill="auto"/>
            <w:noWrap/>
            <w:vAlign w:val="center"/>
            <w:hideMark/>
          </w:tcPr>
          <w:p w14:paraId="0C2A5F72"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42</w:t>
            </w:r>
          </w:p>
        </w:tc>
        <w:tc>
          <w:tcPr>
            <w:tcW w:w="500" w:type="pct"/>
            <w:tcBorders>
              <w:top w:val="nil"/>
              <w:left w:val="single" w:sz="4" w:space="0" w:color="A6A6A6"/>
              <w:bottom w:val="single" w:sz="4" w:space="0" w:color="A6A6A6"/>
              <w:right w:val="single" w:sz="4" w:space="0" w:color="A6A6A6"/>
            </w:tcBorders>
            <w:shd w:val="clear" w:color="auto" w:fill="auto"/>
            <w:noWrap/>
            <w:vAlign w:val="center"/>
            <w:hideMark/>
          </w:tcPr>
          <w:p w14:paraId="509C5C86"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64</w:t>
            </w:r>
          </w:p>
        </w:tc>
        <w:tc>
          <w:tcPr>
            <w:tcW w:w="505" w:type="pct"/>
            <w:tcBorders>
              <w:top w:val="nil"/>
              <w:left w:val="nil"/>
              <w:bottom w:val="single" w:sz="4" w:space="0" w:color="A6A6A6"/>
              <w:right w:val="single" w:sz="4" w:space="0" w:color="A6A6A6"/>
            </w:tcBorders>
            <w:shd w:val="clear" w:color="auto" w:fill="auto"/>
            <w:noWrap/>
            <w:vAlign w:val="center"/>
            <w:hideMark/>
          </w:tcPr>
          <w:p w14:paraId="19965ECB"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60</w:t>
            </w:r>
          </w:p>
        </w:tc>
        <w:tc>
          <w:tcPr>
            <w:tcW w:w="505" w:type="pct"/>
            <w:tcBorders>
              <w:top w:val="nil"/>
              <w:left w:val="nil"/>
              <w:bottom w:val="single" w:sz="4" w:space="0" w:color="A6A6A6"/>
              <w:right w:val="single" w:sz="4" w:space="0" w:color="A6A6A6"/>
            </w:tcBorders>
            <w:shd w:val="clear" w:color="auto" w:fill="auto"/>
            <w:noWrap/>
            <w:vAlign w:val="center"/>
            <w:hideMark/>
          </w:tcPr>
          <w:p w14:paraId="38BF4A9E"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75</w:t>
            </w:r>
          </w:p>
        </w:tc>
        <w:tc>
          <w:tcPr>
            <w:tcW w:w="494" w:type="pct"/>
            <w:tcBorders>
              <w:top w:val="nil"/>
              <w:left w:val="nil"/>
              <w:bottom w:val="single" w:sz="4" w:space="0" w:color="A6A6A6"/>
              <w:right w:val="single" w:sz="8" w:space="0" w:color="3366CC"/>
            </w:tcBorders>
            <w:shd w:val="clear" w:color="auto" w:fill="auto"/>
            <w:noWrap/>
            <w:vAlign w:val="center"/>
            <w:hideMark/>
          </w:tcPr>
          <w:p w14:paraId="1D9E6412"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72</w:t>
            </w:r>
          </w:p>
        </w:tc>
      </w:tr>
      <w:tr w:rsidR="00636714" w:rsidRPr="00636714" w14:paraId="66E25E6E" w14:textId="77777777" w:rsidTr="009A6D3A">
        <w:trPr>
          <w:trHeight w:val="390"/>
        </w:trPr>
        <w:tc>
          <w:tcPr>
            <w:tcW w:w="1388" w:type="pct"/>
            <w:tcBorders>
              <w:top w:val="single" w:sz="4" w:space="0" w:color="A6A6A6"/>
              <w:left w:val="single" w:sz="8" w:space="0" w:color="3366CC"/>
              <w:bottom w:val="single" w:sz="8" w:space="0" w:color="3366CC"/>
              <w:right w:val="single" w:sz="8" w:space="0" w:color="3366CC"/>
            </w:tcBorders>
            <w:shd w:val="clear" w:color="000000" w:fill="DDEBF7"/>
            <w:noWrap/>
            <w:vAlign w:val="center"/>
            <w:hideMark/>
          </w:tcPr>
          <w:p w14:paraId="076FAC51"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Total General</w:t>
            </w:r>
          </w:p>
        </w:tc>
        <w:tc>
          <w:tcPr>
            <w:tcW w:w="534" w:type="pct"/>
            <w:tcBorders>
              <w:top w:val="nil"/>
              <w:left w:val="nil"/>
              <w:bottom w:val="single" w:sz="8" w:space="0" w:color="3366CC"/>
              <w:right w:val="single" w:sz="4" w:space="0" w:color="A6A6A6"/>
            </w:tcBorders>
            <w:shd w:val="clear" w:color="000000" w:fill="DDEBF7"/>
            <w:noWrap/>
            <w:vAlign w:val="center"/>
            <w:hideMark/>
          </w:tcPr>
          <w:p w14:paraId="623253CD"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8.576</w:t>
            </w:r>
          </w:p>
        </w:tc>
        <w:tc>
          <w:tcPr>
            <w:tcW w:w="574" w:type="pct"/>
            <w:tcBorders>
              <w:top w:val="nil"/>
              <w:left w:val="nil"/>
              <w:bottom w:val="single" w:sz="8" w:space="0" w:color="3366CC"/>
              <w:right w:val="single" w:sz="4" w:space="0" w:color="A6A6A6"/>
            </w:tcBorders>
            <w:shd w:val="clear" w:color="000000" w:fill="DDEBF7"/>
            <w:noWrap/>
            <w:vAlign w:val="center"/>
            <w:hideMark/>
          </w:tcPr>
          <w:p w14:paraId="3FC5B80A"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9.845</w:t>
            </w:r>
          </w:p>
        </w:tc>
        <w:tc>
          <w:tcPr>
            <w:tcW w:w="500" w:type="pct"/>
            <w:tcBorders>
              <w:top w:val="nil"/>
              <w:left w:val="nil"/>
              <w:bottom w:val="single" w:sz="8" w:space="0" w:color="3366CC"/>
              <w:right w:val="nil"/>
            </w:tcBorders>
            <w:shd w:val="clear" w:color="000000" w:fill="DDEBF7"/>
            <w:noWrap/>
            <w:vAlign w:val="center"/>
            <w:hideMark/>
          </w:tcPr>
          <w:p w14:paraId="1F3225EF"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10.516</w:t>
            </w:r>
          </w:p>
        </w:tc>
        <w:tc>
          <w:tcPr>
            <w:tcW w:w="500" w:type="pct"/>
            <w:tcBorders>
              <w:top w:val="nil"/>
              <w:left w:val="single" w:sz="4" w:space="0" w:color="A6A6A6"/>
              <w:bottom w:val="single" w:sz="8" w:space="0" w:color="3366CC"/>
              <w:right w:val="single" w:sz="4" w:space="0" w:color="A6A6A6"/>
            </w:tcBorders>
            <w:shd w:val="clear" w:color="000000" w:fill="DDEBF7"/>
            <w:noWrap/>
            <w:vAlign w:val="center"/>
            <w:hideMark/>
          </w:tcPr>
          <w:p w14:paraId="61E6148B"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12.131</w:t>
            </w:r>
          </w:p>
        </w:tc>
        <w:tc>
          <w:tcPr>
            <w:tcW w:w="505" w:type="pct"/>
            <w:tcBorders>
              <w:top w:val="nil"/>
              <w:left w:val="nil"/>
              <w:bottom w:val="single" w:sz="8" w:space="0" w:color="3366CC"/>
              <w:right w:val="single" w:sz="4" w:space="0" w:color="A6A6A6"/>
            </w:tcBorders>
            <w:shd w:val="clear" w:color="000000" w:fill="DDEBF7"/>
            <w:noWrap/>
            <w:vAlign w:val="center"/>
            <w:hideMark/>
          </w:tcPr>
          <w:p w14:paraId="52AF06B7"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11.406</w:t>
            </w:r>
          </w:p>
        </w:tc>
        <w:tc>
          <w:tcPr>
            <w:tcW w:w="505" w:type="pct"/>
            <w:tcBorders>
              <w:top w:val="nil"/>
              <w:left w:val="nil"/>
              <w:bottom w:val="single" w:sz="8" w:space="0" w:color="3366CC"/>
              <w:right w:val="single" w:sz="4" w:space="0" w:color="A6A6A6"/>
            </w:tcBorders>
            <w:shd w:val="clear" w:color="000000" w:fill="DDEBF7"/>
            <w:noWrap/>
            <w:vAlign w:val="center"/>
            <w:hideMark/>
          </w:tcPr>
          <w:p w14:paraId="1FA17BBD"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10.358</w:t>
            </w:r>
          </w:p>
        </w:tc>
        <w:tc>
          <w:tcPr>
            <w:tcW w:w="494" w:type="pct"/>
            <w:tcBorders>
              <w:top w:val="nil"/>
              <w:left w:val="nil"/>
              <w:bottom w:val="single" w:sz="8" w:space="0" w:color="3366CC"/>
              <w:right w:val="single" w:sz="8" w:space="0" w:color="3366CC"/>
            </w:tcBorders>
            <w:shd w:val="clear" w:color="000000" w:fill="DDEBF7"/>
            <w:noWrap/>
            <w:vAlign w:val="center"/>
            <w:hideMark/>
          </w:tcPr>
          <w:p w14:paraId="1114D2A9"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10.828</w:t>
            </w:r>
          </w:p>
        </w:tc>
      </w:tr>
    </w:tbl>
    <w:p w14:paraId="154D9547" w14:textId="77777777" w:rsidR="00636714" w:rsidRPr="00636714" w:rsidRDefault="00636714" w:rsidP="004162FC">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MEN - Observatorio Laboral de la Educación - OLE</w:t>
      </w:r>
    </w:p>
    <w:p w14:paraId="5C648D2C" w14:textId="77777777" w:rsidR="00636714" w:rsidRPr="00636714" w:rsidRDefault="00636714" w:rsidP="00636714">
      <w:pPr>
        <w:jc w:val="both"/>
        <w:rPr>
          <w:rFonts w:ascii="Times New Roman" w:hAnsi="Times New Roman" w:cs="Times New Roman"/>
          <w:sz w:val="23"/>
          <w:szCs w:val="23"/>
        </w:rPr>
      </w:pPr>
    </w:p>
    <w:p w14:paraId="1888BCA9" w14:textId="3339660C" w:rsidR="00636714" w:rsidRPr="00636714" w:rsidRDefault="00636714" w:rsidP="00636714">
      <w:pPr>
        <w:pStyle w:val="Ttulo2"/>
        <w:rPr>
          <w:rFonts w:ascii="Times New Roman" w:hAnsi="Times New Roman" w:cs="Times New Roman"/>
          <w:sz w:val="23"/>
          <w:szCs w:val="23"/>
        </w:rPr>
      </w:pPr>
      <w:r w:rsidRPr="00636714">
        <w:rPr>
          <w:rFonts w:ascii="Times New Roman" w:hAnsi="Times New Roman" w:cs="Times New Roman"/>
          <w:sz w:val="23"/>
          <w:szCs w:val="23"/>
        </w:rPr>
        <w:t>Mercado laboral de la población con título de educación superior en Caldas</w:t>
      </w:r>
      <w:r w:rsidR="008F0AE8">
        <w:rPr>
          <w:rFonts w:ascii="Times New Roman" w:hAnsi="Times New Roman" w:cs="Times New Roman"/>
          <w:sz w:val="23"/>
          <w:szCs w:val="23"/>
        </w:rPr>
        <w:t>:</w:t>
      </w:r>
    </w:p>
    <w:p w14:paraId="1723E586"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El Departamento ha dado pasos importantes en aumentar el nivel de formación de su sociedad, logrando que la población económicamente activa aumente la proporción de personas con niveles de educación superior o universitaria en la última década. Para el año 2008, el 56% de dicha población alcanzaba niveles de educación hasta básica secundaria, a 2019, el porcentaje de la población en estos niveles educativos disminuyó al 42%, lo cual pone de manifiesto un proceso de transición y cualificación de la fuerza laboral del departamento, esto es más relevante si se reconoce que el proceso de transición en los niveles de formación de la población económicamente activa ha sido superior en el territorio caldense contrastado con los datos a nivel nacional.</w:t>
      </w:r>
    </w:p>
    <w:p w14:paraId="5728F9FB" w14:textId="77777777" w:rsidR="00636714" w:rsidRPr="00636714" w:rsidRDefault="00636714" w:rsidP="00636714">
      <w:pPr>
        <w:jc w:val="both"/>
        <w:rPr>
          <w:rFonts w:ascii="Times New Roman" w:hAnsi="Times New Roman" w:cs="Times New Roman"/>
          <w:sz w:val="23"/>
          <w:szCs w:val="23"/>
        </w:rPr>
      </w:pPr>
    </w:p>
    <w:p w14:paraId="5A0AE3C7"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La tasa de ocupación de la población con título de educación superior del departamento puede catalogarse como alta, a partir del nivel de formación tecnológica, no obstante, se observa cómo anualmente ha venido disminuyendo.</w:t>
      </w:r>
    </w:p>
    <w:p w14:paraId="6ED14213" w14:textId="77777777" w:rsidR="00636714" w:rsidRPr="00636714" w:rsidRDefault="00636714" w:rsidP="00636714">
      <w:pPr>
        <w:jc w:val="both"/>
        <w:rPr>
          <w:rFonts w:ascii="Times New Roman" w:hAnsi="Times New Roman" w:cs="Times New Roman"/>
          <w:sz w:val="23"/>
          <w:szCs w:val="23"/>
        </w:rPr>
      </w:pPr>
    </w:p>
    <w:p w14:paraId="6CE0CB9C" w14:textId="77777777" w:rsidR="00636714" w:rsidRPr="00636714" w:rsidRDefault="00636714" w:rsidP="004162FC">
      <w:pPr>
        <w:jc w:val="center"/>
        <w:rPr>
          <w:rFonts w:ascii="Times New Roman" w:hAnsi="Times New Roman" w:cs="Times New Roman"/>
          <w:b/>
          <w:iCs/>
          <w:sz w:val="23"/>
          <w:szCs w:val="23"/>
        </w:rPr>
      </w:pPr>
      <w:r w:rsidRPr="00636714">
        <w:rPr>
          <w:rFonts w:ascii="Times New Roman" w:hAnsi="Times New Roman" w:cs="Times New Roman"/>
          <w:b/>
          <w:iCs/>
          <w:sz w:val="23"/>
          <w:szCs w:val="23"/>
        </w:rPr>
        <w:t>Tabla 11 Vinculación al mercado laboral de recién graduados (2015 – 2021)</w:t>
      </w:r>
    </w:p>
    <w:tbl>
      <w:tblPr>
        <w:tblW w:w="5000" w:type="pct"/>
        <w:tblCellMar>
          <w:left w:w="70" w:type="dxa"/>
          <w:right w:w="70" w:type="dxa"/>
        </w:tblCellMar>
        <w:tblLook w:val="04A0" w:firstRow="1" w:lastRow="0" w:firstColumn="1" w:lastColumn="0" w:noHBand="0" w:noVBand="1"/>
      </w:tblPr>
      <w:tblGrid>
        <w:gridCol w:w="1996"/>
        <w:gridCol w:w="1271"/>
        <w:gridCol w:w="1271"/>
        <w:gridCol w:w="1270"/>
        <w:gridCol w:w="1270"/>
        <w:gridCol w:w="1270"/>
        <w:gridCol w:w="1270"/>
      </w:tblGrid>
      <w:tr w:rsidR="00636714" w:rsidRPr="00636714" w14:paraId="433CF622" w14:textId="77777777" w:rsidTr="009A6D3A">
        <w:trPr>
          <w:trHeight w:val="765"/>
        </w:trPr>
        <w:tc>
          <w:tcPr>
            <w:tcW w:w="1009"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06F0117E"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Nivel de Formación</w:t>
            </w:r>
          </w:p>
        </w:tc>
        <w:tc>
          <w:tcPr>
            <w:tcW w:w="665" w:type="pct"/>
            <w:tcBorders>
              <w:top w:val="single" w:sz="8" w:space="0" w:color="3366CC"/>
              <w:left w:val="nil"/>
              <w:bottom w:val="single" w:sz="8" w:space="0" w:color="3366CC"/>
              <w:right w:val="nil"/>
            </w:tcBorders>
            <w:shd w:val="clear" w:color="000000" w:fill="DDEBF7"/>
            <w:vAlign w:val="center"/>
            <w:hideMark/>
          </w:tcPr>
          <w:p w14:paraId="42DBBEF4"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Vinculación 2015</w:t>
            </w:r>
            <w:r w:rsidRPr="00636714">
              <w:rPr>
                <w:rFonts w:ascii="Times New Roman" w:hAnsi="Times New Roman" w:cs="Times New Roman"/>
                <w:b/>
                <w:bCs/>
                <w:sz w:val="23"/>
                <w:szCs w:val="23"/>
              </w:rPr>
              <w:br/>
              <w:t>(Graduados 2014)</w:t>
            </w:r>
          </w:p>
        </w:tc>
        <w:tc>
          <w:tcPr>
            <w:tcW w:w="665" w:type="pct"/>
            <w:tcBorders>
              <w:top w:val="single" w:sz="8" w:space="0" w:color="3366CC"/>
              <w:left w:val="nil"/>
              <w:bottom w:val="single" w:sz="8" w:space="0" w:color="3366CC"/>
              <w:right w:val="nil"/>
            </w:tcBorders>
            <w:shd w:val="clear" w:color="000000" w:fill="DDEBF7"/>
            <w:vAlign w:val="center"/>
            <w:hideMark/>
          </w:tcPr>
          <w:p w14:paraId="0339689E"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Vinculación 2016</w:t>
            </w:r>
            <w:r w:rsidRPr="00636714">
              <w:rPr>
                <w:rFonts w:ascii="Times New Roman" w:hAnsi="Times New Roman" w:cs="Times New Roman"/>
                <w:b/>
                <w:bCs/>
                <w:sz w:val="23"/>
                <w:szCs w:val="23"/>
              </w:rPr>
              <w:br/>
              <w:t>(Graduados 2015)</w:t>
            </w:r>
          </w:p>
        </w:tc>
        <w:tc>
          <w:tcPr>
            <w:tcW w:w="665" w:type="pct"/>
            <w:tcBorders>
              <w:top w:val="single" w:sz="8" w:space="0" w:color="3366CC"/>
              <w:left w:val="nil"/>
              <w:bottom w:val="single" w:sz="8" w:space="0" w:color="3366CC"/>
              <w:right w:val="nil"/>
            </w:tcBorders>
            <w:shd w:val="clear" w:color="000000" w:fill="DDEBF7"/>
            <w:vAlign w:val="center"/>
            <w:hideMark/>
          </w:tcPr>
          <w:p w14:paraId="4C6F1DEF"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Vinculación 2017</w:t>
            </w:r>
            <w:r w:rsidRPr="00636714">
              <w:rPr>
                <w:rFonts w:ascii="Times New Roman" w:hAnsi="Times New Roman" w:cs="Times New Roman"/>
                <w:b/>
                <w:bCs/>
                <w:sz w:val="23"/>
                <w:szCs w:val="23"/>
              </w:rPr>
              <w:br/>
              <w:t>(Graduados 2016)</w:t>
            </w:r>
          </w:p>
        </w:tc>
        <w:tc>
          <w:tcPr>
            <w:tcW w:w="665" w:type="pct"/>
            <w:tcBorders>
              <w:top w:val="single" w:sz="8" w:space="0" w:color="3366CC"/>
              <w:left w:val="nil"/>
              <w:bottom w:val="single" w:sz="8" w:space="0" w:color="3366CC"/>
              <w:right w:val="nil"/>
            </w:tcBorders>
            <w:shd w:val="clear" w:color="000000" w:fill="DDEBF7"/>
            <w:vAlign w:val="center"/>
            <w:hideMark/>
          </w:tcPr>
          <w:p w14:paraId="5DDC3DEE"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Vinculación 2018</w:t>
            </w:r>
            <w:r w:rsidRPr="00636714">
              <w:rPr>
                <w:rFonts w:ascii="Times New Roman" w:hAnsi="Times New Roman" w:cs="Times New Roman"/>
                <w:b/>
                <w:bCs/>
                <w:sz w:val="23"/>
                <w:szCs w:val="23"/>
              </w:rPr>
              <w:br/>
              <w:t>(Graduados 2017)</w:t>
            </w:r>
          </w:p>
        </w:tc>
        <w:tc>
          <w:tcPr>
            <w:tcW w:w="665" w:type="pct"/>
            <w:tcBorders>
              <w:top w:val="single" w:sz="8" w:space="0" w:color="3366CC"/>
              <w:left w:val="nil"/>
              <w:bottom w:val="single" w:sz="8" w:space="0" w:color="3366CC"/>
              <w:right w:val="nil"/>
            </w:tcBorders>
            <w:shd w:val="clear" w:color="000000" w:fill="DDEBF7"/>
            <w:vAlign w:val="center"/>
            <w:hideMark/>
          </w:tcPr>
          <w:p w14:paraId="6540B7B7"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Vinculación 2019</w:t>
            </w:r>
            <w:r w:rsidRPr="00636714">
              <w:rPr>
                <w:rFonts w:ascii="Times New Roman" w:hAnsi="Times New Roman" w:cs="Times New Roman"/>
                <w:b/>
                <w:bCs/>
                <w:sz w:val="23"/>
                <w:szCs w:val="23"/>
              </w:rPr>
              <w:br/>
              <w:t>(Graduados 2018)</w:t>
            </w:r>
          </w:p>
        </w:tc>
        <w:tc>
          <w:tcPr>
            <w:tcW w:w="665" w:type="pct"/>
            <w:tcBorders>
              <w:top w:val="single" w:sz="8" w:space="0" w:color="3366CC"/>
              <w:left w:val="nil"/>
              <w:bottom w:val="single" w:sz="8" w:space="0" w:color="3366CC"/>
              <w:right w:val="single" w:sz="8" w:space="0" w:color="3366CC"/>
            </w:tcBorders>
            <w:shd w:val="clear" w:color="000000" w:fill="DDEBF7"/>
            <w:vAlign w:val="center"/>
            <w:hideMark/>
          </w:tcPr>
          <w:p w14:paraId="7ED4C2AA"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Vinculación 2020</w:t>
            </w:r>
            <w:r w:rsidRPr="00636714">
              <w:rPr>
                <w:rFonts w:ascii="Times New Roman" w:hAnsi="Times New Roman" w:cs="Times New Roman"/>
                <w:b/>
                <w:bCs/>
                <w:sz w:val="23"/>
                <w:szCs w:val="23"/>
              </w:rPr>
              <w:br/>
              <w:t>(Graduados 2019)</w:t>
            </w:r>
          </w:p>
        </w:tc>
      </w:tr>
      <w:tr w:rsidR="00636714" w:rsidRPr="00636714" w14:paraId="08E4A1A5" w14:textId="77777777" w:rsidTr="009A6D3A">
        <w:trPr>
          <w:trHeight w:val="375"/>
        </w:trPr>
        <w:tc>
          <w:tcPr>
            <w:tcW w:w="1009" w:type="pct"/>
            <w:tcBorders>
              <w:top w:val="single" w:sz="8" w:space="0" w:color="3366CC"/>
              <w:left w:val="single" w:sz="8" w:space="0" w:color="3366CC"/>
              <w:bottom w:val="single" w:sz="4" w:space="0" w:color="A6A6A6"/>
              <w:right w:val="single" w:sz="8" w:space="0" w:color="3366CC"/>
            </w:tcBorders>
            <w:shd w:val="clear" w:color="auto" w:fill="auto"/>
            <w:noWrap/>
            <w:vAlign w:val="center"/>
            <w:hideMark/>
          </w:tcPr>
          <w:p w14:paraId="14BB524B"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Técnica Profesional</w:t>
            </w:r>
          </w:p>
        </w:tc>
        <w:tc>
          <w:tcPr>
            <w:tcW w:w="665" w:type="pct"/>
            <w:tcBorders>
              <w:top w:val="nil"/>
              <w:left w:val="nil"/>
              <w:bottom w:val="single" w:sz="4" w:space="0" w:color="A6A6A6"/>
              <w:right w:val="single" w:sz="4" w:space="0" w:color="A6A6A6"/>
            </w:tcBorders>
            <w:shd w:val="clear" w:color="auto" w:fill="auto"/>
            <w:noWrap/>
            <w:vAlign w:val="center"/>
            <w:hideMark/>
          </w:tcPr>
          <w:p w14:paraId="7150B5D9"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39,7%</w:t>
            </w:r>
          </w:p>
        </w:tc>
        <w:tc>
          <w:tcPr>
            <w:tcW w:w="665" w:type="pct"/>
            <w:tcBorders>
              <w:top w:val="nil"/>
              <w:left w:val="nil"/>
              <w:bottom w:val="single" w:sz="4" w:space="0" w:color="A6A6A6"/>
              <w:right w:val="nil"/>
            </w:tcBorders>
            <w:shd w:val="clear" w:color="auto" w:fill="auto"/>
            <w:noWrap/>
            <w:vAlign w:val="center"/>
            <w:hideMark/>
          </w:tcPr>
          <w:p w14:paraId="405D4549"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31,7%</w:t>
            </w:r>
          </w:p>
        </w:tc>
        <w:tc>
          <w:tcPr>
            <w:tcW w:w="665" w:type="pct"/>
            <w:tcBorders>
              <w:top w:val="nil"/>
              <w:left w:val="nil"/>
              <w:bottom w:val="single" w:sz="4" w:space="0" w:color="A6A6A6"/>
              <w:right w:val="single" w:sz="4" w:space="0" w:color="A6A6A6"/>
            </w:tcBorders>
            <w:shd w:val="clear" w:color="auto" w:fill="auto"/>
            <w:noWrap/>
            <w:vAlign w:val="center"/>
            <w:hideMark/>
          </w:tcPr>
          <w:p w14:paraId="5537DA4F"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28,1%</w:t>
            </w:r>
          </w:p>
        </w:tc>
        <w:tc>
          <w:tcPr>
            <w:tcW w:w="665" w:type="pct"/>
            <w:tcBorders>
              <w:top w:val="nil"/>
              <w:left w:val="nil"/>
              <w:bottom w:val="single" w:sz="4" w:space="0" w:color="A6A6A6"/>
              <w:right w:val="single" w:sz="4" w:space="0" w:color="A6A6A6"/>
            </w:tcBorders>
            <w:shd w:val="clear" w:color="auto" w:fill="auto"/>
            <w:noWrap/>
            <w:vAlign w:val="center"/>
            <w:hideMark/>
          </w:tcPr>
          <w:p w14:paraId="5ABEEBE7"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28,2%</w:t>
            </w:r>
          </w:p>
        </w:tc>
        <w:tc>
          <w:tcPr>
            <w:tcW w:w="665" w:type="pct"/>
            <w:tcBorders>
              <w:top w:val="nil"/>
              <w:left w:val="nil"/>
              <w:bottom w:val="single" w:sz="4" w:space="0" w:color="A6A6A6"/>
              <w:right w:val="single" w:sz="4" w:space="0" w:color="A6A6A6"/>
            </w:tcBorders>
            <w:shd w:val="clear" w:color="auto" w:fill="auto"/>
            <w:noWrap/>
            <w:vAlign w:val="center"/>
            <w:hideMark/>
          </w:tcPr>
          <w:p w14:paraId="696CE9A3"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19,5%</w:t>
            </w:r>
          </w:p>
        </w:tc>
        <w:tc>
          <w:tcPr>
            <w:tcW w:w="665" w:type="pct"/>
            <w:tcBorders>
              <w:top w:val="nil"/>
              <w:left w:val="nil"/>
              <w:bottom w:val="single" w:sz="4" w:space="0" w:color="A6A6A6"/>
              <w:right w:val="single" w:sz="8" w:space="0" w:color="3366CC"/>
            </w:tcBorders>
            <w:shd w:val="clear" w:color="auto" w:fill="auto"/>
            <w:noWrap/>
            <w:vAlign w:val="center"/>
            <w:hideMark/>
          </w:tcPr>
          <w:p w14:paraId="124C0190"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16,8%</w:t>
            </w:r>
          </w:p>
        </w:tc>
      </w:tr>
      <w:tr w:rsidR="00636714" w:rsidRPr="00636714" w14:paraId="3F21B290" w14:textId="77777777" w:rsidTr="009A6D3A">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4619F07C"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Tecnológica</w:t>
            </w:r>
          </w:p>
        </w:tc>
        <w:tc>
          <w:tcPr>
            <w:tcW w:w="665" w:type="pct"/>
            <w:tcBorders>
              <w:top w:val="nil"/>
              <w:left w:val="nil"/>
              <w:bottom w:val="single" w:sz="4" w:space="0" w:color="A6A6A6"/>
              <w:right w:val="single" w:sz="4" w:space="0" w:color="A6A6A6"/>
            </w:tcBorders>
            <w:shd w:val="clear" w:color="auto" w:fill="auto"/>
            <w:noWrap/>
            <w:vAlign w:val="center"/>
            <w:hideMark/>
          </w:tcPr>
          <w:p w14:paraId="6C2BB21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75,3%</w:t>
            </w:r>
          </w:p>
        </w:tc>
        <w:tc>
          <w:tcPr>
            <w:tcW w:w="665" w:type="pct"/>
            <w:tcBorders>
              <w:top w:val="nil"/>
              <w:left w:val="nil"/>
              <w:bottom w:val="single" w:sz="4" w:space="0" w:color="A6A6A6"/>
              <w:right w:val="nil"/>
            </w:tcBorders>
            <w:shd w:val="clear" w:color="auto" w:fill="auto"/>
            <w:noWrap/>
            <w:vAlign w:val="center"/>
            <w:hideMark/>
          </w:tcPr>
          <w:p w14:paraId="635B1B07"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72,3%</w:t>
            </w:r>
          </w:p>
        </w:tc>
        <w:tc>
          <w:tcPr>
            <w:tcW w:w="665" w:type="pct"/>
            <w:tcBorders>
              <w:top w:val="nil"/>
              <w:left w:val="nil"/>
              <w:bottom w:val="single" w:sz="4" w:space="0" w:color="A6A6A6"/>
              <w:right w:val="single" w:sz="4" w:space="0" w:color="A6A6A6"/>
            </w:tcBorders>
            <w:shd w:val="clear" w:color="auto" w:fill="auto"/>
            <w:noWrap/>
            <w:vAlign w:val="center"/>
            <w:hideMark/>
          </w:tcPr>
          <w:p w14:paraId="3928C844"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71,5%</w:t>
            </w:r>
          </w:p>
        </w:tc>
        <w:tc>
          <w:tcPr>
            <w:tcW w:w="665" w:type="pct"/>
            <w:tcBorders>
              <w:top w:val="nil"/>
              <w:left w:val="nil"/>
              <w:bottom w:val="single" w:sz="4" w:space="0" w:color="A6A6A6"/>
              <w:right w:val="single" w:sz="4" w:space="0" w:color="A6A6A6"/>
            </w:tcBorders>
            <w:shd w:val="clear" w:color="auto" w:fill="auto"/>
            <w:noWrap/>
            <w:vAlign w:val="center"/>
            <w:hideMark/>
          </w:tcPr>
          <w:p w14:paraId="6C97A1AE"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68,9%</w:t>
            </w:r>
          </w:p>
        </w:tc>
        <w:tc>
          <w:tcPr>
            <w:tcW w:w="665" w:type="pct"/>
            <w:tcBorders>
              <w:top w:val="nil"/>
              <w:left w:val="nil"/>
              <w:bottom w:val="single" w:sz="4" w:space="0" w:color="A6A6A6"/>
              <w:right w:val="single" w:sz="4" w:space="0" w:color="A6A6A6"/>
            </w:tcBorders>
            <w:shd w:val="clear" w:color="auto" w:fill="auto"/>
            <w:noWrap/>
            <w:vAlign w:val="center"/>
            <w:hideMark/>
          </w:tcPr>
          <w:p w14:paraId="10228D45"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67,5%</w:t>
            </w:r>
          </w:p>
        </w:tc>
        <w:tc>
          <w:tcPr>
            <w:tcW w:w="665" w:type="pct"/>
            <w:tcBorders>
              <w:top w:val="nil"/>
              <w:left w:val="nil"/>
              <w:bottom w:val="single" w:sz="4" w:space="0" w:color="A6A6A6"/>
              <w:right w:val="single" w:sz="8" w:space="0" w:color="3366CC"/>
            </w:tcBorders>
            <w:shd w:val="clear" w:color="auto" w:fill="auto"/>
            <w:noWrap/>
            <w:vAlign w:val="center"/>
            <w:hideMark/>
          </w:tcPr>
          <w:p w14:paraId="189249B0"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56,7%</w:t>
            </w:r>
          </w:p>
        </w:tc>
      </w:tr>
      <w:tr w:rsidR="00636714" w:rsidRPr="00636714" w14:paraId="04445689" w14:textId="77777777" w:rsidTr="009A6D3A">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0ACC1F0C"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Universitaria</w:t>
            </w:r>
          </w:p>
        </w:tc>
        <w:tc>
          <w:tcPr>
            <w:tcW w:w="665" w:type="pct"/>
            <w:tcBorders>
              <w:top w:val="nil"/>
              <w:left w:val="nil"/>
              <w:bottom w:val="single" w:sz="4" w:space="0" w:color="A6A6A6"/>
              <w:right w:val="single" w:sz="4" w:space="0" w:color="A6A6A6"/>
            </w:tcBorders>
            <w:shd w:val="clear" w:color="auto" w:fill="auto"/>
            <w:noWrap/>
            <w:vAlign w:val="center"/>
            <w:hideMark/>
          </w:tcPr>
          <w:p w14:paraId="53CFD5F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84,3%</w:t>
            </w:r>
          </w:p>
        </w:tc>
        <w:tc>
          <w:tcPr>
            <w:tcW w:w="665" w:type="pct"/>
            <w:tcBorders>
              <w:top w:val="nil"/>
              <w:left w:val="nil"/>
              <w:bottom w:val="single" w:sz="4" w:space="0" w:color="A6A6A6"/>
              <w:right w:val="nil"/>
            </w:tcBorders>
            <w:shd w:val="clear" w:color="auto" w:fill="auto"/>
            <w:noWrap/>
            <w:vAlign w:val="center"/>
            <w:hideMark/>
          </w:tcPr>
          <w:p w14:paraId="674F5C6F"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83,5%</w:t>
            </w:r>
          </w:p>
        </w:tc>
        <w:tc>
          <w:tcPr>
            <w:tcW w:w="665" w:type="pct"/>
            <w:tcBorders>
              <w:top w:val="nil"/>
              <w:left w:val="nil"/>
              <w:bottom w:val="single" w:sz="4" w:space="0" w:color="A6A6A6"/>
              <w:right w:val="single" w:sz="4" w:space="0" w:color="A6A6A6"/>
            </w:tcBorders>
            <w:shd w:val="clear" w:color="auto" w:fill="auto"/>
            <w:noWrap/>
            <w:vAlign w:val="center"/>
            <w:hideMark/>
          </w:tcPr>
          <w:p w14:paraId="6A99FF04"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81,0%</w:t>
            </w:r>
          </w:p>
        </w:tc>
        <w:tc>
          <w:tcPr>
            <w:tcW w:w="665" w:type="pct"/>
            <w:tcBorders>
              <w:top w:val="nil"/>
              <w:left w:val="nil"/>
              <w:bottom w:val="single" w:sz="4" w:space="0" w:color="A6A6A6"/>
              <w:right w:val="single" w:sz="4" w:space="0" w:color="A6A6A6"/>
            </w:tcBorders>
            <w:shd w:val="clear" w:color="auto" w:fill="auto"/>
            <w:noWrap/>
            <w:vAlign w:val="center"/>
            <w:hideMark/>
          </w:tcPr>
          <w:p w14:paraId="30D91D7D"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80,5%</w:t>
            </w:r>
          </w:p>
        </w:tc>
        <w:tc>
          <w:tcPr>
            <w:tcW w:w="665" w:type="pct"/>
            <w:tcBorders>
              <w:top w:val="nil"/>
              <w:left w:val="nil"/>
              <w:bottom w:val="single" w:sz="4" w:space="0" w:color="A6A6A6"/>
              <w:right w:val="single" w:sz="4" w:space="0" w:color="A6A6A6"/>
            </w:tcBorders>
            <w:shd w:val="clear" w:color="auto" w:fill="auto"/>
            <w:noWrap/>
            <w:vAlign w:val="center"/>
            <w:hideMark/>
          </w:tcPr>
          <w:p w14:paraId="144D008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77,0%</w:t>
            </w:r>
          </w:p>
        </w:tc>
        <w:tc>
          <w:tcPr>
            <w:tcW w:w="665" w:type="pct"/>
            <w:tcBorders>
              <w:top w:val="nil"/>
              <w:left w:val="nil"/>
              <w:bottom w:val="single" w:sz="4" w:space="0" w:color="A6A6A6"/>
              <w:right w:val="single" w:sz="8" w:space="0" w:color="3366CC"/>
            </w:tcBorders>
            <w:shd w:val="clear" w:color="auto" w:fill="auto"/>
            <w:noWrap/>
            <w:vAlign w:val="center"/>
            <w:hideMark/>
          </w:tcPr>
          <w:p w14:paraId="69192243"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72,0%</w:t>
            </w:r>
          </w:p>
        </w:tc>
      </w:tr>
      <w:tr w:rsidR="00636714" w:rsidRPr="00636714" w14:paraId="4F5A6BA6" w14:textId="77777777" w:rsidTr="009A6D3A">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4CB8725A"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Especialización</w:t>
            </w:r>
          </w:p>
        </w:tc>
        <w:tc>
          <w:tcPr>
            <w:tcW w:w="665" w:type="pct"/>
            <w:tcBorders>
              <w:top w:val="nil"/>
              <w:left w:val="nil"/>
              <w:bottom w:val="single" w:sz="4" w:space="0" w:color="A6A6A6"/>
              <w:right w:val="single" w:sz="4" w:space="0" w:color="A6A6A6"/>
            </w:tcBorders>
            <w:shd w:val="clear" w:color="auto" w:fill="auto"/>
            <w:noWrap/>
            <w:vAlign w:val="center"/>
            <w:hideMark/>
          </w:tcPr>
          <w:p w14:paraId="5B07C375"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95,6%</w:t>
            </w:r>
          </w:p>
        </w:tc>
        <w:tc>
          <w:tcPr>
            <w:tcW w:w="665" w:type="pct"/>
            <w:tcBorders>
              <w:top w:val="nil"/>
              <w:left w:val="nil"/>
              <w:bottom w:val="single" w:sz="4" w:space="0" w:color="A6A6A6"/>
              <w:right w:val="nil"/>
            </w:tcBorders>
            <w:shd w:val="clear" w:color="auto" w:fill="auto"/>
            <w:noWrap/>
            <w:vAlign w:val="center"/>
            <w:hideMark/>
          </w:tcPr>
          <w:p w14:paraId="53E23466"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94,6%</w:t>
            </w:r>
          </w:p>
        </w:tc>
        <w:tc>
          <w:tcPr>
            <w:tcW w:w="665" w:type="pct"/>
            <w:tcBorders>
              <w:top w:val="nil"/>
              <w:left w:val="nil"/>
              <w:bottom w:val="single" w:sz="4" w:space="0" w:color="A6A6A6"/>
              <w:right w:val="single" w:sz="4" w:space="0" w:color="A6A6A6"/>
            </w:tcBorders>
            <w:shd w:val="clear" w:color="auto" w:fill="auto"/>
            <w:noWrap/>
            <w:vAlign w:val="center"/>
            <w:hideMark/>
          </w:tcPr>
          <w:p w14:paraId="2800FF2E"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93,3%</w:t>
            </w:r>
          </w:p>
        </w:tc>
        <w:tc>
          <w:tcPr>
            <w:tcW w:w="665" w:type="pct"/>
            <w:tcBorders>
              <w:top w:val="nil"/>
              <w:left w:val="nil"/>
              <w:bottom w:val="single" w:sz="4" w:space="0" w:color="A6A6A6"/>
              <w:right w:val="single" w:sz="4" w:space="0" w:color="A6A6A6"/>
            </w:tcBorders>
            <w:shd w:val="clear" w:color="auto" w:fill="auto"/>
            <w:noWrap/>
            <w:vAlign w:val="center"/>
            <w:hideMark/>
          </w:tcPr>
          <w:p w14:paraId="494A3E2F"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93,0%</w:t>
            </w:r>
          </w:p>
        </w:tc>
        <w:tc>
          <w:tcPr>
            <w:tcW w:w="665" w:type="pct"/>
            <w:tcBorders>
              <w:top w:val="nil"/>
              <w:left w:val="nil"/>
              <w:bottom w:val="single" w:sz="4" w:space="0" w:color="A6A6A6"/>
              <w:right w:val="single" w:sz="4" w:space="0" w:color="A6A6A6"/>
            </w:tcBorders>
            <w:shd w:val="clear" w:color="auto" w:fill="auto"/>
            <w:noWrap/>
            <w:vAlign w:val="center"/>
            <w:hideMark/>
          </w:tcPr>
          <w:p w14:paraId="40406CF0"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91,4%</w:t>
            </w:r>
          </w:p>
        </w:tc>
        <w:tc>
          <w:tcPr>
            <w:tcW w:w="665" w:type="pct"/>
            <w:tcBorders>
              <w:top w:val="nil"/>
              <w:left w:val="nil"/>
              <w:bottom w:val="single" w:sz="4" w:space="0" w:color="A6A6A6"/>
              <w:right w:val="single" w:sz="8" w:space="0" w:color="3366CC"/>
            </w:tcBorders>
            <w:shd w:val="clear" w:color="auto" w:fill="auto"/>
            <w:noWrap/>
            <w:vAlign w:val="center"/>
            <w:hideMark/>
          </w:tcPr>
          <w:p w14:paraId="02A0013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87,6%</w:t>
            </w:r>
          </w:p>
        </w:tc>
      </w:tr>
      <w:tr w:rsidR="00636714" w:rsidRPr="00636714" w14:paraId="59C81565" w14:textId="77777777" w:rsidTr="009A6D3A">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5AE097A5"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lastRenderedPageBreak/>
              <w:t>Maestría</w:t>
            </w:r>
          </w:p>
        </w:tc>
        <w:tc>
          <w:tcPr>
            <w:tcW w:w="665" w:type="pct"/>
            <w:tcBorders>
              <w:top w:val="nil"/>
              <w:left w:val="nil"/>
              <w:bottom w:val="single" w:sz="4" w:space="0" w:color="A6A6A6"/>
              <w:right w:val="single" w:sz="4" w:space="0" w:color="A6A6A6"/>
            </w:tcBorders>
            <w:shd w:val="clear" w:color="auto" w:fill="auto"/>
            <w:noWrap/>
            <w:vAlign w:val="center"/>
            <w:hideMark/>
          </w:tcPr>
          <w:p w14:paraId="75268BB3"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97,8%</w:t>
            </w:r>
          </w:p>
        </w:tc>
        <w:tc>
          <w:tcPr>
            <w:tcW w:w="665" w:type="pct"/>
            <w:tcBorders>
              <w:top w:val="nil"/>
              <w:left w:val="nil"/>
              <w:bottom w:val="single" w:sz="4" w:space="0" w:color="A6A6A6"/>
              <w:right w:val="nil"/>
            </w:tcBorders>
            <w:shd w:val="clear" w:color="auto" w:fill="auto"/>
            <w:noWrap/>
            <w:vAlign w:val="center"/>
            <w:hideMark/>
          </w:tcPr>
          <w:p w14:paraId="62CA4E68"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97,4%</w:t>
            </w:r>
          </w:p>
        </w:tc>
        <w:tc>
          <w:tcPr>
            <w:tcW w:w="665" w:type="pct"/>
            <w:tcBorders>
              <w:top w:val="nil"/>
              <w:left w:val="nil"/>
              <w:bottom w:val="single" w:sz="4" w:space="0" w:color="A6A6A6"/>
              <w:right w:val="single" w:sz="4" w:space="0" w:color="A6A6A6"/>
            </w:tcBorders>
            <w:shd w:val="clear" w:color="auto" w:fill="auto"/>
            <w:noWrap/>
            <w:vAlign w:val="center"/>
            <w:hideMark/>
          </w:tcPr>
          <w:p w14:paraId="062ED9B4"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96,9%</w:t>
            </w:r>
          </w:p>
        </w:tc>
        <w:tc>
          <w:tcPr>
            <w:tcW w:w="665" w:type="pct"/>
            <w:tcBorders>
              <w:top w:val="nil"/>
              <w:left w:val="nil"/>
              <w:bottom w:val="single" w:sz="4" w:space="0" w:color="A6A6A6"/>
              <w:right w:val="single" w:sz="4" w:space="0" w:color="A6A6A6"/>
            </w:tcBorders>
            <w:shd w:val="clear" w:color="auto" w:fill="auto"/>
            <w:noWrap/>
            <w:vAlign w:val="center"/>
            <w:hideMark/>
          </w:tcPr>
          <w:p w14:paraId="4E6293C6"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97,0%</w:t>
            </w:r>
          </w:p>
        </w:tc>
        <w:tc>
          <w:tcPr>
            <w:tcW w:w="665" w:type="pct"/>
            <w:tcBorders>
              <w:top w:val="nil"/>
              <w:left w:val="nil"/>
              <w:bottom w:val="single" w:sz="4" w:space="0" w:color="A6A6A6"/>
              <w:right w:val="single" w:sz="4" w:space="0" w:color="A6A6A6"/>
            </w:tcBorders>
            <w:shd w:val="clear" w:color="auto" w:fill="auto"/>
            <w:noWrap/>
            <w:vAlign w:val="center"/>
            <w:hideMark/>
          </w:tcPr>
          <w:p w14:paraId="36CBF46A"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95,8%</w:t>
            </w:r>
          </w:p>
        </w:tc>
        <w:tc>
          <w:tcPr>
            <w:tcW w:w="665" w:type="pct"/>
            <w:tcBorders>
              <w:top w:val="nil"/>
              <w:left w:val="nil"/>
              <w:bottom w:val="single" w:sz="4" w:space="0" w:color="A6A6A6"/>
              <w:right w:val="single" w:sz="8" w:space="0" w:color="3366CC"/>
            </w:tcBorders>
            <w:shd w:val="clear" w:color="auto" w:fill="auto"/>
            <w:noWrap/>
            <w:vAlign w:val="center"/>
            <w:hideMark/>
          </w:tcPr>
          <w:p w14:paraId="496C460C"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93,7%</w:t>
            </w:r>
          </w:p>
        </w:tc>
      </w:tr>
      <w:tr w:rsidR="00636714" w:rsidRPr="00636714" w14:paraId="3016471A" w14:textId="77777777" w:rsidTr="009A6D3A">
        <w:trPr>
          <w:trHeight w:val="390"/>
        </w:trPr>
        <w:tc>
          <w:tcPr>
            <w:tcW w:w="1009" w:type="pct"/>
            <w:tcBorders>
              <w:top w:val="single" w:sz="4" w:space="0" w:color="A6A6A6"/>
              <w:left w:val="single" w:sz="8" w:space="0" w:color="3366CC"/>
              <w:bottom w:val="single" w:sz="8" w:space="0" w:color="3366CC"/>
              <w:right w:val="single" w:sz="8" w:space="0" w:color="3366CC"/>
            </w:tcBorders>
            <w:shd w:val="clear" w:color="auto" w:fill="auto"/>
            <w:noWrap/>
            <w:vAlign w:val="center"/>
            <w:hideMark/>
          </w:tcPr>
          <w:p w14:paraId="6BE9B82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Doctorado</w:t>
            </w:r>
          </w:p>
        </w:tc>
        <w:tc>
          <w:tcPr>
            <w:tcW w:w="665" w:type="pct"/>
            <w:tcBorders>
              <w:top w:val="nil"/>
              <w:left w:val="nil"/>
              <w:bottom w:val="single" w:sz="8" w:space="0" w:color="3366CC"/>
              <w:right w:val="single" w:sz="4" w:space="0" w:color="A6A6A6"/>
            </w:tcBorders>
            <w:shd w:val="clear" w:color="auto" w:fill="auto"/>
            <w:noWrap/>
            <w:vAlign w:val="center"/>
            <w:hideMark/>
          </w:tcPr>
          <w:p w14:paraId="0049AE2C"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93,3%</w:t>
            </w:r>
          </w:p>
        </w:tc>
        <w:tc>
          <w:tcPr>
            <w:tcW w:w="665" w:type="pct"/>
            <w:tcBorders>
              <w:top w:val="nil"/>
              <w:left w:val="nil"/>
              <w:bottom w:val="single" w:sz="8" w:space="0" w:color="3366CC"/>
              <w:right w:val="nil"/>
            </w:tcBorders>
            <w:shd w:val="clear" w:color="auto" w:fill="auto"/>
            <w:noWrap/>
            <w:vAlign w:val="center"/>
            <w:hideMark/>
          </w:tcPr>
          <w:p w14:paraId="25AB7BEB"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100,0%</w:t>
            </w:r>
          </w:p>
        </w:tc>
        <w:tc>
          <w:tcPr>
            <w:tcW w:w="665" w:type="pct"/>
            <w:tcBorders>
              <w:top w:val="nil"/>
              <w:left w:val="nil"/>
              <w:bottom w:val="single" w:sz="8" w:space="0" w:color="3366CC"/>
              <w:right w:val="single" w:sz="4" w:space="0" w:color="A6A6A6"/>
            </w:tcBorders>
            <w:shd w:val="clear" w:color="auto" w:fill="auto"/>
            <w:noWrap/>
            <w:vAlign w:val="center"/>
            <w:hideMark/>
          </w:tcPr>
          <w:p w14:paraId="3EBDA71C"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98,0%</w:t>
            </w:r>
          </w:p>
        </w:tc>
        <w:tc>
          <w:tcPr>
            <w:tcW w:w="665" w:type="pct"/>
            <w:tcBorders>
              <w:top w:val="nil"/>
              <w:left w:val="nil"/>
              <w:bottom w:val="single" w:sz="8" w:space="0" w:color="3366CC"/>
              <w:right w:val="single" w:sz="4" w:space="0" w:color="A6A6A6"/>
            </w:tcBorders>
            <w:shd w:val="clear" w:color="auto" w:fill="auto"/>
            <w:noWrap/>
            <w:vAlign w:val="center"/>
            <w:hideMark/>
          </w:tcPr>
          <w:p w14:paraId="0CC0C30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82,9%</w:t>
            </w:r>
          </w:p>
        </w:tc>
        <w:tc>
          <w:tcPr>
            <w:tcW w:w="665" w:type="pct"/>
            <w:tcBorders>
              <w:top w:val="nil"/>
              <w:left w:val="nil"/>
              <w:bottom w:val="single" w:sz="8" w:space="0" w:color="3366CC"/>
              <w:right w:val="single" w:sz="4" w:space="0" w:color="A6A6A6"/>
            </w:tcBorders>
            <w:shd w:val="clear" w:color="auto" w:fill="auto"/>
            <w:noWrap/>
            <w:vAlign w:val="center"/>
            <w:hideMark/>
          </w:tcPr>
          <w:p w14:paraId="5A05AB1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98,4%</w:t>
            </w:r>
          </w:p>
        </w:tc>
        <w:tc>
          <w:tcPr>
            <w:tcW w:w="665" w:type="pct"/>
            <w:tcBorders>
              <w:top w:val="nil"/>
              <w:left w:val="nil"/>
              <w:bottom w:val="single" w:sz="8" w:space="0" w:color="3366CC"/>
              <w:right w:val="single" w:sz="8" w:space="0" w:color="3366CC"/>
            </w:tcBorders>
            <w:shd w:val="clear" w:color="auto" w:fill="auto"/>
            <w:noWrap/>
            <w:vAlign w:val="center"/>
            <w:hideMark/>
          </w:tcPr>
          <w:p w14:paraId="2680A3BD"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96,7%</w:t>
            </w:r>
          </w:p>
        </w:tc>
      </w:tr>
    </w:tbl>
    <w:p w14:paraId="61B2882F" w14:textId="77777777" w:rsidR="00636714" w:rsidRPr="00636714" w:rsidRDefault="00636714" w:rsidP="004162FC">
      <w:pPr>
        <w:jc w:val="center"/>
        <w:rPr>
          <w:rFonts w:ascii="Times New Roman" w:hAnsi="Times New Roman" w:cs="Times New Roman"/>
          <w:color w:val="808080" w:themeColor="background1" w:themeShade="80"/>
          <w:sz w:val="23"/>
          <w:szCs w:val="23"/>
        </w:rPr>
      </w:pPr>
      <w:r w:rsidRPr="00636714">
        <w:rPr>
          <w:rFonts w:ascii="Times New Roman" w:hAnsi="Times New Roman" w:cs="Times New Roman"/>
          <w:color w:val="808080" w:themeColor="background1" w:themeShade="80"/>
          <w:sz w:val="23"/>
          <w:szCs w:val="23"/>
        </w:rPr>
        <w:t>Fuente: MEN - OLE</w:t>
      </w:r>
    </w:p>
    <w:p w14:paraId="191F67D1" w14:textId="77777777" w:rsidR="00636714" w:rsidRPr="00636714" w:rsidRDefault="00636714" w:rsidP="00636714">
      <w:pPr>
        <w:jc w:val="both"/>
        <w:rPr>
          <w:rFonts w:ascii="Times New Roman" w:hAnsi="Times New Roman" w:cs="Times New Roman"/>
          <w:sz w:val="23"/>
          <w:szCs w:val="23"/>
        </w:rPr>
      </w:pPr>
    </w:p>
    <w:p w14:paraId="64DE7040"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Aunque la ocupación de la población joven con título de educación superior es alta, el ingreso base de cotización revela que, en promedio, los estudiantes graduados de un programa técnico profesional, y tecnológico, son remunerados con una diferencia apenas por encima de un salario mínimo. Frente a los universitarios, la diferencia del ingreso base de cotización es apenas de medio salario mínimo.</w:t>
      </w:r>
    </w:p>
    <w:p w14:paraId="44853159" w14:textId="77777777" w:rsidR="00636714" w:rsidRPr="00636714" w:rsidRDefault="00636714" w:rsidP="00636714">
      <w:pPr>
        <w:jc w:val="both"/>
        <w:rPr>
          <w:rFonts w:ascii="Times New Roman" w:hAnsi="Times New Roman" w:cs="Times New Roman"/>
          <w:sz w:val="23"/>
          <w:szCs w:val="23"/>
        </w:rPr>
      </w:pPr>
    </w:p>
    <w:p w14:paraId="44C304F7"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Los graduados con mayor nivel de cualificación tienen un ingreso base de cotización más alto, no obstante, se observa que en 2020 este ingreso disminuyó.</w:t>
      </w:r>
    </w:p>
    <w:p w14:paraId="08A24536" w14:textId="77777777" w:rsidR="00636714" w:rsidRPr="00636714" w:rsidRDefault="00636714" w:rsidP="00636714">
      <w:pPr>
        <w:jc w:val="both"/>
        <w:rPr>
          <w:rFonts w:ascii="Times New Roman" w:hAnsi="Times New Roman" w:cs="Times New Roman"/>
          <w:sz w:val="23"/>
          <w:szCs w:val="23"/>
        </w:rPr>
      </w:pPr>
    </w:p>
    <w:p w14:paraId="160B228D" w14:textId="00D70C2E" w:rsidR="00636714" w:rsidRPr="00636714" w:rsidRDefault="00636714" w:rsidP="004162FC">
      <w:pPr>
        <w:jc w:val="center"/>
        <w:rPr>
          <w:rFonts w:ascii="Times New Roman" w:hAnsi="Times New Roman" w:cs="Times New Roman"/>
          <w:b/>
          <w:iCs/>
          <w:sz w:val="23"/>
          <w:szCs w:val="23"/>
        </w:rPr>
      </w:pPr>
      <w:r w:rsidRPr="00636714">
        <w:rPr>
          <w:rFonts w:ascii="Times New Roman" w:hAnsi="Times New Roman" w:cs="Times New Roman"/>
          <w:b/>
          <w:iCs/>
          <w:sz w:val="23"/>
          <w:szCs w:val="23"/>
        </w:rPr>
        <w:t>Tabla 12 Ingresos Base de Cotización estimado de los recién graduados según máximo nivel de formación (2018 – 2020)</w:t>
      </w:r>
    </w:p>
    <w:tbl>
      <w:tblPr>
        <w:tblW w:w="5000" w:type="pct"/>
        <w:jc w:val="center"/>
        <w:tblBorders>
          <w:top w:val="single" w:sz="8" w:space="0" w:color="3366CC"/>
          <w:left w:val="single" w:sz="8" w:space="0" w:color="3366CC"/>
          <w:bottom w:val="single" w:sz="8" w:space="0" w:color="3366CC"/>
          <w:right w:val="single" w:sz="8" w:space="0" w:color="3366CC"/>
          <w:insideH w:val="single" w:sz="6" w:space="0" w:color="3366CC"/>
          <w:insideV w:val="single" w:sz="6" w:space="0" w:color="3366CC"/>
        </w:tblBorders>
        <w:tblCellMar>
          <w:left w:w="70" w:type="dxa"/>
          <w:right w:w="70" w:type="dxa"/>
        </w:tblCellMar>
        <w:tblLook w:val="04A0" w:firstRow="1" w:lastRow="0" w:firstColumn="1" w:lastColumn="0" w:noHBand="0" w:noVBand="1"/>
      </w:tblPr>
      <w:tblGrid>
        <w:gridCol w:w="2432"/>
        <w:gridCol w:w="2398"/>
        <w:gridCol w:w="2397"/>
        <w:gridCol w:w="2391"/>
      </w:tblGrid>
      <w:tr w:rsidR="00636714" w:rsidRPr="00636714" w14:paraId="70527811" w14:textId="77777777" w:rsidTr="009A6D3A">
        <w:trPr>
          <w:trHeight w:val="1125"/>
          <w:tblHeader/>
          <w:jc w:val="center"/>
        </w:trPr>
        <w:tc>
          <w:tcPr>
            <w:tcW w:w="1264" w:type="pct"/>
            <w:shd w:val="clear" w:color="000000" w:fill="DDEBF7"/>
            <w:noWrap/>
            <w:vAlign w:val="center"/>
            <w:hideMark/>
          </w:tcPr>
          <w:p w14:paraId="443931FF"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Nivel de Formación</w:t>
            </w:r>
          </w:p>
        </w:tc>
        <w:tc>
          <w:tcPr>
            <w:tcW w:w="1246" w:type="pct"/>
            <w:shd w:val="clear" w:color="000000" w:fill="DDEBF7"/>
            <w:vAlign w:val="center"/>
            <w:hideMark/>
          </w:tcPr>
          <w:p w14:paraId="613FD502"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Vinculación 2018</w:t>
            </w:r>
            <w:r w:rsidRPr="00636714">
              <w:rPr>
                <w:rFonts w:ascii="Times New Roman" w:hAnsi="Times New Roman" w:cs="Times New Roman"/>
                <w:b/>
                <w:bCs/>
                <w:sz w:val="23"/>
                <w:szCs w:val="23"/>
              </w:rPr>
              <w:br/>
              <w:t>(Graduados 2017)</w:t>
            </w:r>
          </w:p>
        </w:tc>
        <w:tc>
          <w:tcPr>
            <w:tcW w:w="1246" w:type="pct"/>
            <w:shd w:val="clear" w:color="000000" w:fill="DDEBF7"/>
            <w:vAlign w:val="center"/>
            <w:hideMark/>
          </w:tcPr>
          <w:p w14:paraId="68DB919B"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Vinculación 2019</w:t>
            </w:r>
            <w:r w:rsidRPr="00636714">
              <w:rPr>
                <w:rFonts w:ascii="Times New Roman" w:hAnsi="Times New Roman" w:cs="Times New Roman"/>
                <w:b/>
                <w:bCs/>
                <w:sz w:val="23"/>
                <w:szCs w:val="23"/>
              </w:rPr>
              <w:br/>
              <w:t>(Graduados 2018)</w:t>
            </w:r>
          </w:p>
        </w:tc>
        <w:tc>
          <w:tcPr>
            <w:tcW w:w="1243" w:type="pct"/>
            <w:shd w:val="clear" w:color="000000" w:fill="DDEBF7"/>
            <w:vAlign w:val="center"/>
            <w:hideMark/>
          </w:tcPr>
          <w:p w14:paraId="4A6DC605"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Vinculación 2020</w:t>
            </w:r>
            <w:r w:rsidRPr="00636714">
              <w:rPr>
                <w:rFonts w:ascii="Times New Roman" w:hAnsi="Times New Roman" w:cs="Times New Roman"/>
                <w:b/>
                <w:bCs/>
                <w:sz w:val="23"/>
                <w:szCs w:val="23"/>
              </w:rPr>
              <w:br/>
              <w:t>(Graduados 2019)</w:t>
            </w:r>
          </w:p>
        </w:tc>
      </w:tr>
      <w:tr w:rsidR="00636714" w:rsidRPr="00636714" w14:paraId="05152F68" w14:textId="77777777" w:rsidTr="009A6D3A">
        <w:trPr>
          <w:trHeight w:val="375"/>
          <w:jc w:val="center"/>
        </w:trPr>
        <w:tc>
          <w:tcPr>
            <w:tcW w:w="1264" w:type="pct"/>
            <w:shd w:val="clear" w:color="auto" w:fill="auto"/>
            <w:noWrap/>
            <w:vAlign w:val="center"/>
            <w:hideMark/>
          </w:tcPr>
          <w:p w14:paraId="26D5249B"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Técnica Profesional</w:t>
            </w:r>
          </w:p>
        </w:tc>
        <w:tc>
          <w:tcPr>
            <w:tcW w:w="1246" w:type="pct"/>
            <w:shd w:val="clear" w:color="auto" w:fill="auto"/>
            <w:noWrap/>
            <w:vAlign w:val="center"/>
            <w:hideMark/>
          </w:tcPr>
          <w:p w14:paraId="59EA0EAC"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1 y 1,5 SMMLV</w:t>
            </w:r>
          </w:p>
        </w:tc>
        <w:tc>
          <w:tcPr>
            <w:tcW w:w="1246" w:type="pct"/>
            <w:shd w:val="clear" w:color="auto" w:fill="auto"/>
            <w:noWrap/>
            <w:vAlign w:val="center"/>
            <w:hideMark/>
          </w:tcPr>
          <w:p w14:paraId="0341B774"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1 y 1,5 SMMLV</w:t>
            </w:r>
          </w:p>
        </w:tc>
        <w:tc>
          <w:tcPr>
            <w:tcW w:w="1243" w:type="pct"/>
            <w:shd w:val="clear" w:color="auto" w:fill="auto"/>
            <w:noWrap/>
            <w:vAlign w:val="center"/>
            <w:hideMark/>
          </w:tcPr>
          <w:p w14:paraId="0B277DE3"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1 y 1,5 SMMLV</w:t>
            </w:r>
          </w:p>
        </w:tc>
      </w:tr>
      <w:tr w:rsidR="00636714" w:rsidRPr="00636714" w14:paraId="5FD9D9A8" w14:textId="77777777" w:rsidTr="009A6D3A">
        <w:trPr>
          <w:trHeight w:val="375"/>
          <w:jc w:val="center"/>
        </w:trPr>
        <w:tc>
          <w:tcPr>
            <w:tcW w:w="1264" w:type="pct"/>
            <w:shd w:val="clear" w:color="auto" w:fill="auto"/>
            <w:noWrap/>
            <w:vAlign w:val="center"/>
            <w:hideMark/>
          </w:tcPr>
          <w:p w14:paraId="18C86D42"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Tecnológica</w:t>
            </w:r>
          </w:p>
        </w:tc>
        <w:tc>
          <w:tcPr>
            <w:tcW w:w="1246" w:type="pct"/>
            <w:shd w:val="clear" w:color="auto" w:fill="auto"/>
            <w:noWrap/>
            <w:vAlign w:val="center"/>
            <w:hideMark/>
          </w:tcPr>
          <w:p w14:paraId="5C14484E"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1 y 1,5 SMMLV</w:t>
            </w:r>
          </w:p>
        </w:tc>
        <w:tc>
          <w:tcPr>
            <w:tcW w:w="1246" w:type="pct"/>
            <w:shd w:val="clear" w:color="auto" w:fill="auto"/>
            <w:noWrap/>
            <w:vAlign w:val="center"/>
            <w:hideMark/>
          </w:tcPr>
          <w:p w14:paraId="1126CEA7"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1 y 1,5 SMMLV</w:t>
            </w:r>
          </w:p>
        </w:tc>
        <w:tc>
          <w:tcPr>
            <w:tcW w:w="1243" w:type="pct"/>
            <w:shd w:val="clear" w:color="auto" w:fill="auto"/>
            <w:noWrap/>
            <w:vAlign w:val="center"/>
            <w:hideMark/>
          </w:tcPr>
          <w:p w14:paraId="18D288E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1 y 1,5 SMMLV</w:t>
            </w:r>
          </w:p>
        </w:tc>
      </w:tr>
      <w:tr w:rsidR="00636714" w:rsidRPr="00636714" w14:paraId="69DD5CE0" w14:textId="77777777" w:rsidTr="009A6D3A">
        <w:trPr>
          <w:trHeight w:val="375"/>
          <w:jc w:val="center"/>
        </w:trPr>
        <w:tc>
          <w:tcPr>
            <w:tcW w:w="1264" w:type="pct"/>
            <w:shd w:val="clear" w:color="auto" w:fill="auto"/>
            <w:noWrap/>
            <w:vAlign w:val="center"/>
            <w:hideMark/>
          </w:tcPr>
          <w:p w14:paraId="437FEB88"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Universitaria</w:t>
            </w:r>
          </w:p>
        </w:tc>
        <w:tc>
          <w:tcPr>
            <w:tcW w:w="1246" w:type="pct"/>
            <w:shd w:val="clear" w:color="auto" w:fill="auto"/>
            <w:noWrap/>
            <w:vAlign w:val="center"/>
            <w:hideMark/>
          </w:tcPr>
          <w:p w14:paraId="1D7B90A8"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1,5 y 2 SMMLV</w:t>
            </w:r>
          </w:p>
        </w:tc>
        <w:tc>
          <w:tcPr>
            <w:tcW w:w="1246" w:type="pct"/>
            <w:shd w:val="clear" w:color="auto" w:fill="auto"/>
            <w:noWrap/>
            <w:vAlign w:val="center"/>
            <w:hideMark/>
          </w:tcPr>
          <w:p w14:paraId="2869451D"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1,5 y 2 SMMLV</w:t>
            </w:r>
          </w:p>
        </w:tc>
        <w:tc>
          <w:tcPr>
            <w:tcW w:w="1243" w:type="pct"/>
            <w:shd w:val="clear" w:color="auto" w:fill="auto"/>
            <w:noWrap/>
            <w:vAlign w:val="center"/>
            <w:hideMark/>
          </w:tcPr>
          <w:p w14:paraId="698D3955"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1,5 y 2 SMMLV</w:t>
            </w:r>
          </w:p>
        </w:tc>
      </w:tr>
      <w:tr w:rsidR="00636714" w:rsidRPr="00636714" w14:paraId="31ECDBB5" w14:textId="77777777" w:rsidTr="009A6D3A">
        <w:trPr>
          <w:trHeight w:val="375"/>
          <w:jc w:val="center"/>
        </w:trPr>
        <w:tc>
          <w:tcPr>
            <w:tcW w:w="1264" w:type="pct"/>
            <w:shd w:val="clear" w:color="auto" w:fill="auto"/>
            <w:noWrap/>
            <w:vAlign w:val="center"/>
            <w:hideMark/>
          </w:tcPr>
          <w:p w14:paraId="6C40E5E6"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Especialización</w:t>
            </w:r>
          </w:p>
        </w:tc>
        <w:tc>
          <w:tcPr>
            <w:tcW w:w="1246" w:type="pct"/>
            <w:shd w:val="clear" w:color="auto" w:fill="auto"/>
            <w:noWrap/>
            <w:vAlign w:val="center"/>
            <w:hideMark/>
          </w:tcPr>
          <w:p w14:paraId="10C0914F"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3 y 3,5 SMMLV</w:t>
            </w:r>
          </w:p>
        </w:tc>
        <w:tc>
          <w:tcPr>
            <w:tcW w:w="1246" w:type="pct"/>
            <w:shd w:val="clear" w:color="auto" w:fill="auto"/>
            <w:noWrap/>
            <w:vAlign w:val="center"/>
            <w:hideMark/>
          </w:tcPr>
          <w:p w14:paraId="469334C7"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2,5 y 3 SMMLV</w:t>
            </w:r>
          </w:p>
        </w:tc>
        <w:tc>
          <w:tcPr>
            <w:tcW w:w="1243" w:type="pct"/>
            <w:shd w:val="clear" w:color="auto" w:fill="auto"/>
            <w:noWrap/>
            <w:vAlign w:val="center"/>
            <w:hideMark/>
          </w:tcPr>
          <w:p w14:paraId="185C8F29"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2,5 y 3 SMMLV</w:t>
            </w:r>
          </w:p>
        </w:tc>
      </w:tr>
      <w:tr w:rsidR="00636714" w:rsidRPr="00636714" w14:paraId="7B94F98E" w14:textId="77777777" w:rsidTr="009A6D3A">
        <w:trPr>
          <w:trHeight w:val="375"/>
          <w:jc w:val="center"/>
        </w:trPr>
        <w:tc>
          <w:tcPr>
            <w:tcW w:w="1264" w:type="pct"/>
            <w:shd w:val="clear" w:color="auto" w:fill="auto"/>
            <w:noWrap/>
            <w:vAlign w:val="center"/>
            <w:hideMark/>
          </w:tcPr>
          <w:p w14:paraId="66B570FD"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Maestría</w:t>
            </w:r>
          </w:p>
        </w:tc>
        <w:tc>
          <w:tcPr>
            <w:tcW w:w="1246" w:type="pct"/>
            <w:shd w:val="clear" w:color="auto" w:fill="auto"/>
            <w:noWrap/>
            <w:vAlign w:val="center"/>
            <w:hideMark/>
          </w:tcPr>
          <w:p w14:paraId="59BC89A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4 y 4,5 SMMLV</w:t>
            </w:r>
          </w:p>
        </w:tc>
        <w:tc>
          <w:tcPr>
            <w:tcW w:w="1246" w:type="pct"/>
            <w:shd w:val="clear" w:color="auto" w:fill="auto"/>
            <w:noWrap/>
            <w:vAlign w:val="center"/>
            <w:hideMark/>
          </w:tcPr>
          <w:p w14:paraId="30F8B8A9"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4 y 4,5 SMMLV</w:t>
            </w:r>
          </w:p>
        </w:tc>
        <w:tc>
          <w:tcPr>
            <w:tcW w:w="1243" w:type="pct"/>
            <w:shd w:val="clear" w:color="auto" w:fill="auto"/>
            <w:noWrap/>
            <w:vAlign w:val="center"/>
            <w:hideMark/>
          </w:tcPr>
          <w:p w14:paraId="50D0F6B2"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3,5 y 4 SMMLV</w:t>
            </w:r>
          </w:p>
        </w:tc>
      </w:tr>
      <w:tr w:rsidR="00636714" w:rsidRPr="00636714" w14:paraId="2A3BFD58" w14:textId="77777777" w:rsidTr="009A6D3A">
        <w:trPr>
          <w:trHeight w:val="390"/>
          <w:jc w:val="center"/>
        </w:trPr>
        <w:tc>
          <w:tcPr>
            <w:tcW w:w="1264" w:type="pct"/>
            <w:shd w:val="clear" w:color="auto" w:fill="auto"/>
            <w:noWrap/>
            <w:vAlign w:val="center"/>
            <w:hideMark/>
          </w:tcPr>
          <w:p w14:paraId="1D36B632"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Doctorado</w:t>
            </w:r>
          </w:p>
        </w:tc>
        <w:tc>
          <w:tcPr>
            <w:tcW w:w="1246" w:type="pct"/>
            <w:shd w:val="clear" w:color="auto" w:fill="auto"/>
            <w:noWrap/>
            <w:vAlign w:val="center"/>
            <w:hideMark/>
          </w:tcPr>
          <w:p w14:paraId="56F86E82" w14:textId="54FAE8DF"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8 y 9 SMMLV</w:t>
            </w:r>
          </w:p>
        </w:tc>
        <w:tc>
          <w:tcPr>
            <w:tcW w:w="1246" w:type="pct"/>
            <w:shd w:val="clear" w:color="auto" w:fill="auto"/>
            <w:noWrap/>
            <w:vAlign w:val="center"/>
            <w:hideMark/>
          </w:tcPr>
          <w:p w14:paraId="13B462F9"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7 y 8 SMMLV</w:t>
            </w:r>
          </w:p>
        </w:tc>
        <w:tc>
          <w:tcPr>
            <w:tcW w:w="1243" w:type="pct"/>
            <w:shd w:val="clear" w:color="auto" w:fill="auto"/>
            <w:noWrap/>
            <w:vAlign w:val="center"/>
            <w:hideMark/>
          </w:tcPr>
          <w:p w14:paraId="0A459399"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Entre 6 y 7 SMMLV</w:t>
            </w:r>
          </w:p>
        </w:tc>
      </w:tr>
    </w:tbl>
    <w:p w14:paraId="5A72EB9D" w14:textId="77777777" w:rsidR="00636714" w:rsidRPr="00636714" w:rsidRDefault="00636714" w:rsidP="004162FC">
      <w:pPr>
        <w:jc w:val="center"/>
        <w:rPr>
          <w:rFonts w:ascii="Times New Roman" w:hAnsi="Times New Roman" w:cs="Times New Roman"/>
          <w:color w:val="808080" w:themeColor="background1" w:themeShade="80"/>
          <w:sz w:val="23"/>
          <w:szCs w:val="23"/>
        </w:rPr>
      </w:pPr>
      <w:r w:rsidRPr="00636714">
        <w:rPr>
          <w:rFonts w:ascii="Times New Roman" w:hAnsi="Times New Roman" w:cs="Times New Roman"/>
          <w:color w:val="808080" w:themeColor="background1" w:themeShade="80"/>
          <w:sz w:val="23"/>
          <w:szCs w:val="23"/>
        </w:rPr>
        <w:t>Fuente: MEN - OLE</w:t>
      </w:r>
    </w:p>
    <w:p w14:paraId="05C5CD4A" w14:textId="38C49AA4" w:rsidR="00636714" w:rsidRPr="00636714" w:rsidRDefault="00636714" w:rsidP="00636714">
      <w:pPr>
        <w:pStyle w:val="Ttulo1"/>
        <w:jc w:val="both"/>
        <w:rPr>
          <w:rFonts w:ascii="Times New Roman" w:hAnsi="Times New Roman" w:cs="Times New Roman"/>
          <w:sz w:val="23"/>
          <w:szCs w:val="23"/>
        </w:rPr>
      </w:pPr>
      <w:r w:rsidRPr="00636714">
        <w:rPr>
          <w:rFonts w:ascii="Times New Roman" w:hAnsi="Times New Roman" w:cs="Times New Roman"/>
          <w:sz w:val="23"/>
          <w:szCs w:val="23"/>
        </w:rPr>
        <w:t>Tasa de deserción universitaria anual</w:t>
      </w:r>
      <w:r w:rsidR="004162FC">
        <w:rPr>
          <w:rFonts w:ascii="Times New Roman" w:hAnsi="Times New Roman" w:cs="Times New Roman"/>
          <w:sz w:val="23"/>
          <w:szCs w:val="23"/>
        </w:rPr>
        <w:t>:</w:t>
      </w:r>
    </w:p>
    <w:p w14:paraId="64ED0F45" w14:textId="696D4C88" w:rsidR="00636714" w:rsidRPr="00636714" w:rsidRDefault="00636714" w:rsidP="004162FC">
      <w:pPr>
        <w:jc w:val="both"/>
        <w:rPr>
          <w:rFonts w:ascii="Times New Roman" w:hAnsi="Times New Roman" w:cs="Times New Roman"/>
          <w:sz w:val="23"/>
          <w:szCs w:val="23"/>
        </w:rPr>
      </w:pPr>
      <w:r w:rsidRPr="00636714">
        <w:rPr>
          <w:rFonts w:ascii="Times New Roman" w:hAnsi="Times New Roman" w:cs="Times New Roman"/>
          <w:sz w:val="23"/>
          <w:szCs w:val="23"/>
        </w:rPr>
        <w:t>La tasa de deserción del departamento se ha mantenido en niveles cercanos al 5%, excepto en el año 2017, año en el cual casi se duplicó. Frente al consolidado nacional, esta tasa es mucho menor en el departamento.</w:t>
      </w:r>
    </w:p>
    <w:p w14:paraId="756FAB9F" w14:textId="77777777" w:rsidR="00636714" w:rsidRPr="00636714" w:rsidRDefault="00636714" w:rsidP="00636714">
      <w:pPr>
        <w:jc w:val="both"/>
        <w:rPr>
          <w:rFonts w:ascii="Times New Roman" w:hAnsi="Times New Roman" w:cs="Times New Roman"/>
          <w:sz w:val="23"/>
          <w:szCs w:val="23"/>
        </w:rPr>
      </w:pPr>
    </w:p>
    <w:p w14:paraId="5817EE05" w14:textId="727A5521" w:rsidR="00636714" w:rsidRPr="00636714" w:rsidRDefault="00636714" w:rsidP="004162FC">
      <w:pPr>
        <w:jc w:val="center"/>
        <w:rPr>
          <w:rFonts w:ascii="Times New Roman" w:hAnsi="Times New Roman" w:cs="Times New Roman"/>
          <w:b/>
          <w:iCs/>
          <w:sz w:val="23"/>
          <w:szCs w:val="23"/>
        </w:rPr>
      </w:pPr>
      <w:r w:rsidRPr="00636714">
        <w:rPr>
          <w:rFonts w:ascii="Times New Roman" w:hAnsi="Times New Roman" w:cs="Times New Roman"/>
          <w:b/>
          <w:iCs/>
          <w:sz w:val="23"/>
          <w:szCs w:val="23"/>
        </w:rPr>
        <w:t xml:space="preserve">Tabla </w:t>
      </w:r>
      <w:r w:rsidRPr="00636714">
        <w:rPr>
          <w:rFonts w:ascii="Times New Roman" w:hAnsi="Times New Roman" w:cs="Times New Roman"/>
          <w:b/>
          <w:iCs/>
          <w:sz w:val="23"/>
          <w:szCs w:val="23"/>
        </w:rPr>
        <w:fldChar w:fldCharType="begin"/>
      </w:r>
      <w:r w:rsidRPr="00636714">
        <w:rPr>
          <w:rFonts w:ascii="Times New Roman" w:hAnsi="Times New Roman" w:cs="Times New Roman"/>
          <w:b/>
          <w:iCs/>
          <w:sz w:val="23"/>
          <w:szCs w:val="23"/>
        </w:rPr>
        <w:instrText xml:space="preserve"> SEQ Tabla \* ARABIC </w:instrText>
      </w:r>
      <w:r w:rsidRPr="00636714">
        <w:rPr>
          <w:rFonts w:ascii="Times New Roman" w:hAnsi="Times New Roman" w:cs="Times New Roman"/>
          <w:b/>
          <w:iCs/>
          <w:sz w:val="23"/>
          <w:szCs w:val="23"/>
        </w:rPr>
        <w:fldChar w:fldCharType="separate"/>
      </w:r>
      <w:r w:rsidR="00F263B6">
        <w:rPr>
          <w:rFonts w:ascii="Times New Roman" w:hAnsi="Times New Roman" w:cs="Times New Roman"/>
          <w:b/>
          <w:iCs/>
          <w:noProof/>
          <w:sz w:val="23"/>
          <w:szCs w:val="23"/>
        </w:rPr>
        <w:t>7</w:t>
      </w:r>
      <w:r w:rsidRPr="00636714">
        <w:rPr>
          <w:rFonts w:ascii="Times New Roman" w:hAnsi="Times New Roman" w:cs="Times New Roman"/>
          <w:sz w:val="23"/>
          <w:szCs w:val="23"/>
        </w:rPr>
        <w:fldChar w:fldCharType="end"/>
      </w:r>
      <w:r w:rsidRPr="00636714">
        <w:rPr>
          <w:rFonts w:ascii="Times New Roman" w:hAnsi="Times New Roman" w:cs="Times New Roman"/>
          <w:b/>
          <w:iCs/>
          <w:sz w:val="23"/>
          <w:szCs w:val="23"/>
        </w:rPr>
        <w:t xml:space="preserve"> Tasa de deserción universitaria anual (2015-2019)</w:t>
      </w:r>
    </w:p>
    <w:tbl>
      <w:tblPr>
        <w:tblW w:w="5000" w:type="pct"/>
        <w:tblBorders>
          <w:top w:val="single" w:sz="8" w:space="0" w:color="3366CC"/>
          <w:left w:val="single" w:sz="8" w:space="0" w:color="3366CC"/>
          <w:bottom w:val="single" w:sz="8" w:space="0" w:color="3366CC"/>
          <w:right w:val="single" w:sz="8" w:space="0" w:color="3366CC"/>
          <w:insideH w:val="single" w:sz="8" w:space="0" w:color="3366CC"/>
          <w:insideV w:val="single" w:sz="8" w:space="0" w:color="3366CC"/>
        </w:tblBorders>
        <w:tblCellMar>
          <w:left w:w="70" w:type="dxa"/>
          <w:right w:w="70" w:type="dxa"/>
        </w:tblCellMar>
        <w:tblLook w:val="04A0" w:firstRow="1" w:lastRow="0" w:firstColumn="1" w:lastColumn="0" w:noHBand="0" w:noVBand="1"/>
      </w:tblPr>
      <w:tblGrid>
        <w:gridCol w:w="2634"/>
        <w:gridCol w:w="1542"/>
        <w:gridCol w:w="1354"/>
        <w:gridCol w:w="1354"/>
        <w:gridCol w:w="1368"/>
        <w:gridCol w:w="1366"/>
      </w:tblGrid>
      <w:tr w:rsidR="00636714" w:rsidRPr="00636714" w14:paraId="236E5FC5" w14:textId="77777777" w:rsidTr="009A6D3A">
        <w:trPr>
          <w:trHeight w:val="390"/>
        </w:trPr>
        <w:tc>
          <w:tcPr>
            <w:tcW w:w="1369" w:type="pct"/>
            <w:shd w:val="clear" w:color="000000" w:fill="DDEBF7"/>
            <w:noWrap/>
            <w:vAlign w:val="center"/>
            <w:hideMark/>
          </w:tcPr>
          <w:p w14:paraId="29130804"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Tasa de Deserción</w:t>
            </w:r>
          </w:p>
        </w:tc>
        <w:tc>
          <w:tcPr>
            <w:tcW w:w="801" w:type="pct"/>
            <w:shd w:val="clear" w:color="000000" w:fill="DDEBF7"/>
            <w:vAlign w:val="center"/>
            <w:hideMark/>
          </w:tcPr>
          <w:p w14:paraId="5A273EE5"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2015</w:t>
            </w:r>
          </w:p>
        </w:tc>
        <w:tc>
          <w:tcPr>
            <w:tcW w:w="704" w:type="pct"/>
            <w:shd w:val="clear" w:color="000000" w:fill="DDEBF7"/>
            <w:vAlign w:val="center"/>
            <w:hideMark/>
          </w:tcPr>
          <w:p w14:paraId="2EA4AEEF"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2016</w:t>
            </w:r>
          </w:p>
        </w:tc>
        <w:tc>
          <w:tcPr>
            <w:tcW w:w="704" w:type="pct"/>
            <w:shd w:val="clear" w:color="000000" w:fill="DDEBF7"/>
            <w:vAlign w:val="center"/>
            <w:hideMark/>
          </w:tcPr>
          <w:p w14:paraId="7ED7D532"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2017</w:t>
            </w:r>
          </w:p>
        </w:tc>
        <w:tc>
          <w:tcPr>
            <w:tcW w:w="711" w:type="pct"/>
            <w:shd w:val="clear" w:color="000000" w:fill="DDEBF7"/>
            <w:vAlign w:val="center"/>
            <w:hideMark/>
          </w:tcPr>
          <w:p w14:paraId="391ADF38"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2018</w:t>
            </w:r>
          </w:p>
        </w:tc>
        <w:tc>
          <w:tcPr>
            <w:tcW w:w="710" w:type="pct"/>
            <w:shd w:val="clear" w:color="000000" w:fill="DDEBF7"/>
            <w:vAlign w:val="center"/>
            <w:hideMark/>
          </w:tcPr>
          <w:p w14:paraId="56F22B27"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2019</w:t>
            </w:r>
          </w:p>
        </w:tc>
      </w:tr>
      <w:tr w:rsidR="00636714" w:rsidRPr="00636714" w14:paraId="6658D2B2" w14:textId="77777777" w:rsidTr="009A6D3A">
        <w:trPr>
          <w:trHeight w:val="375"/>
        </w:trPr>
        <w:tc>
          <w:tcPr>
            <w:tcW w:w="1369" w:type="pct"/>
            <w:shd w:val="clear" w:color="auto" w:fill="auto"/>
            <w:noWrap/>
            <w:vAlign w:val="center"/>
            <w:hideMark/>
          </w:tcPr>
          <w:p w14:paraId="5C5CD1EB" w14:textId="77777777" w:rsidR="00636714" w:rsidRPr="00636714" w:rsidRDefault="00636714" w:rsidP="004162FC">
            <w:pPr>
              <w:jc w:val="center"/>
              <w:rPr>
                <w:rFonts w:ascii="Times New Roman" w:hAnsi="Times New Roman" w:cs="Times New Roman"/>
                <w:b/>
                <w:bCs/>
                <w:sz w:val="23"/>
                <w:szCs w:val="23"/>
              </w:rPr>
            </w:pPr>
            <w:r w:rsidRPr="00636714">
              <w:rPr>
                <w:rFonts w:ascii="Times New Roman" w:hAnsi="Times New Roman" w:cs="Times New Roman"/>
                <w:b/>
                <w:bCs/>
                <w:sz w:val="23"/>
                <w:szCs w:val="23"/>
              </w:rPr>
              <w:t>Departamento</w:t>
            </w:r>
          </w:p>
        </w:tc>
        <w:tc>
          <w:tcPr>
            <w:tcW w:w="801" w:type="pct"/>
            <w:shd w:val="clear" w:color="auto" w:fill="auto"/>
            <w:noWrap/>
            <w:vAlign w:val="center"/>
            <w:hideMark/>
          </w:tcPr>
          <w:p w14:paraId="6FEE1DE7"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4,9%</w:t>
            </w:r>
          </w:p>
        </w:tc>
        <w:tc>
          <w:tcPr>
            <w:tcW w:w="704" w:type="pct"/>
            <w:shd w:val="clear" w:color="auto" w:fill="auto"/>
            <w:noWrap/>
            <w:vAlign w:val="center"/>
            <w:hideMark/>
          </w:tcPr>
          <w:p w14:paraId="1CFE1896"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4,7%</w:t>
            </w:r>
          </w:p>
        </w:tc>
        <w:tc>
          <w:tcPr>
            <w:tcW w:w="704" w:type="pct"/>
            <w:shd w:val="clear" w:color="auto" w:fill="auto"/>
            <w:noWrap/>
            <w:vAlign w:val="center"/>
            <w:hideMark/>
          </w:tcPr>
          <w:p w14:paraId="5B01FB19"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9,3%</w:t>
            </w:r>
          </w:p>
        </w:tc>
        <w:tc>
          <w:tcPr>
            <w:tcW w:w="711" w:type="pct"/>
            <w:shd w:val="clear" w:color="auto" w:fill="auto"/>
            <w:noWrap/>
            <w:vAlign w:val="center"/>
            <w:hideMark/>
          </w:tcPr>
          <w:p w14:paraId="760AC84B"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5,0%</w:t>
            </w:r>
          </w:p>
        </w:tc>
        <w:tc>
          <w:tcPr>
            <w:tcW w:w="710" w:type="pct"/>
            <w:shd w:val="clear" w:color="auto" w:fill="auto"/>
            <w:noWrap/>
            <w:vAlign w:val="center"/>
            <w:hideMark/>
          </w:tcPr>
          <w:p w14:paraId="16B2D9C3"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4,7%</w:t>
            </w:r>
          </w:p>
        </w:tc>
      </w:tr>
      <w:tr w:rsidR="00636714" w:rsidRPr="00636714" w14:paraId="5481E5C8" w14:textId="77777777" w:rsidTr="009A6D3A">
        <w:trPr>
          <w:trHeight w:val="390"/>
        </w:trPr>
        <w:tc>
          <w:tcPr>
            <w:tcW w:w="1369" w:type="pct"/>
            <w:shd w:val="clear" w:color="auto" w:fill="auto"/>
            <w:noWrap/>
            <w:vAlign w:val="center"/>
            <w:hideMark/>
          </w:tcPr>
          <w:p w14:paraId="7897F417"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Nacional</w:t>
            </w:r>
          </w:p>
        </w:tc>
        <w:tc>
          <w:tcPr>
            <w:tcW w:w="801" w:type="pct"/>
            <w:shd w:val="clear" w:color="auto" w:fill="auto"/>
            <w:noWrap/>
            <w:vAlign w:val="center"/>
            <w:hideMark/>
          </w:tcPr>
          <w:p w14:paraId="787C191A"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9,0%</w:t>
            </w:r>
          </w:p>
        </w:tc>
        <w:tc>
          <w:tcPr>
            <w:tcW w:w="704" w:type="pct"/>
            <w:shd w:val="clear" w:color="auto" w:fill="auto"/>
            <w:noWrap/>
            <w:vAlign w:val="center"/>
            <w:hideMark/>
          </w:tcPr>
          <w:p w14:paraId="4BDBF94C"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8,2%</w:t>
            </w:r>
          </w:p>
        </w:tc>
        <w:tc>
          <w:tcPr>
            <w:tcW w:w="704" w:type="pct"/>
            <w:shd w:val="clear" w:color="auto" w:fill="auto"/>
            <w:noWrap/>
            <w:vAlign w:val="center"/>
            <w:hideMark/>
          </w:tcPr>
          <w:p w14:paraId="50F7C661"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9,1%</w:t>
            </w:r>
          </w:p>
        </w:tc>
        <w:tc>
          <w:tcPr>
            <w:tcW w:w="711" w:type="pct"/>
            <w:shd w:val="clear" w:color="auto" w:fill="auto"/>
            <w:noWrap/>
            <w:vAlign w:val="center"/>
            <w:hideMark/>
          </w:tcPr>
          <w:p w14:paraId="4C82550C"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8,8%</w:t>
            </w:r>
          </w:p>
        </w:tc>
        <w:tc>
          <w:tcPr>
            <w:tcW w:w="710" w:type="pct"/>
            <w:shd w:val="clear" w:color="auto" w:fill="auto"/>
            <w:noWrap/>
            <w:vAlign w:val="center"/>
            <w:hideMark/>
          </w:tcPr>
          <w:p w14:paraId="3F059715"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sz w:val="23"/>
                <w:szCs w:val="23"/>
              </w:rPr>
              <w:t>8,3%</w:t>
            </w:r>
          </w:p>
        </w:tc>
      </w:tr>
    </w:tbl>
    <w:p w14:paraId="16590BBE" w14:textId="77777777" w:rsidR="00636714" w:rsidRPr="00636714" w:rsidRDefault="00636714" w:rsidP="004162FC">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MEN - SPADIES 3.0</w:t>
      </w:r>
    </w:p>
    <w:p w14:paraId="71242294" w14:textId="77777777" w:rsidR="00636714" w:rsidRPr="00636714" w:rsidRDefault="00636714" w:rsidP="00636714">
      <w:pPr>
        <w:jc w:val="both"/>
        <w:rPr>
          <w:rFonts w:ascii="Times New Roman" w:hAnsi="Times New Roman" w:cs="Times New Roman"/>
          <w:sz w:val="23"/>
          <w:szCs w:val="23"/>
        </w:rPr>
      </w:pPr>
    </w:p>
    <w:p w14:paraId="111CFB77" w14:textId="16AB3A71" w:rsidR="00636714" w:rsidRPr="00636714" w:rsidRDefault="00636714" w:rsidP="004162FC">
      <w:pPr>
        <w:jc w:val="both"/>
        <w:rPr>
          <w:rFonts w:ascii="Times New Roman" w:hAnsi="Times New Roman" w:cs="Times New Roman"/>
          <w:sz w:val="23"/>
          <w:szCs w:val="23"/>
        </w:rPr>
      </w:pPr>
      <w:r w:rsidRPr="00636714">
        <w:rPr>
          <w:rFonts w:ascii="Times New Roman" w:hAnsi="Times New Roman" w:cs="Times New Roman"/>
          <w:sz w:val="23"/>
          <w:szCs w:val="23"/>
        </w:rPr>
        <w:t>Resultados del diagnóstico en torno al sistema de ciencia, tecnología, innovación y educación en caldas: barreras y oportunidades</w:t>
      </w:r>
      <w:r w:rsidR="004162FC">
        <w:rPr>
          <w:rFonts w:ascii="Times New Roman" w:hAnsi="Times New Roman" w:cs="Times New Roman"/>
          <w:sz w:val="23"/>
          <w:szCs w:val="23"/>
        </w:rPr>
        <w:t>.</w:t>
      </w:r>
    </w:p>
    <w:p w14:paraId="1FE7ACD8" w14:textId="41EDBD98" w:rsidR="00636714" w:rsidRPr="00636714" w:rsidRDefault="00636714" w:rsidP="00636714">
      <w:pPr>
        <w:pStyle w:val="Ttulo1"/>
        <w:jc w:val="both"/>
        <w:rPr>
          <w:rFonts w:ascii="Times New Roman" w:hAnsi="Times New Roman" w:cs="Times New Roman"/>
          <w:sz w:val="23"/>
          <w:szCs w:val="23"/>
        </w:rPr>
      </w:pPr>
      <w:r w:rsidRPr="00636714">
        <w:rPr>
          <w:rFonts w:ascii="Times New Roman" w:hAnsi="Times New Roman" w:cs="Times New Roman"/>
          <w:sz w:val="23"/>
          <w:szCs w:val="23"/>
        </w:rPr>
        <w:t>Generación de conocimiento</w:t>
      </w:r>
      <w:r w:rsidR="004162FC">
        <w:rPr>
          <w:rFonts w:ascii="Times New Roman" w:hAnsi="Times New Roman" w:cs="Times New Roman"/>
          <w:sz w:val="23"/>
          <w:szCs w:val="23"/>
        </w:rPr>
        <w:t>:</w:t>
      </w:r>
    </w:p>
    <w:p w14:paraId="188D70D8"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De acuerdo con el informe de resultados de la Fase I de la Misión de Sabios por Caldas- 2020-2021, la inversión en Ciencia, Tecnología e Innovación en Caldas aún es baja. Actualmente Min ciencias reporta que en el Departamento en los últimos cinco años se ha tenido una disminución en la inversión. Además, se evidencia que, del total de inversión nacional, Caldas tiene un 0.5%.</w:t>
      </w:r>
    </w:p>
    <w:p w14:paraId="052ECCBD" w14:textId="77777777" w:rsidR="00636714" w:rsidRPr="00636714" w:rsidRDefault="00636714" w:rsidP="00636714">
      <w:pPr>
        <w:jc w:val="both"/>
        <w:rPr>
          <w:rFonts w:ascii="Times New Roman" w:hAnsi="Times New Roman" w:cs="Times New Roman"/>
          <w:sz w:val="23"/>
          <w:szCs w:val="23"/>
        </w:rPr>
      </w:pPr>
    </w:p>
    <w:p w14:paraId="6F711FF6"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Medidos a través de la inversión en A.C.T.I, los esfuerzos de innovación del Departamento de Caldas son débiles y decrecientes. En 2019, Caldas invirtió 82 mil millones de pesos en A.C.T.I señalando una tendencia decreciente desde un máximo de 105 mil millones de pesos en 2016 (precios constantes). Como proporción del PIB, esto representa una caída desde 0,823% en 2016 hasta 0,596% en el 2019. La inversión en I+D también cayó desde 0,50% en el 2012 hasta 0,23% en el 2019. En ambos casos, los esfuerzos del Departamento se encuentran por debajo del promedio nacional, que en 2019 fue 0,73% para ACTI y 0,28% para I+D (</w:t>
      </w:r>
      <w:proofErr w:type="spellStart"/>
      <w:r w:rsidRPr="00636714">
        <w:rPr>
          <w:rFonts w:ascii="Times New Roman" w:hAnsi="Times New Roman" w:cs="Times New Roman"/>
          <w:sz w:val="23"/>
          <w:szCs w:val="23"/>
        </w:rPr>
        <w:t>OCyT</w:t>
      </w:r>
      <w:proofErr w:type="spellEnd"/>
      <w:r w:rsidRPr="00636714">
        <w:rPr>
          <w:rFonts w:ascii="Times New Roman" w:hAnsi="Times New Roman" w:cs="Times New Roman"/>
          <w:sz w:val="23"/>
          <w:szCs w:val="23"/>
        </w:rPr>
        <w:t>, 2019). No obstante, Caldas fortalece su capital estructural con la provisión de infraestructura de alta calidad y servicios especializados, además de un ambiente que fomenta la innovación. De acuerdo con el IDIC (2019).</w:t>
      </w:r>
    </w:p>
    <w:p w14:paraId="61E40E23" w14:textId="77777777" w:rsidR="00636714" w:rsidRPr="00636714" w:rsidRDefault="00636714" w:rsidP="00636714">
      <w:pPr>
        <w:jc w:val="both"/>
        <w:rPr>
          <w:rFonts w:ascii="Times New Roman" w:hAnsi="Times New Roman" w:cs="Times New Roman"/>
          <w:sz w:val="23"/>
          <w:szCs w:val="23"/>
        </w:rPr>
      </w:pPr>
    </w:p>
    <w:p w14:paraId="04FF329B" w14:textId="57DB3041" w:rsidR="00636714" w:rsidRPr="00636714" w:rsidRDefault="00636714" w:rsidP="00636714">
      <w:pPr>
        <w:pStyle w:val="Ttulo2"/>
        <w:rPr>
          <w:rFonts w:ascii="Times New Roman" w:hAnsi="Times New Roman" w:cs="Times New Roman"/>
          <w:sz w:val="23"/>
          <w:szCs w:val="23"/>
        </w:rPr>
      </w:pPr>
      <w:r w:rsidRPr="00636714">
        <w:rPr>
          <w:rFonts w:ascii="Times New Roman" w:hAnsi="Times New Roman" w:cs="Times New Roman"/>
          <w:sz w:val="23"/>
          <w:szCs w:val="23"/>
        </w:rPr>
        <w:t>Grupos de investigación</w:t>
      </w:r>
      <w:r w:rsidR="004162FC">
        <w:rPr>
          <w:rFonts w:ascii="Times New Roman" w:hAnsi="Times New Roman" w:cs="Times New Roman"/>
          <w:sz w:val="23"/>
          <w:szCs w:val="23"/>
        </w:rPr>
        <w:t>:</w:t>
      </w:r>
    </w:p>
    <w:p w14:paraId="6C5B4676"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Respecto a los grupos de investigación, actualmente Colombia registra 5772 grupos clasificados en el Sistema de Ciencias Tecnología e Innovación. De ellos el 12% (717 grupos) son categoría A1, mientras que el 18% (1023 grupos) son categoría A; el 22% (1285 grupos) están en B; el 40% de los grupos (2328) se encuentran en categoría C, y el 7% de ellos (419) son reconocidos. En esta clasificación el Departamento de Caldas cuenta con 168 grupos de investigación que representan el 2.9% de los grupos de investigación registrados en el país (</w:t>
      </w:r>
      <w:proofErr w:type="spellStart"/>
      <w:r w:rsidRPr="00636714">
        <w:rPr>
          <w:rFonts w:ascii="Times New Roman" w:hAnsi="Times New Roman" w:cs="Times New Roman"/>
          <w:sz w:val="23"/>
          <w:szCs w:val="23"/>
        </w:rPr>
        <w:t>Minciencias</w:t>
      </w:r>
      <w:proofErr w:type="spellEnd"/>
      <w:r w:rsidRPr="00636714">
        <w:rPr>
          <w:rFonts w:ascii="Times New Roman" w:hAnsi="Times New Roman" w:cs="Times New Roman"/>
          <w:sz w:val="23"/>
          <w:szCs w:val="23"/>
        </w:rPr>
        <w:t>, 2020).</w:t>
      </w:r>
    </w:p>
    <w:p w14:paraId="04AAFF54" w14:textId="77777777" w:rsidR="00636714" w:rsidRPr="00636714" w:rsidRDefault="00636714" w:rsidP="00636714">
      <w:pPr>
        <w:jc w:val="both"/>
        <w:rPr>
          <w:rFonts w:ascii="Times New Roman" w:hAnsi="Times New Roman" w:cs="Times New Roman"/>
          <w:sz w:val="23"/>
          <w:szCs w:val="23"/>
        </w:rPr>
      </w:pPr>
    </w:p>
    <w:p w14:paraId="2F11E0B4"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740AE422" wp14:editId="60DED121">
            <wp:extent cx="3173574" cy="1565050"/>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77375" cy="1566924"/>
                    </a:xfrm>
                    <a:prstGeom prst="rect">
                      <a:avLst/>
                    </a:prstGeom>
                  </pic:spPr>
                </pic:pic>
              </a:graphicData>
            </a:graphic>
          </wp:inline>
        </w:drawing>
      </w:r>
    </w:p>
    <w:p w14:paraId="5BE63327" w14:textId="77777777" w:rsidR="00636714" w:rsidRPr="00636714" w:rsidRDefault="00636714" w:rsidP="004162FC">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Alianza SUMA</w:t>
      </w:r>
    </w:p>
    <w:p w14:paraId="2945503D" w14:textId="77777777" w:rsidR="00636714" w:rsidRPr="00636714" w:rsidRDefault="00636714" w:rsidP="00636714">
      <w:pPr>
        <w:jc w:val="both"/>
        <w:rPr>
          <w:rFonts w:ascii="Times New Roman" w:hAnsi="Times New Roman" w:cs="Times New Roman"/>
          <w:sz w:val="23"/>
          <w:szCs w:val="23"/>
        </w:rPr>
      </w:pPr>
    </w:p>
    <w:p w14:paraId="6323EB4E"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De acuerdo con datos de la Alianza SUMA, la distribución departamental de los grupos de investigación por IES es la siguiente:</w:t>
      </w:r>
    </w:p>
    <w:p w14:paraId="7407038C" w14:textId="77777777" w:rsidR="00636714" w:rsidRPr="00636714" w:rsidRDefault="00636714" w:rsidP="00636714">
      <w:pPr>
        <w:jc w:val="both"/>
        <w:rPr>
          <w:rFonts w:ascii="Times New Roman" w:hAnsi="Times New Roman" w:cs="Times New Roman"/>
          <w:sz w:val="23"/>
          <w:szCs w:val="23"/>
        </w:rPr>
      </w:pPr>
    </w:p>
    <w:p w14:paraId="03CC73E0" w14:textId="0ED70834" w:rsidR="00636714" w:rsidRPr="00636714" w:rsidRDefault="00636714" w:rsidP="004162FC">
      <w:pPr>
        <w:jc w:val="center"/>
        <w:rPr>
          <w:rFonts w:ascii="Times New Roman" w:hAnsi="Times New Roman" w:cs="Times New Roman"/>
          <w:b/>
          <w:iCs/>
          <w:sz w:val="23"/>
          <w:szCs w:val="23"/>
        </w:rPr>
      </w:pPr>
      <w:r w:rsidRPr="00636714">
        <w:rPr>
          <w:rFonts w:ascii="Times New Roman" w:hAnsi="Times New Roman" w:cs="Times New Roman"/>
          <w:b/>
          <w:iCs/>
          <w:sz w:val="23"/>
          <w:szCs w:val="23"/>
        </w:rPr>
        <w:t>Tabla 14 Distribución departamental de los grupos de investigación</w:t>
      </w:r>
    </w:p>
    <w:p w14:paraId="5585F898"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5F09C4AA" wp14:editId="14CA9A42">
            <wp:extent cx="3821502" cy="2083709"/>
            <wp:effectExtent l="0" t="0" r="7620" b="0"/>
            <wp:docPr id="15" name="Imagen 1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pic:cNvPicPr/>
                  </pic:nvPicPr>
                  <pic:blipFill>
                    <a:blip r:embed="rId21"/>
                    <a:stretch>
                      <a:fillRect/>
                    </a:stretch>
                  </pic:blipFill>
                  <pic:spPr>
                    <a:xfrm>
                      <a:off x="0" y="0"/>
                      <a:ext cx="3838584" cy="2093023"/>
                    </a:xfrm>
                    <a:prstGeom prst="rect">
                      <a:avLst/>
                    </a:prstGeom>
                  </pic:spPr>
                </pic:pic>
              </a:graphicData>
            </a:graphic>
          </wp:inline>
        </w:drawing>
      </w:r>
    </w:p>
    <w:p w14:paraId="0F9EBD1B" w14:textId="77777777" w:rsidR="00636714" w:rsidRPr="00636714" w:rsidRDefault="00636714" w:rsidP="004162FC">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Alianza SUMA</w:t>
      </w:r>
    </w:p>
    <w:p w14:paraId="57C97F23" w14:textId="77777777" w:rsidR="00636714" w:rsidRPr="00636714" w:rsidRDefault="00636714" w:rsidP="00636714">
      <w:pPr>
        <w:jc w:val="both"/>
        <w:rPr>
          <w:rFonts w:ascii="Times New Roman" w:hAnsi="Times New Roman" w:cs="Times New Roman"/>
          <w:sz w:val="23"/>
          <w:szCs w:val="23"/>
        </w:rPr>
      </w:pPr>
    </w:p>
    <w:p w14:paraId="681F42BF"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lastRenderedPageBreak/>
        <w:t xml:space="preserve">En Caldas, de los 630 investigadores reconocidos por </w:t>
      </w:r>
      <w:proofErr w:type="spellStart"/>
      <w:r w:rsidRPr="00636714">
        <w:rPr>
          <w:rFonts w:ascii="Times New Roman" w:hAnsi="Times New Roman" w:cs="Times New Roman"/>
          <w:sz w:val="23"/>
          <w:szCs w:val="23"/>
        </w:rPr>
        <w:t>Minciencias</w:t>
      </w:r>
      <w:proofErr w:type="spellEnd"/>
      <w:r w:rsidRPr="00636714">
        <w:rPr>
          <w:rFonts w:ascii="Times New Roman" w:hAnsi="Times New Roman" w:cs="Times New Roman"/>
          <w:sz w:val="23"/>
          <w:szCs w:val="23"/>
        </w:rPr>
        <w:t>, 339 tienen doctorado, 205 maestría, 5 especialización médica, 9 especialización, y 12 pregrado. Pero, un análisis más detallado de esta información muestra que de acuerdo al 2% de la proporción poblacional que representa Caldas en Colombia, la formación del personal calificado para la investigación en el Departamento está por encima de lo esperado.</w:t>
      </w:r>
    </w:p>
    <w:p w14:paraId="12507BD8" w14:textId="77777777" w:rsidR="00636714" w:rsidRPr="00636714" w:rsidRDefault="00636714" w:rsidP="00636714">
      <w:pPr>
        <w:jc w:val="both"/>
        <w:rPr>
          <w:rFonts w:ascii="Times New Roman" w:hAnsi="Times New Roman" w:cs="Times New Roman"/>
          <w:sz w:val="23"/>
          <w:szCs w:val="23"/>
        </w:rPr>
      </w:pPr>
    </w:p>
    <w:p w14:paraId="34ABDADF"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En el nivel de pregrado se espera que tuviéramos 7 investigadores reconocidos por </w:t>
      </w:r>
      <w:proofErr w:type="spellStart"/>
      <w:r w:rsidRPr="00636714">
        <w:rPr>
          <w:rFonts w:ascii="Times New Roman" w:hAnsi="Times New Roman" w:cs="Times New Roman"/>
          <w:sz w:val="23"/>
          <w:szCs w:val="23"/>
        </w:rPr>
        <w:t>Minciencias</w:t>
      </w:r>
      <w:proofErr w:type="spellEnd"/>
      <w:r w:rsidRPr="00636714">
        <w:rPr>
          <w:rFonts w:ascii="Times New Roman" w:hAnsi="Times New Roman" w:cs="Times New Roman"/>
          <w:sz w:val="23"/>
          <w:szCs w:val="23"/>
        </w:rPr>
        <w:t>, y tenemos 12, lo que representa un 41% más; a nivel de especialización la meta esperada es 8 investigadores, pero, contamos con 9, es decir, un 11% más. En cuanto a la especialización médica se observa que debíamos tener al menos 7 investigadores, pero tenemos sólo 5, un 40% menos; en la formación de investigadores con nivel de maestría la meta esperada es 123, pero llegamos a 205, un 40% más, y finalmente, en formación doctoral se requería tener 187 investigadores, sin embargo, contamos con 399, un 53.1% más.</w:t>
      </w:r>
    </w:p>
    <w:p w14:paraId="3FF868D7" w14:textId="77777777" w:rsidR="00636714" w:rsidRPr="00636714" w:rsidRDefault="00636714" w:rsidP="00636714">
      <w:pPr>
        <w:jc w:val="both"/>
        <w:rPr>
          <w:rFonts w:ascii="Times New Roman" w:hAnsi="Times New Roman" w:cs="Times New Roman"/>
          <w:sz w:val="23"/>
          <w:szCs w:val="23"/>
        </w:rPr>
      </w:pPr>
    </w:p>
    <w:p w14:paraId="37DAD30D" w14:textId="77777777" w:rsidR="00636714" w:rsidRPr="00636714" w:rsidRDefault="00636714" w:rsidP="004162FC">
      <w:pPr>
        <w:jc w:val="center"/>
        <w:rPr>
          <w:rFonts w:ascii="Times New Roman" w:hAnsi="Times New Roman" w:cs="Times New Roman"/>
          <w:b/>
          <w:iCs/>
          <w:sz w:val="23"/>
          <w:szCs w:val="23"/>
        </w:rPr>
      </w:pPr>
      <w:r w:rsidRPr="00636714">
        <w:rPr>
          <w:rFonts w:ascii="Times New Roman" w:hAnsi="Times New Roman" w:cs="Times New Roman"/>
          <w:b/>
          <w:iCs/>
          <w:sz w:val="23"/>
          <w:szCs w:val="23"/>
        </w:rPr>
        <w:t>Tabla 15 Distribución de investigadores clasificados según formación Caldas-2019</w:t>
      </w:r>
    </w:p>
    <w:p w14:paraId="60DF767B"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3B8C8A0D" wp14:editId="1998F7C8">
            <wp:extent cx="3730970" cy="1689626"/>
            <wp:effectExtent l="0" t="0" r="3175" b="6350"/>
            <wp:docPr id="16" name="Imagen 1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Tabla&#10;&#10;Descripción generada automáticamente"/>
                    <pic:cNvPicPr/>
                  </pic:nvPicPr>
                  <pic:blipFill>
                    <a:blip r:embed="rId22"/>
                    <a:stretch>
                      <a:fillRect/>
                    </a:stretch>
                  </pic:blipFill>
                  <pic:spPr>
                    <a:xfrm>
                      <a:off x="0" y="0"/>
                      <a:ext cx="3754658" cy="1700353"/>
                    </a:xfrm>
                    <a:prstGeom prst="rect">
                      <a:avLst/>
                    </a:prstGeom>
                  </pic:spPr>
                </pic:pic>
              </a:graphicData>
            </a:graphic>
          </wp:inline>
        </w:drawing>
      </w:r>
    </w:p>
    <w:p w14:paraId="77D147F0" w14:textId="77777777" w:rsidR="00636714" w:rsidRPr="00636714" w:rsidRDefault="00636714" w:rsidP="004162FC">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Alianza SUMA</w:t>
      </w:r>
    </w:p>
    <w:p w14:paraId="32C1BAAC" w14:textId="77777777" w:rsidR="00636714" w:rsidRPr="00636714" w:rsidRDefault="00636714" w:rsidP="00636714">
      <w:pPr>
        <w:jc w:val="both"/>
        <w:rPr>
          <w:rFonts w:ascii="Times New Roman" w:hAnsi="Times New Roman" w:cs="Times New Roman"/>
          <w:sz w:val="23"/>
          <w:szCs w:val="23"/>
        </w:rPr>
      </w:pPr>
    </w:p>
    <w:p w14:paraId="4D233552"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En cuanto al sexo de los investigadores, los análisis de los datos de </w:t>
      </w:r>
      <w:proofErr w:type="spellStart"/>
      <w:r w:rsidRPr="00636714">
        <w:rPr>
          <w:rFonts w:ascii="Times New Roman" w:hAnsi="Times New Roman" w:cs="Times New Roman"/>
          <w:sz w:val="23"/>
          <w:szCs w:val="23"/>
        </w:rPr>
        <w:t>Minciencias</w:t>
      </w:r>
      <w:proofErr w:type="spellEnd"/>
      <w:r w:rsidRPr="00636714">
        <w:rPr>
          <w:rFonts w:ascii="Times New Roman" w:hAnsi="Times New Roman" w:cs="Times New Roman"/>
          <w:sz w:val="23"/>
          <w:szCs w:val="23"/>
        </w:rPr>
        <w:t xml:space="preserve"> muestran que en Departamento se mantiene la tendencia de menor participación de las mujeres como investigadoras.</w:t>
      </w:r>
    </w:p>
    <w:p w14:paraId="5AC166A6" w14:textId="77777777" w:rsidR="00636714" w:rsidRPr="00636714" w:rsidRDefault="00636714" w:rsidP="00636714">
      <w:pPr>
        <w:jc w:val="both"/>
        <w:rPr>
          <w:rFonts w:ascii="Times New Roman" w:hAnsi="Times New Roman" w:cs="Times New Roman"/>
          <w:sz w:val="23"/>
          <w:szCs w:val="23"/>
        </w:rPr>
      </w:pPr>
    </w:p>
    <w:p w14:paraId="488BE2AB" w14:textId="6A627D84" w:rsidR="00636714" w:rsidRPr="00636714" w:rsidRDefault="00636714" w:rsidP="00636714">
      <w:pPr>
        <w:pStyle w:val="Ttulo2"/>
        <w:rPr>
          <w:rFonts w:ascii="Times New Roman" w:hAnsi="Times New Roman" w:cs="Times New Roman"/>
          <w:sz w:val="23"/>
          <w:szCs w:val="23"/>
        </w:rPr>
      </w:pPr>
      <w:r w:rsidRPr="00636714">
        <w:rPr>
          <w:rFonts w:ascii="Times New Roman" w:hAnsi="Times New Roman" w:cs="Times New Roman"/>
          <w:sz w:val="23"/>
          <w:szCs w:val="23"/>
        </w:rPr>
        <w:t>Patentes</w:t>
      </w:r>
      <w:r w:rsidR="004162FC">
        <w:rPr>
          <w:rFonts w:ascii="Times New Roman" w:hAnsi="Times New Roman" w:cs="Times New Roman"/>
          <w:sz w:val="23"/>
          <w:szCs w:val="23"/>
        </w:rPr>
        <w:t>:</w:t>
      </w:r>
    </w:p>
    <w:p w14:paraId="08517039"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En el año 2020, el Departamento cuenta con 30 patentes concedidas, 20 en concesión y 1 con diseño industrial. Como se muestra en la tabla, todas las patentes están asociadas a la investigación realizada en IES</w:t>
      </w:r>
    </w:p>
    <w:p w14:paraId="374AF41A" w14:textId="77777777" w:rsidR="00636714" w:rsidRPr="00636714" w:rsidRDefault="00636714" w:rsidP="00636714">
      <w:pPr>
        <w:jc w:val="both"/>
        <w:rPr>
          <w:rFonts w:ascii="Times New Roman" w:hAnsi="Times New Roman" w:cs="Times New Roman"/>
          <w:sz w:val="23"/>
          <w:szCs w:val="23"/>
        </w:rPr>
      </w:pPr>
    </w:p>
    <w:p w14:paraId="51836887" w14:textId="77777777" w:rsidR="00636714" w:rsidRPr="00636714" w:rsidRDefault="00636714" w:rsidP="004162FC">
      <w:pPr>
        <w:jc w:val="center"/>
        <w:rPr>
          <w:rFonts w:ascii="Times New Roman" w:hAnsi="Times New Roman" w:cs="Times New Roman"/>
          <w:b/>
          <w:iCs/>
          <w:sz w:val="23"/>
          <w:szCs w:val="23"/>
        </w:rPr>
      </w:pPr>
      <w:r w:rsidRPr="00636714">
        <w:rPr>
          <w:rFonts w:ascii="Times New Roman" w:hAnsi="Times New Roman" w:cs="Times New Roman"/>
          <w:b/>
          <w:iCs/>
          <w:sz w:val="23"/>
          <w:szCs w:val="23"/>
        </w:rPr>
        <w:t>TABLA 16. NÚMERO DE PATENTES POR IES</w:t>
      </w:r>
    </w:p>
    <w:p w14:paraId="394DF024" w14:textId="77777777" w:rsidR="00636714" w:rsidRPr="00636714" w:rsidRDefault="00636714" w:rsidP="004162FC">
      <w:pPr>
        <w:jc w:val="center"/>
        <w:rPr>
          <w:rFonts w:ascii="Times New Roman" w:hAnsi="Times New Roman" w:cs="Times New Roman"/>
          <w:sz w:val="23"/>
          <w:szCs w:val="23"/>
        </w:rPr>
      </w:pPr>
      <w:r w:rsidRPr="00636714">
        <w:rPr>
          <w:rFonts w:ascii="Times New Roman" w:hAnsi="Times New Roman" w:cs="Times New Roman"/>
          <w:noProof/>
          <w:sz w:val="23"/>
          <w:szCs w:val="23"/>
          <w:lang w:eastAsia="es-CO"/>
        </w:rPr>
        <w:drawing>
          <wp:inline distT="0" distB="0" distL="0" distR="0" wp14:anchorId="1C666C14" wp14:editId="204D0C7D">
            <wp:extent cx="4373351" cy="2066925"/>
            <wp:effectExtent l="0" t="0" r="8255" b="0"/>
            <wp:docPr id="17" name="Imagen 17" descr="Tabla,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Tabla, Calendario&#10;&#10;Descripción generada automáticamente"/>
                    <pic:cNvPicPr/>
                  </pic:nvPicPr>
                  <pic:blipFill>
                    <a:blip r:embed="rId23"/>
                    <a:stretch>
                      <a:fillRect/>
                    </a:stretch>
                  </pic:blipFill>
                  <pic:spPr>
                    <a:xfrm>
                      <a:off x="0" y="0"/>
                      <a:ext cx="4385018" cy="2072439"/>
                    </a:xfrm>
                    <a:prstGeom prst="rect">
                      <a:avLst/>
                    </a:prstGeom>
                  </pic:spPr>
                </pic:pic>
              </a:graphicData>
            </a:graphic>
          </wp:inline>
        </w:drawing>
      </w:r>
    </w:p>
    <w:p w14:paraId="7E025A88" w14:textId="77777777" w:rsidR="00636714" w:rsidRPr="00636714" w:rsidRDefault="00636714" w:rsidP="004162FC">
      <w:pPr>
        <w:jc w:val="center"/>
        <w:rPr>
          <w:rStyle w:val="Referenciasutil"/>
          <w:rFonts w:ascii="Times New Roman" w:hAnsi="Times New Roman" w:cs="Times New Roman"/>
          <w:sz w:val="23"/>
          <w:szCs w:val="23"/>
        </w:rPr>
      </w:pPr>
      <w:r w:rsidRPr="00636714">
        <w:rPr>
          <w:rStyle w:val="Referenciasutil"/>
          <w:rFonts w:ascii="Times New Roman" w:hAnsi="Times New Roman" w:cs="Times New Roman"/>
          <w:sz w:val="23"/>
          <w:szCs w:val="23"/>
        </w:rPr>
        <w:t>Fuente: Alianza SUMA</w:t>
      </w:r>
    </w:p>
    <w:p w14:paraId="3B582238" w14:textId="77777777" w:rsidR="00636714" w:rsidRPr="00636714" w:rsidRDefault="00636714" w:rsidP="00636714">
      <w:pPr>
        <w:jc w:val="both"/>
        <w:rPr>
          <w:rFonts w:ascii="Times New Roman" w:hAnsi="Times New Roman" w:cs="Times New Roman"/>
          <w:sz w:val="23"/>
          <w:szCs w:val="23"/>
        </w:rPr>
      </w:pPr>
    </w:p>
    <w:p w14:paraId="3F25A047" w14:textId="5F762DDB" w:rsidR="00636714" w:rsidRPr="00636714" w:rsidRDefault="00636714" w:rsidP="00636714">
      <w:pPr>
        <w:pStyle w:val="Ttulo1"/>
        <w:jc w:val="both"/>
        <w:rPr>
          <w:rFonts w:ascii="Times New Roman" w:hAnsi="Times New Roman" w:cs="Times New Roman"/>
          <w:sz w:val="23"/>
          <w:szCs w:val="23"/>
        </w:rPr>
      </w:pPr>
      <w:r w:rsidRPr="00636714">
        <w:rPr>
          <w:rFonts w:ascii="Times New Roman" w:hAnsi="Times New Roman" w:cs="Times New Roman"/>
          <w:sz w:val="23"/>
          <w:szCs w:val="23"/>
        </w:rPr>
        <w:lastRenderedPageBreak/>
        <w:t>Las estrategias de Manizales campus universitario y alianza suma</w:t>
      </w:r>
      <w:r w:rsidR="004162FC">
        <w:rPr>
          <w:rFonts w:ascii="Times New Roman" w:hAnsi="Times New Roman" w:cs="Times New Roman"/>
          <w:sz w:val="23"/>
          <w:szCs w:val="23"/>
        </w:rPr>
        <w:t>:</w:t>
      </w:r>
    </w:p>
    <w:p w14:paraId="277968F8"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Campus Manizales se constituye como un proyecto que suma diferentes iniciativas de transformación urbana y de movilidad de la ciudad mediante las cuales se desea “cambiarle la cara la ciudad” para generar “dinámicas de participación ciudadana y democrática” en el espacio público, como estrategia para materializar el proyecto de construir en Manizales una ciudad universitaria. A partir de este objetivo, se reconocieron las siguientes necesidades: (i) mejorar la conectividad de la población universitaria con los centros de estudio, (</w:t>
      </w:r>
      <w:proofErr w:type="spellStart"/>
      <w:r w:rsidRPr="00636714">
        <w:rPr>
          <w:rFonts w:ascii="Times New Roman" w:hAnsi="Times New Roman" w:cs="Times New Roman"/>
          <w:sz w:val="23"/>
          <w:szCs w:val="23"/>
        </w:rPr>
        <w:t>ii</w:t>
      </w:r>
      <w:proofErr w:type="spellEnd"/>
      <w:r w:rsidRPr="00636714">
        <w:rPr>
          <w:rFonts w:ascii="Times New Roman" w:hAnsi="Times New Roman" w:cs="Times New Roman"/>
          <w:sz w:val="23"/>
          <w:szCs w:val="23"/>
        </w:rPr>
        <w:t>) transformar la movilidad de la ciudad según cánones de sostenibilidad medioambiental, y (</w:t>
      </w:r>
      <w:proofErr w:type="spellStart"/>
      <w:r w:rsidRPr="00636714">
        <w:rPr>
          <w:rFonts w:ascii="Times New Roman" w:hAnsi="Times New Roman" w:cs="Times New Roman"/>
          <w:sz w:val="23"/>
          <w:szCs w:val="23"/>
        </w:rPr>
        <w:t>iii</w:t>
      </w:r>
      <w:proofErr w:type="spellEnd"/>
      <w:r w:rsidRPr="00636714">
        <w:rPr>
          <w:rFonts w:ascii="Times New Roman" w:hAnsi="Times New Roman" w:cs="Times New Roman"/>
          <w:sz w:val="23"/>
          <w:szCs w:val="23"/>
        </w:rPr>
        <w:t>) transformar el espacio público para mejorar su apropiación por parte de la ciudadanía.</w:t>
      </w:r>
    </w:p>
    <w:p w14:paraId="77BCC26A" w14:textId="77777777" w:rsidR="00636714" w:rsidRPr="00636714" w:rsidRDefault="00636714" w:rsidP="00636714">
      <w:pPr>
        <w:jc w:val="both"/>
        <w:rPr>
          <w:rFonts w:ascii="Times New Roman" w:hAnsi="Times New Roman" w:cs="Times New Roman"/>
          <w:sz w:val="23"/>
          <w:szCs w:val="23"/>
        </w:rPr>
      </w:pPr>
    </w:p>
    <w:p w14:paraId="1F7B51EC"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Vale la pena resaltar que, en el Pacto por la Reactivación y el Crecimiento, la Alcaldía de Manizales propone otros productos adicionales del proyecto Campus Manizales, como, por ejemplo, (i) la intervención integral del sector fundadores, (</w:t>
      </w:r>
      <w:proofErr w:type="spellStart"/>
      <w:r w:rsidRPr="00636714">
        <w:rPr>
          <w:rFonts w:ascii="Times New Roman" w:hAnsi="Times New Roman" w:cs="Times New Roman"/>
          <w:sz w:val="23"/>
          <w:szCs w:val="23"/>
        </w:rPr>
        <w:t>ii</w:t>
      </w:r>
      <w:proofErr w:type="spellEnd"/>
      <w:r w:rsidRPr="00636714">
        <w:rPr>
          <w:rFonts w:ascii="Times New Roman" w:hAnsi="Times New Roman" w:cs="Times New Roman"/>
          <w:sz w:val="23"/>
          <w:szCs w:val="23"/>
        </w:rPr>
        <w:t>) otros modos alternativos de transporte, o (</w:t>
      </w:r>
      <w:proofErr w:type="spellStart"/>
      <w:r w:rsidRPr="00636714">
        <w:rPr>
          <w:rFonts w:ascii="Times New Roman" w:hAnsi="Times New Roman" w:cs="Times New Roman"/>
          <w:sz w:val="23"/>
          <w:szCs w:val="23"/>
        </w:rPr>
        <w:t>iii</w:t>
      </w:r>
      <w:proofErr w:type="spellEnd"/>
      <w:r w:rsidRPr="00636714">
        <w:rPr>
          <w:rFonts w:ascii="Times New Roman" w:hAnsi="Times New Roman" w:cs="Times New Roman"/>
          <w:sz w:val="23"/>
          <w:szCs w:val="23"/>
        </w:rPr>
        <w:t>) el fortalecimiento de la red de ecoparques.</w:t>
      </w:r>
    </w:p>
    <w:p w14:paraId="5902967C" w14:textId="77777777" w:rsidR="00636714" w:rsidRPr="00636714" w:rsidRDefault="00636714" w:rsidP="00636714">
      <w:pPr>
        <w:jc w:val="both"/>
        <w:rPr>
          <w:rFonts w:ascii="Times New Roman" w:hAnsi="Times New Roman" w:cs="Times New Roman"/>
          <w:sz w:val="23"/>
          <w:szCs w:val="23"/>
        </w:rPr>
      </w:pPr>
    </w:p>
    <w:p w14:paraId="53540563" w14:textId="77777777" w:rsidR="00636714" w:rsidRPr="00636714" w:rsidRDefault="00636714" w:rsidP="00636714">
      <w:pPr>
        <w:jc w:val="both"/>
        <w:rPr>
          <w:rFonts w:ascii="Times New Roman" w:hAnsi="Times New Roman" w:cs="Times New Roman"/>
          <w:sz w:val="23"/>
          <w:szCs w:val="23"/>
        </w:rPr>
      </w:pPr>
      <w:proofErr w:type="spellStart"/>
      <w:r w:rsidRPr="00636714">
        <w:rPr>
          <w:rFonts w:ascii="Times New Roman" w:hAnsi="Times New Roman" w:cs="Times New Roman"/>
          <w:sz w:val="23"/>
          <w:szCs w:val="23"/>
        </w:rPr>
        <w:t>Eafit</w:t>
      </w:r>
      <w:proofErr w:type="spellEnd"/>
      <w:r w:rsidRPr="00636714">
        <w:rPr>
          <w:rFonts w:ascii="Times New Roman" w:hAnsi="Times New Roman" w:cs="Times New Roman"/>
          <w:sz w:val="23"/>
          <w:szCs w:val="23"/>
        </w:rPr>
        <w:t xml:space="preserve"> (2022) encontró que los residentes de las áreas intervenidas por el proyecto Campus Manizales tienen un nivel de educación mayor y una mayor probabilidad de estar empleados que los residentes del resto de la ciudad, lo cual se traduce en mayores ingresos promedio (medidos por el estrato socioeconómico de la vivienda). Adicionalmente, es más probable que vivan en apartamentos, que cuenten con acceso a internet y que vivan en hogares de una o dos personas. Por último, en estas áreas hay una mayor proporción de personas con más de 60 años, personas de minorías étnicas y personas nacidas fuera de Manizales, así como una menor proporción de niños.</w:t>
      </w:r>
    </w:p>
    <w:p w14:paraId="595F87D9" w14:textId="77777777" w:rsidR="00636714" w:rsidRPr="00636714" w:rsidRDefault="00636714" w:rsidP="00636714">
      <w:pPr>
        <w:jc w:val="both"/>
        <w:rPr>
          <w:rFonts w:ascii="Times New Roman" w:hAnsi="Times New Roman" w:cs="Times New Roman"/>
          <w:sz w:val="23"/>
          <w:szCs w:val="23"/>
        </w:rPr>
      </w:pPr>
    </w:p>
    <w:p w14:paraId="40EB645A"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En cuanto a la dinámica empresarial, los resultados muestran que, dentro de Campus Manizales, las zonas que más presentan establecimientos comerciales son aquellas áreas de influencia de las intervenciones de la Av. Santander y del Bulevar de la Calle 19. Esto no debería sorprender dado que estas dos áreas son relativamente extensas (lo que lleva a altos niveles) y céntricas (lo que lleva a alta densidad). Sin embargo, resalta la zona de influencia de las Calles 45 y 48, las cuales concentran un 6.4% de los establecimientos comerciales en un 1.1% del área de la ciudad.</w:t>
      </w:r>
    </w:p>
    <w:p w14:paraId="2175A657" w14:textId="77777777" w:rsidR="00636714" w:rsidRPr="00636714" w:rsidRDefault="00636714" w:rsidP="00636714">
      <w:pPr>
        <w:jc w:val="both"/>
        <w:rPr>
          <w:rFonts w:ascii="Times New Roman" w:hAnsi="Times New Roman" w:cs="Times New Roman"/>
          <w:sz w:val="23"/>
          <w:szCs w:val="23"/>
        </w:rPr>
      </w:pPr>
    </w:p>
    <w:p w14:paraId="397B22AF"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En las zonas de influencia de la Av. Santander y de la Calle 19, las finanzas y actividades de seguros son los sectores más importantes, concentrando alrededor del 80% de los activos, seguidos por el comercio (con un 15% en la Calle 19, y un 6.1% en la Av. Santander), y de tercer lugar los servicios de transporte y almacenamiento en el Calle 19 (1.9%) y los servicios de salud alrededor de la Av. Santander (5.6%). Para las zonas de influencia de las calles 45 y 48, el principal sector es el manufacturero con un 75.3% de los activos, seguido por el comercio con un 13.4% y por alojamiento y servicios de comida con un 2.9%. Por último, para el área de influencia de La Gotera, el 71.5% de los activos están concentrados en las actividades profesionales, científicas y de apoyo, el 13.5% en comercio y el 11.7% en servicios de información y comunicaciones. Vale la pena recordar el pequeño número de establecimientos alrededor del Parque La Gotera. Estos resultados contrastan un poco con la estructura sectorial del resto de la ciudad en donde el sector de la construcción concentra el mayor valor de activos con un 36.4%, seguidos por las finanzas y seguros con un 18% y por la industria manufacturera con un 15.5%.</w:t>
      </w:r>
    </w:p>
    <w:p w14:paraId="43EE6D90" w14:textId="77777777" w:rsidR="00636714" w:rsidRPr="00636714" w:rsidRDefault="00636714" w:rsidP="00636714">
      <w:pPr>
        <w:jc w:val="both"/>
        <w:rPr>
          <w:rFonts w:ascii="Times New Roman" w:hAnsi="Times New Roman" w:cs="Times New Roman"/>
          <w:sz w:val="23"/>
          <w:szCs w:val="23"/>
        </w:rPr>
      </w:pPr>
    </w:p>
    <w:p w14:paraId="2CEE0CEC"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Por su parte, El Sistema Universitario de Manizales (SUMA) es una alianza entre las 6 principales universidades de la ciudad que trabajan permanentemente en la generación de esfuerzos conjuntos de cooperación hacia la ejecución de proyectos de investigación, formación y extensión.</w:t>
      </w:r>
    </w:p>
    <w:p w14:paraId="43728AE2" w14:textId="77777777" w:rsidR="00636714" w:rsidRPr="00636714" w:rsidRDefault="00636714" w:rsidP="00636714">
      <w:pPr>
        <w:jc w:val="both"/>
        <w:rPr>
          <w:rFonts w:ascii="Times New Roman" w:hAnsi="Times New Roman" w:cs="Times New Roman"/>
          <w:sz w:val="23"/>
          <w:szCs w:val="23"/>
        </w:rPr>
      </w:pPr>
    </w:p>
    <w:p w14:paraId="1C46CF14"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La alianza SUMA es altamente beneficiosa para la comunidad, pues la integración de recursos humanos, técnicos y físicos con que cuenta cada universidad, genera mayor calidad, cobertura y eficiencia para el cumplimiento de sus objetivos. El Sistema Universitario de Manizales está constituido por: Universidad </w:t>
      </w:r>
      <w:r w:rsidRPr="00636714">
        <w:rPr>
          <w:rFonts w:ascii="Times New Roman" w:hAnsi="Times New Roman" w:cs="Times New Roman"/>
          <w:sz w:val="23"/>
          <w:szCs w:val="23"/>
        </w:rPr>
        <w:lastRenderedPageBreak/>
        <w:t>Nacional de Colombia, sede Manizales; Universidad de Caldas; Universidad Católica Luis Amigó; Universidad Católica de Manizales; Universidad Autónoma de Manizales y Universidad de Manizales.</w:t>
      </w:r>
    </w:p>
    <w:p w14:paraId="6382F6F9" w14:textId="77777777" w:rsidR="00636714" w:rsidRPr="00636714" w:rsidRDefault="00636714" w:rsidP="00636714">
      <w:pPr>
        <w:jc w:val="both"/>
        <w:rPr>
          <w:rFonts w:ascii="Times New Roman" w:hAnsi="Times New Roman" w:cs="Times New Roman"/>
          <w:sz w:val="23"/>
          <w:szCs w:val="23"/>
        </w:rPr>
      </w:pPr>
    </w:p>
    <w:p w14:paraId="32499DF4"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Otras iniciativas importantes de destacar en la ciudad es el Programa Universidad en Tu Colegio, a cargo de la Fundación </w:t>
      </w:r>
      <w:proofErr w:type="spellStart"/>
      <w:r w:rsidRPr="00636714">
        <w:rPr>
          <w:rFonts w:ascii="Times New Roman" w:hAnsi="Times New Roman" w:cs="Times New Roman"/>
          <w:sz w:val="23"/>
          <w:szCs w:val="23"/>
        </w:rPr>
        <w:t>Luker</w:t>
      </w:r>
      <w:proofErr w:type="spellEnd"/>
      <w:r w:rsidRPr="00636714">
        <w:rPr>
          <w:rFonts w:ascii="Times New Roman" w:hAnsi="Times New Roman" w:cs="Times New Roman"/>
          <w:sz w:val="23"/>
          <w:szCs w:val="23"/>
        </w:rPr>
        <w:t xml:space="preserve">, el cual facilita el acceso a programas de formación técnica y tecnológica a jóvenes de colegios oficiales con Universidades e Instituciones para el trabajo y el desarrollo humano de la región. Los programas son pertinentes a las necesidades del sector empresarial y se desarrollan mientras los estudiantes cursan grado 10° y 11° en </w:t>
      </w:r>
      <w:proofErr w:type="spellStart"/>
      <w:r w:rsidRPr="00636714">
        <w:rPr>
          <w:rFonts w:ascii="Times New Roman" w:hAnsi="Times New Roman" w:cs="Times New Roman"/>
          <w:sz w:val="23"/>
          <w:szCs w:val="23"/>
        </w:rPr>
        <w:t>contrajornada</w:t>
      </w:r>
      <w:proofErr w:type="spellEnd"/>
      <w:r w:rsidRPr="00636714">
        <w:rPr>
          <w:rFonts w:ascii="Times New Roman" w:hAnsi="Times New Roman" w:cs="Times New Roman"/>
          <w:sz w:val="23"/>
          <w:szCs w:val="23"/>
        </w:rPr>
        <w:t xml:space="preserve"> en los colegios, pues los profesores universitarios se desplazan a éstos.</w:t>
      </w:r>
    </w:p>
    <w:p w14:paraId="4D3D57E8" w14:textId="77777777" w:rsidR="00636714" w:rsidRPr="00636714" w:rsidRDefault="00636714" w:rsidP="00636714">
      <w:pPr>
        <w:jc w:val="both"/>
        <w:rPr>
          <w:rFonts w:ascii="Times New Roman" w:hAnsi="Times New Roman" w:cs="Times New Roman"/>
          <w:sz w:val="23"/>
          <w:szCs w:val="23"/>
        </w:rPr>
      </w:pPr>
    </w:p>
    <w:p w14:paraId="63E2CFAF" w14:textId="53CA22E4" w:rsidR="00636714" w:rsidRPr="00636714" w:rsidRDefault="00636714" w:rsidP="004162FC">
      <w:pPr>
        <w:jc w:val="both"/>
        <w:rPr>
          <w:rFonts w:ascii="Times New Roman" w:hAnsi="Times New Roman" w:cs="Times New Roman"/>
          <w:sz w:val="23"/>
          <w:szCs w:val="23"/>
        </w:rPr>
      </w:pPr>
      <w:r w:rsidRPr="00636714">
        <w:rPr>
          <w:rFonts w:ascii="Times New Roman" w:hAnsi="Times New Roman" w:cs="Times New Roman"/>
          <w:sz w:val="23"/>
          <w:szCs w:val="23"/>
        </w:rPr>
        <w:t>Para la zona rural, se tiene el Programa Universidad en el Campo que se desarrolla a través de una alianza público-privada con el objetivo de facilitar el acceso a programas de formación técnica y tecnológica a jóvenes de las zonas rurales del departamento, desarrollados mientras los estudiantes cursan grado 10° y 11°, sin la necesidad de salir de su entorno, pues los profesores universitarios se desplazan hacia las instituciones educativas.</w:t>
      </w:r>
    </w:p>
    <w:p w14:paraId="0F464A63" w14:textId="0CA97A18" w:rsidR="00636714" w:rsidRPr="00636714" w:rsidRDefault="00636714" w:rsidP="00636714">
      <w:pPr>
        <w:pStyle w:val="Ttulo1"/>
        <w:jc w:val="both"/>
        <w:rPr>
          <w:rFonts w:ascii="Times New Roman" w:hAnsi="Times New Roman" w:cs="Times New Roman"/>
          <w:sz w:val="23"/>
          <w:szCs w:val="23"/>
        </w:rPr>
      </w:pPr>
      <w:r w:rsidRPr="00636714">
        <w:rPr>
          <w:rFonts w:ascii="Times New Roman" w:hAnsi="Times New Roman" w:cs="Times New Roman"/>
          <w:sz w:val="23"/>
          <w:szCs w:val="23"/>
        </w:rPr>
        <w:t xml:space="preserve"> El jalonamiento que la educación superior da al departamento y a la ciudad en los índices de competitividad e innovación</w:t>
      </w:r>
      <w:r w:rsidR="004162FC">
        <w:rPr>
          <w:rFonts w:ascii="Times New Roman" w:hAnsi="Times New Roman" w:cs="Times New Roman"/>
          <w:sz w:val="23"/>
          <w:szCs w:val="23"/>
        </w:rPr>
        <w:t>:</w:t>
      </w:r>
    </w:p>
    <w:p w14:paraId="25A8044F"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En el Índice de Competitividad Departamental, Caldas se destaca en el puesto No. 7, jalonado entre otros pilares, por el pilar de innovación, en el que ocupa la tercera posición luego de Bogotá D.C y Antioquia. El departamento además ocupa el segundo lugar de la medición en los indicadores de investigación de alta calidad, revistas indexadas en </w:t>
      </w:r>
      <w:proofErr w:type="spellStart"/>
      <w:r w:rsidRPr="00636714">
        <w:rPr>
          <w:rFonts w:ascii="Times New Roman" w:hAnsi="Times New Roman" w:cs="Times New Roman"/>
          <w:sz w:val="23"/>
          <w:szCs w:val="23"/>
        </w:rPr>
        <w:t>publindex</w:t>
      </w:r>
      <w:proofErr w:type="spellEnd"/>
      <w:r w:rsidRPr="00636714">
        <w:rPr>
          <w:rFonts w:ascii="Times New Roman" w:hAnsi="Times New Roman" w:cs="Times New Roman"/>
          <w:sz w:val="23"/>
          <w:szCs w:val="23"/>
        </w:rPr>
        <w:t>, investigadores per cápita y modelos de utilidad</w:t>
      </w:r>
    </w:p>
    <w:p w14:paraId="39BA066B" w14:textId="77777777" w:rsidR="00636714" w:rsidRPr="00636714" w:rsidRDefault="00636714" w:rsidP="00636714">
      <w:pPr>
        <w:jc w:val="both"/>
        <w:rPr>
          <w:rFonts w:ascii="Times New Roman" w:hAnsi="Times New Roman" w:cs="Times New Roman"/>
          <w:sz w:val="23"/>
          <w:szCs w:val="23"/>
        </w:rPr>
      </w:pPr>
    </w:p>
    <w:p w14:paraId="309507CB"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El </w:t>
      </w:r>
      <w:proofErr w:type="spellStart"/>
      <w:r w:rsidRPr="00636714">
        <w:rPr>
          <w:rFonts w:ascii="Times New Roman" w:hAnsi="Times New Roman" w:cs="Times New Roman"/>
          <w:sz w:val="23"/>
          <w:szCs w:val="23"/>
        </w:rPr>
        <w:t>subpilar</w:t>
      </w:r>
      <w:proofErr w:type="spellEnd"/>
      <w:r w:rsidRPr="00636714">
        <w:rPr>
          <w:rFonts w:ascii="Times New Roman" w:hAnsi="Times New Roman" w:cs="Times New Roman"/>
          <w:sz w:val="23"/>
          <w:szCs w:val="23"/>
        </w:rPr>
        <w:t xml:space="preserve"> investigación de alta calidad incluye indicadores de número de grupos de investigación reconocidos, publicaciones en revistas de alta calidad, así como los recursos humanos y presupuestales para la investigación. Tan solo el 39% de los departamentos (13 de 33) se encuentran por encima del promedio nacional. La brecha en el </w:t>
      </w:r>
      <w:proofErr w:type="spellStart"/>
      <w:r w:rsidRPr="00636714">
        <w:rPr>
          <w:rFonts w:ascii="Times New Roman" w:hAnsi="Times New Roman" w:cs="Times New Roman"/>
          <w:sz w:val="23"/>
          <w:szCs w:val="23"/>
        </w:rPr>
        <w:t>subpilar</w:t>
      </w:r>
      <w:proofErr w:type="spellEnd"/>
      <w:r w:rsidRPr="00636714">
        <w:rPr>
          <w:rFonts w:ascii="Times New Roman" w:hAnsi="Times New Roman" w:cs="Times New Roman"/>
          <w:sz w:val="23"/>
          <w:szCs w:val="23"/>
        </w:rPr>
        <w:t xml:space="preserve"> de investigación de alta calidad es sobresaliente, muestra de ello es que Bogotá registra un puntaje de 8,95, en el segundo lugar Caldas obtiene 6,42 y el 61 % de los departamentos están por debajo de 2,78.</w:t>
      </w:r>
    </w:p>
    <w:p w14:paraId="6058D72D" w14:textId="77777777" w:rsidR="00636714" w:rsidRPr="00636714" w:rsidRDefault="00636714" w:rsidP="00636714">
      <w:pPr>
        <w:jc w:val="both"/>
        <w:rPr>
          <w:rFonts w:ascii="Times New Roman" w:hAnsi="Times New Roman" w:cs="Times New Roman"/>
          <w:sz w:val="23"/>
          <w:szCs w:val="23"/>
        </w:rPr>
      </w:pPr>
    </w:p>
    <w:p w14:paraId="4B43D0C8"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De igual manera, Manizales su capital, en el índice de Competitividad de Ciudades, se ubica en el puesto No. 6. Se destaca en el pilar de educación superior y formación para el trabajo con una calificación de 7,72 sobre 10. Manizales AM avanza en tres posiciones y ocupa la primera posición del pilar. Esta área metropolitana lidera el </w:t>
      </w:r>
      <w:proofErr w:type="spellStart"/>
      <w:r w:rsidRPr="00636714">
        <w:rPr>
          <w:rFonts w:ascii="Times New Roman" w:hAnsi="Times New Roman" w:cs="Times New Roman"/>
          <w:sz w:val="23"/>
          <w:szCs w:val="23"/>
        </w:rPr>
        <w:t>subpilar</w:t>
      </w:r>
      <w:proofErr w:type="spellEnd"/>
      <w:r w:rsidRPr="00636714">
        <w:rPr>
          <w:rFonts w:ascii="Times New Roman" w:hAnsi="Times New Roman" w:cs="Times New Roman"/>
          <w:sz w:val="23"/>
          <w:szCs w:val="23"/>
        </w:rPr>
        <w:t xml:space="preserve"> de calidad de la educación superior gracias al buen desempeño en el indicador de cobertura de instituciones de educación superior con acreditación de alta calidad, en el que ocupa el segundo puesto a nivel nacional, con una puntuación de 9,48 sobre 10. Así mismo, se destaca en el indicador calidad de los docentes de educación superior, ocupando la tercera posición entre las 32 ciudades evaluadas.</w:t>
      </w:r>
    </w:p>
    <w:p w14:paraId="03AD7708" w14:textId="77777777" w:rsidR="00636714" w:rsidRPr="00636714" w:rsidRDefault="00636714" w:rsidP="00636714">
      <w:pPr>
        <w:jc w:val="both"/>
        <w:rPr>
          <w:rFonts w:ascii="Times New Roman" w:hAnsi="Times New Roman" w:cs="Times New Roman"/>
          <w:sz w:val="23"/>
          <w:szCs w:val="23"/>
        </w:rPr>
      </w:pPr>
    </w:p>
    <w:p w14:paraId="30BC1060"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Los tres primeros lugares del pilar de innovación le corresponden a Medellín AM, Bogotá D.C. y Manizales AM, que obtienen calificaciones de 7,30, 6,87 y 6,31, respectivamente. Manizales AM es tercero en este pilar gracias a su buen desempeño en el indicador de modelos de utilidad, en el que registra un puntaje de 10 sobre 10. Además, esta área metropolitana sobresale en investigadores per cápita e investigación de alta calidad, en los que obtiene puntajes arriba de 8,70 sobre 10.</w:t>
      </w:r>
    </w:p>
    <w:p w14:paraId="39CCFBA2" w14:textId="77777777" w:rsidR="00636714" w:rsidRPr="00636714" w:rsidRDefault="00636714" w:rsidP="00636714">
      <w:pPr>
        <w:jc w:val="both"/>
        <w:rPr>
          <w:rFonts w:ascii="Times New Roman" w:hAnsi="Times New Roman" w:cs="Times New Roman"/>
          <w:sz w:val="23"/>
          <w:szCs w:val="23"/>
        </w:rPr>
      </w:pPr>
    </w:p>
    <w:p w14:paraId="07DE37A4"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t xml:space="preserve">En el </w:t>
      </w:r>
      <w:proofErr w:type="spellStart"/>
      <w:r w:rsidRPr="00636714">
        <w:rPr>
          <w:rFonts w:ascii="Times New Roman" w:hAnsi="Times New Roman" w:cs="Times New Roman"/>
          <w:sz w:val="23"/>
          <w:szCs w:val="23"/>
        </w:rPr>
        <w:t>Indice</w:t>
      </w:r>
      <w:proofErr w:type="spellEnd"/>
      <w:r w:rsidRPr="00636714">
        <w:rPr>
          <w:rFonts w:ascii="Times New Roman" w:hAnsi="Times New Roman" w:cs="Times New Roman"/>
          <w:sz w:val="23"/>
          <w:szCs w:val="23"/>
        </w:rPr>
        <w:t xml:space="preserve"> Departamental de Innovación, Caldas ocupa el puesto 7, jalonado entre otros por el </w:t>
      </w:r>
      <w:proofErr w:type="spellStart"/>
      <w:r w:rsidRPr="00636714">
        <w:rPr>
          <w:rFonts w:ascii="Times New Roman" w:hAnsi="Times New Roman" w:cs="Times New Roman"/>
          <w:sz w:val="23"/>
          <w:szCs w:val="23"/>
        </w:rPr>
        <w:t>subpilar</w:t>
      </w:r>
      <w:proofErr w:type="spellEnd"/>
      <w:r w:rsidRPr="00636714">
        <w:rPr>
          <w:rFonts w:ascii="Times New Roman" w:hAnsi="Times New Roman" w:cs="Times New Roman"/>
          <w:sz w:val="23"/>
          <w:szCs w:val="23"/>
        </w:rPr>
        <w:t xml:space="preserve"> de Investigación y Desarrollo. Caldas es el segundo departamento de Colombia con mayor número de Investigadores por Millón de Habitantes, con un puntaje de 99,6.</w:t>
      </w:r>
    </w:p>
    <w:p w14:paraId="7309547C" w14:textId="77777777" w:rsidR="00636714" w:rsidRPr="00636714" w:rsidRDefault="00636714" w:rsidP="00636714">
      <w:pPr>
        <w:jc w:val="both"/>
        <w:rPr>
          <w:rFonts w:ascii="Times New Roman" w:hAnsi="Times New Roman" w:cs="Times New Roman"/>
          <w:sz w:val="23"/>
          <w:szCs w:val="23"/>
        </w:rPr>
      </w:pPr>
      <w:r w:rsidRPr="00636714">
        <w:rPr>
          <w:rFonts w:ascii="Times New Roman" w:hAnsi="Times New Roman" w:cs="Times New Roman"/>
          <w:sz w:val="23"/>
          <w:szCs w:val="23"/>
        </w:rPr>
        <w:br w:type="page"/>
      </w:r>
    </w:p>
    <w:p w14:paraId="180464A0" w14:textId="47123088" w:rsidR="00636714" w:rsidRPr="004162FC" w:rsidRDefault="00636714" w:rsidP="004162FC">
      <w:pPr>
        <w:pStyle w:val="Ttulo1"/>
        <w:jc w:val="both"/>
        <w:rPr>
          <w:rFonts w:ascii="Times New Roman" w:hAnsi="Times New Roman" w:cs="Times New Roman"/>
          <w:sz w:val="23"/>
          <w:szCs w:val="23"/>
        </w:rPr>
      </w:pPr>
      <w:r w:rsidRPr="00636714">
        <w:rPr>
          <w:rFonts w:ascii="Times New Roman" w:hAnsi="Times New Roman" w:cs="Times New Roman"/>
          <w:sz w:val="23"/>
          <w:szCs w:val="23"/>
        </w:rPr>
        <w:lastRenderedPageBreak/>
        <w:t>Circunstancias o eventos que podrían generar un conflicto de interés – artículo 291 de la Ley 5 de 1992</w:t>
      </w:r>
      <w:r w:rsidR="004162FC">
        <w:rPr>
          <w:rFonts w:ascii="Times New Roman" w:hAnsi="Times New Roman" w:cs="Times New Roman"/>
          <w:sz w:val="23"/>
          <w:szCs w:val="23"/>
        </w:rPr>
        <w:t>:</w:t>
      </w:r>
    </w:p>
    <w:p w14:paraId="7B950040" w14:textId="77777777" w:rsidR="00636714" w:rsidRPr="00636714" w:rsidRDefault="00636714" w:rsidP="00636714">
      <w:pPr>
        <w:pBdr>
          <w:top w:val="nil"/>
          <w:left w:val="nil"/>
          <w:bottom w:val="nil"/>
          <w:right w:val="nil"/>
          <w:between w:val="nil"/>
        </w:pBdr>
        <w:spacing w:after="160" w:line="276" w:lineRule="auto"/>
        <w:jc w:val="both"/>
        <w:rPr>
          <w:rFonts w:ascii="Times New Roman" w:hAnsi="Times New Roman" w:cs="Times New Roman"/>
          <w:color w:val="000000" w:themeColor="text1"/>
          <w:sz w:val="23"/>
          <w:szCs w:val="23"/>
        </w:rPr>
      </w:pPr>
      <w:r w:rsidRPr="00636714">
        <w:rPr>
          <w:rFonts w:ascii="Times New Roman" w:hAnsi="Times New Roman" w:cs="Times New Roman"/>
          <w:color w:val="000000" w:themeColor="text1"/>
          <w:sz w:val="23"/>
          <w:szCs w:val="23"/>
          <w:highlight w:val="white"/>
        </w:rPr>
        <w:t xml:space="preserve">Con base en el artículo 3º de la Ley 2003 de 2019, según el cual “El autor del proyecto y </w:t>
      </w:r>
      <w:r w:rsidRPr="00636714">
        <w:rPr>
          <w:rFonts w:ascii="Times New Roman" w:hAnsi="Times New Roman" w:cs="Times New Roman"/>
          <w:i/>
          <w:color w:val="000000" w:themeColor="text1"/>
          <w:sz w:val="23"/>
          <w:szCs w:val="23"/>
        </w:rPr>
        <w:t>el ponente presentarán en el cuerpo de la exposición de motivos un acápite que describa las circunstancias o eventos que podrían generar un conflicto de interés para la discusión y votación del proyecto, de acuerdo al artículo 286 ley 5 de 1992. Estos serán criterios guías para que los otros congresistas tomen una decisión en torno a si se encuentran en una causal de impedimento, no obstante, otras causales que el Congresista pueda encontrar”</w:t>
      </w:r>
      <w:r w:rsidRPr="00636714">
        <w:rPr>
          <w:rFonts w:ascii="Times New Roman" w:hAnsi="Times New Roman" w:cs="Times New Roman"/>
          <w:color w:val="000000" w:themeColor="text1"/>
          <w:sz w:val="23"/>
          <w:szCs w:val="23"/>
        </w:rPr>
        <w:t>.</w:t>
      </w:r>
    </w:p>
    <w:p w14:paraId="1E3784F3" w14:textId="77777777" w:rsidR="00636714" w:rsidRPr="00636714" w:rsidRDefault="00636714" w:rsidP="00636714">
      <w:pPr>
        <w:pBdr>
          <w:top w:val="nil"/>
          <w:left w:val="nil"/>
          <w:bottom w:val="nil"/>
          <w:right w:val="nil"/>
          <w:between w:val="nil"/>
        </w:pBdr>
        <w:spacing w:after="160" w:line="276" w:lineRule="auto"/>
        <w:jc w:val="both"/>
        <w:rPr>
          <w:rFonts w:ascii="Times New Roman" w:hAnsi="Times New Roman" w:cs="Times New Roman"/>
          <w:b/>
          <w:color w:val="000000" w:themeColor="text1"/>
          <w:sz w:val="23"/>
          <w:szCs w:val="23"/>
        </w:rPr>
      </w:pPr>
      <w:r w:rsidRPr="00636714">
        <w:rPr>
          <w:rFonts w:ascii="Times New Roman" w:hAnsi="Times New Roman" w:cs="Times New Roman"/>
          <w:color w:val="000000" w:themeColor="text1"/>
          <w:sz w:val="23"/>
          <w:szCs w:val="23"/>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52F40EC1" w14:textId="77777777" w:rsidR="00636714" w:rsidRPr="00636714" w:rsidRDefault="00636714" w:rsidP="00636714">
      <w:pPr>
        <w:spacing w:before="280" w:after="280" w:line="276" w:lineRule="auto"/>
        <w:ind w:firstLine="720"/>
        <w:jc w:val="both"/>
        <w:rPr>
          <w:rFonts w:ascii="Times New Roman" w:hAnsi="Times New Roman" w:cs="Times New Roman"/>
          <w:b/>
          <w:i/>
          <w:color w:val="000000" w:themeColor="text1"/>
          <w:sz w:val="23"/>
          <w:szCs w:val="23"/>
        </w:rPr>
      </w:pPr>
      <w:r w:rsidRPr="00636714">
        <w:rPr>
          <w:rFonts w:ascii="Times New Roman" w:hAnsi="Times New Roman" w:cs="Times New Roman"/>
          <w:b/>
          <w:color w:val="000000" w:themeColor="text1"/>
          <w:sz w:val="23"/>
          <w:szCs w:val="23"/>
        </w:rPr>
        <w:t>“</w:t>
      </w:r>
      <w:r w:rsidRPr="00636714">
        <w:rPr>
          <w:rFonts w:ascii="Times New Roman" w:hAnsi="Times New Roman" w:cs="Times New Roman"/>
          <w:b/>
          <w:i/>
          <w:color w:val="000000" w:themeColor="text1"/>
          <w:sz w:val="23"/>
          <w:szCs w:val="23"/>
        </w:rPr>
        <w:t xml:space="preserve">Artículo 1º. El artículo </w:t>
      </w:r>
      <w:hyperlink r:id="rId24" w:anchor="286">
        <w:r w:rsidRPr="00636714">
          <w:rPr>
            <w:rFonts w:ascii="Times New Roman" w:hAnsi="Times New Roman" w:cs="Times New Roman"/>
            <w:b/>
            <w:i/>
            <w:color w:val="000000" w:themeColor="text1"/>
            <w:sz w:val="23"/>
            <w:szCs w:val="23"/>
            <w:u w:val="single"/>
          </w:rPr>
          <w:t>286</w:t>
        </w:r>
      </w:hyperlink>
      <w:r w:rsidRPr="00636714">
        <w:rPr>
          <w:rFonts w:ascii="Times New Roman" w:hAnsi="Times New Roman" w:cs="Times New Roman"/>
          <w:b/>
          <w:i/>
          <w:color w:val="000000" w:themeColor="text1"/>
          <w:sz w:val="23"/>
          <w:szCs w:val="23"/>
        </w:rPr>
        <w:t xml:space="preserve"> de la Ley 5 de 1992 quedará así:</w:t>
      </w:r>
    </w:p>
    <w:p w14:paraId="77E6EFF4" w14:textId="77777777" w:rsidR="00636714" w:rsidRPr="00636714" w:rsidRDefault="00636714" w:rsidP="00636714">
      <w:pPr>
        <w:spacing w:before="280" w:after="280" w:line="276" w:lineRule="auto"/>
        <w:jc w:val="both"/>
        <w:rPr>
          <w:rFonts w:ascii="Times New Roman" w:hAnsi="Times New Roman" w:cs="Times New Roman"/>
          <w:i/>
          <w:color w:val="000000" w:themeColor="text1"/>
          <w:sz w:val="23"/>
          <w:szCs w:val="23"/>
        </w:rPr>
      </w:pPr>
      <w:r w:rsidRPr="00636714">
        <w:rPr>
          <w:rFonts w:ascii="Times New Roman" w:hAnsi="Times New Roman" w:cs="Times New Roman"/>
          <w:i/>
          <w:color w:val="000000" w:themeColor="text1"/>
          <w:sz w:val="23"/>
          <w:szCs w:val="23"/>
        </w:rPr>
        <w:t>ARTÍCULO 286. Régimen de conflicto de interés de los congresistas. Todos los congresistas deberán declarar los conflictos De intereses que pudieran surgir en ejercicio de sus funciones.</w:t>
      </w:r>
    </w:p>
    <w:p w14:paraId="71906EC8" w14:textId="77777777" w:rsidR="00636714" w:rsidRPr="00636714" w:rsidRDefault="00636714" w:rsidP="00636714">
      <w:pPr>
        <w:spacing w:before="280" w:after="280" w:line="276" w:lineRule="auto"/>
        <w:jc w:val="both"/>
        <w:rPr>
          <w:rFonts w:ascii="Times New Roman" w:hAnsi="Times New Roman" w:cs="Times New Roman"/>
          <w:i/>
          <w:color w:val="000000" w:themeColor="text1"/>
          <w:sz w:val="23"/>
          <w:szCs w:val="23"/>
        </w:rPr>
      </w:pPr>
      <w:r w:rsidRPr="00636714">
        <w:rPr>
          <w:rFonts w:ascii="Times New Roman" w:hAnsi="Times New Roman" w:cs="Times New Roman"/>
          <w:i/>
          <w:color w:val="000000" w:themeColor="text1"/>
          <w:sz w:val="23"/>
          <w:szCs w:val="23"/>
        </w:rPr>
        <w:t>Se entiende como conflicto de interés una situación donde la discusión o votación de un proyecto de ley o acto legislativo o artículo, pueda resultar en un beneficio particular, actual y directo a favor del congresista.</w:t>
      </w:r>
    </w:p>
    <w:p w14:paraId="4CF6D455" w14:textId="77777777" w:rsidR="00636714" w:rsidRPr="00636714" w:rsidRDefault="00636714" w:rsidP="00636714">
      <w:pPr>
        <w:spacing w:before="280" w:after="280" w:line="276" w:lineRule="auto"/>
        <w:ind w:left="720"/>
        <w:jc w:val="both"/>
        <w:rPr>
          <w:rFonts w:ascii="Times New Roman" w:hAnsi="Times New Roman" w:cs="Times New Roman"/>
          <w:i/>
          <w:color w:val="000000" w:themeColor="text1"/>
          <w:sz w:val="23"/>
          <w:szCs w:val="23"/>
        </w:rPr>
      </w:pPr>
      <w:r w:rsidRPr="00636714">
        <w:rPr>
          <w:rFonts w:ascii="Times New Roman" w:hAnsi="Times New Roman" w:cs="Times New Roman"/>
          <w:i/>
          <w:color w:val="000000" w:themeColor="text1"/>
          <w:sz w:val="23"/>
          <w:szCs w:val="23"/>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43CAD73" w14:textId="77777777" w:rsidR="00636714" w:rsidRPr="00636714" w:rsidRDefault="00636714" w:rsidP="00636714">
      <w:pPr>
        <w:spacing w:before="280" w:after="280" w:line="276" w:lineRule="auto"/>
        <w:ind w:left="720"/>
        <w:jc w:val="both"/>
        <w:rPr>
          <w:rFonts w:ascii="Times New Roman" w:hAnsi="Times New Roman" w:cs="Times New Roman"/>
          <w:i/>
          <w:color w:val="000000" w:themeColor="text1"/>
          <w:sz w:val="23"/>
          <w:szCs w:val="23"/>
        </w:rPr>
      </w:pPr>
      <w:r w:rsidRPr="00636714">
        <w:rPr>
          <w:rFonts w:ascii="Times New Roman" w:hAnsi="Times New Roman" w:cs="Times New Roman"/>
          <w:i/>
          <w:color w:val="000000" w:themeColor="text1"/>
          <w:sz w:val="23"/>
          <w:szCs w:val="23"/>
        </w:rPr>
        <w:t>b) Beneficio actual: aquel que efectivamente se configura en las circunstancias presentes y existentes al momento en el que el congresista participa de la decisión.</w:t>
      </w:r>
    </w:p>
    <w:p w14:paraId="16D6F630" w14:textId="77777777" w:rsidR="00636714" w:rsidRPr="00636714" w:rsidRDefault="00636714" w:rsidP="00636714">
      <w:pPr>
        <w:spacing w:before="280" w:after="280" w:line="276" w:lineRule="auto"/>
        <w:ind w:left="720"/>
        <w:jc w:val="both"/>
        <w:rPr>
          <w:rFonts w:ascii="Times New Roman" w:hAnsi="Times New Roman" w:cs="Times New Roman"/>
          <w:i/>
          <w:color w:val="000000" w:themeColor="text1"/>
          <w:sz w:val="23"/>
          <w:szCs w:val="23"/>
        </w:rPr>
      </w:pPr>
      <w:r w:rsidRPr="00636714">
        <w:rPr>
          <w:rFonts w:ascii="Times New Roman" w:hAnsi="Times New Roman" w:cs="Times New Roman"/>
          <w:i/>
          <w:color w:val="000000" w:themeColor="text1"/>
          <w:sz w:val="23"/>
          <w:szCs w:val="23"/>
        </w:rPr>
        <w:t>c) Beneficio directo: aquel que se produzca de forma específica respecto del congresista, de su cónyuge, compañero o compañera permanente, o parientes dentro del segundo grado de consanguinidad, segundo de afinidad o primero civil.</w:t>
      </w:r>
    </w:p>
    <w:p w14:paraId="4FAF4802" w14:textId="77777777" w:rsidR="00636714" w:rsidRPr="00636714" w:rsidRDefault="00636714" w:rsidP="00636714">
      <w:pPr>
        <w:spacing w:before="280" w:after="280" w:line="276" w:lineRule="auto"/>
        <w:ind w:left="720"/>
        <w:jc w:val="both"/>
        <w:rPr>
          <w:rFonts w:ascii="Times New Roman" w:hAnsi="Times New Roman" w:cs="Times New Roman"/>
          <w:i/>
          <w:color w:val="000000" w:themeColor="text1"/>
          <w:sz w:val="23"/>
          <w:szCs w:val="23"/>
        </w:rPr>
      </w:pPr>
      <w:r w:rsidRPr="00636714">
        <w:rPr>
          <w:rFonts w:ascii="Times New Roman" w:hAnsi="Times New Roman" w:cs="Times New Roman"/>
          <w:i/>
          <w:color w:val="000000" w:themeColor="text1"/>
          <w:sz w:val="23"/>
          <w:szCs w:val="23"/>
        </w:rPr>
        <w:t>Para todos los efectos se entiende que no hay conflicto de interés en las siguientes circunstancias:</w:t>
      </w:r>
    </w:p>
    <w:p w14:paraId="126A53E3" w14:textId="77777777" w:rsidR="00636714" w:rsidRPr="00636714" w:rsidRDefault="00636714" w:rsidP="00636714">
      <w:pPr>
        <w:spacing w:before="280" w:after="280" w:line="276" w:lineRule="auto"/>
        <w:ind w:left="720"/>
        <w:jc w:val="both"/>
        <w:rPr>
          <w:rFonts w:ascii="Times New Roman" w:hAnsi="Times New Roman" w:cs="Times New Roman"/>
          <w:b/>
          <w:i/>
          <w:color w:val="000000" w:themeColor="text1"/>
          <w:sz w:val="23"/>
          <w:szCs w:val="23"/>
          <w:u w:val="single"/>
        </w:rPr>
      </w:pPr>
      <w:r w:rsidRPr="00636714">
        <w:rPr>
          <w:rFonts w:ascii="Times New Roman" w:hAnsi="Times New Roman" w:cs="Times New Roman"/>
          <w:b/>
          <w:i/>
          <w:color w:val="000000" w:themeColor="text1"/>
          <w:sz w:val="23"/>
          <w:szCs w:val="23"/>
          <w:u w:val="single"/>
        </w:rPr>
        <w:t xml:space="preserve">a) Cuando el congresista participe, discuta, vote un proyecto de ley o de acto legislativo que otorgue beneficios o cargos de carácter general, es decir cuando el interés del congresista coincide o se fusione con los intereses de los electores. </w:t>
      </w:r>
      <w:r w:rsidRPr="00636714">
        <w:rPr>
          <w:rFonts w:ascii="Times New Roman" w:hAnsi="Times New Roman" w:cs="Times New Roman"/>
          <w:b/>
          <w:i/>
          <w:color w:val="000000" w:themeColor="text1"/>
          <w:sz w:val="23"/>
          <w:szCs w:val="23"/>
        </w:rPr>
        <w:t xml:space="preserve"> (Negrilla propia)</w:t>
      </w:r>
    </w:p>
    <w:p w14:paraId="1420F92B" w14:textId="77777777" w:rsidR="00636714" w:rsidRPr="00636714" w:rsidRDefault="00636714" w:rsidP="00636714">
      <w:pPr>
        <w:spacing w:before="280" w:after="280" w:line="276" w:lineRule="auto"/>
        <w:ind w:left="700" w:firstLine="20"/>
        <w:jc w:val="both"/>
        <w:rPr>
          <w:rFonts w:ascii="Times New Roman" w:hAnsi="Times New Roman" w:cs="Times New Roman"/>
          <w:i/>
          <w:color w:val="000000" w:themeColor="text1"/>
          <w:sz w:val="23"/>
          <w:szCs w:val="23"/>
        </w:rPr>
      </w:pPr>
      <w:r w:rsidRPr="00636714">
        <w:rPr>
          <w:rFonts w:ascii="Times New Roman" w:hAnsi="Times New Roman" w:cs="Times New Roman"/>
          <w:i/>
          <w:color w:val="000000" w:themeColor="text1"/>
          <w:sz w:val="23"/>
          <w:szCs w:val="23"/>
        </w:rPr>
        <w:t>b) Cuando el beneficio podría o no configurarse para el congresista en el futuro.</w:t>
      </w:r>
    </w:p>
    <w:p w14:paraId="5003A7F5" w14:textId="77777777" w:rsidR="00636714" w:rsidRPr="00636714" w:rsidRDefault="00636714" w:rsidP="00636714">
      <w:pPr>
        <w:spacing w:before="280" w:after="280" w:line="276" w:lineRule="auto"/>
        <w:ind w:left="720"/>
        <w:jc w:val="both"/>
        <w:rPr>
          <w:rFonts w:ascii="Times New Roman" w:hAnsi="Times New Roman" w:cs="Times New Roman"/>
          <w:i/>
          <w:color w:val="000000" w:themeColor="text1"/>
          <w:sz w:val="23"/>
          <w:szCs w:val="23"/>
        </w:rPr>
      </w:pPr>
      <w:r w:rsidRPr="00636714">
        <w:rPr>
          <w:rFonts w:ascii="Times New Roman" w:hAnsi="Times New Roman" w:cs="Times New Roman"/>
          <w:i/>
          <w:color w:val="000000" w:themeColor="text1"/>
          <w:sz w:val="23"/>
          <w:szCs w:val="23"/>
        </w:rPr>
        <w:t xml:space="preserve">c) Cuando el congresista participe, discuta o vote artículos de proyectos de ley o acto legislativo de carácter particular, que establezcan sanciones o disminuyan beneficios, en el cual, el </w:t>
      </w:r>
      <w:r w:rsidRPr="00636714">
        <w:rPr>
          <w:rFonts w:ascii="Times New Roman" w:hAnsi="Times New Roman" w:cs="Times New Roman"/>
          <w:i/>
          <w:color w:val="000000" w:themeColor="text1"/>
          <w:sz w:val="23"/>
          <w:szCs w:val="23"/>
        </w:rPr>
        <w:lastRenderedPageBreak/>
        <w:t>congresista tiene un interés particular, actual y directo. El voto negativo no constituirá conflicto de interés cuando mantiene la normatividad vigente.</w:t>
      </w:r>
    </w:p>
    <w:p w14:paraId="374F4AD4" w14:textId="77777777" w:rsidR="00636714" w:rsidRPr="00636714" w:rsidRDefault="00636714" w:rsidP="00636714">
      <w:pPr>
        <w:spacing w:before="280" w:after="280" w:line="276" w:lineRule="auto"/>
        <w:ind w:left="720"/>
        <w:jc w:val="both"/>
        <w:rPr>
          <w:rFonts w:ascii="Times New Roman" w:hAnsi="Times New Roman" w:cs="Times New Roman"/>
          <w:i/>
          <w:color w:val="000000" w:themeColor="text1"/>
          <w:sz w:val="23"/>
          <w:szCs w:val="23"/>
        </w:rPr>
      </w:pPr>
      <w:r w:rsidRPr="00636714">
        <w:rPr>
          <w:rFonts w:ascii="Times New Roman" w:hAnsi="Times New Roman" w:cs="Times New Roman"/>
          <w:i/>
          <w:color w:val="000000" w:themeColor="text1"/>
          <w:sz w:val="23"/>
          <w:szCs w:val="23"/>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77F68546" w14:textId="77777777" w:rsidR="00636714" w:rsidRPr="00636714" w:rsidRDefault="00636714" w:rsidP="00636714">
      <w:pPr>
        <w:spacing w:before="280" w:after="280" w:line="276" w:lineRule="auto"/>
        <w:ind w:left="720"/>
        <w:jc w:val="both"/>
        <w:rPr>
          <w:rFonts w:ascii="Times New Roman" w:hAnsi="Times New Roman" w:cs="Times New Roman"/>
          <w:i/>
          <w:color w:val="000000" w:themeColor="text1"/>
          <w:sz w:val="23"/>
          <w:szCs w:val="23"/>
        </w:rPr>
      </w:pPr>
      <w:r w:rsidRPr="00636714">
        <w:rPr>
          <w:rFonts w:ascii="Times New Roman" w:hAnsi="Times New Roman" w:cs="Times New Roman"/>
          <w:i/>
          <w:color w:val="000000" w:themeColor="text1"/>
          <w:sz w:val="23"/>
          <w:szCs w:val="23"/>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4763BB9A" w14:textId="77777777" w:rsidR="00636714" w:rsidRPr="00636714" w:rsidRDefault="00636714" w:rsidP="00636714">
      <w:pPr>
        <w:spacing w:before="280" w:after="280" w:line="276" w:lineRule="auto"/>
        <w:ind w:left="720"/>
        <w:jc w:val="both"/>
        <w:rPr>
          <w:rFonts w:ascii="Times New Roman" w:hAnsi="Times New Roman" w:cs="Times New Roman"/>
          <w:color w:val="000000" w:themeColor="text1"/>
          <w:sz w:val="23"/>
          <w:szCs w:val="23"/>
        </w:rPr>
      </w:pPr>
      <w:r w:rsidRPr="00636714">
        <w:rPr>
          <w:rFonts w:ascii="Times New Roman" w:hAnsi="Times New Roman" w:cs="Times New Roman"/>
          <w:i/>
          <w:color w:val="000000" w:themeColor="text1"/>
          <w:sz w:val="23"/>
          <w:szCs w:val="23"/>
        </w:rPr>
        <w:t xml:space="preserve">f) Cuando el congresista participa en la elección de otros servidores públicos mediante el voto secreto. Se exceptúan los casos en que se presenten inhabilidades referidas al parentesco con los candidatos (...)”. </w:t>
      </w:r>
      <w:r w:rsidRPr="00636714">
        <w:rPr>
          <w:rFonts w:ascii="Times New Roman" w:hAnsi="Times New Roman" w:cs="Times New Roman"/>
          <w:color w:val="000000" w:themeColor="text1"/>
          <w:sz w:val="23"/>
          <w:szCs w:val="23"/>
        </w:rPr>
        <w:t>(Subrayado y negrilla fuera de texto).</w:t>
      </w:r>
      <w:bookmarkStart w:id="8" w:name="_kt0h2lohccae" w:colFirst="0" w:colLast="0"/>
      <w:bookmarkEnd w:id="8"/>
    </w:p>
    <w:p w14:paraId="5820CF72" w14:textId="77777777" w:rsidR="00636714" w:rsidRPr="00636714" w:rsidRDefault="00636714" w:rsidP="00636714">
      <w:pPr>
        <w:spacing w:line="276" w:lineRule="auto"/>
        <w:jc w:val="both"/>
        <w:rPr>
          <w:rFonts w:ascii="Times New Roman" w:hAnsi="Times New Roman" w:cs="Times New Roman"/>
          <w:sz w:val="23"/>
          <w:szCs w:val="23"/>
        </w:rPr>
      </w:pPr>
      <w:r w:rsidRPr="00636714">
        <w:rPr>
          <w:rFonts w:ascii="Times New Roman" w:hAnsi="Times New Roman" w:cs="Times New Roman"/>
          <w:sz w:val="23"/>
          <w:szCs w:val="23"/>
        </w:rPr>
        <w:t>En el mismo sentido, ha manifestado ya la Honorable Corte Constitucional, que el inevitable interés político que subyace a una reforma constitucional, al concurrir con los intereses generales, no configura un conflicto de interés:</w:t>
      </w:r>
    </w:p>
    <w:p w14:paraId="6DCDD6A3" w14:textId="77777777" w:rsidR="004162FC" w:rsidRDefault="004162FC" w:rsidP="00636714">
      <w:pPr>
        <w:jc w:val="both"/>
        <w:rPr>
          <w:rFonts w:ascii="Times New Roman" w:hAnsi="Times New Roman" w:cs="Times New Roman"/>
          <w:sz w:val="23"/>
          <w:szCs w:val="23"/>
        </w:rPr>
      </w:pPr>
    </w:p>
    <w:p w14:paraId="7DC333B5" w14:textId="5A9BBAEE" w:rsidR="00636714" w:rsidRPr="00636714" w:rsidRDefault="004162FC" w:rsidP="00636714">
      <w:pPr>
        <w:jc w:val="both"/>
        <w:rPr>
          <w:rFonts w:ascii="Times New Roman" w:hAnsi="Times New Roman" w:cs="Times New Roman"/>
          <w:sz w:val="23"/>
          <w:szCs w:val="23"/>
        </w:rPr>
      </w:pPr>
      <w:r>
        <w:rPr>
          <w:rFonts w:ascii="Times New Roman" w:hAnsi="Times New Roman" w:cs="Times New Roman"/>
          <w:sz w:val="23"/>
          <w:szCs w:val="23"/>
        </w:rPr>
        <w:t>E</w:t>
      </w:r>
      <w:r w:rsidR="00636714" w:rsidRPr="00636714">
        <w:rPr>
          <w:rFonts w:ascii="Times New Roman" w:hAnsi="Times New Roman" w:cs="Times New Roman"/>
          <w:sz w:val="23"/>
          <w:szCs w:val="23"/>
        </w:rPr>
        <w:t xml:space="preserve">n sentencia </w:t>
      </w:r>
      <w:r w:rsidR="00636714" w:rsidRPr="00636714">
        <w:rPr>
          <w:rFonts w:ascii="Times New Roman" w:hAnsi="Times New Roman" w:cs="Times New Roman"/>
          <w:b/>
          <w:sz w:val="23"/>
          <w:szCs w:val="23"/>
        </w:rPr>
        <w:t xml:space="preserve">C 294 de 2021 </w:t>
      </w:r>
      <w:r w:rsidR="00636714" w:rsidRPr="00636714">
        <w:rPr>
          <w:rFonts w:ascii="Times New Roman" w:hAnsi="Times New Roman" w:cs="Times New Roman"/>
          <w:sz w:val="23"/>
          <w:szCs w:val="23"/>
        </w:rPr>
        <w:t xml:space="preserve">estableció lo siguiente: </w:t>
      </w:r>
    </w:p>
    <w:p w14:paraId="11AAFC5D" w14:textId="77777777" w:rsidR="004162FC" w:rsidRDefault="004162FC" w:rsidP="00636714">
      <w:pPr>
        <w:spacing w:line="276" w:lineRule="auto"/>
        <w:jc w:val="both"/>
        <w:rPr>
          <w:rFonts w:ascii="Times New Roman" w:hAnsi="Times New Roman" w:cs="Times New Roman"/>
          <w:i/>
          <w:sz w:val="23"/>
          <w:szCs w:val="23"/>
        </w:rPr>
      </w:pPr>
    </w:p>
    <w:p w14:paraId="44A3AB27" w14:textId="67A038A0" w:rsidR="00636714" w:rsidRPr="00636714" w:rsidRDefault="00636714" w:rsidP="00636714">
      <w:pPr>
        <w:spacing w:line="276" w:lineRule="auto"/>
        <w:jc w:val="both"/>
        <w:rPr>
          <w:rFonts w:ascii="Times New Roman" w:hAnsi="Times New Roman" w:cs="Times New Roman"/>
          <w:i/>
          <w:sz w:val="23"/>
          <w:szCs w:val="23"/>
        </w:rPr>
      </w:pPr>
      <w:r w:rsidRPr="00636714">
        <w:rPr>
          <w:rFonts w:ascii="Times New Roman" w:hAnsi="Times New Roman" w:cs="Times New Roman"/>
          <w:i/>
          <w:sz w:val="23"/>
          <w:szCs w:val="23"/>
        </w:rPr>
        <w:t>“La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p>
    <w:p w14:paraId="55E9CF82" w14:textId="77777777" w:rsidR="00636714" w:rsidRPr="00636714" w:rsidRDefault="00636714" w:rsidP="00636714">
      <w:pPr>
        <w:spacing w:line="276" w:lineRule="auto"/>
        <w:jc w:val="both"/>
        <w:rPr>
          <w:rFonts w:ascii="Times New Roman" w:hAnsi="Times New Roman" w:cs="Times New Roman"/>
          <w:i/>
          <w:sz w:val="23"/>
          <w:szCs w:val="23"/>
        </w:rPr>
      </w:pPr>
    </w:p>
    <w:p w14:paraId="06F18D9D" w14:textId="28D18E15" w:rsidR="00636714" w:rsidRPr="004162FC" w:rsidRDefault="00636714" w:rsidP="004162FC">
      <w:pPr>
        <w:spacing w:line="276" w:lineRule="auto"/>
        <w:jc w:val="both"/>
        <w:rPr>
          <w:rFonts w:ascii="Times New Roman" w:hAnsi="Times New Roman" w:cs="Times New Roman"/>
          <w:sz w:val="23"/>
          <w:szCs w:val="23"/>
        </w:rPr>
      </w:pPr>
      <w:r w:rsidRPr="00636714">
        <w:rPr>
          <w:rFonts w:ascii="Times New Roman" w:hAnsi="Times New Roman" w:cs="Times New Roman"/>
          <w:sz w:val="23"/>
          <w:szCs w:val="23"/>
        </w:rPr>
        <w:t xml:space="preserve"> </w:t>
      </w:r>
      <w:r w:rsidRPr="00636714">
        <w:rPr>
          <w:rFonts w:ascii="Times New Roman" w:hAnsi="Times New Roman" w:cs="Times New Roman"/>
          <w:color w:val="000000" w:themeColor="text1"/>
          <w:sz w:val="23"/>
          <w:szCs w:val="23"/>
        </w:rPr>
        <w:t xml:space="preserve">De lo anterior, y de manera meramente orientativa, se considera </w:t>
      </w:r>
      <w:r w:rsidRPr="004162FC">
        <w:rPr>
          <w:rFonts w:ascii="Times New Roman" w:hAnsi="Times New Roman" w:cs="Times New Roman"/>
          <w:color w:val="000000" w:themeColor="text1"/>
          <w:sz w:val="23"/>
          <w:szCs w:val="23"/>
        </w:rPr>
        <w:t>q</w:t>
      </w:r>
      <w:r w:rsidRPr="00636714">
        <w:rPr>
          <w:rFonts w:ascii="Times New Roman" w:hAnsi="Times New Roman" w:cs="Times New Roman"/>
          <w:color w:val="000000" w:themeColor="text1"/>
          <w:sz w:val="23"/>
          <w:szCs w:val="23"/>
        </w:rPr>
        <w:t xml:space="preserve">ue, para la discusión y aprobación de este Proyecto de Acto Legislativo,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w:t>
      </w:r>
      <w:r w:rsidRPr="00636714">
        <w:rPr>
          <w:rFonts w:ascii="Times New Roman" w:hAnsi="Times New Roman" w:cs="Times New Roman"/>
          <w:color w:val="000000" w:themeColor="text1"/>
          <w:sz w:val="23"/>
          <w:szCs w:val="23"/>
        </w:rPr>
        <w:lastRenderedPageBreak/>
        <w:t>particular, directo ni actual. En todo caso, es pertinente aclarar que los conflictos de interés son personales y corresponde a cada Congresista evaluarlos.</w:t>
      </w:r>
    </w:p>
    <w:p w14:paraId="33265E86" w14:textId="77777777" w:rsidR="004162FC" w:rsidRPr="00636714" w:rsidRDefault="004162FC" w:rsidP="004162FC">
      <w:pPr>
        <w:pStyle w:val="Ttulo1"/>
        <w:jc w:val="both"/>
        <w:rPr>
          <w:rFonts w:ascii="Times New Roman" w:hAnsi="Times New Roman" w:cs="Times New Roman"/>
          <w:sz w:val="23"/>
          <w:szCs w:val="23"/>
        </w:rPr>
      </w:pPr>
      <w:r w:rsidRPr="00636714">
        <w:rPr>
          <w:rFonts w:ascii="Times New Roman" w:hAnsi="Times New Roman" w:cs="Times New Roman"/>
          <w:sz w:val="23"/>
          <w:szCs w:val="23"/>
        </w:rPr>
        <w:t>Conclusión</w:t>
      </w:r>
      <w:r>
        <w:rPr>
          <w:rFonts w:ascii="Times New Roman" w:hAnsi="Times New Roman" w:cs="Times New Roman"/>
          <w:sz w:val="23"/>
          <w:szCs w:val="23"/>
        </w:rPr>
        <w:t>:</w:t>
      </w:r>
    </w:p>
    <w:p w14:paraId="6205090E" w14:textId="77777777" w:rsidR="004162FC" w:rsidRPr="00636714" w:rsidRDefault="004162FC" w:rsidP="004162FC">
      <w:pPr>
        <w:jc w:val="both"/>
        <w:rPr>
          <w:rFonts w:ascii="Times New Roman" w:hAnsi="Times New Roman" w:cs="Times New Roman"/>
          <w:sz w:val="23"/>
          <w:szCs w:val="23"/>
        </w:rPr>
      </w:pPr>
      <w:r w:rsidRPr="00636714">
        <w:rPr>
          <w:rFonts w:ascii="Times New Roman" w:hAnsi="Times New Roman" w:cs="Times New Roman"/>
          <w:sz w:val="23"/>
          <w:szCs w:val="23"/>
        </w:rPr>
        <w:t xml:space="preserve">La educación superior ha sido un rasgo distintivo de la ciudad de Manizales desde hace más de 40 años. Esta distinción fue reconocida por la UNESCO al nombrarla una Ciudad del aprendizaje en el año 2019. Manizales es una ciudad que, además de tener diferentes universidades con acreditación de alta calidad, tiene un Sistema Universitario (SUMA) que facilita la cooperación entre las instituciones de educación superior y los procesos formativos, investigativos, administrativos y de proyección que en ellas se realizan. </w:t>
      </w:r>
    </w:p>
    <w:p w14:paraId="763937C6" w14:textId="77777777" w:rsidR="004162FC" w:rsidRPr="00636714" w:rsidRDefault="004162FC" w:rsidP="004162FC">
      <w:pPr>
        <w:jc w:val="both"/>
        <w:rPr>
          <w:rFonts w:ascii="Times New Roman" w:hAnsi="Times New Roman" w:cs="Times New Roman"/>
          <w:sz w:val="23"/>
          <w:szCs w:val="23"/>
        </w:rPr>
      </w:pPr>
    </w:p>
    <w:p w14:paraId="0C1D9108" w14:textId="77777777" w:rsidR="004162FC" w:rsidRPr="00636714" w:rsidRDefault="004162FC" w:rsidP="004162FC">
      <w:pPr>
        <w:jc w:val="both"/>
        <w:rPr>
          <w:rFonts w:ascii="Times New Roman" w:hAnsi="Times New Roman" w:cs="Times New Roman"/>
          <w:sz w:val="23"/>
          <w:szCs w:val="23"/>
        </w:rPr>
      </w:pPr>
      <w:r w:rsidRPr="00636714">
        <w:rPr>
          <w:rFonts w:ascii="Times New Roman" w:hAnsi="Times New Roman" w:cs="Times New Roman"/>
          <w:sz w:val="23"/>
          <w:szCs w:val="23"/>
        </w:rPr>
        <w:t>Manizales como ciudad universitaria ha tenido una trayectoria que inició gracias al Concejo municipal de la ciudad, cuando adoptó este nombre por medio del Acuerdo 052 de 1989; más atrás con el surgimiento de las universidades públicas en la ciudad y, posteriormente con las privadas, el sector educativo superior fue cobrando cada vez más fuerza como sello característico en la ciudad. Hoy, por su parte, el Plan de Ordenamiento Territorial (POT) vigente visualiza que Manizales será la “capital universitaria del conocimiento, el emprendimiento y la innovación” en el 2032: una década por delante para lograr este esfuerzo colectivo”.</w:t>
      </w:r>
    </w:p>
    <w:p w14:paraId="65519B2C" w14:textId="77777777" w:rsidR="004162FC" w:rsidRPr="00636714" w:rsidRDefault="004162FC" w:rsidP="004162FC">
      <w:pPr>
        <w:jc w:val="both"/>
        <w:rPr>
          <w:rFonts w:ascii="Times New Roman" w:hAnsi="Times New Roman" w:cs="Times New Roman"/>
          <w:sz w:val="23"/>
          <w:szCs w:val="23"/>
        </w:rPr>
      </w:pPr>
    </w:p>
    <w:p w14:paraId="06BADAD4" w14:textId="77777777" w:rsidR="004162FC" w:rsidRPr="00636714" w:rsidRDefault="004162FC" w:rsidP="004162FC">
      <w:pPr>
        <w:jc w:val="both"/>
        <w:rPr>
          <w:rFonts w:ascii="Times New Roman" w:hAnsi="Times New Roman" w:cs="Times New Roman"/>
          <w:sz w:val="23"/>
          <w:szCs w:val="23"/>
        </w:rPr>
      </w:pPr>
      <w:r w:rsidRPr="00636714">
        <w:rPr>
          <w:rFonts w:ascii="Times New Roman" w:hAnsi="Times New Roman" w:cs="Times New Roman"/>
          <w:sz w:val="23"/>
          <w:szCs w:val="23"/>
        </w:rPr>
        <w:t xml:space="preserve">La vocación universitaria de la ciudad la confirman además las cifras. Anualmente tiene alrededor de 46 mil estudiantes, aproximadamente la mitad de ellos proveniente de otras partes del país e incluso del extranjero. Las cinco universidades con domicilio en la ciudad cuentan con acreditación de alta calidad, tiene el más alto índice de docentes con doctorado por millón de habitantes y se destaca en los diferentes índices de competitividad e innovación gracias a los resultados en pilares de educación superior e investigación de alta calidad. </w:t>
      </w:r>
    </w:p>
    <w:p w14:paraId="4969A373" w14:textId="77777777" w:rsidR="004162FC" w:rsidRPr="00636714" w:rsidRDefault="004162FC" w:rsidP="004162FC">
      <w:pPr>
        <w:jc w:val="both"/>
        <w:rPr>
          <w:rFonts w:ascii="Times New Roman" w:hAnsi="Times New Roman" w:cs="Times New Roman"/>
          <w:sz w:val="23"/>
          <w:szCs w:val="23"/>
        </w:rPr>
      </w:pPr>
    </w:p>
    <w:p w14:paraId="74B04199" w14:textId="77777777" w:rsidR="004162FC" w:rsidRPr="00636714" w:rsidRDefault="004162FC" w:rsidP="004162FC">
      <w:pPr>
        <w:jc w:val="both"/>
        <w:rPr>
          <w:rFonts w:ascii="Times New Roman" w:hAnsi="Times New Roman" w:cs="Times New Roman"/>
          <w:sz w:val="23"/>
          <w:szCs w:val="23"/>
        </w:rPr>
      </w:pPr>
      <w:r w:rsidRPr="00636714">
        <w:rPr>
          <w:rFonts w:ascii="Times New Roman" w:hAnsi="Times New Roman" w:cs="Times New Roman"/>
          <w:sz w:val="23"/>
          <w:szCs w:val="23"/>
        </w:rPr>
        <w:t>Gracias a esta vocación, gran parte de la economía de la ciudad está relacionada con el sector universitario, el sector inmobiliario, de transporte, cultural, gastronómico, entre otros. Los diferentes informes de Manizales Como Vamos dan cuenta de la dinámica que representa este sector en la ciudad, con alrededor de $200 mil millones generados por los estudiantes universitarios locales y foráneos, monto asociado a una canasta educativa diversa de los estudiantes, como el arrendamiento de vivienda, alimentación, transporte, ocio y recreación, entre otros.</w:t>
      </w:r>
    </w:p>
    <w:p w14:paraId="6790A567" w14:textId="240F7EAB" w:rsidR="004162FC" w:rsidRDefault="004162FC" w:rsidP="00636714">
      <w:pPr>
        <w:spacing w:line="276" w:lineRule="auto"/>
        <w:jc w:val="both"/>
        <w:rPr>
          <w:rFonts w:ascii="Calibri" w:hAnsi="Calibri" w:cs="Calibri"/>
          <w:sz w:val="22"/>
          <w:szCs w:val="22"/>
        </w:rPr>
      </w:pPr>
    </w:p>
    <w:p w14:paraId="6BF92416" w14:textId="77777777" w:rsidR="004162FC" w:rsidRPr="00334CBB" w:rsidRDefault="004162FC" w:rsidP="004162FC">
      <w:pPr>
        <w:spacing w:line="276" w:lineRule="auto"/>
        <w:jc w:val="both"/>
        <w:rPr>
          <w:rFonts w:ascii="Calibri" w:hAnsi="Calibri" w:cs="Calibri"/>
          <w:sz w:val="23"/>
          <w:szCs w:val="23"/>
        </w:rPr>
      </w:pPr>
      <w:r w:rsidRPr="00334CBB">
        <w:rPr>
          <w:rFonts w:ascii="Calibri" w:hAnsi="Calibri" w:cs="Calibri"/>
          <w:sz w:val="23"/>
          <w:szCs w:val="23"/>
        </w:rPr>
        <w:t>Firma</w:t>
      </w:r>
      <w:r>
        <w:rPr>
          <w:rFonts w:ascii="Calibri" w:hAnsi="Calibri" w:cs="Calibri"/>
          <w:sz w:val="23"/>
          <w:szCs w:val="23"/>
        </w:rPr>
        <w:t>n los Honorables Congresistas</w:t>
      </w:r>
      <w:r w:rsidRPr="00334CBB">
        <w:rPr>
          <w:rFonts w:ascii="Calibri" w:hAnsi="Calibri" w:cs="Calibri"/>
          <w:sz w:val="23"/>
          <w:szCs w:val="23"/>
        </w:rPr>
        <w:t>,</w:t>
      </w:r>
    </w:p>
    <w:p w14:paraId="4FEA4F56" w14:textId="77777777" w:rsidR="004162FC" w:rsidRPr="00334CBB" w:rsidRDefault="004162FC" w:rsidP="004162FC">
      <w:pPr>
        <w:spacing w:line="276" w:lineRule="auto"/>
        <w:jc w:val="both"/>
        <w:rPr>
          <w:rFonts w:ascii="Calibri" w:hAnsi="Calibri" w:cs="Calibri"/>
          <w:sz w:val="23"/>
          <w:szCs w:val="23"/>
        </w:rPr>
      </w:pPr>
    </w:p>
    <w:p w14:paraId="6AF27879" w14:textId="77777777" w:rsidR="004162FC" w:rsidRPr="00334CBB" w:rsidRDefault="004162FC" w:rsidP="004162FC">
      <w:pPr>
        <w:spacing w:line="276" w:lineRule="auto"/>
        <w:jc w:val="both"/>
        <w:rPr>
          <w:rFonts w:ascii="Calibri" w:hAnsi="Calibri" w:cs="Calibri"/>
          <w:sz w:val="23"/>
          <w:szCs w:val="23"/>
        </w:rPr>
      </w:pPr>
    </w:p>
    <w:p w14:paraId="730498D0" w14:textId="77777777" w:rsidR="004162FC" w:rsidRPr="00334CBB" w:rsidRDefault="004162FC" w:rsidP="004162FC">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12676245" w14:textId="77777777" w:rsidR="004162FC" w:rsidRPr="00334CBB" w:rsidRDefault="004162FC" w:rsidP="004162FC">
      <w:pPr>
        <w:spacing w:line="276" w:lineRule="auto"/>
        <w:jc w:val="both"/>
        <w:rPr>
          <w:rFonts w:ascii="Calibri" w:hAnsi="Calibri" w:cs="Calibri"/>
          <w:b/>
          <w:bCs/>
          <w:sz w:val="23"/>
          <w:szCs w:val="23"/>
        </w:rPr>
      </w:pPr>
      <w:r w:rsidRPr="00334CBB">
        <w:rPr>
          <w:rFonts w:ascii="Calibri" w:hAnsi="Calibri" w:cs="Calibri"/>
          <w:b/>
          <w:bCs/>
          <w:sz w:val="23"/>
          <w:szCs w:val="23"/>
        </w:rPr>
        <w:t>GUIDO ECHEVERRI PIEDRAHITA</w:t>
      </w:r>
    </w:p>
    <w:p w14:paraId="2331AA8A" w14:textId="77777777" w:rsidR="004162FC" w:rsidRDefault="004162FC" w:rsidP="004162FC">
      <w:pPr>
        <w:spacing w:line="276" w:lineRule="auto"/>
        <w:jc w:val="both"/>
        <w:rPr>
          <w:rFonts w:ascii="Calibri" w:hAnsi="Calibri" w:cs="Calibri"/>
          <w:sz w:val="23"/>
          <w:szCs w:val="23"/>
        </w:rPr>
      </w:pPr>
      <w:r>
        <w:rPr>
          <w:rFonts w:ascii="Calibri" w:hAnsi="Calibri" w:cs="Calibri"/>
          <w:sz w:val="23"/>
          <w:szCs w:val="23"/>
        </w:rPr>
        <w:t>Senador de la República</w:t>
      </w:r>
    </w:p>
    <w:p w14:paraId="43682FD2" w14:textId="77777777" w:rsidR="004162FC" w:rsidRDefault="004162FC" w:rsidP="004162FC">
      <w:pPr>
        <w:spacing w:line="276" w:lineRule="auto"/>
        <w:jc w:val="both"/>
        <w:rPr>
          <w:rFonts w:ascii="Calibri" w:hAnsi="Calibri" w:cs="Calibri"/>
          <w:sz w:val="23"/>
          <w:szCs w:val="23"/>
        </w:rPr>
      </w:pPr>
    </w:p>
    <w:p w14:paraId="0EFF7444" w14:textId="77777777" w:rsidR="004162FC" w:rsidRDefault="004162FC" w:rsidP="004162FC">
      <w:pPr>
        <w:spacing w:line="276" w:lineRule="auto"/>
        <w:jc w:val="both"/>
        <w:rPr>
          <w:rFonts w:ascii="Calibri" w:hAnsi="Calibri" w:cs="Calibri"/>
          <w:sz w:val="23"/>
          <w:szCs w:val="23"/>
        </w:rPr>
      </w:pPr>
    </w:p>
    <w:p w14:paraId="791C1A88" w14:textId="77777777" w:rsidR="004162FC" w:rsidRPr="00334CBB" w:rsidRDefault="004162FC" w:rsidP="004162FC">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4632DEB3" w14:textId="77777777" w:rsidR="004162FC" w:rsidRPr="00334CBB" w:rsidRDefault="004162FC" w:rsidP="004162FC">
      <w:pPr>
        <w:spacing w:line="276" w:lineRule="auto"/>
        <w:jc w:val="both"/>
        <w:rPr>
          <w:rFonts w:ascii="Calibri" w:hAnsi="Calibri" w:cs="Calibri"/>
          <w:sz w:val="23"/>
          <w:szCs w:val="23"/>
        </w:rPr>
      </w:pPr>
    </w:p>
    <w:p w14:paraId="28964648" w14:textId="77777777" w:rsidR="004162FC" w:rsidRDefault="004162FC" w:rsidP="004162FC">
      <w:pPr>
        <w:spacing w:line="276" w:lineRule="auto"/>
        <w:jc w:val="both"/>
        <w:rPr>
          <w:rFonts w:ascii="Calibri" w:hAnsi="Calibri" w:cs="Calibri"/>
          <w:sz w:val="23"/>
          <w:szCs w:val="23"/>
        </w:rPr>
      </w:pPr>
    </w:p>
    <w:p w14:paraId="2812F60C" w14:textId="77777777" w:rsidR="004162FC" w:rsidRDefault="004162FC" w:rsidP="004162FC">
      <w:pPr>
        <w:spacing w:line="276" w:lineRule="auto"/>
        <w:jc w:val="both"/>
        <w:rPr>
          <w:rFonts w:ascii="Calibri" w:hAnsi="Calibri" w:cs="Calibri"/>
          <w:sz w:val="23"/>
          <w:szCs w:val="23"/>
        </w:rPr>
      </w:pPr>
    </w:p>
    <w:p w14:paraId="7A76058B" w14:textId="77777777" w:rsidR="004162FC" w:rsidRPr="00334CBB" w:rsidRDefault="004162FC" w:rsidP="004162FC">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1CBFA7E0" w14:textId="77777777" w:rsidR="004162FC" w:rsidRDefault="004162FC" w:rsidP="004162FC">
      <w:pPr>
        <w:spacing w:line="276" w:lineRule="auto"/>
        <w:jc w:val="both"/>
        <w:rPr>
          <w:rFonts w:ascii="Calibri" w:hAnsi="Calibri" w:cs="Calibri"/>
          <w:sz w:val="23"/>
          <w:szCs w:val="23"/>
        </w:rPr>
      </w:pPr>
    </w:p>
    <w:p w14:paraId="7F97F1F2" w14:textId="77777777" w:rsidR="004162FC" w:rsidRDefault="004162FC" w:rsidP="004162FC">
      <w:pPr>
        <w:spacing w:line="276" w:lineRule="auto"/>
        <w:jc w:val="both"/>
        <w:rPr>
          <w:rFonts w:ascii="Calibri" w:hAnsi="Calibri" w:cs="Calibri"/>
          <w:sz w:val="23"/>
          <w:szCs w:val="23"/>
        </w:rPr>
      </w:pPr>
    </w:p>
    <w:p w14:paraId="0329CC40" w14:textId="77777777" w:rsidR="004162FC" w:rsidRDefault="004162FC" w:rsidP="004162FC">
      <w:pPr>
        <w:spacing w:line="276" w:lineRule="auto"/>
        <w:jc w:val="both"/>
        <w:rPr>
          <w:rFonts w:ascii="Calibri" w:hAnsi="Calibri" w:cs="Calibri"/>
          <w:sz w:val="23"/>
          <w:szCs w:val="23"/>
        </w:rPr>
      </w:pPr>
    </w:p>
    <w:p w14:paraId="758D6620" w14:textId="77777777" w:rsidR="004162FC" w:rsidRPr="00334CBB" w:rsidRDefault="004162FC" w:rsidP="004162FC">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4C93C047" w14:textId="77777777" w:rsidR="004162FC" w:rsidRDefault="004162FC" w:rsidP="004162FC">
      <w:pPr>
        <w:spacing w:line="276" w:lineRule="auto"/>
        <w:jc w:val="both"/>
        <w:rPr>
          <w:rFonts w:ascii="Calibri" w:hAnsi="Calibri" w:cs="Calibri"/>
          <w:sz w:val="23"/>
          <w:szCs w:val="23"/>
        </w:rPr>
      </w:pPr>
    </w:p>
    <w:p w14:paraId="5B444EDD" w14:textId="77777777" w:rsidR="004162FC" w:rsidRDefault="004162FC" w:rsidP="004162FC">
      <w:pPr>
        <w:spacing w:line="276" w:lineRule="auto"/>
        <w:jc w:val="both"/>
        <w:rPr>
          <w:rFonts w:ascii="Calibri" w:hAnsi="Calibri" w:cs="Calibri"/>
          <w:sz w:val="23"/>
          <w:szCs w:val="23"/>
        </w:rPr>
      </w:pPr>
    </w:p>
    <w:p w14:paraId="669263C7" w14:textId="77777777" w:rsidR="004162FC" w:rsidRDefault="004162FC" w:rsidP="004162FC">
      <w:pPr>
        <w:spacing w:line="276" w:lineRule="auto"/>
        <w:jc w:val="both"/>
        <w:rPr>
          <w:rFonts w:ascii="Calibri" w:hAnsi="Calibri" w:cs="Calibri"/>
          <w:sz w:val="23"/>
          <w:szCs w:val="23"/>
        </w:rPr>
      </w:pPr>
    </w:p>
    <w:p w14:paraId="190AADED" w14:textId="77777777" w:rsidR="004162FC" w:rsidRPr="00334CBB" w:rsidRDefault="004162FC" w:rsidP="004162FC">
      <w:pPr>
        <w:spacing w:line="276" w:lineRule="auto"/>
        <w:jc w:val="both"/>
        <w:rPr>
          <w:rFonts w:ascii="Calibri" w:hAnsi="Calibri" w:cs="Calibri"/>
          <w:sz w:val="23"/>
          <w:szCs w:val="23"/>
        </w:rPr>
      </w:pPr>
      <w:r>
        <w:rPr>
          <w:rFonts w:ascii="Calibri" w:hAnsi="Calibri" w:cs="Calibri"/>
          <w:sz w:val="23"/>
          <w:szCs w:val="23"/>
        </w:rPr>
        <w:t>__________________________</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__________________________</w:t>
      </w:r>
    </w:p>
    <w:p w14:paraId="017B22F8" w14:textId="77777777" w:rsidR="004162FC" w:rsidRDefault="004162FC" w:rsidP="00636714">
      <w:pPr>
        <w:spacing w:line="276" w:lineRule="auto"/>
        <w:jc w:val="both"/>
        <w:rPr>
          <w:rFonts w:ascii="Calibri" w:hAnsi="Calibri" w:cs="Calibri"/>
          <w:sz w:val="22"/>
          <w:szCs w:val="22"/>
        </w:rPr>
      </w:pPr>
    </w:p>
    <w:sectPr w:rsidR="004162FC" w:rsidSect="00F7752D">
      <w:headerReference w:type="default" r:id="rId25"/>
      <w:foot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B897" w14:textId="77777777" w:rsidR="0051656E" w:rsidRDefault="0051656E" w:rsidP="00230EBA">
      <w:r>
        <w:separator/>
      </w:r>
    </w:p>
  </w:endnote>
  <w:endnote w:type="continuationSeparator" w:id="0">
    <w:p w14:paraId="41F2A064" w14:textId="77777777" w:rsidR="0051656E" w:rsidRDefault="0051656E" w:rsidP="002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charset w:val="00"/>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2CFB" w14:textId="692A7FD5" w:rsidR="00230EBA" w:rsidRDefault="004162FC">
    <w:pPr>
      <w:pStyle w:val="Piedepgina"/>
    </w:pPr>
    <w:r>
      <w:rPr>
        <w:noProof/>
        <w:lang w:eastAsia="es-CO"/>
      </w:rPr>
      <w:drawing>
        <wp:anchor distT="0" distB="0" distL="114300" distR="114300" simplePos="0" relativeHeight="251661312" behindDoc="1" locked="0" layoutInCell="1" allowOverlap="1" wp14:anchorId="01073A49" wp14:editId="2DF711B2">
          <wp:simplePos x="0" y="0"/>
          <wp:positionH relativeFrom="column">
            <wp:posOffset>2369185</wp:posOffset>
          </wp:positionH>
          <wp:positionV relativeFrom="paragraph">
            <wp:posOffset>-99151</wp:posOffset>
          </wp:positionV>
          <wp:extent cx="3074670" cy="452120"/>
          <wp:effectExtent l="0" t="0" r="0" b="5080"/>
          <wp:wrapNone/>
          <wp:docPr id="10" name="Imagen 10" descr="Texto, 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 Icon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074670" cy="452120"/>
                  </a:xfrm>
                  <a:prstGeom prst="rect">
                    <a:avLst/>
                  </a:prstGeom>
                </pic:spPr>
              </pic:pic>
            </a:graphicData>
          </a:graphic>
          <wp14:sizeRelH relativeFrom="margin">
            <wp14:pctWidth>0</wp14:pctWidth>
          </wp14:sizeRelH>
          <wp14:sizeRelV relativeFrom="margin">
            <wp14:pctHeight>0</wp14:pctHeight>
          </wp14:sizeRelV>
        </wp:anchor>
      </w:drawing>
    </w:r>
    <w:r w:rsidR="00230EBA">
      <w:rPr>
        <w:noProof/>
        <w:lang w:eastAsia="es-CO"/>
      </w:rPr>
      <w:drawing>
        <wp:anchor distT="0" distB="0" distL="114300" distR="114300" simplePos="0" relativeHeight="251663360" behindDoc="1" locked="0" layoutInCell="1" allowOverlap="1" wp14:anchorId="131732D6" wp14:editId="1E76EDB1">
          <wp:simplePos x="0" y="0"/>
          <wp:positionH relativeFrom="column">
            <wp:posOffset>5443855</wp:posOffset>
          </wp:positionH>
          <wp:positionV relativeFrom="paragraph">
            <wp:posOffset>74101</wp:posOffset>
          </wp:positionV>
          <wp:extent cx="1054735" cy="542486"/>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2-08-08 a la(s) 5.14.59 p. m..png"/>
                  <pic:cNvPicPr/>
                </pic:nvPicPr>
                <pic:blipFill>
                  <a:blip r:embed="rId2">
                    <a:extLst>
                      <a:ext uri="{28A0092B-C50C-407E-A947-70E740481C1C}">
                        <a14:useLocalDpi xmlns:a14="http://schemas.microsoft.com/office/drawing/2010/main" val="0"/>
                      </a:ext>
                    </a:extLst>
                  </a:blip>
                  <a:stretch>
                    <a:fillRect/>
                  </a:stretch>
                </pic:blipFill>
                <pic:spPr>
                  <a:xfrm>
                    <a:off x="0" y="0"/>
                    <a:ext cx="1054735" cy="54248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77A6" w14:textId="77777777" w:rsidR="0051656E" w:rsidRDefault="0051656E" w:rsidP="00230EBA">
      <w:r>
        <w:separator/>
      </w:r>
    </w:p>
  </w:footnote>
  <w:footnote w:type="continuationSeparator" w:id="0">
    <w:p w14:paraId="4E0F3C2D" w14:textId="77777777" w:rsidR="0051656E" w:rsidRDefault="0051656E" w:rsidP="0023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9B73" w14:textId="13146809" w:rsidR="00230EBA" w:rsidRDefault="00230EBA" w:rsidP="00230EBA">
    <w:pPr>
      <w:pStyle w:val="Encabezado"/>
      <w:tabs>
        <w:tab w:val="clear" w:pos="8504"/>
      </w:tabs>
    </w:pPr>
    <w:r>
      <w:rPr>
        <w:noProof/>
        <w:lang w:eastAsia="es-CO"/>
      </w:rPr>
      <w:drawing>
        <wp:anchor distT="0" distB="0" distL="114300" distR="114300" simplePos="0" relativeHeight="251659264" behindDoc="1" locked="0" layoutInCell="1" allowOverlap="1" wp14:anchorId="1846341D" wp14:editId="0224E244">
          <wp:simplePos x="0" y="0"/>
          <wp:positionH relativeFrom="column">
            <wp:posOffset>1905</wp:posOffset>
          </wp:positionH>
          <wp:positionV relativeFrom="paragraph">
            <wp:posOffset>-32294</wp:posOffset>
          </wp:positionV>
          <wp:extent cx="1894114" cy="886917"/>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2-08-08 a la(s) 5.13.06 p. m..png"/>
                  <pic:cNvPicPr/>
                </pic:nvPicPr>
                <pic:blipFill>
                  <a:blip r:embed="rId1">
                    <a:extLst>
                      <a:ext uri="{28A0092B-C50C-407E-A947-70E740481C1C}">
                        <a14:useLocalDpi xmlns:a14="http://schemas.microsoft.com/office/drawing/2010/main" val="0"/>
                      </a:ext>
                    </a:extLst>
                  </a:blip>
                  <a:stretch>
                    <a:fillRect/>
                  </a:stretch>
                </pic:blipFill>
                <pic:spPr>
                  <a:xfrm>
                    <a:off x="0" y="0"/>
                    <a:ext cx="1894114" cy="886917"/>
                  </a:xfrm>
                  <a:prstGeom prst="rect">
                    <a:avLst/>
                  </a:prstGeom>
                </pic:spPr>
              </pic:pic>
            </a:graphicData>
          </a:graphic>
          <wp14:sizeRelH relativeFrom="margin">
            <wp14:pctWidth>0</wp14:pctWidth>
          </wp14:sizeRelH>
          <wp14:sizeRelV relativeFrom="margin">
            <wp14:pctHeight>0</wp14:pctHeight>
          </wp14:sizeRelV>
        </wp:anchor>
      </w:drawing>
    </w:r>
    <w:r>
      <w:tab/>
    </w:r>
  </w:p>
  <w:p w14:paraId="10E7DA67" w14:textId="29B2644B" w:rsidR="00230EBA" w:rsidRDefault="00230EBA" w:rsidP="00230EBA">
    <w:pPr>
      <w:pStyle w:val="Encabezado"/>
      <w:tabs>
        <w:tab w:val="clear" w:pos="8504"/>
      </w:tabs>
    </w:pPr>
  </w:p>
  <w:p w14:paraId="3BBE5C4A" w14:textId="10E74636" w:rsidR="00230EBA" w:rsidRDefault="00230EBA" w:rsidP="00230EBA">
    <w:pPr>
      <w:pStyle w:val="Encabezado"/>
      <w:tabs>
        <w:tab w:val="clear" w:pos="8504"/>
      </w:tabs>
    </w:pPr>
  </w:p>
  <w:p w14:paraId="137D2DC8" w14:textId="445212EB" w:rsidR="00230EBA" w:rsidRDefault="00230EBA" w:rsidP="00230EBA">
    <w:pPr>
      <w:pStyle w:val="Encabezado"/>
      <w:tabs>
        <w:tab w:val="clear" w:pos="8504"/>
      </w:tabs>
    </w:pPr>
  </w:p>
  <w:p w14:paraId="71A98A92" w14:textId="77777777" w:rsidR="00230EBA" w:rsidRDefault="00230EBA" w:rsidP="00230EBA">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7A0"/>
    <w:multiLevelType w:val="hybridMultilevel"/>
    <w:tmpl w:val="50E03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9B78FF"/>
    <w:multiLevelType w:val="hybridMultilevel"/>
    <w:tmpl w:val="2EF0F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7923CC"/>
    <w:multiLevelType w:val="hybridMultilevel"/>
    <w:tmpl w:val="1C567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3AD1172"/>
    <w:multiLevelType w:val="hybridMultilevel"/>
    <w:tmpl w:val="2EF0F1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0F6B4A"/>
    <w:multiLevelType w:val="hybridMultilevel"/>
    <w:tmpl w:val="34CA8C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FD444D2"/>
    <w:multiLevelType w:val="multilevel"/>
    <w:tmpl w:val="DB4A6170"/>
    <w:lvl w:ilvl="0">
      <w:start w:val="2"/>
      <w:numFmt w:val="decimal"/>
      <w:lvlText w:val="%1."/>
      <w:lvlJc w:val="left"/>
      <w:pPr>
        <w:ind w:left="570" w:hanging="570"/>
      </w:pPr>
      <w:rPr>
        <w:rFonts w:ascii="Times New Roman" w:hAnsi="Times New Roman" w:cs="Times New Roman" w:hint="default"/>
        <w:b/>
        <w:color w:val="auto"/>
        <w:sz w:val="32"/>
      </w:rPr>
    </w:lvl>
    <w:lvl w:ilvl="1">
      <w:start w:val="1"/>
      <w:numFmt w:val="decimal"/>
      <w:lvlText w:val="%1.%2."/>
      <w:lvlJc w:val="left"/>
      <w:pPr>
        <w:ind w:left="570" w:hanging="57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C21246"/>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5DC103A2"/>
    <w:multiLevelType w:val="hybridMultilevel"/>
    <w:tmpl w:val="F638487E"/>
    <w:lvl w:ilvl="0" w:tplc="572822D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11E0B06"/>
    <w:multiLevelType w:val="hybridMultilevel"/>
    <w:tmpl w:val="E7261950"/>
    <w:lvl w:ilvl="0" w:tplc="FFFFFFFF">
      <w:start w:val="1"/>
      <w:numFmt w:val="decimal"/>
      <w:lvlText w:val="%1)"/>
      <w:lvlJc w:val="left"/>
      <w:pPr>
        <w:ind w:left="720" w:hanging="360"/>
      </w:pPr>
      <w:rPr>
        <w:rFonts w:ascii="Poppins Light" w:eastAsiaTheme="minorEastAsia" w:hAnsi="Poppins Light"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606EA3"/>
    <w:multiLevelType w:val="hybridMultilevel"/>
    <w:tmpl w:val="558C6174"/>
    <w:lvl w:ilvl="0" w:tplc="F6722EE2">
      <w:start w:val="1"/>
      <w:numFmt w:val="bullet"/>
      <w:lvlText w:val=""/>
      <w:lvlJc w:val="left"/>
      <w:pPr>
        <w:ind w:left="720" w:hanging="360"/>
      </w:pPr>
      <w:rPr>
        <w:rFonts w:ascii="Symbol" w:hAnsi="Symbo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093756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6A569F"/>
    <w:multiLevelType w:val="multilevel"/>
    <w:tmpl w:val="D004A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1"/>
  </w:num>
  <w:num w:numId="4">
    <w:abstractNumId w:val="6"/>
  </w:num>
  <w:num w:numId="5">
    <w:abstractNumId w:val="10"/>
  </w:num>
  <w:num w:numId="6">
    <w:abstractNumId w:val="9"/>
  </w:num>
  <w:num w:numId="7">
    <w:abstractNumId w:val="0"/>
  </w:num>
  <w:num w:numId="8">
    <w:abstractNumId w:val="8"/>
  </w:num>
  <w:num w:numId="9">
    <w:abstractNumId w:val="2"/>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BA"/>
    <w:rsid w:val="00050EE6"/>
    <w:rsid w:val="000C5A2C"/>
    <w:rsid w:val="000C78BF"/>
    <w:rsid w:val="000E7089"/>
    <w:rsid w:val="00124C38"/>
    <w:rsid w:val="00166807"/>
    <w:rsid w:val="00171882"/>
    <w:rsid w:val="001810CF"/>
    <w:rsid w:val="001C5631"/>
    <w:rsid w:val="001F2C4F"/>
    <w:rsid w:val="0022767F"/>
    <w:rsid w:val="00230EBA"/>
    <w:rsid w:val="0023173D"/>
    <w:rsid w:val="002A296D"/>
    <w:rsid w:val="002F475A"/>
    <w:rsid w:val="00334CBB"/>
    <w:rsid w:val="00375E23"/>
    <w:rsid w:val="003828C0"/>
    <w:rsid w:val="00396FF8"/>
    <w:rsid w:val="003B6F44"/>
    <w:rsid w:val="003C2A3A"/>
    <w:rsid w:val="003C7232"/>
    <w:rsid w:val="003F6A99"/>
    <w:rsid w:val="00412D84"/>
    <w:rsid w:val="00412E96"/>
    <w:rsid w:val="004162FC"/>
    <w:rsid w:val="004368D6"/>
    <w:rsid w:val="004A54F5"/>
    <w:rsid w:val="004A5BC1"/>
    <w:rsid w:val="004F13F1"/>
    <w:rsid w:val="00514FA1"/>
    <w:rsid w:val="0051656E"/>
    <w:rsid w:val="00521AAF"/>
    <w:rsid w:val="00541A40"/>
    <w:rsid w:val="00550D7B"/>
    <w:rsid w:val="00571F6D"/>
    <w:rsid w:val="005A12F9"/>
    <w:rsid w:val="005E0526"/>
    <w:rsid w:val="005E0765"/>
    <w:rsid w:val="005F528C"/>
    <w:rsid w:val="00636714"/>
    <w:rsid w:val="00643180"/>
    <w:rsid w:val="00644558"/>
    <w:rsid w:val="006471A5"/>
    <w:rsid w:val="00673B67"/>
    <w:rsid w:val="006754AE"/>
    <w:rsid w:val="00691F59"/>
    <w:rsid w:val="00695808"/>
    <w:rsid w:val="00702952"/>
    <w:rsid w:val="00722CDD"/>
    <w:rsid w:val="00742EE4"/>
    <w:rsid w:val="00772558"/>
    <w:rsid w:val="007F5A15"/>
    <w:rsid w:val="008070DD"/>
    <w:rsid w:val="008163C8"/>
    <w:rsid w:val="008177A1"/>
    <w:rsid w:val="008467F4"/>
    <w:rsid w:val="00847E85"/>
    <w:rsid w:val="00851C41"/>
    <w:rsid w:val="008639B3"/>
    <w:rsid w:val="008D6587"/>
    <w:rsid w:val="008F011A"/>
    <w:rsid w:val="008F0AE8"/>
    <w:rsid w:val="00917D1E"/>
    <w:rsid w:val="00937981"/>
    <w:rsid w:val="00954667"/>
    <w:rsid w:val="0098297C"/>
    <w:rsid w:val="0098611F"/>
    <w:rsid w:val="009D22D2"/>
    <w:rsid w:val="009E72B5"/>
    <w:rsid w:val="009F0C8D"/>
    <w:rsid w:val="00A356BD"/>
    <w:rsid w:val="00A73392"/>
    <w:rsid w:val="00A95D30"/>
    <w:rsid w:val="00AA38E1"/>
    <w:rsid w:val="00AB0F28"/>
    <w:rsid w:val="00AD47D6"/>
    <w:rsid w:val="00B16922"/>
    <w:rsid w:val="00B4280F"/>
    <w:rsid w:val="00B51FB7"/>
    <w:rsid w:val="00B94B7A"/>
    <w:rsid w:val="00BE6CD8"/>
    <w:rsid w:val="00C53B7D"/>
    <w:rsid w:val="00C75DBA"/>
    <w:rsid w:val="00C80232"/>
    <w:rsid w:val="00CB137E"/>
    <w:rsid w:val="00CB1F47"/>
    <w:rsid w:val="00CB4718"/>
    <w:rsid w:val="00CC1E87"/>
    <w:rsid w:val="00CE30AD"/>
    <w:rsid w:val="00D12238"/>
    <w:rsid w:val="00D14B92"/>
    <w:rsid w:val="00D32FBB"/>
    <w:rsid w:val="00D605EA"/>
    <w:rsid w:val="00D765B3"/>
    <w:rsid w:val="00D953A2"/>
    <w:rsid w:val="00DF2204"/>
    <w:rsid w:val="00E06087"/>
    <w:rsid w:val="00E32B34"/>
    <w:rsid w:val="00E94FF8"/>
    <w:rsid w:val="00EA0462"/>
    <w:rsid w:val="00EA3B84"/>
    <w:rsid w:val="00EA7499"/>
    <w:rsid w:val="00EB3989"/>
    <w:rsid w:val="00ED742C"/>
    <w:rsid w:val="00EE363A"/>
    <w:rsid w:val="00F263B6"/>
    <w:rsid w:val="00F35034"/>
    <w:rsid w:val="00F40DA0"/>
    <w:rsid w:val="00F53399"/>
    <w:rsid w:val="00F7752D"/>
    <w:rsid w:val="00FB0E53"/>
    <w:rsid w:val="00FC6388"/>
    <w:rsid w:val="00FD5E2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C6AB"/>
  <w15:chartTrackingRefBased/>
  <w15:docId w15:val="{2CA9B98E-D6E3-694A-BB03-537070AE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6714"/>
    <w:pPr>
      <w:keepNext/>
      <w:keepLines/>
      <w:numPr>
        <w:numId w:val="4"/>
      </w:numPr>
      <w:spacing w:before="240" w:line="360" w:lineRule="auto"/>
      <w:ind w:left="431" w:hanging="431"/>
      <w:jc w:val="center"/>
      <w:outlineLvl w:val="0"/>
    </w:pPr>
    <w:rPr>
      <w:rFonts w:ascii="Tahoma" w:eastAsiaTheme="majorEastAsia" w:hAnsi="Tahoma" w:cstheme="majorBidi"/>
      <w:b/>
      <w:color w:val="7F7F7F" w:themeColor="text1" w:themeTint="80"/>
      <w:sz w:val="32"/>
      <w:szCs w:val="32"/>
      <w:lang w:eastAsia="en-US"/>
    </w:rPr>
  </w:style>
  <w:style w:type="paragraph" w:styleId="Ttulo2">
    <w:name w:val="heading 2"/>
    <w:basedOn w:val="Normal"/>
    <w:next w:val="Normal"/>
    <w:link w:val="Ttulo2Car"/>
    <w:uiPriority w:val="9"/>
    <w:unhideWhenUsed/>
    <w:qFormat/>
    <w:rsid w:val="00636714"/>
    <w:pPr>
      <w:keepNext/>
      <w:keepLines/>
      <w:numPr>
        <w:ilvl w:val="1"/>
        <w:numId w:val="4"/>
      </w:numPr>
      <w:spacing w:before="40" w:line="360" w:lineRule="auto"/>
      <w:jc w:val="both"/>
      <w:outlineLvl w:val="1"/>
    </w:pPr>
    <w:rPr>
      <w:rFonts w:ascii="Tahoma" w:eastAsiaTheme="majorEastAsia" w:hAnsi="Tahoma" w:cstheme="majorBidi"/>
      <w:b/>
      <w:color w:val="595959" w:themeColor="text1" w:themeTint="A6"/>
      <w:sz w:val="28"/>
      <w:szCs w:val="26"/>
      <w:lang w:eastAsia="en-US"/>
    </w:rPr>
  </w:style>
  <w:style w:type="paragraph" w:styleId="Ttulo3">
    <w:name w:val="heading 3"/>
    <w:basedOn w:val="Normal"/>
    <w:next w:val="Normal"/>
    <w:link w:val="Ttulo3Car"/>
    <w:uiPriority w:val="9"/>
    <w:unhideWhenUsed/>
    <w:qFormat/>
    <w:rsid w:val="00636714"/>
    <w:pPr>
      <w:keepNext/>
      <w:keepLines/>
      <w:numPr>
        <w:ilvl w:val="2"/>
        <w:numId w:val="4"/>
      </w:numPr>
      <w:spacing w:before="40" w:line="360" w:lineRule="auto"/>
      <w:jc w:val="both"/>
      <w:outlineLvl w:val="2"/>
    </w:pPr>
    <w:rPr>
      <w:rFonts w:ascii="Tahoma" w:eastAsiaTheme="majorEastAsia" w:hAnsi="Tahoma" w:cstheme="majorBidi"/>
      <w:b/>
      <w:color w:val="1F3763" w:themeColor="accent1" w:themeShade="7F"/>
      <w:sz w:val="22"/>
      <w:lang w:eastAsia="en-US"/>
    </w:rPr>
  </w:style>
  <w:style w:type="paragraph" w:styleId="Ttulo4">
    <w:name w:val="heading 4"/>
    <w:basedOn w:val="Normal"/>
    <w:next w:val="Normal"/>
    <w:link w:val="Ttulo4Car"/>
    <w:uiPriority w:val="9"/>
    <w:semiHidden/>
    <w:unhideWhenUsed/>
    <w:qFormat/>
    <w:rsid w:val="00636714"/>
    <w:pPr>
      <w:keepNext/>
      <w:keepLines/>
      <w:numPr>
        <w:ilvl w:val="3"/>
        <w:numId w:val="4"/>
      </w:numPr>
      <w:spacing w:before="40" w:line="360" w:lineRule="auto"/>
      <w:jc w:val="both"/>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ar"/>
    <w:uiPriority w:val="9"/>
    <w:semiHidden/>
    <w:unhideWhenUsed/>
    <w:qFormat/>
    <w:rsid w:val="00636714"/>
    <w:pPr>
      <w:keepNext/>
      <w:keepLines/>
      <w:numPr>
        <w:ilvl w:val="4"/>
        <w:numId w:val="4"/>
      </w:numPr>
      <w:spacing w:before="40" w:line="360" w:lineRule="auto"/>
      <w:jc w:val="both"/>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ar"/>
    <w:uiPriority w:val="9"/>
    <w:semiHidden/>
    <w:unhideWhenUsed/>
    <w:qFormat/>
    <w:rsid w:val="00636714"/>
    <w:pPr>
      <w:keepNext/>
      <w:keepLines/>
      <w:numPr>
        <w:ilvl w:val="5"/>
        <w:numId w:val="4"/>
      </w:numPr>
      <w:spacing w:before="40" w:line="360" w:lineRule="auto"/>
      <w:jc w:val="both"/>
      <w:outlineLvl w:val="5"/>
    </w:pPr>
    <w:rPr>
      <w:rFonts w:asciiTheme="majorHAnsi" w:eastAsiaTheme="majorEastAsia" w:hAnsiTheme="majorHAnsi" w:cstheme="majorBidi"/>
      <w:color w:val="1F3763" w:themeColor="accent1" w:themeShade="7F"/>
      <w:sz w:val="22"/>
      <w:szCs w:val="22"/>
      <w:lang w:eastAsia="en-US"/>
    </w:rPr>
  </w:style>
  <w:style w:type="paragraph" w:styleId="Ttulo7">
    <w:name w:val="heading 7"/>
    <w:basedOn w:val="Normal"/>
    <w:next w:val="Normal"/>
    <w:link w:val="Ttulo7Car"/>
    <w:uiPriority w:val="9"/>
    <w:semiHidden/>
    <w:unhideWhenUsed/>
    <w:qFormat/>
    <w:rsid w:val="00636714"/>
    <w:pPr>
      <w:keepNext/>
      <w:keepLines/>
      <w:numPr>
        <w:ilvl w:val="6"/>
        <w:numId w:val="4"/>
      </w:numPr>
      <w:spacing w:before="40" w:line="360" w:lineRule="auto"/>
      <w:jc w:val="both"/>
      <w:outlineLvl w:val="6"/>
    </w:pPr>
    <w:rPr>
      <w:rFonts w:asciiTheme="majorHAnsi" w:eastAsiaTheme="majorEastAsia" w:hAnsiTheme="majorHAnsi" w:cstheme="majorBidi"/>
      <w:i/>
      <w:iCs/>
      <w:color w:val="1F3763" w:themeColor="accent1" w:themeShade="7F"/>
      <w:sz w:val="22"/>
      <w:szCs w:val="22"/>
      <w:lang w:eastAsia="en-US"/>
    </w:rPr>
  </w:style>
  <w:style w:type="paragraph" w:styleId="Ttulo8">
    <w:name w:val="heading 8"/>
    <w:basedOn w:val="Normal"/>
    <w:next w:val="Normal"/>
    <w:link w:val="Ttulo8Car"/>
    <w:uiPriority w:val="9"/>
    <w:semiHidden/>
    <w:unhideWhenUsed/>
    <w:qFormat/>
    <w:rsid w:val="00636714"/>
    <w:pPr>
      <w:keepNext/>
      <w:keepLines/>
      <w:numPr>
        <w:ilvl w:val="7"/>
        <w:numId w:val="4"/>
      </w:numPr>
      <w:spacing w:before="40" w:line="36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636714"/>
    <w:pPr>
      <w:keepNext/>
      <w:keepLines/>
      <w:numPr>
        <w:ilvl w:val="8"/>
        <w:numId w:val="4"/>
      </w:numPr>
      <w:spacing w:before="40" w:line="36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EBA"/>
    <w:pPr>
      <w:tabs>
        <w:tab w:val="center" w:pos="4252"/>
        <w:tab w:val="right" w:pos="8504"/>
      </w:tabs>
    </w:pPr>
  </w:style>
  <w:style w:type="character" w:customStyle="1" w:styleId="EncabezadoCar">
    <w:name w:val="Encabezado Car"/>
    <w:basedOn w:val="Fuentedeprrafopredeter"/>
    <w:link w:val="Encabezado"/>
    <w:uiPriority w:val="99"/>
    <w:rsid w:val="00230EBA"/>
  </w:style>
  <w:style w:type="paragraph" w:styleId="Piedepgina">
    <w:name w:val="footer"/>
    <w:basedOn w:val="Normal"/>
    <w:link w:val="PiedepginaCar"/>
    <w:uiPriority w:val="99"/>
    <w:unhideWhenUsed/>
    <w:rsid w:val="00230EBA"/>
    <w:pPr>
      <w:tabs>
        <w:tab w:val="center" w:pos="4252"/>
        <w:tab w:val="right" w:pos="8504"/>
      </w:tabs>
    </w:pPr>
  </w:style>
  <w:style w:type="character" w:customStyle="1" w:styleId="PiedepginaCar">
    <w:name w:val="Pie de página Car"/>
    <w:basedOn w:val="Fuentedeprrafopredeter"/>
    <w:link w:val="Piedepgina"/>
    <w:uiPriority w:val="99"/>
    <w:rsid w:val="00230EBA"/>
  </w:style>
  <w:style w:type="table" w:styleId="Tablaconcuadrcula">
    <w:name w:val="Table Grid"/>
    <w:basedOn w:val="Tablanormal"/>
    <w:uiPriority w:val="39"/>
    <w:rsid w:val="0069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0462"/>
    <w:pPr>
      <w:ind w:left="720"/>
      <w:contextualSpacing/>
    </w:pPr>
  </w:style>
  <w:style w:type="paragraph" w:styleId="NormalWeb">
    <w:name w:val="Normal (Web)"/>
    <w:basedOn w:val="Normal"/>
    <w:uiPriority w:val="99"/>
    <w:semiHidden/>
    <w:unhideWhenUsed/>
    <w:rsid w:val="00CC1E87"/>
    <w:pPr>
      <w:spacing w:before="100" w:beforeAutospacing="1" w:after="100" w:afterAutospacing="1"/>
    </w:pPr>
    <w:rPr>
      <w:rFonts w:ascii="Times New Roman" w:eastAsia="Times New Roman" w:hAnsi="Times New Roman" w:cs="Times New Roman"/>
    </w:rPr>
  </w:style>
  <w:style w:type="character" w:customStyle="1" w:styleId="Ttulo1Car">
    <w:name w:val="Título 1 Car"/>
    <w:basedOn w:val="Fuentedeprrafopredeter"/>
    <w:link w:val="Ttulo1"/>
    <w:uiPriority w:val="9"/>
    <w:rsid w:val="00636714"/>
    <w:rPr>
      <w:rFonts w:ascii="Tahoma" w:eastAsiaTheme="majorEastAsia" w:hAnsi="Tahoma" w:cstheme="majorBidi"/>
      <w:b/>
      <w:color w:val="7F7F7F" w:themeColor="text1" w:themeTint="80"/>
      <w:sz w:val="32"/>
      <w:szCs w:val="32"/>
      <w:lang w:eastAsia="en-US"/>
    </w:rPr>
  </w:style>
  <w:style w:type="character" w:customStyle="1" w:styleId="Ttulo2Car">
    <w:name w:val="Título 2 Car"/>
    <w:basedOn w:val="Fuentedeprrafopredeter"/>
    <w:link w:val="Ttulo2"/>
    <w:uiPriority w:val="9"/>
    <w:rsid w:val="00636714"/>
    <w:rPr>
      <w:rFonts w:ascii="Tahoma" w:eastAsiaTheme="majorEastAsia" w:hAnsi="Tahoma" w:cstheme="majorBidi"/>
      <w:b/>
      <w:color w:val="595959" w:themeColor="text1" w:themeTint="A6"/>
      <w:sz w:val="28"/>
      <w:szCs w:val="26"/>
      <w:lang w:eastAsia="en-US"/>
    </w:rPr>
  </w:style>
  <w:style w:type="character" w:customStyle="1" w:styleId="Ttulo3Car">
    <w:name w:val="Título 3 Car"/>
    <w:basedOn w:val="Fuentedeprrafopredeter"/>
    <w:link w:val="Ttulo3"/>
    <w:uiPriority w:val="9"/>
    <w:rsid w:val="00636714"/>
    <w:rPr>
      <w:rFonts w:ascii="Tahoma" w:eastAsiaTheme="majorEastAsia" w:hAnsi="Tahoma" w:cstheme="majorBidi"/>
      <w:b/>
      <w:color w:val="1F3763" w:themeColor="accent1" w:themeShade="7F"/>
      <w:sz w:val="22"/>
      <w:lang w:eastAsia="en-US"/>
    </w:rPr>
  </w:style>
  <w:style w:type="character" w:customStyle="1" w:styleId="Ttulo4Car">
    <w:name w:val="Título 4 Car"/>
    <w:basedOn w:val="Fuentedeprrafopredeter"/>
    <w:link w:val="Ttulo4"/>
    <w:uiPriority w:val="9"/>
    <w:semiHidden/>
    <w:rsid w:val="00636714"/>
    <w:rPr>
      <w:rFonts w:asciiTheme="majorHAnsi" w:eastAsiaTheme="majorEastAsia" w:hAnsiTheme="majorHAnsi" w:cstheme="majorBidi"/>
      <w:i/>
      <w:iCs/>
      <w:color w:val="2F5496" w:themeColor="accent1" w:themeShade="BF"/>
      <w:sz w:val="22"/>
      <w:szCs w:val="22"/>
      <w:lang w:eastAsia="en-US"/>
    </w:rPr>
  </w:style>
  <w:style w:type="character" w:customStyle="1" w:styleId="Ttulo5Car">
    <w:name w:val="Título 5 Car"/>
    <w:basedOn w:val="Fuentedeprrafopredeter"/>
    <w:link w:val="Ttulo5"/>
    <w:uiPriority w:val="9"/>
    <w:semiHidden/>
    <w:rsid w:val="00636714"/>
    <w:rPr>
      <w:rFonts w:asciiTheme="majorHAnsi" w:eastAsiaTheme="majorEastAsia" w:hAnsiTheme="majorHAnsi" w:cstheme="majorBidi"/>
      <w:color w:val="2F5496" w:themeColor="accent1" w:themeShade="BF"/>
      <w:sz w:val="22"/>
      <w:szCs w:val="22"/>
      <w:lang w:eastAsia="en-US"/>
    </w:rPr>
  </w:style>
  <w:style w:type="character" w:customStyle="1" w:styleId="Ttulo6Car">
    <w:name w:val="Título 6 Car"/>
    <w:basedOn w:val="Fuentedeprrafopredeter"/>
    <w:link w:val="Ttulo6"/>
    <w:uiPriority w:val="9"/>
    <w:semiHidden/>
    <w:rsid w:val="00636714"/>
    <w:rPr>
      <w:rFonts w:asciiTheme="majorHAnsi" w:eastAsiaTheme="majorEastAsia" w:hAnsiTheme="majorHAnsi" w:cstheme="majorBidi"/>
      <w:color w:val="1F3763" w:themeColor="accent1" w:themeShade="7F"/>
      <w:sz w:val="22"/>
      <w:szCs w:val="22"/>
      <w:lang w:eastAsia="en-US"/>
    </w:rPr>
  </w:style>
  <w:style w:type="character" w:customStyle="1" w:styleId="Ttulo7Car">
    <w:name w:val="Título 7 Car"/>
    <w:basedOn w:val="Fuentedeprrafopredeter"/>
    <w:link w:val="Ttulo7"/>
    <w:uiPriority w:val="9"/>
    <w:semiHidden/>
    <w:rsid w:val="00636714"/>
    <w:rPr>
      <w:rFonts w:asciiTheme="majorHAnsi" w:eastAsiaTheme="majorEastAsia" w:hAnsiTheme="majorHAnsi" w:cstheme="majorBidi"/>
      <w:i/>
      <w:iCs/>
      <w:color w:val="1F3763" w:themeColor="accent1" w:themeShade="7F"/>
      <w:sz w:val="22"/>
      <w:szCs w:val="22"/>
      <w:lang w:eastAsia="en-US"/>
    </w:rPr>
  </w:style>
  <w:style w:type="character" w:customStyle="1" w:styleId="Ttulo8Car">
    <w:name w:val="Título 8 Car"/>
    <w:basedOn w:val="Fuentedeprrafopredeter"/>
    <w:link w:val="Ttulo8"/>
    <w:uiPriority w:val="9"/>
    <w:semiHidden/>
    <w:rsid w:val="00636714"/>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636714"/>
    <w:rPr>
      <w:rFonts w:asciiTheme="majorHAnsi" w:eastAsiaTheme="majorEastAsia" w:hAnsiTheme="majorHAnsi" w:cstheme="majorBidi"/>
      <w:i/>
      <w:iCs/>
      <w:color w:val="272727" w:themeColor="text1" w:themeTint="D8"/>
      <w:sz w:val="21"/>
      <w:szCs w:val="21"/>
      <w:lang w:eastAsia="en-US"/>
    </w:rPr>
  </w:style>
  <w:style w:type="paragraph" w:styleId="Ttulo">
    <w:name w:val="Title"/>
    <w:basedOn w:val="Normal"/>
    <w:next w:val="Normal"/>
    <w:link w:val="TtuloCar"/>
    <w:uiPriority w:val="10"/>
    <w:qFormat/>
    <w:rsid w:val="00636714"/>
    <w:pPr>
      <w:spacing w:line="360" w:lineRule="auto"/>
      <w:contextualSpacing/>
      <w:jc w:val="both"/>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636714"/>
    <w:rPr>
      <w:rFonts w:asciiTheme="majorHAnsi" w:eastAsiaTheme="majorEastAsia" w:hAnsiTheme="majorHAnsi" w:cstheme="majorBidi"/>
      <w:spacing w:val="-10"/>
      <w:kern w:val="28"/>
      <w:sz w:val="56"/>
      <w:szCs w:val="56"/>
      <w:lang w:eastAsia="en-US"/>
    </w:rPr>
  </w:style>
  <w:style w:type="character" w:styleId="Referenciasutil">
    <w:name w:val="Subtle Reference"/>
    <w:basedOn w:val="CitaHTML"/>
    <w:uiPriority w:val="31"/>
    <w:qFormat/>
    <w:rsid w:val="00636714"/>
    <w:rPr>
      <w:rFonts w:ascii="Tahoma" w:hAnsi="Tahoma"/>
      <w:i/>
      <w:iCs/>
      <w:smallCaps/>
      <w:color w:val="5A5A5A" w:themeColor="text1" w:themeTint="A5"/>
      <w:sz w:val="20"/>
    </w:rPr>
  </w:style>
  <w:style w:type="character" w:styleId="CitaHTML">
    <w:name w:val="HTML Cite"/>
    <w:basedOn w:val="Fuentedeprrafopredeter"/>
    <w:uiPriority w:val="99"/>
    <w:semiHidden/>
    <w:unhideWhenUsed/>
    <w:rsid w:val="00636714"/>
    <w:rPr>
      <w:i/>
      <w:iCs/>
    </w:rPr>
  </w:style>
  <w:style w:type="paragraph" w:styleId="Textodeglobo">
    <w:name w:val="Balloon Text"/>
    <w:basedOn w:val="Normal"/>
    <w:link w:val="TextodegloboCar"/>
    <w:uiPriority w:val="99"/>
    <w:semiHidden/>
    <w:unhideWhenUsed/>
    <w:rsid w:val="00636714"/>
    <w:pPr>
      <w:jc w:val="both"/>
    </w:pPr>
    <w:rPr>
      <w:rFonts w:ascii="Segoe UI" w:hAnsi="Segoe UI" w:cs="Segoe UI"/>
      <w:sz w:val="18"/>
      <w:szCs w:val="18"/>
      <w:lang w:eastAsia="en-US"/>
    </w:rPr>
  </w:style>
  <w:style w:type="character" w:customStyle="1" w:styleId="TextodegloboCar">
    <w:name w:val="Texto de globo Car"/>
    <w:basedOn w:val="Fuentedeprrafopredeter"/>
    <w:link w:val="Textodeglobo"/>
    <w:uiPriority w:val="99"/>
    <w:semiHidden/>
    <w:rsid w:val="0063671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2098">
      <w:bodyDiv w:val="1"/>
      <w:marLeft w:val="0"/>
      <w:marRight w:val="0"/>
      <w:marTop w:val="0"/>
      <w:marBottom w:val="0"/>
      <w:divBdr>
        <w:top w:val="none" w:sz="0" w:space="0" w:color="auto"/>
        <w:left w:val="none" w:sz="0" w:space="0" w:color="auto"/>
        <w:bottom w:val="none" w:sz="0" w:space="0" w:color="auto"/>
        <w:right w:val="none" w:sz="0" w:space="0" w:color="auto"/>
      </w:divBdr>
    </w:div>
    <w:div w:id="510220116">
      <w:bodyDiv w:val="1"/>
      <w:marLeft w:val="0"/>
      <w:marRight w:val="0"/>
      <w:marTop w:val="0"/>
      <w:marBottom w:val="0"/>
      <w:divBdr>
        <w:top w:val="none" w:sz="0" w:space="0" w:color="auto"/>
        <w:left w:val="none" w:sz="0" w:space="0" w:color="auto"/>
        <w:bottom w:val="none" w:sz="0" w:space="0" w:color="auto"/>
        <w:right w:val="none" w:sz="0" w:space="0" w:color="auto"/>
      </w:divBdr>
    </w:div>
    <w:div w:id="588587048">
      <w:bodyDiv w:val="1"/>
      <w:marLeft w:val="0"/>
      <w:marRight w:val="0"/>
      <w:marTop w:val="0"/>
      <w:marBottom w:val="0"/>
      <w:divBdr>
        <w:top w:val="none" w:sz="0" w:space="0" w:color="auto"/>
        <w:left w:val="none" w:sz="0" w:space="0" w:color="auto"/>
        <w:bottom w:val="none" w:sz="0" w:space="0" w:color="auto"/>
        <w:right w:val="none" w:sz="0" w:space="0" w:color="auto"/>
      </w:divBdr>
      <w:divsChild>
        <w:div w:id="1500459256">
          <w:marLeft w:val="0"/>
          <w:marRight w:val="0"/>
          <w:marTop w:val="0"/>
          <w:marBottom w:val="0"/>
          <w:divBdr>
            <w:top w:val="none" w:sz="0" w:space="0" w:color="auto"/>
            <w:left w:val="none" w:sz="0" w:space="0" w:color="auto"/>
            <w:bottom w:val="none" w:sz="0" w:space="0" w:color="auto"/>
            <w:right w:val="none" w:sz="0" w:space="0" w:color="auto"/>
          </w:divBdr>
          <w:divsChild>
            <w:div w:id="256065506">
              <w:marLeft w:val="0"/>
              <w:marRight w:val="0"/>
              <w:marTop w:val="0"/>
              <w:marBottom w:val="0"/>
              <w:divBdr>
                <w:top w:val="none" w:sz="0" w:space="0" w:color="auto"/>
                <w:left w:val="none" w:sz="0" w:space="0" w:color="auto"/>
                <w:bottom w:val="none" w:sz="0" w:space="0" w:color="auto"/>
                <w:right w:val="none" w:sz="0" w:space="0" w:color="auto"/>
              </w:divBdr>
              <w:divsChild>
                <w:div w:id="5673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53297">
      <w:bodyDiv w:val="1"/>
      <w:marLeft w:val="0"/>
      <w:marRight w:val="0"/>
      <w:marTop w:val="0"/>
      <w:marBottom w:val="0"/>
      <w:divBdr>
        <w:top w:val="none" w:sz="0" w:space="0" w:color="auto"/>
        <w:left w:val="none" w:sz="0" w:space="0" w:color="auto"/>
        <w:bottom w:val="none" w:sz="0" w:space="0" w:color="auto"/>
        <w:right w:val="none" w:sz="0" w:space="0" w:color="auto"/>
      </w:divBdr>
      <w:divsChild>
        <w:div w:id="680084984">
          <w:marLeft w:val="0"/>
          <w:marRight w:val="0"/>
          <w:marTop w:val="0"/>
          <w:marBottom w:val="0"/>
          <w:divBdr>
            <w:top w:val="none" w:sz="0" w:space="0" w:color="auto"/>
            <w:left w:val="none" w:sz="0" w:space="0" w:color="auto"/>
            <w:bottom w:val="none" w:sz="0" w:space="0" w:color="auto"/>
            <w:right w:val="none" w:sz="0" w:space="0" w:color="auto"/>
          </w:divBdr>
          <w:divsChild>
            <w:div w:id="1242258910">
              <w:marLeft w:val="0"/>
              <w:marRight w:val="0"/>
              <w:marTop w:val="0"/>
              <w:marBottom w:val="0"/>
              <w:divBdr>
                <w:top w:val="none" w:sz="0" w:space="0" w:color="auto"/>
                <w:left w:val="none" w:sz="0" w:space="0" w:color="auto"/>
                <w:bottom w:val="none" w:sz="0" w:space="0" w:color="auto"/>
                <w:right w:val="none" w:sz="0" w:space="0" w:color="auto"/>
              </w:divBdr>
              <w:divsChild>
                <w:div w:id="1507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www.secretariasenado.gov.co/senado/basedoc/ley_0005_1992_pr007.html" TargetMode="Externa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NALMAN\Dropbox\MCV_2020\Calidad\Salida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D:\CATALINA\OTROS\OTROS\MANIZALES%20COMO%20VAMOS\MCV_2020\Acceso\Origen%20estudiantes\Union_Universidad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ATALINA\OTROS\OTROS\MANIZALES%20COMO%20VAMOS\MCV_2020\Acceso\Origen%20estudiantes\Union_Universidad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ATALINA\OTROS\OTROS\MANIZALES%20COMO%20VAMOS\MCV_2020\Acceso\Origen%20estudiantes\Union_Universidad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restamos\Desktop\Asociar.csv"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restamos\Desktop\Asociar.csv"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restamos\Desktop\Asociar.csv"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Prestamos\Desktop\Asociar.csv"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Prestamos\Desktop\Cata\Libro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773835499478227E-2"/>
          <c:y val="4.4511879605720971E-2"/>
          <c:w val="0.92325155741074527"/>
          <c:h val="0.75235909775662679"/>
        </c:manualLayout>
      </c:layout>
      <c:barChart>
        <c:barDir val="col"/>
        <c:grouping val="clustered"/>
        <c:varyColors val="0"/>
        <c:ser>
          <c:idx val="0"/>
          <c:order val="0"/>
          <c:tx>
            <c:strRef>
              <c:f>Hoja1!$A$2</c:f>
              <c:strCache>
                <c:ptCount val="1"/>
                <c:pt idx="0">
                  <c:v>Departamento</c:v>
                </c:pt>
              </c:strCache>
            </c:strRef>
          </c:tx>
          <c:spPr>
            <a:solidFill>
              <a:schemeClr val="accent1"/>
            </a:solidFill>
            <a:ln>
              <a:noFill/>
            </a:ln>
            <a:effectLst/>
          </c:spPr>
          <c:invertIfNegative val="0"/>
          <c:dLbls>
            <c:dLbl>
              <c:idx val="5"/>
              <c:layout>
                <c:manualLayout>
                  <c:x val="0"/>
                  <c:y val="2.57731958762886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55-E744-B304-427CE6D1F86C}"/>
                </c:ext>
              </c:extLst>
            </c:dLbl>
            <c:dLbl>
              <c:idx val="6"/>
              <c:layout>
                <c:manualLayout>
                  <c:x val="0"/>
                  <c:y val="1.93298969072164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55-E744-B304-427CE6D1F86C}"/>
                </c:ext>
              </c:extLst>
            </c:dLbl>
            <c:dLbl>
              <c:idx val="10"/>
              <c:layout>
                <c:manualLayout>
                  <c:x val="0"/>
                  <c:y val="1.93298969072164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55-E744-B304-427CE6D1F86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Hoja1!$B$2:$L$2</c:f>
              <c:numCache>
                <c:formatCode>0.0%</c:formatCode>
                <c:ptCount val="11"/>
                <c:pt idx="0">
                  <c:v>0.39643562057355158</c:v>
                </c:pt>
                <c:pt idx="1">
                  <c:v>0.42062962051714642</c:v>
                </c:pt>
                <c:pt idx="2">
                  <c:v>0.45793715798345264</c:v>
                </c:pt>
                <c:pt idx="3">
                  <c:v>0.49150640638949883</c:v>
                </c:pt>
                <c:pt idx="4">
                  <c:v>0.51210083208561397</c:v>
                </c:pt>
                <c:pt idx="5">
                  <c:v>0.55327275450596636</c:v>
                </c:pt>
                <c:pt idx="6">
                  <c:v>0.56422099840113693</c:v>
                </c:pt>
                <c:pt idx="7">
                  <c:v>0.58373507141296099</c:v>
                </c:pt>
                <c:pt idx="8">
                  <c:v>0.57861030643925127</c:v>
                </c:pt>
                <c:pt idx="9">
                  <c:v>0.58032416231777373</c:v>
                </c:pt>
                <c:pt idx="10">
                  <c:v>0.55659358965815953</c:v>
                </c:pt>
              </c:numCache>
            </c:numRef>
          </c:val>
          <c:extLst>
            <c:ext xmlns:c16="http://schemas.microsoft.com/office/drawing/2014/chart" uri="{C3380CC4-5D6E-409C-BE32-E72D297353CC}">
              <c16:uniqueId val="{00000003-7B55-E744-B304-427CE6D1F86C}"/>
            </c:ext>
          </c:extLst>
        </c:ser>
        <c:dLbls>
          <c:showLegendKey val="0"/>
          <c:showVal val="0"/>
          <c:showCatName val="0"/>
          <c:showSerName val="0"/>
          <c:showPercent val="0"/>
          <c:showBubbleSize val="0"/>
        </c:dLbls>
        <c:gapWidth val="60"/>
        <c:overlap val="-27"/>
        <c:axId val="444590288"/>
        <c:axId val="444594600"/>
      </c:barChart>
      <c:catAx>
        <c:axId val="44459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444594600"/>
        <c:crosses val="autoZero"/>
        <c:auto val="1"/>
        <c:lblAlgn val="ctr"/>
        <c:lblOffset val="100"/>
        <c:noMultiLvlLbl val="0"/>
      </c:catAx>
      <c:valAx>
        <c:axId val="444594600"/>
        <c:scaling>
          <c:orientation val="minMax"/>
          <c:max val="0.60000000000000009"/>
        </c:scaling>
        <c:delete val="1"/>
        <c:axPos val="l"/>
        <c:numFmt formatCode="0%" sourceLinked="0"/>
        <c:majorTickMark val="none"/>
        <c:minorTickMark val="none"/>
        <c:tickLblPos val="nextTo"/>
        <c:crossAx val="444590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mn-lt"/>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Hoja2!$I$29</c:f>
              <c:strCache>
                <c:ptCount val="1"/>
                <c:pt idx="0">
                  <c:v>2016 </c:v>
                </c:pt>
              </c:strCache>
            </c:strRef>
          </c:tx>
          <c:spPr>
            <a:solidFill>
              <a:schemeClr val="accent1"/>
            </a:solidFill>
            <a:ln>
              <a:noFill/>
            </a:ln>
            <a:effectLst/>
          </c:spPr>
          <c:invertIfNegative val="0"/>
          <c:cat>
            <c:strRef>
              <c:f>Hoja2!$H$30:$H$52</c:f>
              <c:strCache>
                <c:ptCount val="23"/>
                <c:pt idx="0">
                  <c:v>Florencia</c:v>
                </c:pt>
                <c:pt idx="1">
                  <c:v>Quibdó</c:v>
                </c:pt>
                <c:pt idx="2">
                  <c:v>Riohacha</c:v>
                </c:pt>
                <c:pt idx="3">
                  <c:v>Sincelejo</c:v>
                </c:pt>
                <c:pt idx="4">
                  <c:v>Valledupar</c:v>
                </c:pt>
                <c:pt idx="5">
                  <c:v>Cúcuta</c:v>
                </c:pt>
                <c:pt idx="6">
                  <c:v>Villavicencio</c:v>
                </c:pt>
                <c:pt idx="7">
                  <c:v>Ibagué</c:v>
                </c:pt>
                <c:pt idx="8">
                  <c:v>Pasto</c:v>
                </c:pt>
                <c:pt idx="9">
                  <c:v>Cali</c:v>
                </c:pt>
                <c:pt idx="10">
                  <c:v>Popayán</c:v>
                </c:pt>
                <c:pt idx="11">
                  <c:v>Bogotá</c:v>
                </c:pt>
                <c:pt idx="12">
                  <c:v>Neiva</c:v>
                </c:pt>
                <c:pt idx="13">
                  <c:v>Medellin</c:v>
                </c:pt>
                <c:pt idx="14">
                  <c:v>Pereira</c:v>
                </c:pt>
                <c:pt idx="15">
                  <c:v>Bucaramanga</c:v>
                </c:pt>
                <c:pt idx="16">
                  <c:v>Cartagena</c:v>
                </c:pt>
                <c:pt idx="17">
                  <c:v>Armenia</c:v>
                </c:pt>
                <c:pt idx="18">
                  <c:v>Tunja</c:v>
                </c:pt>
                <c:pt idx="19">
                  <c:v>Barranquilla</c:v>
                </c:pt>
                <c:pt idx="20">
                  <c:v>Santa Marta</c:v>
                </c:pt>
                <c:pt idx="21">
                  <c:v>Monteria</c:v>
                </c:pt>
                <c:pt idx="22">
                  <c:v>Manizales</c:v>
                </c:pt>
              </c:strCache>
            </c:strRef>
          </c:cat>
          <c:val>
            <c:numRef>
              <c:f>Hoja2!$I$30:$I$52</c:f>
              <c:numCache>
                <c:formatCode>#,#00%</c:formatCode>
                <c:ptCount val="23"/>
                <c:pt idx="0">
                  <c:v>0</c:v>
                </c:pt>
                <c:pt idx="1">
                  <c:v>0</c:v>
                </c:pt>
                <c:pt idx="2">
                  <c:v>0</c:v>
                </c:pt>
                <c:pt idx="3">
                  <c:v>0</c:v>
                </c:pt>
                <c:pt idx="4">
                  <c:v>0</c:v>
                </c:pt>
                <c:pt idx="5">
                  <c:v>0.24605157301943514</c:v>
                </c:pt>
                <c:pt idx="6">
                  <c:v>0.14234934740349903</c:v>
                </c:pt>
                <c:pt idx="7">
                  <c:v>2.7416038382453737E-3</c:v>
                </c:pt>
                <c:pt idx="8">
                  <c:v>3.7616611495636476E-5</c:v>
                </c:pt>
                <c:pt idx="9">
                  <c:v>0.56540772069717948</c:v>
                </c:pt>
                <c:pt idx="10">
                  <c:v>0.52266591449409683</c:v>
                </c:pt>
                <c:pt idx="11">
                  <c:v>0.4949073130983907</c:v>
                </c:pt>
                <c:pt idx="12">
                  <c:v>1.7035775127768313E-4</c:v>
                </c:pt>
                <c:pt idx="13">
                  <c:v>0.52359064575011238</c:v>
                </c:pt>
                <c:pt idx="14">
                  <c:v>0.66680777371560518</c:v>
                </c:pt>
                <c:pt idx="15">
                  <c:v>0.41406656786958784</c:v>
                </c:pt>
                <c:pt idx="16">
                  <c:v>0.48005339790754709</c:v>
                </c:pt>
                <c:pt idx="17">
                  <c:v>0</c:v>
                </c:pt>
                <c:pt idx="18">
                  <c:v>0.69889880234707824</c:v>
                </c:pt>
                <c:pt idx="19">
                  <c:v>0.32689326628605997</c:v>
                </c:pt>
                <c:pt idx="20">
                  <c:v>0.71834239130434785</c:v>
                </c:pt>
                <c:pt idx="21">
                  <c:v>0</c:v>
                </c:pt>
                <c:pt idx="22">
                  <c:v>0.86871762426351373</c:v>
                </c:pt>
              </c:numCache>
            </c:numRef>
          </c:val>
          <c:extLst>
            <c:ext xmlns:c16="http://schemas.microsoft.com/office/drawing/2014/chart" uri="{C3380CC4-5D6E-409C-BE32-E72D297353CC}">
              <c16:uniqueId val="{00000000-D3AD-DB4F-BB92-B4EA1208CEC9}"/>
            </c:ext>
          </c:extLst>
        </c:ser>
        <c:ser>
          <c:idx val="3"/>
          <c:order val="1"/>
          <c:tx>
            <c:strRef>
              <c:f>Hoja2!$L$29</c:f>
              <c:strCache>
                <c:ptCount val="1"/>
                <c:pt idx="0">
                  <c:v>2019 </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Hoja2!$L$30:$L$52</c:f>
              <c:numCache>
                <c:formatCode>#,#00%</c:formatCode>
                <c:ptCount val="23"/>
                <c:pt idx="0">
                  <c:v>0</c:v>
                </c:pt>
                <c:pt idx="1">
                  <c:v>0</c:v>
                </c:pt>
                <c:pt idx="2">
                  <c:v>0</c:v>
                </c:pt>
                <c:pt idx="3">
                  <c:v>0</c:v>
                </c:pt>
                <c:pt idx="4">
                  <c:v>0</c:v>
                </c:pt>
                <c:pt idx="5">
                  <c:v>0.20368881932399849</c:v>
                </c:pt>
                <c:pt idx="6">
                  <c:v>0.21140992579337931</c:v>
                </c:pt>
                <c:pt idx="7">
                  <c:v>0.34491962749866539</c:v>
                </c:pt>
                <c:pt idx="8">
                  <c:v>0.41260649872754768</c:v>
                </c:pt>
                <c:pt idx="9">
                  <c:v>0.50993592238047059</c:v>
                </c:pt>
                <c:pt idx="10">
                  <c:v>0.53840375586854461</c:v>
                </c:pt>
                <c:pt idx="11">
                  <c:v>0.57085041219545896</c:v>
                </c:pt>
                <c:pt idx="12">
                  <c:v>0.58439755691282624</c:v>
                </c:pt>
                <c:pt idx="13">
                  <c:v>0.62845186036045109</c:v>
                </c:pt>
                <c:pt idx="14">
                  <c:v>0.63542909944942827</c:v>
                </c:pt>
                <c:pt idx="15">
                  <c:v>0.65224142049526235</c:v>
                </c:pt>
                <c:pt idx="16">
                  <c:v>0.68974194089523866</c:v>
                </c:pt>
                <c:pt idx="17">
                  <c:v>0.72447562669005339</c:v>
                </c:pt>
                <c:pt idx="18">
                  <c:v>0.73200045785798773</c:v>
                </c:pt>
                <c:pt idx="19">
                  <c:v>0.73267948412050588</c:v>
                </c:pt>
                <c:pt idx="20">
                  <c:v>0.81118787608647203</c:v>
                </c:pt>
                <c:pt idx="21">
                  <c:v>0.81857683703321282</c:v>
                </c:pt>
                <c:pt idx="22">
                  <c:v>0.92692585963977003</c:v>
                </c:pt>
              </c:numCache>
            </c:numRef>
          </c:val>
          <c:extLst>
            <c:ext xmlns:c16="http://schemas.microsoft.com/office/drawing/2014/chart" uri="{C3380CC4-5D6E-409C-BE32-E72D297353CC}">
              <c16:uniqueId val="{00000001-D3AD-DB4F-BB92-B4EA1208CEC9}"/>
            </c:ext>
          </c:extLst>
        </c:ser>
        <c:dLbls>
          <c:showLegendKey val="0"/>
          <c:showVal val="0"/>
          <c:showCatName val="0"/>
          <c:showSerName val="0"/>
          <c:showPercent val="0"/>
          <c:showBubbleSize val="0"/>
        </c:dLbls>
        <c:gapWidth val="182"/>
        <c:axId val="48728351"/>
        <c:axId val="48728767"/>
      </c:barChart>
      <c:catAx>
        <c:axId val="487283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crossAx val="48728767"/>
        <c:crosses val="autoZero"/>
        <c:auto val="1"/>
        <c:lblAlgn val="ctr"/>
        <c:lblOffset val="100"/>
        <c:noMultiLvlLbl val="0"/>
      </c:catAx>
      <c:valAx>
        <c:axId val="48728767"/>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crossAx val="48728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800">
          <a:latin typeface="Segoe UI" panose="020B0502040204020203" pitchFamily="34" charset="0"/>
          <a:cs typeface="Segoe UI" panose="020B0502040204020203" pitchFamily="34" charset="0"/>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explosion val="4"/>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53-E04B-A730-0F6CB41A37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53-E04B-A730-0F6CB41A37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53-E04B-A730-0F6CB41A37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853-E04B-A730-0F6CB41A37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853-E04B-A730-0F6CB41A37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853-E04B-A730-0F6CB41A37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853-E04B-A730-0F6CB41A37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853-E04B-A730-0F6CB41A37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853-E04B-A730-0F6CB41A37DB}"/>
              </c:ext>
            </c:extLst>
          </c:dPt>
          <c:dLbls>
            <c:dLbl>
              <c:idx val="0"/>
              <c:layout>
                <c:manualLayout>
                  <c:x val="6.8075117370892016E-2"/>
                  <c:y val="-0.140665865920795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53-E04B-A730-0F6CB41A37DB}"/>
                </c:ext>
              </c:extLst>
            </c:dLbl>
            <c:dLbl>
              <c:idx val="1"/>
              <c:layout>
                <c:manualLayout>
                  <c:x val="0.15023474178403748"/>
                  <c:y val="-0.112808446717501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53-E04B-A730-0F6CB41A37DB}"/>
                </c:ext>
              </c:extLst>
            </c:dLbl>
            <c:dLbl>
              <c:idx val="2"/>
              <c:spPr>
                <a:noFill/>
                <a:ln>
                  <a:noFill/>
                </a:ln>
                <a:effectLst/>
              </c:spPr>
              <c:txPr>
                <a:bodyPr rot="0" spcFirstLastPara="1" vertOverflow="ellipsis" horzOverflow="clip" vert="horz" wrap="square" lIns="38100" tIns="19050" rIns="38100" bIns="19050" anchor="ctr" anchorCtr="1">
                  <a:noAutofit/>
                </a:bodyPr>
                <a:lstStyle/>
                <a:p>
                  <a:pPr>
                    <a:defRPr sz="700" b="0" i="0" u="none" strike="noStrike" kern="1200" baseline="0">
                      <a:solidFill>
                        <a:sysClr val="windowText" lastClr="000000"/>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8853-E04B-A730-0F6CB41A37DB}"/>
                </c:ext>
              </c:extLst>
            </c:dLbl>
            <c:dLbl>
              <c:idx val="3"/>
              <c:layout>
                <c:manualLayout>
                  <c:x val="2.3475102584007124E-3"/>
                  <c:y val="6.2671359287500093E-3"/>
                </c:manualLayout>
              </c:layout>
              <c:showLegendKey val="0"/>
              <c:showVal val="1"/>
              <c:showCatName val="1"/>
              <c:showSerName val="0"/>
              <c:showPercent val="0"/>
              <c:showBubbleSize val="0"/>
              <c:extLst>
                <c:ext xmlns:c15="http://schemas.microsoft.com/office/drawing/2012/chart" uri="{CE6537A1-D6FC-4f65-9D91-7224C49458BB}">
                  <c15:layout>
                    <c:manualLayout>
                      <c:w val="0.16188957894347711"/>
                      <c:h val="7.8245192070444586E-2"/>
                    </c:manualLayout>
                  </c15:layout>
                </c:ext>
                <c:ext xmlns:c16="http://schemas.microsoft.com/office/drawing/2014/chart" uri="{C3380CC4-5D6E-409C-BE32-E72D297353CC}">
                  <c16:uniqueId val="{00000007-8853-E04B-A730-0F6CB41A37DB}"/>
                </c:ext>
              </c:extLst>
            </c:dLbl>
            <c:dLbl>
              <c:idx val="4"/>
              <c:layout>
                <c:manualLayout>
                  <c:x val="4.6948356807512597E-3"/>
                  <c:y val="-2.5068420346182771E-2"/>
                </c:manualLayout>
              </c:layout>
              <c:spPr>
                <a:noFill/>
                <a:ln>
                  <a:noFill/>
                </a:ln>
                <a:effectLst/>
              </c:spPr>
              <c:txPr>
                <a:bodyPr rot="0" spcFirstLastPara="1" vertOverflow="ellipsis" vert="horz" wrap="square" lIns="38100" tIns="19050" rIns="38100" bIns="19050" anchor="ctr" anchorCtr="1">
                  <a:noAutofit/>
                </a:bodyPr>
                <a:lstStyle/>
                <a:p>
                  <a:pPr>
                    <a:defRPr sz="700" b="1" i="0" u="none" strike="noStrike" kern="1200" baseline="0">
                      <a:solidFill>
                        <a:sysClr val="windowText" lastClr="000000"/>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layout>
                    <c:manualLayout>
                      <c:w val="0.14755868544600939"/>
                      <c:h val="0.11898157560732001"/>
                    </c:manualLayout>
                  </c15:layout>
                </c:ext>
                <c:ext xmlns:c16="http://schemas.microsoft.com/office/drawing/2014/chart" uri="{C3380CC4-5D6E-409C-BE32-E72D297353CC}">
                  <c16:uniqueId val="{00000009-8853-E04B-A730-0F6CB41A37DB}"/>
                </c:ext>
              </c:extLst>
            </c:dLbl>
            <c:dLbl>
              <c:idx val="5"/>
              <c:layout>
                <c:manualLayout>
                  <c:x val="2.9342630586669582E-2"/>
                  <c:y val="2.4673763487526396E-7"/>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layout>
                    <c:manualLayout>
                      <c:w val="0.17704225352112674"/>
                      <c:h val="0.11266755952792182"/>
                    </c:manualLayout>
                  </c15:layout>
                </c:ext>
                <c:ext xmlns:c16="http://schemas.microsoft.com/office/drawing/2014/chart" uri="{C3380CC4-5D6E-409C-BE32-E72D297353CC}">
                  <c16:uniqueId val="{0000000B-8853-E04B-A730-0F6CB41A37DB}"/>
                </c:ext>
              </c:extLst>
            </c:dLbl>
            <c:dLbl>
              <c:idx val="6"/>
              <c:layout>
                <c:manualLayout>
                  <c:x val="-4.6948356807511738E-3"/>
                  <c:y val="0"/>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853-E04B-A730-0F6CB41A37DB}"/>
                </c:ext>
              </c:extLst>
            </c:dLbl>
            <c:dLbl>
              <c:idx val="7"/>
              <c:layout>
                <c:manualLayout>
                  <c:x val="-0.18075117370892022"/>
                  <c:y val="-0.1441441263612515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853-E04B-A730-0F6CB41A37DB}"/>
                </c:ext>
              </c:extLst>
            </c:dLbl>
            <c:dLbl>
              <c:idx val="8"/>
              <c:layout>
                <c:manualLayout>
                  <c:x val="-3.0516431924882632E-2"/>
                  <c:y val="-0.14414412636125154"/>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ysClr val="windowText" lastClr="000000"/>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layout>
                    <c:manualLayout>
                      <c:w val="0.14650234741784038"/>
                      <c:h val="6.8891615065602582E-2"/>
                    </c:manualLayout>
                  </c15:layout>
                </c:ext>
                <c:ext xmlns:c16="http://schemas.microsoft.com/office/drawing/2014/chart" uri="{C3380CC4-5D6E-409C-BE32-E72D297353CC}">
                  <c16:uniqueId val="{00000011-8853-E04B-A730-0F6CB41A37DB}"/>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s-CO"/>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Hoja1!$H$97:$H$105</c:f>
              <c:strCache>
                <c:ptCount val="9"/>
                <c:pt idx="0">
                  <c:v>Agronomía, veterinaria y afines</c:v>
                </c:pt>
                <c:pt idx="1">
                  <c:v>Bellas artes</c:v>
                </c:pt>
                <c:pt idx="2">
                  <c:v>Ciencias de la educación</c:v>
                </c:pt>
                <c:pt idx="3">
                  <c:v>Ciencias de la salud</c:v>
                </c:pt>
                <c:pt idx="4">
                  <c:v>Ciencias sociales y humanas</c:v>
                </c:pt>
                <c:pt idx="5">
                  <c:v>Economía administración contad.</c:v>
                </c:pt>
                <c:pt idx="6">
                  <c:v>Ingeniería arquitectura urbanismo</c:v>
                </c:pt>
                <c:pt idx="7">
                  <c:v>Matemáticas y ciencias naturales</c:v>
                </c:pt>
                <c:pt idx="8">
                  <c:v>Sin información</c:v>
                </c:pt>
              </c:strCache>
            </c:strRef>
          </c:cat>
          <c:val>
            <c:numRef>
              <c:f>Hoja1!$I$97:$I$105</c:f>
              <c:numCache>
                <c:formatCode>0%</c:formatCode>
                <c:ptCount val="9"/>
                <c:pt idx="0">
                  <c:v>4.5684405328054054E-2</c:v>
                </c:pt>
                <c:pt idx="1">
                  <c:v>2.5499774052634976E-2</c:v>
                </c:pt>
                <c:pt idx="2">
                  <c:v>7.5530976307804865E-2</c:v>
                </c:pt>
                <c:pt idx="3">
                  <c:v>9.2401712896214849E-2</c:v>
                </c:pt>
                <c:pt idx="4">
                  <c:v>0.17972498977857157</c:v>
                </c:pt>
                <c:pt idx="5">
                  <c:v>0.27967980030556694</c:v>
                </c:pt>
                <c:pt idx="6">
                  <c:v>0.25930149986012785</c:v>
                </c:pt>
                <c:pt idx="7">
                  <c:v>3.0728841643175315E-2</c:v>
                </c:pt>
                <c:pt idx="8">
                  <c:v>1.1447999827849626E-2</c:v>
                </c:pt>
              </c:numCache>
            </c:numRef>
          </c:val>
          <c:extLst>
            <c:ext xmlns:c16="http://schemas.microsoft.com/office/drawing/2014/chart" uri="{C3380CC4-5D6E-409C-BE32-E72D297353CC}">
              <c16:uniqueId val="{00000012-8853-E04B-A730-0F6CB41A37DB}"/>
            </c:ext>
          </c:extLst>
        </c:ser>
        <c:dLbls>
          <c:showLegendKey val="0"/>
          <c:showVal val="1"/>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95-9544-92DB-C33C55729C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95-9544-92DB-C33C55729C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95-9544-92DB-C33C55729CC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95-9544-92DB-C33C55729CC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195-9544-92DB-C33C55729CC0}"/>
              </c:ext>
            </c:extLst>
          </c:dPt>
          <c:dLbls>
            <c:dLbl>
              <c:idx val="0"/>
              <c:layout>
                <c:manualLayout>
                  <c:x val="0.13232633420822398"/>
                  <c:y val="2.9749927092446778E-3"/>
                </c:manualLayout>
              </c:layout>
              <c:tx>
                <c:rich>
                  <a:bodyPr/>
                  <a:lstStyle/>
                  <a:p>
                    <a:r>
                      <a:rPr lang="en-US"/>
                      <a:t>Manizales</a:t>
                    </a:r>
                  </a:p>
                  <a:p>
                    <a:r>
                      <a:rPr lang="en-US"/>
                      <a:t>53,7%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195-9544-92DB-C33C55729CC0}"/>
                </c:ext>
              </c:extLst>
            </c:dLbl>
            <c:dLbl>
              <c:idx val="2"/>
              <c:tx>
                <c:rich>
                  <a:bodyPr/>
                  <a:lstStyle/>
                  <a:p>
                    <a:r>
                      <a:rPr lang="en-US"/>
                      <a:t>Otros municipios de Caldas</a:t>
                    </a:r>
                  </a:p>
                  <a:p>
                    <a:fld id="{75F90522-06C4-4639-B8F2-A805B0F6DA4E}"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195-9544-92DB-C33C55729CC0}"/>
                </c:ext>
              </c:extLst>
            </c:dLbl>
            <c:dLbl>
              <c:idx val="3"/>
              <c:layout>
                <c:manualLayout>
                  <c:x val="5.2777777777777882E-2"/>
                  <c:y val="8.5543890347039866E-2"/>
                </c:manualLayout>
              </c:layout>
              <c:tx>
                <c:rich>
                  <a:bodyPr/>
                  <a:lstStyle/>
                  <a:p>
                    <a:r>
                      <a:rPr lang="en-US"/>
                      <a:t>Otros departamentos y extranjeros</a:t>
                    </a:r>
                  </a:p>
                  <a:p>
                    <a:fld id="{6B19A67A-1F9D-4BE5-AEAD-274CEF92F4BC}"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195-9544-92DB-C33C55729CC0}"/>
                </c:ext>
              </c:extLst>
            </c:dLbl>
            <c:dLbl>
              <c:idx val="4"/>
              <c:layout>
                <c:manualLayout>
                  <c:x val="-0.17235039370078739"/>
                  <c:y val="2.7419437153689122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solidFill>
                          <a:schemeClr val="bg1"/>
                        </a:solidFill>
                      </a:rPr>
                      <a:t>Otro origen</a:t>
                    </a:r>
                  </a:p>
                  <a:p>
                    <a:pPr>
                      <a:defRPr>
                        <a:solidFill>
                          <a:schemeClr val="bg1"/>
                        </a:solidFill>
                      </a:defRPr>
                    </a:pPr>
                    <a:r>
                      <a:rPr lang="en-US">
                        <a:solidFill>
                          <a:schemeClr val="bg1"/>
                        </a:solidFill>
                      </a:rPr>
                      <a:t>46,3%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195-9544-92DB-C33C55729C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Hoja1!$B$14:$B$17</c:f>
              <c:numCache>
                <c:formatCode>General</c:formatCode>
                <c:ptCount val="4"/>
                <c:pt idx="0" formatCode="#,#00%">
                  <c:v>0.53707541219929722</c:v>
                </c:pt>
                <c:pt idx="2" formatCode="#,#00%">
                  <c:v>0.16836351623269363</c:v>
                </c:pt>
                <c:pt idx="3" formatCode="#,#00%">
                  <c:v>0.29456107156800909</c:v>
                </c:pt>
              </c:numCache>
            </c:numRef>
          </c:val>
          <c:extLst>
            <c:ext xmlns:c16="http://schemas.microsoft.com/office/drawing/2014/chart" uri="{C3380CC4-5D6E-409C-BE32-E72D297353CC}">
              <c16:uniqueId val="{0000000A-6195-9544-92DB-C33C55729CC0}"/>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Hoja1!$B$35</c:f>
              <c:strCache>
                <c:ptCount val="1"/>
                <c:pt idx="0">
                  <c:v>Manizales</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Hoja1!$C$34:$G$34</c:f>
              <c:numCache>
                <c:formatCode>General</c:formatCode>
                <c:ptCount val="5"/>
                <c:pt idx="0">
                  <c:v>2016</c:v>
                </c:pt>
                <c:pt idx="1">
                  <c:v>2017</c:v>
                </c:pt>
                <c:pt idx="2">
                  <c:v>2018</c:v>
                </c:pt>
                <c:pt idx="3">
                  <c:v>2019</c:v>
                </c:pt>
                <c:pt idx="4">
                  <c:v>2020</c:v>
                </c:pt>
              </c:numCache>
            </c:numRef>
          </c:cat>
          <c:val>
            <c:numRef>
              <c:f>Hoja1!$C$35:$G$35</c:f>
              <c:numCache>
                <c:formatCode>#,#00%</c:formatCode>
                <c:ptCount val="5"/>
                <c:pt idx="0" formatCode="0.00%">
                  <c:v>0.56699999999999995</c:v>
                </c:pt>
                <c:pt idx="1">
                  <c:v>0.59</c:v>
                </c:pt>
                <c:pt idx="2">
                  <c:v>0.58699999999999997</c:v>
                </c:pt>
                <c:pt idx="3">
                  <c:v>0.51291184327693673</c:v>
                </c:pt>
                <c:pt idx="4" formatCode="0%">
                  <c:v>0.53707541219929722</c:v>
                </c:pt>
              </c:numCache>
            </c:numRef>
          </c:val>
          <c:extLst>
            <c:ext xmlns:c16="http://schemas.microsoft.com/office/drawing/2014/chart" uri="{C3380CC4-5D6E-409C-BE32-E72D297353CC}">
              <c16:uniqueId val="{00000000-43B1-E442-928A-83FC70438E79}"/>
            </c:ext>
          </c:extLst>
        </c:ser>
        <c:ser>
          <c:idx val="1"/>
          <c:order val="1"/>
          <c:tx>
            <c:strRef>
              <c:f>Hoja1!$B$36</c:f>
              <c:strCache>
                <c:ptCount val="1"/>
                <c:pt idx="0">
                  <c:v>Otros municipios de Caldas</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Hoja1!$C$34:$G$34</c:f>
              <c:numCache>
                <c:formatCode>General</c:formatCode>
                <c:ptCount val="5"/>
                <c:pt idx="0">
                  <c:v>2016</c:v>
                </c:pt>
                <c:pt idx="1">
                  <c:v>2017</c:v>
                </c:pt>
                <c:pt idx="2">
                  <c:v>2018</c:v>
                </c:pt>
                <c:pt idx="3">
                  <c:v>2019</c:v>
                </c:pt>
                <c:pt idx="4">
                  <c:v>2020</c:v>
                </c:pt>
              </c:numCache>
            </c:numRef>
          </c:cat>
          <c:val>
            <c:numRef>
              <c:f>Hoja1!$C$36:$G$36</c:f>
              <c:numCache>
                <c:formatCode>#,#00%</c:formatCode>
                <c:ptCount val="5"/>
                <c:pt idx="0" formatCode="0.00%">
                  <c:v>0.13700000000000001</c:v>
                </c:pt>
                <c:pt idx="1">
                  <c:v>0.123</c:v>
                </c:pt>
                <c:pt idx="2">
                  <c:v>0.16200000000000001</c:v>
                </c:pt>
                <c:pt idx="3">
                  <c:v>0.15478806907378337</c:v>
                </c:pt>
                <c:pt idx="4">
                  <c:v>0.16836351623269363</c:v>
                </c:pt>
              </c:numCache>
            </c:numRef>
          </c:val>
          <c:extLst>
            <c:ext xmlns:c16="http://schemas.microsoft.com/office/drawing/2014/chart" uri="{C3380CC4-5D6E-409C-BE32-E72D297353CC}">
              <c16:uniqueId val="{00000001-43B1-E442-928A-83FC70438E79}"/>
            </c:ext>
          </c:extLst>
        </c:ser>
        <c:ser>
          <c:idx val="2"/>
          <c:order val="2"/>
          <c:tx>
            <c:strRef>
              <c:f>Hoja1!$B$37</c:f>
              <c:strCache>
                <c:ptCount val="1"/>
                <c:pt idx="0">
                  <c:v>Fuera de Caldas</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Hoja1!$C$34:$G$34</c:f>
              <c:numCache>
                <c:formatCode>General</c:formatCode>
                <c:ptCount val="5"/>
                <c:pt idx="0">
                  <c:v>2016</c:v>
                </c:pt>
                <c:pt idx="1">
                  <c:v>2017</c:v>
                </c:pt>
                <c:pt idx="2">
                  <c:v>2018</c:v>
                </c:pt>
                <c:pt idx="3">
                  <c:v>2019</c:v>
                </c:pt>
                <c:pt idx="4">
                  <c:v>2020</c:v>
                </c:pt>
              </c:numCache>
            </c:numRef>
          </c:cat>
          <c:val>
            <c:numRef>
              <c:f>Hoja1!$C$37:$G$37</c:f>
              <c:numCache>
                <c:formatCode>#,#00%</c:formatCode>
                <c:ptCount val="5"/>
                <c:pt idx="0" formatCode="0.00%">
                  <c:v>0.29599999999999999</c:v>
                </c:pt>
                <c:pt idx="1">
                  <c:v>0.28299999999999997</c:v>
                </c:pt>
                <c:pt idx="2">
                  <c:v>0.26900000000000002</c:v>
                </c:pt>
                <c:pt idx="3">
                  <c:v>0.33181580324437465</c:v>
                </c:pt>
                <c:pt idx="4">
                  <c:v>0.29456107156800909</c:v>
                </c:pt>
              </c:numCache>
            </c:numRef>
          </c:val>
          <c:extLst>
            <c:ext xmlns:c16="http://schemas.microsoft.com/office/drawing/2014/chart" uri="{C3380CC4-5D6E-409C-BE32-E72D297353CC}">
              <c16:uniqueId val="{00000002-43B1-E442-928A-83FC70438E79}"/>
            </c:ext>
          </c:extLst>
        </c:ser>
        <c:dLbls>
          <c:showLegendKey val="0"/>
          <c:showVal val="0"/>
          <c:showCatName val="0"/>
          <c:showSerName val="0"/>
          <c:showPercent val="0"/>
          <c:showBubbleSize val="0"/>
        </c:dLbls>
        <c:gapWidth val="124"/>
        <c:overlap val="100"/>
        <c:axId val="1986443439"/>
        <c:axId val="1986442191"/>
      </c:barChart>
      <c:catAx>
        <c:axId val="19864434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6442191"/>
        <c:crosses val="autoZero"/>
        <c:auto val="1"/>
        <c:lblAlgn val="ctr"/>
        <c:lblOffset val="100"/>
        <c:noMultiLvlLbl val="0"/>
      </c:catAx>
      <c:valAx>
        <c:axId val="1986442191"/>
        <c:scaling>
          <c:orientation val="minMax"/>
        </c:scaling>
        <c:delete val="1"/>
        <c:axPos val="b"/>
        <c:numFmt formatCode="0%" sourceLinked="1"/>
        <c:majorTickMark val="none"/>
        <c:minorTickMark val="none"/>
        <c:tickLblPos val="nextTo"/>
        <c:crossAx val="1986443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388163458734325"/>
          <c:w val="0.95833333333333337"/>
          <c:h val="0.67468175853018386"/>
        </c:manualLayout>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8F-9346-A27F-2DD10B6D5C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8F-9346-A27F-2DD10B6D5C0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8F-9346-A27F-2DD10B6D5C0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C8F-9346-A27F-2DD10B6D5C0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C8F-9346-A27F-2DD10B6D5C0A}"/>
              </c:ext>
            </c:extLst>
          </c:dPt>
          <c:dLbls>
            <c:dLbl>
              <c:idx val="0"/>
              <c:tx>
                <c:rich>
                  <a:bodyPr/>
                  <a:lstStyle/>
                  <a:p>
                    <a:r>
                      <a:rPr lang="en-US"/>
                      <a:t>Manizales</a:t>
                    </a:r>
                  </a:p>
                  <a:p>
                    <a:fld id="{D6198B6C-8D47-491B-BCE6-7C424B00380D}"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C8F-9346-A27F-2DD10B6D5C0A}"/>
                </c:ext>
              </c:extLst>
            </c:dLbl>
            <c:dLbl>
              <c:idx val="2"/>
              <c:layout>
                <c:manualLayout>
                  <c:x val="4.1666666666666567E-2"/>
                  <c:y val="2.5428331875182269E-2"/>
                </c:manualLayout>
              </c:layout>
              <c:tx>
                <c:rich>
                  <a:bodyPr/>
                  <a:lstStyle/>
                  <a:p>
                    <a:r>
                      <a:rPr lang="en-US"/>
                      <a:t>Otros municipios de Caldas </a:t>
                    </a:r>
                    <a:fld id="{D299C40A-A81F-4B0E-94B4-2149217DBA9F}" type="VALUE">
                      <a:rPr lang="en-US"/>
                      <a:pPr/>
                      <a:t>[VALOR]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C8F-9346-A27F-2DD10B6D5C0A}"/>
                </c:ext>
              </c:extLst>
            </c:dLbl>
            <c:dLbl>
              <c:idx val="3"/>
              <c:tx>
                <c:rich>
                  <a:bodyPr/>
                  <a:lstStyle/>
                  <a:p>
                    <a:r>
                      <a:rPr lang="en-US"/>
                      <a:t>Otros departamentos y extranjeros</a:t>
                    </a:r>
                  </a:p>
                  <a:p>
                    <a:fld id="{FF1536FE-F44D-43A9-982D-6F3215909495}"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C8F-9346-A27F-2DD10B6D5C0A}"/>
                </c:ext>
              </c:extLst>
            </c:dLbl>
            <c:dLbl>
              <c:idx val="4"/>
              <c:layout>
                <c:manualLayout>
                  <c:x val="-0.16172364391951005"/>
                  <c:y val="2.8403324584426945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solidFill>
                          <a:schemeClr val="bg1"/>
                        </a:solidFill>
                      </a:rPr>
                      <a:t>Otro</a:t>
                    </a:r>
                    <a:r>
                      <a:rPr lang="en-US" baseline="0">
                        <a:solidFill>
                          <a:schemeClr val="bg1"/>
                        </a:solidFill>
                      </a:rPr>
                      <a:t> origen</a:t>
                    </a:r>
                  </a:p>
                  <a:p>
                    <a:pPr>
                      <a:defRPr>
                        <a:solidFill>
                          <a:schemeClr val="bg1"/>
                        </a:solidFill>
                      </a:defRPr>
                    </a:pPr>
                    <a:r>
                      <a:rPr lang="en-US">
                        <a:solidFill>
                          <a:schemeClr val="bg1"/>
                        </a:solidFill>
                      </a:rPr>
                      <a:t>67,1%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C8F-9346-A27F-2DD10B6D5C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Hoja1!$J$15:$J$18</c:f>
              <c:numCache>
                <c:formatCode>General</c:formatCode>
                <c:ptCount val="4"/>
                <c:pt idx="0" formatCode="#,#00%">
                  <c:v>0.31156156156156156</c:v>
                </c:pt>
                <c:pt idx="2" formatCode="#,#00%">
                  <c:v>8.2957957957957962E-2</c:v>
                </c:pt>
                <c:pt idx="3" formatCode="#,#00%">
                  <c:v>0.60548048048048053</c:v>
                </c:pt>
              </c:numCache>
            </c:numRef>
          </c:val>
          <c:extLst>
            <c:ext xmlns:c16="http://schemas.microsoft.com/office/drawing/2014/chart" uri="{C3380CC4-5D6E-409C-BE32-E72D297353CC}">
              <c16:uniqueId val="{0000000A-8C8F-9346-A27F-2DD10B6D5C0A}"/>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Agronomía, veterinaria y afines</c:v>
                </c:pt>
                <c:pt idx="1">
                  <c:v>Bellas Artes</c:v>
                </c:pt>
                <c:pt idx="2">
                  <c:v>Ciencias de la salud</c:v>
                </c:pt>
                <c:pt idx="3">
                  <c:v>Ciencias sociales y humanas</c:v>
                </c:pt>
                <c:pt idx="4">
                  <c:v>Economía, administración, contaduría y afines</c:v>
                </c:pt>
                <c:pt idx="5">
                  <c:v>Ingeniería, arquitectura, urbanismo y afines</c:v>
                </c:pt>
                <c:pt idx="6">
                  <c:v>Matemáticas y ciencias naturales</c:v>
                </c:pt>
              </c:strCache>
            </c:strRef>
          </c:cat>
          <c:val>
            <c:numRef>
              <c:f>Hoja1!$B$2:$B$8</c:f>
              <c:numCache>
                <c:formatCode>General</c:formatCode>
                <c:ptCount val="7"/>
                <c:pt idx="0">
                  <c:v>8</c:v>
                </c:pt>
                <c:pt idx="1">
                  <c:v>2</c:v>
                </c:pt>
                <c:pt idx="2">
                  <c:v>2</c:v>
                </c:pt>
                <c:pt idx="3">
                  <c:v>4</c:v>
                </c:pt>
                <c:pt idx="4">
                  <c:v>17</c:v>
                </c:pt>
                <c:pt idx="5">
                  <c:v>27</c:v>
                </c:pt>
                <c:pt idx="6">
                  <c:v>2</c:v>
                </c:pt>
              </c:numCache>
            </c:numRef>
          </c:val>
          <c:extLst>
            <c:ext xmlns:c16="http://schemas.microsoft.com/office/drawing/2014/chart" uri="{C3380CC4-5D6E-409C-BE32-E72D297353CC}">
              <c16:uniqueId val="{00000000-17DE-214F-A266-F9D7064D3E3A}"/>
            </c:ext>
          </c:extLst>
        </c:ser>
        <c:dLbls>
          <c:dLblPos val="outEnd"/>
          <c:showLegendKey val="0"/>
          <c:showVal val="1"/>
          <c:showCatName val="0"/>
          <c:showSerName val="0"/>
          <c:showPercent val="0"/>
          <c:showBubbleSize val="0"/>
        </c:dLbls>
        <c:gapWidth val="100"/>
        <c:axId val="444594992"/>
        <c:axId val="444585976"/>
      </c:barChart>
      <c:catAx>
        <c:axId val="44459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85976"/>
        <c:crosses val="autoZero"/>
        <c:auto val="1"/>
        <c:lblAlgn val="ctr"/>
        <c:lblOffset val="100"/>
        <c:noMultiLvlLbl val="0"/>
      </c:catAx>
      <c:valAx>
        <c:axId val="444585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94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Hoja1!$A$35:$A$41</c:f>
              <c:strCache>
                <c:ptCount val="7"/>
                <c:pt idx="0">
                  <c:v>Agronomía, veterinaria y afines</c:v>
                </c:pt>
                <c:pt idx="1">
                  <c:v>Bellas Artes</c:v>
                </c:pt>
                <c:pt idx="2">
                  <c:v>Ciencias de la salud</c:v>
                </c:pt>
                <c:pt idx="3">
                  <c:v>Ciencias sociales y humanas</c:v>
                </c:pt>
                <c:pt idx="4">
                  <c:v>Economía, administración, contaduría y afines</c:v>
                </c:pt>
                <c:pt idx="5">
                  <c:v>Ingeniería, arquitectura, urbanismo y afines</c:v>
                </c:pt>
                <c:pt idx="6">
                  <c:v>Matemáticas y ciencias naturales</c:v>
                </c:pt>
              </c:strCache>
            </c:strRef>
          </c:cat>
          <c:val>
            <c:numRef>
              <c:f>Hoja1!$B$35:$B$41</c:f>
              <c:numCache>
                <c:formatCode>General</c:formatCode>
                <c:ptCount val="7"/>
                <c:pt idx="0">
                  <c:v>10</c:v>
                </c:pt>
                <c:pt idx="1">
                  <c:v>7</c:v>
                </c:pt>
                <c:pt idx="2">
                  <c:v>2</c:v>
                </c:pt>
                <c:pt idx="3">
                  <c:v>1</c:v>
                </c:pt>
                <c:pt idx="4">
                  <c:v>46</c:v>
                </c:pt>
                <c:pt idx="5">
                  <c:v>70</c:v>
                </c:pt>
                <c:pt idx="6">
                  <c:v>3</c:v>
                </c:pt>
              </c:numCache>
            </c:numRef>
          </c:val>
          <c:extLst>
            <c:ext xmlns:c16="http://schemas.microsoft.com/office/drawing/2014/chart" uri="{C3380CC4-5D6E-409C-BE32-E72D297353CC}">
              <c16:uniqueId val="{00000000-521F-EB48-ABCF-0DC3D1904DB4}"/>
            </c:ext>
          </c:extLst>
        </c:ser>
        <c:dLbls>
          <c:dLblPos val="outEnd"/>
          <c:showLegendKey val="0"/>
          <c:showVal val="1"/>
          <c:showCatName val="0"/>
          <c:showSerName val="0"/>
          <c:showPercent val="0"/>
          <c:showBubbleSize val="0"/>
        </c:dLbls>
        <c:gapWidth val="100"/>
        <c:axId val="444584016"/>
        <c:axId val="444584408"/>
      </c:barChart>
      <c:catAx>
        <c:axId val="444584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84408"/>
        <c:crosses val="autoZero"/>
        <c:auto val="1"/>
        <c:lblAlgn val="ctr"/>
        <c:lblOffset val="100"/>
        <c:noMultiLvlLbl val="0"/>
      </c:catAx>
      <c:valAx>
        <c:axId val="444584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84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Hoja1!$A$59:$A$66</c:f>
              <c:strCache>
                <c:ptCount val="8"/>
                <c:pt idx="0">
                  <c:v>Agronomía, veterinaria y afines</c:v>
                </c:pt>
                <c:pt idx="1">
                  <c:v>Bellas Artes</c:v>
                </c:pt>
                <c:pt idx="2">
                  <c:v>Ciencias de la educación</c:v>
                </c:pt>
                <c:pt idx="3">
                  <c:v>Ciencias de la salud</c:v>
                </c:pt>
                <c:pt idx="4">
                  <c:v>Ciencias sociales y humanas</c:v>
                </c:pt>
                <c:pt idx="5">
                  <c:v>Economía, administración, contaduría y afines</c:v>
                </c:pt>
                <c:pt idx="6">
                  <c:v>Ingeniería, arquitectura, urbanismo y afines</c:v>
                </c:pt>
                <c:pt idx="7">
                  <c:v>Matemáticas y ciencias naturales</c:v>
                </c:pt>
              </c:strCache>
            </c:strRef>
          </c:cat>
          <c:val>
            <c:numRef>
              <c:f>Hoja1!$B$59:$B$66</c:f>
              <c:numCache>
                <c:formatCode>General</c:formatCode>
                <c:ptCount val="8"/>
                <c:pt idx="0">
                  <c:v>3</c:v>
                </c:pt>
                <c:pt idx="1">
                  <c:v>7</c:v>
                </c:pt>
                <c:pt idx="2">
                  <c:v>37</c:v>
                </c:pt>
                <c:pt idx="3">
                  <c:v>15</c:v>
                </c:pt>
                <c:pt idx="4">
                  <c:v>25</c:v>
                </c:pt>
                <c:pt idx="5">
                  <c:v>35</c:v>
                </c:pt>
                <c:pt idx="6">
                  <c:v>43</c:v>
                </c:pt>
                <c:pt idx="7">
                  <c:v>4</c:v>
                </c:pt>
              </c:numCache>
            </c:numRef>
          </c:val>
          <c:extLst>
            <c:ext xmlns:c16="http://schemas.microsoft.com/office/drawing/2014/chart" uri="{C3380CC4-5D6E-409C-BE32-E72D297353CC}">
              <c16:uniqueId val="{00000000-308E-9846-9199-EAA7597DF56D}"/>
            </c:ext>
          </c:extLst>
        </c:ser>
        <c:dLbls>
          <c:dLblPos val="outEnd"/>
          <c:showLegendKey val="0"/>
          <c:showVal val="1"/>
          <c:showCatName val="0"/>
          <c:showSerName val="0"/>
          <c:showPercent val="0"/>
          <c:showBubbleSize val="0"/>
        </c:dLbls>
        <c:gapWidth val="100"/>
        <c:axId val="444592248"/>
        <c:axId val="444590680"/>
      </c:barChart>
      <c:catAx>
        <c:axId val="444592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90680"/>
        <c:crosses val="autoZero"/>
        <c:auto val="1"/>
        <c:lblAlgn val="ctr"/>
        <c:lblOffset val="100"/>
        <c:noMultiLvlLbl val="0"/>
      </c:catAx>
      <c:valAx>
        <c:axId val="444590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92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Hoja1!$A$85:$A$93</c:f>
              <c:strCache>
                <c:ptCount val="9"/>
                <c:pt idx="0">
                  <c:v>Agronomía, veterinaria y afines</c:v>
                </c:pt>
                <c:pt idx="1">
                  <c:v>Bellas Artes</c:v>
                </c:pt>
                <c:pt idx="2">
                  <c:v>Ciencias de la educación</c:v>
                </c:pt>
                <c:pt idx="3">
                  <c:v>Ciencias de la salud</c:v>
                </c:pt>
                <c:pt idx="4">
                  <c:v>Ciencias sociales y humanas</c:v>
                </c:pt>
                <c:pt idx="5">
                  <c:v>Economía, administración, contaduría y afines</c:v>
                </c:pt>
                <c:pt idx="6">
                  <c:v>Ingeniería, arquitectura, urbanismo y afines</c:v>
                </c:pt>
                <c:pt idx="7">
                  <c:v>Matemáticas y ciencias naturales</c:v>
                </c:pt>
                <c:pt idx="8">
                  <c:v>Sin clasificar</c:v>
                </c:pt>
              </c:strCache>
            </c:strRef>
          </c:cat>
          <c:val>
            <c:numRef>
              <c:f>Hoja1!$B$85:$B$93</c:f>
              <c:numCache>
                <c:formatCode>General</c:formatCode>
                <c:ptCount val="9"/>
                <c:pt idx="0">
                  <c:v>13</c:v>
                </c:pt>
                <c:pt idx="1">
                  <c:v>6</c:v>
                </c:pt>
                <c:pt idx="2">
                  <c:v>43</c:v>
                </c:pt>
                <c:pt idx="3">
                  <c:v>58</c:v>
                </c:pt>
                <c:pt idx="4">
                  <c:v>64</c:v>
                </c:pt>
                <c:pt idx="5">
                  <c:v>106</c:v>
                </c:pt>
                <c:pt idx="6">
                  <c:v>61</c:v>
                </c:pt>
                <c:pt idx="7">
                  <c:v>16</c:v>
                </c:pt>
                <c:pt idx="8">
                  <c:v>4</c:v>
                </c:pt>
              </c:numCache>
            </c:numRef>
          </c:val>
          <c:extLst>
            <c:ext xmlns:c16="http://schemas.microsoft.com/office/drawing/2014/chart" uri="{C3380CC4-5D6E-409C-BE32-E72D297353CC}">
              <c16:uniqueId val="{00000000-DD67-E446-90DB-C80459B5138E}"/>
            </c:ext>
          </c:extLst>
        </c:ser>
        <c:dLbls>
          <c:dLblPos val="outEnd"/>
          <c:showLegendKey val="0"/>
          <c:showVal val="1"/>
          <c:showCatName val="0"/>
          <c:showSerName val="0"/>
          <c:showPercent val="0"/>
          <c:showBubbleSize val="0"/>
        </c:dLbls>
        <c:gapWidth val="100"/>
        <c:axId val="444591464"/>
        <c:axId val="444604400"/>
      </c:barChart>
      <c:catAx>
        <c:axId val="444591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604400"/>
        <c:crosses val="autoZero"/>
        <c:auto val="1"/>
        <c:lblAlgn val="ctr"/>
        <c:lblOffset val="100"/>
        <c:noMultiLvlLbl val="0"/>
      </c:catAx>
      <c:valAx>
        <c:axId val="444604400"/>
        <c:scaling>
          <c:orientation val="minMax"/>
        </c:scaling>
        <c:delete val="1"/>
        <c:axPos val="b"/>
        <c:numFmt formatCode="General" sourceLinked="1"/>
        <c:majorTickMark val="none"/>
        <c:minorTickMark val="none"/>
        <c:tickLblPos val="nextTo"/>
        <c:crossAx val="444591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481173814576633E-2"/>
          <c:y val="5.0925925925925923E-2"/>
          <c:w val="0.93127725123972538"/>
          <c:h val="0.63334135316418771"/>
        </c:manualLayout>
      </c:layout>
      <c:barChart>
        <c:barDir val="col"/>
        <c:grouping val="stacked"/>
        <c:varyColors val="0"/>
        <c:ser>
          <c:idx val="0"/>
          <c:order val="0"/>
          <c:tx>
            <c:strRef>
              <c:f>Hoja1!$A$133</c:f>
              <c:strCache>
                <c:ptCount val="1"/>
                <c:pt idx="0">
                  <c:v>Dual</c:v>
                </c:pt>
              </c:strCache>
            </c:strRef>
          </c:tx>
          <c:spPr>
            <a:solidFill>
              <a:schemeClr val="accent4"/>
            </a:solidFill>
            <a:ln>
              <a:noFill/>
            </a:ln>
            <a:effectLst/>
          </c:spPr>
          <c:invertIfNegative val="0"/>
          <c:dLbls>
            <c:delete val="1"/>
          </c:dLbls>
          <c:cat>
            <c:numRef>
              <c:f>Hoja1!$C$132:$I$132</c:f>
              <c:numCache>
                <c:formatCode>General</c:formatCode>
                <c:ptCount val="7"/>
                <c:pt idx="0">
                  <c:v>2015</c:v>
                </c:pt>
                <c:pt idx="1">
                  <c:v>2016</c:v>
                </c:pt>
                <c:pt idx="2">
                  <c:v>2017</c:v>
                </c:pt>
                <c:pt idx="3">
                  <c:v>2018</c:v>
                </c:pt>
                <c:pt idx="4">
                  <c:v>2019</c:v>
                </c:pt>
                <c:pt idx="5">
                  <c:v>2020</c:v>
                </c:pt>
                <c:pt idx="6">
                  <c:v>2021</c:v>
                </c:pt>
              </c:numCache>
            </c:numRef>
          </c:cat>
          <c:val>
            <c:numRef>
              <c:f>Hoja1!$C$133:$I$133</c:f>
              <c:numCache>
                <c:formatCode>#,##0</c:formatCode>
                <c:ptCount val="7"/>
                <c:pt idx="0">
                  <c:v>0</c:v>
                </c:pt>
                <c:pt idx="1">
                  <c:v>0</c:v>
                </c:pt>
                <c:pt idx="2">
                  <c:v>0</c:v>
                </c:pt>
                <c:pt idx="3">
                  <c:v>0</c:v>
                </c:pt>
                <c:pt idx="4">
                  <c:v>0</c:v>
                </c:pt>
                <c:pt idx="5">
                  <c:v>42</c:v>
                </c:pt>
                <c:pt idx="6">
                  <c:v>0</c:v>
                </c:pt>
              </c:numCache>
            </c:numRef>
          </c:val>
          <c:extLst>
            <c:ext xmlns:c16="http://schemas.microsoft.com/office/drawing/2014/chart" uri="{C3380CC4-5D6E-409C-BE32-E72D297353CC}">
              <c16:uniqueId val="{00000000-9B10-3145-8B35-C0FB17586F23}"/>
            </c:ext>
          </c:extLst>
        </c:ser>
        <c:ser>
          <c:idx val="1"/>
          <c:order val="1"/>
          <c:tx>
            <c:strRef>
              <c:f>Hoja1!$A$134</c:f>
              <c:strCache>
                <c:ptCount val="1"/>
                <c:pt idx="0">
                  <c:v>Distancia (Virtual)</c:v>
                </c:pt>
              </c:strCache>
            </c:strRef>
          </c:tx>
          <c:spPr>
            <a:solidFill>
              <a:schemeClr val="accent2">
                <a:lumMod val="75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9B10-3145-8B35-C0FB17586F23}"/>
                </c:ext>
              </c:extLst>
            </c:dLbl>
            <c:dLbl>
              <c:idx val="1"/>
              <c:layout>
                <c:manualLayout>
                  <c:x val="1.7754105636928214E-3"/>
                  <c:y val="-9.259259259259343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10-3145-8B35-C0FB17586F23}"/>
                </c:ext>
              </c:extLst>
            </c:dLbl>
            <c:dLbl>
              <c:idx val="2"/>
              <c:layout>
                <c:manualLayout>
                  <c:x val="3.550821127385642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10-3145-8B35-C0FB17586F23}"/>
                </c:ext>
              </c:extLst>
            </c:dLbl>
            <c:dLbl>
              <c:idx val="6"/>
              <c:layout>
                <c:manualLayout>
                  <c:x val="0"/>
                  <c:y val="-4.629629629629629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10-3145-8B35-C0FB17586F2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Hoja1!$C$132:$I$132</c:f>
              <c:numCache>
                <c:formatCode>General</c:formatCode>
                <c:ptCount val="7"/>
                <c:pt idx="0">
                  <c:v>2015</c:v>
                </c:pt>
                <c:pt idx="1">
                  <c:v>2016</c:v>
                </c:pt>
                <c:pt idx="2">
                  <c:v>2017</c:v>
                </c:pt>
                <c:pt idx="3">
                  <c:v>2018</c:v>
                </c:pt>
                <c:pt idx="4">
                  <c:v>2019</c:v>
                </c:pt>
                <c:pt idx="5">
                  <c:v>2020</c:v>
                </c:pt>
                <c:pt idx="6">
                  <c:v>2021</c:v>
                </c:pt>
              </c:numCache>
            </c:numRef>
          </c:cat>
          <c:val>
            <c:numRef>
              <c:f>Hoja1!$C$134:$I$134</c:f>
              <c:numCache>
                <c:formatCode>#,##0</c:formatCode>
                <c:ptCount val="7"/>
                <c:pt idx="0">
                  <c:v>1119</c:v>
                </c:pt>
                <c:pt idx="1">
                  <c:v>3303</c:v>
                </c:pt>
                <c:pt idx="2">
                  <c:v>3979</c:v>
                </c:pt>
                <c:pt idx="3">
                  <c:v>5450</c:v>
                </c:pt>
                <c:pt idx="4">
                  <c:v>5643</c:v>
                </c:pt>
                <c:pt idx="5">
                  <c:v>4940</c:v>
                </c:pt>
                <c:pt idx="6">
                  <c:v>3258</c:v>
                </c:pt>
              </c:numCache>
            </c:numRef>
          </c:val>
          <c:extLst>
            <c:ext xmlns:c16="http://schemas.microsoft.com/office/drawing/2014/chart" uri="{C3380CC4-5D6E-409C-BE32-E72D297353CC}">
              <c16:uniqueId val="{00000005-9B10-3145-8B35-C0FB17586F23}"/>
            </c:ext>
          </c:extLst>
        </c:ser>
        <c:ser>
          <c:idx val="2"/>
          <c:order val="2"/>
          <c:tx>
            <c:strRef>
              <c:f>Hoja1!$A$135</c:f>
              <c:strCache>
                <c:ptCount val="1"/>
                <c:pt idx="0">
                  <c:v>Distancia (Tradicional)</c:v>
                </c:pt>
              </c:strCache>
            </c:strRef>
          </c:tx>
          <c:spPr>
            <a:solidFill>
              <a:schemeClr val="accent6">
                <a:lumMod val="75000"/>
              </a:schemeClr>
            </a:solidFill>
            <a:ln>
              <a:noFill/>
            </a:ln>
            <a:effectLst/>
          </c:spPr>
          <c:invertIfNegative val="0"/>
          <c:dLbls>
            <c:dLbl>
              <c:idx val="1"/>
              <c:layout>
                <c:manualLayout>
                  <c:x val="1.7754105636928214E-3"/>
                  <c:y val="-4.629629629629629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10-3145-8B35-C0FB17586F23}"/>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Hoja1!$C$132:$I$132</c:f>
              <c:numCache>
                <c:formatCode>General</c:formatCode>
                <c:ptCount val="7"/>
                <c:pt idx="0">
                  <c:v>2015</c:v>
                </c:pt>
                <c:pt idx="1">
                  <c:v>2016</c:v>
                </c:pt>
                <c:pt idx="2">
                  <c:v>2017</c:v>
                </c:pt>
                <c:pt idx="3">
                  <c:v>2018</c:v>
                </c:pt>
                <c:pt idx="4">
                  <c:v>2019</c:v>
                </c:pt>
                <c:pt idx="5">
                  <c:v>2020</c:v>
                </c:pt>
                <c:pt idx="6">
                  <c:v>2021</c:v>
                </c:pt>
              </c:numCache>
            </c:numRef>
          </c:cat>
          <c:val>
            <c:numRef>
              <c:f>Hoja1!$C$135:$I$135</c:f>
              <c:numCache>
                <c:formatCode>#,##0</c:formatCode>
                <c:ptCount val="7"/>
                <c:pt idx="0">
                  <c:v>8464</c:v>
                </c:pt>
                <c:pt idx="1">
                  <c:v>8643</c:v>
                </c:pt>
                <c:pt idx="2">
                  <c:v>7288</c:v>
                </c:pt>
                <c:pt idx="3">
                  <c:v>6086</c:v>
                </c:pt>
                <c:pt idx="4">
                  <c:v>5387</c:v>
                </c:pt>
                <c:pt idx="5">
                  <c:v>5615</c:v>
                </c:pt>
                <c:pt idx="6">
                  <c:v>5556</c:v>
                </c:pt>
              </c:numCache>
            </c:numRef>
          </c:val>
          <c:extLst>
            <c:ext xmlns:c16="http://schemas.microsoft.com/office/drawing/2014/chart" uri="{C3380CC4-5D6E-409C-BE32-E72D297353CC}">
              <c16:uniqueId val="{00000007-9B10-3145-8B35-C0FB17586F23}"/>
            </c:ext>
          </c:extLst>
        </c:ser>
        <c:ser>
          <c:idx val="3"/>
          <c:order val="3"/>
          <c:tx>
            <c:strRef>
              <c:f>Hoja1!$A$136</c:f>
              <c:strCache>
                <c:ptCount val="1"/>
                <c:pt idx="0">
                  <c:v>Presencial</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Hoja1!$C$132:$I$132</c:f>
              <c:numCache>
                <c:formatCode>General</c:formatCode>
                <c:ptCount val="7"/>
                <c:pt idx="0">
                  <c:v>2015</c:v>
                </c:pt>
                <c:pt idx="1">
                  <c:v>2016</c:v>
                </c:pt>
                <c:pt idx="2">
                  <c:v>2017</c:v>
                </c:pt>
                <c:pt idx="3">
                  <c:v>2018</c:v>
                </c:pt>
                <c:pt idx="4">
                  <c:v>2019</c:v>
                </c:pt>
                <c:pt idx="5">
                  <c:v>2020</c:v>
                </c:pt>
                <c:pt idx="6">
                  <c:v>2021</c:v>
                </c:pt>
              </c:numCache>
            </c:numRef>
          </c:cat>
          <c:val>
            <c:numRef>
              <c:f>Hoja1!$C$136:$I$136</c:f>
              <c:numCache>
                <c:formatCode>#,##0</c:formatCode>
                <c:ptCount val="7"/>
                <c:pt idx="0">
                  <c:v>37008</c:v>
                </c:pt>
                <c:pt idx="1">
                  <c:v>37539</c:v>
                </c:pt>
                <c:pt idx="2">
                  <c:v>38890</c:v>
                </c:pt>
                <c:pt idx="3">
                  <c:v>39734</c:v>
                </c:pt>
                <c:pt idx="4">
                  <c:v>39550</c:v>
                </c:pt>
                <c:pt idx="5">
                  <c:v>39013</c:v>
                </c:pt>
                <c:pt idx="6">
                  <c:v>37657</c:v>
                </c:pt>
              </c:numCache>
            </c:numRef>
          </c:val>
          <c:extLst>
            <c:ext xmlns:c16="http://schemas.microsoft.com/office/drawing/2014/chart" uri="{C3380CC4-5D6E-409C-BE32-E72D297353CC}">
              <c16:uniqueId val="{00000008-9B10-3145-8B35-C0FB17586F23}"/>
            </c:ext>
          </c:extLst>
        </c:ser>
        <c:dLbls>
          <c:dLblPos val="ctr"/>
          <c:showLegendKey val="0"/>
          <c:showVal val="1"/>
          <c:showCatName val="0"/>
          <c:showSerName val="0"/>
          <c:showPercent val="0"/>
          <c:showBubbleSize val="0"/>
        </c:dLbls>
        <c:gapWidth val="54"/>
        <c:overlap val="100"/>
        <c:axId val="444602440"/>
        <c:axId val="444605968"/>
      </c:barChart>
      <c:catAx>
        <c:axId val="44460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605968"/>
        <c:crosses val="autoZero"/>
        <c:auto val="1"/>
        <c:lblAlgn val="ctr"/>
        <c:lblOffset val="100"/>
        <c:noMultiLvlLbl val="0"/>
      </c:catAx>
      <c:valAx>
        <c:axId val="444605968"/>
        <c:scaling>
          <c:orientation val="minMax"/>
          <c:max val="50000"/>
        </c:scaling>
        <c:delete val="1"/>
        <c:axPos val="l"/>
        <c:numFmt formatCode="#,##0" sourceLinked="1"/>
        <c:majorTickMark val="none"/>
        <c:minorTickMark val="none"/>
        <c:tickLblPos val="nextTo"/>
        <c:crossAx val="444602440"/>
        <c:crosses val="autoZero"/>
        <c:crossBetween val="between"/>
        <c:majorUnit val="10000"/>
      </c:valAx>
      <c:spPr>
        <a:noFill/>
        <a:ln>
          <a:noFill/>
        </a:ln>
        <a:effectLst/>
      </c:spPr>
    </c:plotArea>
    <c:legend>
      <c:legendPos val="r"/>
      <c:legendEntry>
        <c:idx val="3"/>
        <c:delete val="1"/>
      </c:legendEntry>
      <c:layout>
        <c:manualLayout>
          <c:xMode val="edge"/>
          <c:yMode val="edge"/>
          <c:x val="0.11086942257217849"/>
          <c:y val="0.90653798483522896"/>
          <c:w val="0.79746391076115475"/>
          <c:h val="7.58129192184310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8577</Words>
  <Characters>47177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Guerrero Trujillo</dc:creator>
  <cp:keywords/>
  <dc:description/>
  <cp:lastModifiedBy>USUARIO</cp:lastModifiedBy>
  <cp:revision>3</cp:revision>
  <cp:lastPrinted>2023-07-18T16:06:00Z</cp:lastPrinted>
  <dcterms:created xsi:type="dcterms:W3CDTF">2023-07-27T17:31:00Z</dcterms:created>
  <dcterms:modified xsi:type="dcterms:W3CDTF">2023-07-27T18:37:00Z</dcterms:modified>
</cp:coreProperties>
</file>