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D3E54" w14:textId="2F35AB97" w:rsidR="00DE1913" w:rsidRPr="001E0DD8" w:rsidRDefault="009E4853" w:rsidP="001E0DD8">
      <w:pPr>
        <w:spacing w:after="0" w:line="240" w:lineRule="auto"/>
        <w:ind w:right="49"/>
        <w:jc w:val="both"/>
        <w:rPr>
          <w:rFonts w:ascii="Work Sans" w:hAnsi="Work Sans"/>
          <w:b/>
          <w:bCs/>
          <w:sz w:val="24"/>
          <w:szCs w:val="24"/>
          <w:lang w:val="es-ES"/>
        </w:rPr>
      </w:pPr>
      <w:bookmarkStart w:id="0" w:name="_GoBack"/>
      <w:bookmarkEnd w:id="0"/>
      <w:r w:rsidRPr="001E0DD8">
        <w:rPr>
          <w:rFonts w:ascii="Work Sans" w:hAnsi="Work Sans" w:cs="Arial"/>
          <w:b/>
          <w:bCs/>
          <w:sz w:val="24"/>
          <w:szCs w:val="24"/>
        </w:rPr>
        <w:t>RESPUESTA AL CUESTIONARIO ADITIVO PARA DEBATE DE CONTROL POLÍTICO ANEXO A LA PROPOSICIÓN NO. 23 DE 2023 RELACIONADO CON EL</w:t>
      </w:r>
      <w:r w:rsidRPr="001E0DD8">
        <w:rPr>
          <w:rFonts w:ascii="Work Sans" w:hAnsi="Work Sans"/>
          <w:b/>
          <w:bCs/>
          <w:sz w:val="24"/>
          <w:szCs w:val="24"/>
          <w:lang w:val="es-ES"/>
        </w:rPr>
        <w:t xml:space="preserve"> “</w:t>
      </w:r>
      <w:r w:rsidRPr="001E0DD8">
        <w:rPr>
          <w:rFonts w:ascii="Work Sans" w:hAnsi="Work Sans"/>
          <w:b/>
          <w:bCs/>
          <w:sz w:val="24"/>
          <w:szCs w:val="24"/>
        </w:rPr>
        <w:t>SIGNIFICATIVO INCREMENTO DE LA GASOLINA EN COLOMBIA, LOS EFECTOS NEGATIVOS EN LA ECONOMÍA DE LOS Y LAS COLOMBIANAS Y LAS PROPUESTAS PARA MITIGARLOS</w:t>
      </w:r>
      <w:r w:rsidRPr="001E0DD8">
        <w:rPr>
          <w:rFonts w:ascii="Work Sans" w:hAnsi="Work Sans"/>
          <w:b/>
          <w:bCs/>
          <w:sz w:val="24"/>
          <w:szCs w:val="24"/>
          <w:lang w:val="es-ES"/>
        </w:rPr>
        <w:t xml:space="preserve">”, PRESENTADO POR </w:t>
      </w:r>
      <w:r w:rsidR="00CC1628">
        <w:rPr>
          <w:rFonts w:ascii="Work Sans" w:hAnsi="Work Sans"/>
          <w:b/>
          <w:bCs/>
          <w:sz w:val="24"/>
          <w:szCs w:val="24"/>
          <w:lang w:val="es-ES"/>
        </w:rPr>
        <w:t>EL</w:t>
      </w:r>
      <w:r w:rsidRPr="001E0DD8">
        <w:rPr>
          <w:rFonts w:ascii="Work Sans" w:hAnsi="Work Sans"/>
          <w:b/>
          <w:bCs/>
          <w:sz w:val="24"/>
          <w:szCs w:val="24"/>
          <w:lang w:val="es-ES"/>
        </w:rPr>
        <w:t xml:space="preserve"> H.R</w:t>
      </w:r>
      <w:r w:rsidR="00CD7486" w:rsidRPr="001E0DD8">
        <w:rPr>
          <w:rFonts w:ascii="Work Sans" w:hAnsi="Work Sans"/>
          <w:b/>
          <w:bCs/>
          <w:sz w:val="24"/>
          <w:szCs w:val="24"/>
          <w:lang w:val="es-ES"/>
        </w:rPr>
        <w:t>.</w:t>
      </w:r>
      <w:r w:rsidRPr="001E0DD8">
        <w:rPr>
          <w:rFonts w:ascii="Work Sans" w:hAnsi="Work Sans"/>
          <w:b/>
          <w:bCs/>
          <w:sz w:val="24"/>
          <w:szCs w:val="24"/>
          <w:lang w:val="es-ES"/>
        </w:rPr>
        <w:t xml:space="preserve"> </w:t>
      </w:r>
      <w:r w:rsidR="00CC1628" w:rsidRPr="00CC1628">
        <w:rPr>
          <w:rFonts w:ascii="Work Sans" w:hAnsi="Work Sans"/>
          <w:b/>
          <w:bCs/>
          <w:sz w:val="24"/>
          <w:szCs w:val="24"/>
          <w:lang w:val="es-ES"/>
        </w:rPr>
        <w:t>HUGO DANILO LOZANO PIMIENTO</w:t>
      </w:r>
      <w:r w:rsidR="00CD7486" w:rsidRPr="001E0DD8">
        <w:rPr>
          <w:rFonts w:ascii="Work Sans" w:hAnsi="Work Sans"/>
          <w:b/>
          <w:bCs/>
          <w:sz w:val="24"/>
          <w:szCs w:val="24"/>
          <w:lang w:val="es-ES"/>
        </w:rPr>
        <w:t>.</w:t>
      </w:r>
    </w:p>
    <w:p w14:paraId="7D0EAD16" w14:textId="77777777" w:rsidR="00466038" w:rsidRPr="001E0DD8" w:rsidRDefault="00466038" w:rsidP="001E0DD8">
      <w:pPr>
        <w:spacing w:after="0" w:line="240" w:lineRule="auto"/>
        <w:ind w:right="51"/>
        <w:contextualSpacing/>
        <w:jc w:val="both"/>
        <w:rPr>
          <w:rFonts w:ascii="Work Sans" w:hAnsi="Work Sans" w:cs="Arial"/>
          <w:sz w:val="24"/>
          <w:szCs w:val="24"/>
        </w:rPr>
      </w:pPr>
    </w:p>
    <w:p w14:paraId="701023A4" w14:textId="1FB80502" w:rsidR="00CD7486" w:rsidRPr="001E0DD8" w:rsidRDefault="00CD7486" w:rsidP="001E0DD8">
      <w:pPr>
        <w:spacing w:after="0" w:line="240" w:lineRule="auto"/>
        <w:jc w:val="both"/>
        <w:rPr>
          <w:rFonts w:ascii="Work Sans" w:hAnsi="Work Sans"/>
          <w:sz w:val="24"/>
          <w:szCs w:val="24"/>
        </w:rPr>
      </w:pPr>
      <w:r w:rsidRPr="001E0DD8">
        <w:rPr>
          <w:rFonts w:ascii="Work Sans" w:hAnsi="Work Sans"/>
          <w:sz w:val="24"/>
          <w:szCs w:val="24"/>
        </w:rPr>
        <w:t>En el marco de las funciones y competencias otorgadas al Ministerio de Minas y Energía mediante Decreto No. 381 de 2012, me permito dar respuesta al cuestionario mencionado:</w:t>
      </w:r>
    </w:p>
    <w:p w14:paraId="23130807" w14:textId="77777777" w:rsidR="00CD7486" w:rsidRPr="001E0DD8" w:rsidRDefault="00CD7486" w:rsidP="001E0DD8">
      <w:pPr>
        <w:spacing w:after="0" w:line="240" w:lineRule="auto"/>
        <w:ind w:right="51"/>
        <w:contextualSpacing/>
        <w:jc w:val="both"/>
        <w:rPr>
          <w:rFonts w:ascii="Work Sans" w:hAnsi="Work Sans" w:cs="Arial"/>
          <w:sz w:val="24"/>
          <w:szCs w:val="24"/>
        </w:rPr>
      </w:pPr>
    </w:p>
    <w:p w14:paraId="1B321C02" w14:textId="77777777" w:rsidR="00CD7486" w:rsidRPr="001E0DD8" w:rsidRDefault="00CD7486" w:rsidP="001E0DD8">
      <w:pPr>
        <w:spacing w:after="0" w:line="240" w:lineRule="auto"/>
        <w:ind w:right="51"/>
        <w:contextualSpacing/>
        <w:jc w:val="both"/>
        <w:rPr>
          <w:rFonts w:ascii="Work Sans" w:hAnsi="Work Sans" w:cs="Arial"/>
          <w:sz w:val="24"/>
          <w:szCs w:val="24"/>
        </w:rPr>
      </w:pPr>
    </w:p>
    <w:p w14:paraId="2469994D" w14:textId="3C7443C1" w:rsidR="00B13908" w:rsidRPr="001E0DD8" w:rsidRDefault="00B13908" w:rsidP="001E0DD8">
      <w:pPr>
        <w:pStyle w:val="Prrafodelista"/>
        <w:numPr>
          <w:ilvl w:val="0"/>
          <w:numId w:val="15"/>
        </w:numPr>
        <w:spacing w:after="0" w:line="240" w:lineRule="auto"/>
        <w:ind w:right="51"/>
        <w:jc w:val="both"/>
        <w:rPr>
          <w:rFonts w:ascii="Work Sans" w:hAnsi="Work Sans" w:cs="Arial"/>
          <w:b/>
          <w:bCs/>
          <w:sz w:val="24"/>
          <w:szCs w:val="24"/>
        </w:rPr>
      </w:pPr>
      <w:r w:rsidRPr="001E0DD8">
        <w:rPr>
          <w:rFonts w:ascii="Work Sans" w:hAnsi="Work Sans" w:cs="Arial"/>
          <w:b/>
          <w:bCs/>
          <w:sz w:val="24"/>
          <w:szCs w:val="24"/>
        </w:rPr>
        <w:t>Sírvase informar cuántos distribuidores se encuentran autorizados por parte del Ministerio de Minas y Energía, cuántos tiene certificado para la venta de combustible en los departamentos de Vaupés, Guainía, Vichada, Amazonas y Guaviare.</w:t>
      </w:r>
    </w:p>
    <w:p w14:paraId="3FCCD458" w14:textId="77777777" w:rsidR="00B13908" w:rsidRPr="001E0DD8" w:rsidRDefault="00B13908" w:rsidP="001E0DD8">
      <w:pPr>
        <w:spacing w:after="0" w:line="240" w:lineRule="auto"/>
        <w:ind w:right="51"/>
        <w:contextualSpacing/>
        <w:jc w:val="both"/>
        <w:rPr>
          <w:rFonts w:ascii="Work Sans" w:hAnsi="Work Sans" w:cs="Arial"/>
          <w:b/>
          <w:bCs/>
          <w:sz w:val="24"/>
          <w:szCs w:val="24"/>
        </w:rPr>
      </w:pPr>
    </w:p>
    <w:p w14:paraId="4927974C" w14:textId="1CA6A7D6" w:rsidR="00B13908" w:rsidRPr="001E0DD8" w:rsidRDefault="00B13908" w:rsidP="001E0DD8">
      <w:pPr>
        <w:suppressAutoHyphens w:val="0"/>
        <w:spacing w:after="0" w:line="240" w:lineRule="auto"/>
        <w:jc w:val="both"/>
        <w:rPr>
          <w:rFonts w:ascii="Work Sans" w:hAnsi="Work Sans" w:cs="Arial"/>
          <w:sz w:val="24"/>
          <w:szCs w:val="24"/>
        </w:rPr>
      </w:pPr>
      <w:r w:rsidRPr="001E0DD8">
        <w:rPr>
          <w:rFonts w:ascii="Work Sans" w:hAnsi="Work Sans" w:cs="Arial"/>
          <w:sz w:val="24"/>
          <w:szCs w:val="24"/>
        </w:rPr>
        <w:t>A</w:t>
      </w:r>
      <w:r w:rsidR="00466038" w:rsidRPr="001E0DD8">
        <w:rPr>
          <w:rFonts w:ascii="Work Sans" w:hAnsi="Work Sans" w:cs="Arial"/>
          <w:sz w:val="24"/>
          <w:szCs w:val="24"/>
        </w:rPr>
        <w:t xml:space="preserve"> continuación,</w:t>
      </w:r>
      <w:r w:rsidRPr="001E0DD8">
        <w:rPr>
          <w:rFonts w:ascii="Work Sans" w:hAnsi="Work Sans" w:cs="Arial"/>
          <w:sz w:val="24"/>
          <w:szCs w:val="24"/>
        </w:rPr>
        <w:t xml:space="preserve"> se indica la cantidad de distribuidores</w:t>
      </w:r>
      <w:r w:rsidR="008D3A09" w:rsidRPr="001E0DD8">
        <w:rPr>
          <w:rFonts w:ascii="Work Sans" w:hAnsi="Work Sans" w:cs="Arial"/>
          <w:sz w:val="24"/>
          <w:szCs w:val="24"/>
        </w:rPr>
        <w:t xml:space="preserve"> minoristas (estaciones de servicio) y mayoristas</w:t>
      </w:r>
      <w:r w:rsidRPr="001E0DD8">
        <w:rPr>
          <w:rFonts w:ascii="Work Sans" w:hAnsi="Work Sans" w:cs="Arial"/>
          <w:sz w:val="24"/>
          <w:szCs w:val="24"/>
        </w:rPr>
        <w:t xml:space="preserve"> autorizados </w:t>
      </w:r>
      <w:r w:rsidR="00466038" w:rsidRPr="001E0DD8">
        <w:rPr>
          <w:rFonts w:ascii="Work Sans" w:hAnsi="Work Sans" w:cs="Arial"/>
          <w:sz w:val="24"/>
          <w:szCs w:val="24"/>
        </w:rPr>
        <w:t xml:space="preserve">que cuentan con certificado </w:t>
      </w:r>
      <w:r w:rsidRPr="001E0DD8">
        <w:rPr>
          <w:rFonts w:ascii="Work Sans" w:hAnsi="Work Sans" w:cs="Arial"/>
          <w:sz w:val="24"/>
          <w:szCs w:val="24"/>
        </w:rPr>
        <w:t xml:space="preserve">para la </w:t>
      </w:r>
      <w:r w:rsidR="00466038" w:rsidRPr="001E0DD8">
        <w:rPr>
          <w:rFonts w:ascii="Work Sans" w:hAnsi="Work Sans" w:cs="Arial"/>
          <w:sz w:val="24"/>
          <w:szCs w:val="24"/>
        </w:rPr>
        <w:t>distribución</w:t>
      </w:r>
      <w:r w:rsidRPr="001E0DD8">
        <w:rPr>
          <w:rFonts w:ascii="Work Sans" w:hAnsi="Work Sans" w:cs="Arial"/>
          <w:sz w:val="24"/>
          <w:szCs w:val="24"/>
        </w:rPr>
        <w:t xml:space="preserve"> de combustibles en los departamentos de Vaupés, Guainía, Vichada, Amazonas y Guaviare, así:</w:t>
      </w:r>
    </w:p>
    <w:p w14:paraId="146B9B12" w14:textId="75FD81D9" w:rsidR="00CD7486" w:rsidRPr="001E0DD8" w:rsidRDefault="00CD7486" w:rsidP="001E0DD8">
      <w:pPr>
        <w:suppressAutoHyphens w:val="0"/>
        <w:spacing w:after="0" w:line="240" w:lineRule="auto"/>
        <w:jc w:val="center"/>
        <w:rPr>
          <w:rFonts w:ascii="Work Sans" w:hAnsi="Work Sans" w:cs="Arial"/>
          <w:sz w:val="24"/>
          <w:szCs w:val="24"/>
        </w:rPr>
      </w:pPr>
      <w:r w:rsidRPr="001E0DD8">
        <w:rPr>
          <w:rFonts w:ascii="Work Sans" w:hAnsi="Work Sans"/>
          <w:noProof/>
          <w:kern w:val="2"/>
          <w:sz w:val="24"/>
          <w:szCs w:val="24"/>
          <w:lang w:eastAsia="es-CO"/>
          <w14:ligatures w14:val="standardContextual"/>
        </w:rPr>
        <w:drawing>
          <wp:anchor distT="0" distB="0" distL="114300" distR="114300" simplePos="0" relativeHeight="251658240" behindDoc="0" locked="0" layoutInCell="1" allowOverlap="1" wp14:anchorId="24297005" wp14:editId="47F02131">
            <wp:simplePos x="0" y="0"/>
            <wp:positionH relativeFrom="margin">
              <wp:align>center</wp:align>
            </wp:positionH>
            <wp:positionV relativeFrom="paragraph">
              <wp:posOffset>220345</wp:posOffset>
            </wp:positionV>
            <wp:extent cx="2998470" cy="1172845"/>
            <wp:effectExtent l="0" t="0" r="0" b="8255"/>
            <wp:wrapTopAndBottom/>
            <wp:docPr id="15871368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8470" cy="1172845"/>
                    </a:xfrm>
                    <a:prstGeom prst="rect">
                      <a:avLst/>
                    </a:prstGeom>
                    <a:noFill/>
                  </pic:spPr>
                </pic:pic>
              </a:graphicData>
            </a:graphic>
          </wp:anchor>
        </w:drawing>
      </w:r>
    </w:p>
    <w:p w14:paraId="5C37F71B" w14:textId="196B6436" w:rsidR="00B13908" w:rsidRPr="001E0DD8" w:rsidRDefault="00CD7486" w:rsidP="001E0DD8">
      <w:pPr>
        <w:suppressAutoHyphens w:val="0"/>
        <w:spacing w:after="0" w:line="240" w:lineRule="auto"/>
        <w:contextualSpacing/>
        <w:jc w:val="center"/>
        <w:rPr>
          <w:rFonts w:ascii="Work Sans" w:hAnsi="Work Sans"/>
          <w:kern w:val="2"/>
          <w:sz w:val="24"/>
          <w:szCs w:val="24"/>
          <w:lang w:val="es-ES"/>
          <w14:ligatures w14:val="standardContextual"/>
        </w:rPr>
      </w:pPr>
      <w:r w:rsidRPr="001E0DD8">
        <w:rPr>
          <w:rFonts w:ascii="Work Sans" w:hAnsi="Work Sans"/>
          <w:noProof/>
          <w:kern w:val="2"/>
          <w:sz w:val="24"/>
          <w:szCs w:val="24"/>
          <w:lang w:eastAsia="es-CO"/>
          <w14:ligatures w14:val="standardContextual"/>
        </w:rPr>
        <w:drawing>
          <wp:anchor distT="0" distB="0" distL="114300" distR="114300" simplePos="0" relativeHeight="251659264" behindDoc="0" locked="0" layoutInCell="1" allowOverlap="1" wp14:anchorId="3C4D5234" wp14:editId="73495CBE">
            <wp:simplePos x="0" y="0"/>
            <wp:positionH relativeFrom="margin">
              <wp:align>center</wp:align>
            </wp:positionH>
            <wp:positionV relativeFrom="paragraph">
              <wp:posOffset>1413510</wp:posOffset>
            </wp:positionV>
            <wp:extent cx="2187575" cy="1169035"/>
            <wp:effectExtent l="0" t="0" r="3175" b="0"/>
            <wp:wrapTopAndBottom/>
            <wp:docPr id="157677948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7575" cy="1169035"/>
                    </a:xfrm>
                    <a:prstGeom prst="rect">
                      <a:avLst/>
                    </a:prstGeom>
                    <a:noFill/>
                    <a:ln>
                      <a:noFill/>
                    </a:ln>
                  </pic:spPr>
                </pic:pic>
              </a:graphicData>
            </a:graphic>
          </wp:anchor>
        </w:drawing>
      </w:r>
    </w:p>
    <w:p w14:paraId="6A0FB8C6" w14:textId="77777777" w:rsidR="00B13908" w:rsidRPr="001E0DD8" w:rsidRDefault="00B13908" w:rsidP="001E0DD8">
      <w:pPr>
        <w:suppressAutoHyphens w:val="0"/>
        <w:spacing w:after="0" w:line="240" w:lineRule="auto"/>
        <w:ind w:left="720"/>
        <w:contextualSpacing/>
        <w:jc w:val="center"/>
        <w:rPr>
          <w:rFonts w:ascii="Work Sans" w:hAnsi="Work Sans"/>
          <w:kern w:val="2"/>
          <w:sz w:val="24"/>
          <w:szCs w:val="24"/>
          <w:lang w:val="es-ES"/>
          <w14:ligatures w14:val="standardContextual"/>
        </w:rPr>
      </w:pPr>
    </w:p>
    <w:p w14:paraId="72FDAFAD" w14:textId="77777777" w:rsidR="00CD7486" w:rsidRPr="001E0DD8" w:rsidRDefault="00CD7486" w:rsidP="001E0DD8">
      <w:pPr>
        <w:suppressAutoHyphens w:val="0"/>
        <w:spacing w:after="0" w:line="240" w:lineRule="auto"/>
        <w:ind w:left="720"/>
        <w:contextualSpacing/>
        <w:jc w:val="center"/>
        <w:rPr>
          <w:rFonts w:ascii="Work Sans" w:hAnsi="Work Sans"/>
          <w:kern w:val="2"/>
          <w:sz w:val="24"/>
          <w:szCs w:val="24"/>
          <w:lang w:val="es-ES"/>
          <w14:ligatures w14:val="standardContextual"/>
        </w:rPr>
      </w:pPr>
    </w:p>
    <w:p w14:paraId="19F8F42C" w14:textId="0A3D67F8" w:rsidR="00333CE3" w:rsidRPr="001E0DD8" w:rsidRDefault="00184B5D" w:rsidP="001E0DD8">
      <w:pPr>
        <w:pStyle w:val="Prrafodelista"/>
        <w:numPr>
          <w:ilvl w:val="0"/>
          <w:numId w:val="17"/>
        </w:numPr>
        <w:spacing w:after="0" w:line="240" w:lineRule="auto"/>
        <w:ind w:right="51"/>
        <w:jc w:val="both"/>
        <w:rPr>
          <w:rFonts w:ascii="Work Sans" w:eastAsia="Work Sans" w:hAnsi="Work Sans" w:cs="Work Sans"/>
          <w:b/>
          <w:bCs/>
          <w:sz w:val="24"/>
          <w:szCs w:val="24"/>
        </w:rPr>
      </w:pPr>
      <w:r w:rsidRPr="001E0DD8">
        <w:rPr>
          <w:rFonts w:ascii="Work Sans" w:eastAsia="Work Sans" w:hAnsi="Work Sans" w:cs="Work Sans"/>
          <w:b/>
          <w:bCs/>
          <w:sz w:val="24"/>
          <w:szCs w:val="24"/>
        </w:rPr>
        <w:t xml:space="preserve">Cuáles son los ejes </w:t>
      </w:r>
      <w:r w:rsidR="005E5977" w:rsidRPr="001E0DD8">
        <w:rPr>
          <w:rFonts w:ascii="Work Sans" w:eastAsia="Work Sans" w:hAnsi="Work Sans" w:cs="Work Sans"/>
          <w:b/>
          <w:bCs/>
          <w:sz w:val="24"/>
          <w:szCs w:val="24"/>
        </w:rPr>
        <w:t xml:space="preserve">para que se regule </w:t>
      </w:r>
      <w:r w:rsidR="001E0E4B" w:rsidRPr="001E0DD8">
        <w:rPr>
          <w:rFonts w:ascii="Work Sans" w:eastAsia="Work Sans" w:hAnsi="Work Sans" w:cs="Work Sans"/>
          <w:b/>
          <w:bCs/>
          <w:sz w:val="24"/>
          <w:szCs w:val="24"/>
        </w:rPr>
        <w:t>los precios del combustible en los</w:t>
      </w:r>
      <w:r w:rsidR="00CD7486" w:rsidRPr="001E0DD8">
        <w:rPr>
          <w:rFonts w:ascii="Work Sans" w:eastAsia="Work Sans" w:hAnsi="Work Sans" w:cs="Work Sans"/>
          <w:b/>
          <w:bCs/>
          <w:sz w:val="24"/>
          <w:szCs w:val="24"/>
        </w:rPr>
        <w:t xml:space="preserve"> </w:t>
      </w:r>
      <w:r w:rsidR="001E0E4B" w:rsidRPr="001E0DD8">
        <w:rPr>
          <w:rFonts w:ascii="Work Sans" w:eastAsia="Work Sans" w:hAnsi="Work Sans" w:cs="Work Sans"/>
          <w:b/>
          <w:bCs/>
          <w:sz w:val="24"/>
          <w:szCs w:val="24"/>
        </w:rPr>
        <w:t>departamentos fronterizos y en especial aquellos como Vaupés que solo es</w:t>
      </w:r>
      <w:r w:rsidR="00090294" w:rsidRPr="001E0DD8">
        <w:rPr>
          <w:rFonts w:ascii="Work Sans" w:eastAsia="Work Sans" w:hAnsi="Work Sans" w:cs="Work Sans"/>
          <w:b/>
          <w:bCs/>
          <w:sz w:val="24"/>
          <w:szCs w:val="24"/>
        </w:rPr>
        <w:t xml:space="preserve"> </w:t>
      </w:r>
      <w:r w:rsidR="001E0E4B" w:rsidRPr="001E0DD8">
        <w:rPr>
          <w:rFonts w:ascii="Work Sans" w:eastAsia="Work Sans" w:hAnsi="Work Sans" w:cs="Work Sans"/>
          <w:b/>
          <w:bCs/>
          <w:sz w:val="24"/>
          <w:szCs w:val="24"/>
        </w:rPr>
        <w:t>accesible por vía aérea.</w:t>
      </w:r>
    </w:p>
    <w:p w14:paraId="3B886BE2" w14:textId="77777777" w:rsidR="003913C1" w:rsidRPr="001E0DD8" w:rsidRDefault="003913C1" w:rsidP="001E0DD8">
      <w:pPr>
        <w:spacing w:after="0" w:line="240" w:lineRule="auto"/>
        <w:ind w:right="51"/>
        <w:contextualSpacing/>
        <w:jc w:val="both"/>
        <w:rPr>
          <w:rFonts w:ascii="Work Sans" w:hAnsi="Work Sans" w:cs="Arial"/>
          <w:sz w:val="24"/>
          <w:szCs w:val="24"/>
        </w:rPr>
      </w:pPr>
    </w:p>
    <w:p w14:paraId="0754FAC2" w14:textId="50856CD7" w:rsidR="003913C1" w:rsidRPr="001E0DD8" w:rsidRDefault="003913C1" w:rsidP="001E0DD8">
      <w:pPr>
        <w:spacing w:after="0" w:line="240" w:lineRule="auto"/>
        <w:ind w:right="51"/>
        <w:contextualSpacing/>
        <w:jc w:val="both"/>
        <w:rPr>
          <w:rFonts w:ascii="Work Sans" w:eastAsia="Work Sans" w:hAnsi="Work Sans" w:cs="Work Sans"/>
          <w:sz w:val="24"/>
          <w:szCs w:val="24"/>
        </w:rPr>
      </w:pPr>
      <w:r w:rsidRPr="001E0DD8">
        <w:rPr>
          <w:rFonts w:ascii="Work Sans" w:eastAsia="Work Sans" w:hAnsi="Work Sans" w:cs="Work Sans"/>
          <w:sz w:val="24"/>
          <w:szCs w:val="24"/>
        </w:rPr>
        <w:t>Actualmente, de acuerdo con lo definido en el artículo 35 de la Ley 1955 de 2019, modificado por el artículo 244 de la Ley 2294 de 2023, dispuso que corresponde a los Ministerios de Hacienda y Crédito Público</w:t>
      </w:r>
      <w:r w:rsidR="00CD7486" w:rsidRPr="001E0DD8">
        <w:rPr>
          <w:rFonts w:ascii="Work Sans" w:eastAsia="Work Sans" w:hAnsi="Work Sans" w:cs="Work Sans"/>
          <w:sz w:val="24"/>
          <w:szCs w:val="24"/>
        </w:rPr>
        <w:t xml:space="preserve"> – MHCP</w:t>
      </w:r>
      <w:r w:rsidRPr="001E0DD8">
        <w:rPr>
          <w:rFonts w:ascii="Work Sans" w:eastAsia="Work Sans" w:hAnsi="Work Sans" w:cs="Work Sans"/>
          <w:sz w:val="24"/>
          <w:szCs w:val="24"/>
        </w:rPr>
        <w:t xml:space="preserve"> y de Minas y Energía</w:t>
      </w:r>
      <w:r w:rsidR="00CD7486" w:rsidRPr="001E0DD8">
        <w:rPr>
          <w:rFonts w:ascii="Work Sans" w:eastAsia="Work Sans" w:hAnsi="Work Sans" w:cs="Work Sans"/>
          <w:sz w:val="24"/>
          <w:szCs w:val="24"/>
        </w:rPr>
        <w:t xml:space="preserve"> – MME</w:t>
      </w:r>
      <w:r w:rsidRPr="001E0DD8">
        <w:rPr>
          <w:rFonts w:ascii="Work Sans" w:eastAsia="Work Sans" w:hAnsi="Work Sans" w:cs="Work Sans"/>
          <w:sz w:val="24"/>
          <w:szCs w:val="24"/>
        </w:rPr>
        <w:t xml:space="preserve">, o la entidad delegada, establecer la </w:t>
      </w:r>
      <w:r w:rsidRPr="001E0DD8">
        <w:rPr>
          <w:rFonts w:ascii="Work Sans" w:eastAsia="Work Sans" w:hAnsi="Work Sans" w:cs="Work Sans"/>
          <w:sz w:val="24"/>
          <w:szCs w:val="24"/>
        </w:rPr>
        <w:lastRenderedPageBreak/>
        <w:t>metodología de cálculo del valor del ingreso al productor de los combustibles líquidos y biocombustibles (rubro de la estructura de precio de venta de estos combustibles).</w:t>
      </w:r>
    </w:p>
    <w:p w14:paraId="6224A211" w14:textId="77777777" w:rsidR="003913C1" w:rsidRPr="001E0DD8" w:rsidRDefault="003913C1" w:rsidP="001E0DD8">
      <w:pPr>
        <w:spacing w:after="0" w:line="240" w:lineRule="auto"/>
        <w:ind w:right="51"/>
        <w:jc w:val="both"/>
        <w:rPr>
          <w:rFonts w:ascii="Work Sans" w:eastAsia="Work Sans" w:hAnsi="Work Sans" w:cs="Work Sans"/>
          <w:sz w:val="24"/>
          <w:szCs w:val="24"/>
        </w:rPr>
      </w:pPr>
    </w:p>
    <w:p w14:paraId="326A4BDB" w14:textId="13AB04D4" w:rsidR="003913C1" w:rsidRPr="001E0DD8" w:rsidRDefault="003913C1" w:rsidP="001E0DD8">
      <w:pPr>
        <w:spacing w:after="0" w:line="240" w:lineRule="auto"/>
        <w:ind w:right="51"/>
        <w:jc w:val="both"/>
        <w:rPr>
          <w:rFonts w:ascii="Work Sans" w:eastAsia="Work Sans" w:hAnsi="Work Sans" w:cs="Work Sans"/>
          <w:sz w:val="24"/>
          <w:szCs w:val="24"/>
        </w:rPr>
      </w:pPr>
      <w:r w:rsidRPr="001E0DD8">
        <w:rPr>
          <w:rFonts w:ascii="Work Sans" w:eastAsia="Work Sans" w:hAnsi="Work Sans" w:cs="Work Sans"/>
          <w:sz w:val="24"/>
          <w:szCs w:val="24"/>
        </w:rPr>
        <w:t xml:space="preserve">Por su parte, de acuerdo con la </w:t>
      </w:r>
      <w:r w:rsidR="00CD7486" w:rsidRPr="001E0DD8">
        <w:rPr>
          <w:rFonts w:ascii="Work Sans" w:eastAsia="Work Sans" w:hAnsi="Work Sans" w:cs="Work Sans"/>
          <w:sz w:val="24"/>
          <w:szCs w:val="24"/>
        </w:rPr>
        <w:t>R</w:t>
      </w:r>
      <w:r w:rsidRPr="001E0DD8">
        <w:rPr>
          <w:rFonts w:ascii="Work Sans" w:eastAsia="Work Sans" w:hAnsi="Work Sans" w:cs="Work Sans"/>
          <w:sz w:val="24"/>
          <w:szCs w:val="24"/>
        </w:rPr>
        <w:t xml:space="preserve">esolución </w:t>
      </w:r>
      <w:r w:rsidR="00CD7486" w:rsidRPr="001E0DD8">
        <w:rPr>
          <w:rFonts w:ascii="Work Sans" w:eastAsia="Work Sans" w:hAnsi="Work Sans" w:cs="Work Sans"/>
          <w:sz w:val="24"/>
          <w:szCs w:val="24"/>
        </w:rPr>
        <w:t xml:space="preserve">No. </w:t>
      </w:r>
      <w:r w:rsidRPr="001E0DD8">
        <w:rPr>
          <w:rFonts w:ascii="Work Sans" w:eastAsia="Work Sans" w:hAnsi="Work Sans" w:cs="Work Sans"/>
          <w:sz w:val="24"/>
          <w:szCs w:val="24"/>
        </w:rPr>
        <w:t xml:space="preserve">40193 </w:t>
      </w:r>
      <w:r w:rsidR="00CD7486" w:rsidRPr="001E0DD8">
        <w:rPr>
          <w:rFonts w:ascii="Work Sans" w:eastAsia="Work Sans" w:hAnsi="Work Sans" w:cs="Work Sans"/>
          <w:sz w:val="24"/>
          <w:szCs w:val="24"/>
        </w:rPr>
        <w:t>de</w:t>
      </w:r>
      <w:r w:rsidRPr="001E0DD8">
        <w:rPr>
          <w:rFonts w:ascii="Work Sans" w:eastAsia="Work Sans" w:hAnsi="Work Sans" w:cs="Work Sans"/>
          <w:sz w:val="24"/>
          <w:szCs w:val="24"/>
        </w:rPr>
        <w:t xml:space="preserve"> 2021, </w:t>
      </w:r>
      <w:r w:rsidRPr="001E0DD8">
        <w:rPr>
          <w:rFonts w:ascii="Work Sans" w:eastAsia="Work Sans" w:hAnsi="Work Sans" w:cs="Work Sans"/>
          <w:i/>
          <w:sz w:val="24"/>
          <w:szCs w:val="24"/>
        </w:rPr>
        <w:t>“Por la cual se delegan funciones de regulación del sector de combustibles líquidos en la Comisión de Regulación de Energía y Gas -CREG”</w:t>
      </w:r>
      <w:r w:rsidRPr="001E0DD8">
        <w:rPr>
          <w:rFonts w:ascii="Work Sans" w:eastAsia="Work Sans" w:hAnsi="Work Sans" w:cs="Work Sans"/>
          <w:sz w:val="24"/>
          <w:szCs w:val="24"/>
        </w:rPr>
        <w:t xml:space="preserve">, la </w:t>
      </w:r>
      <w:r w:rsidR="00CD7486" w:rsidRPr="001E0DD8">
        <w:rPr>
          <w:rFonts w:ascii="Work Sans" w:eastAsia="Work Sans" w:hAnsi="Work Sans" w:cs="Work Sans"/>
          <w:sz w:val="24"/>
          <w:szCs w:val="24"/>
        </w:rPr>
        <w:t xml:space="preserve">Comisión de Regulación de Energía y Gas – </w:t>
      </w:r>
      <w:r w:rsidRPr="001E0DD8">
        <w:rPr>
          <w:rFonts w:ascii="Work Sans" w:eastAsia="Work Sans" w:hAnsi="Work Sans" w:cs="Work Sans"/>
          <w:sz w:val="24"/>
          <w:szCs w:val="24"/>
        </w:rPr>
        <w:t>CREG a partir de la entrada en vigencia del acto administrativo es la entidad encargada de la definición de tarifas y márgenes asociados a la remuneración de toda la cadena de transporte, logística, comercialización y distribución de dichos combustibles que hacen parte del mercado regulado.</w:t>
      </w:r>
    </w:p>
    <w:p w14:paraId="46314E56" w14:textId="77777777" w:rsidR="00CD7486" w:rsidRPr="001E0DD8" w:rsidRDefault="00CD7486" w:rsidP="001E0DD8">
      <w:pPr>
        <w:spacing w:after="0" w:line="240" w:lineRule="auto"/>
        <w:ind w:right="51"/>
        <w:jc w:val="both"/>
        <w:rPr>
          <w:rFonts w:ascii="Work Sans" w:eastAsia="Work Sans" w:hAnsi="Work Sans" w:cs="Work Sans"/>
          <w:sz w:val="24"/>
          <w:szCs w:val="24"/>
        </w:rPr>
      </w:pPr>
    </w:p>
    <w:p w14:paraId="5BB979D5" w14:textId="05A93055" w:rsidR="00627707" w:rsidRPr="001E0DD8" w:rsidRDefault="00627707" w:rsidP="001E0DD8">
      <w:pPr>
        <w:pStyle w:val="Prrafodelista"/>
        <w:numPr>
          <w:ilvl w:val="0"/>
          <w:numId w:val="18"/>
        </w:numPr>
        <w:pBdr>
          <w:top w:val="nil"/>
          <w:left w:val="nil"/>
          <w:bottom w:val="nil"/>
          <w:right w:val="nil"/>
          <w:between w:val="nil"/>
        </w:pBdr>
        <w:suppressAutoHyphens w:val="0"/>
        <w:spacing w:after="0" w:line="240" w:lineRule="auto"/>
        <w:jc w:val="both"/>
        <w:rPr>
          <w:rFonts w:ascii="Work Sans" w:eastAsia="Work Sans" w:hAnsi="Work Sans" w:cs="Work Sans"/>
          <w:b/>
          <w:color w:val="000000"/>
          <w:sz w:val="24"/>
          <w:szCs w:val="24"/>
        </w:rPr>
      </w:pPr>
      <w:r w:rsidRPr="001E0DD8">
        <w:rPr>
          <w:rFonts w:ascii="Work Sans" w:eastAsia="Work Sans" w:hAnsi="Work Sans" w:cs="Work Sans"/>
          <w:b/>
          <w:color w:val="000000"/>
          <w:sz w:val="24"/>
          <w:szCs w:val="24"/>
        </w:rPr>
        <w:t>Estructura de precios</w:t>
      </w:r>
    </w:p>
    <w:p w14:paraId="7F8FE678" w14:textId="77777777" w:rsidR="00333CE3" w:rsidRPr="001E0DD8" w:rsidRDefault="00333CE3" w:rsidP="001E0DD8">
      <w:pPr>
        <w:pBdr>
          <w:top w:val="nil"/>
          <w:left w:val="nil"/>
          <w:bottom w:val="nil"/>
          <w:right w:val="nil"/>
          <w:between w:val="nil"/>
        </w:pBdr>
        <w:suppressAutoHyphens w:val="0"/>
        <w:spacing w:after="0" w:line="240" w:lineRule="auto"/>
        <w:jc w:val="both"/>
        <w:rPr>
          <w:rFonts w:ascii="Work Sans" w:eastAsia="Work Sans" w:hAnsi="Work Sans" w:cs="Work Sans"/>
          <w:bCs/>
          <w:color w:val="000000"/>
          <w:sz w:val="24"/>
          <w:szCs w:val="24"/>
        </w:rPr>
      </w:pPr>
    </w:p>
    <w:p w14:paraId="7583CDFF" w14:textId="77777777" w:rsidR="00627707" w:rsidRPr="001E0DD8" w:rsidRDefault="00627707"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Conforme al marco normativo los precios de los combustibles en Colombia, en particular de la gasolina corriente y del ACPM (Diésel), se encuentran regulados en cabeza de las disposiciones que establece el Ministerio de Minas y Energía y el Ministerio de Hacienda y Crédito Público. Así, mismo a lo largo del tiempo este Ministerio ha establecido regularmente los valores de los diferentes componentes que hacen parte de la estructura de precios de los combustibles.</w:t>
      </w:r>
    </w:p>
    <w:p w14:paraId="623F2BC0" w14:textId="77777777" w:rsidR="00CD7486" w:rsidRPr="001E0DD8" w:rsidRDefault="00CD7486"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p>
    <w:p w14:paraId="5C82A5DF" w14:textId="77777777" w:rsidR="00627707" w:rsidRPr="001E0DD8" w:rsidRDefault="00627707"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Al estar regulados, la estructura de precios de estos combustibles debe ser acogida por todos los agentes de la cadena de distribución, incluidos los distribuidores minoristas.</w:t>
      </w:r>
    </w:p>
    <w:p w14:paraId="0B86DF4F" w14:textId="77777777" w:rsidR="00333CE3" w:rsidRPr="001E0DD8" w:rsidRDefault="00333CE3"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p>
    <w:p w14:paraId="1B224E21" w14:textId="7FA5E5DA" w:rsidR="00627707" w:rsidRPr="001E0DD8" w:rsidRDefault="00627707"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De manera ilustrativa e indicativa, a continuación, en la Tabla No. 1 se listan las variables más relevantes que definen la estructura de precios de referencia para la venta al público de los combustibles Gasolina Motor Corriente Oxigenada y ACPM con mezcla de biocombustible, a nivel nacional. Esta estructura de precio se encuentra definida en la Resolución</w:t>
      </w:r>
      <w:r w:rsidR="00CD7486" w:rsidRPr="001E0DD8">
        <w:rPr>
          <w:rFonts w:ascii="Work Sans" w:eastAsia="Work Sans" w:hAnsi="Work Sans" w:cs="Work Sans"/>
          <w:color w:val="000000"/>
          <w:sz w:val="24"/>
          <w:szCs w:val="24"/>
        </w:rPr>
        <w:t xml:space="preserve"> No.</w:t>
      </w:r>
      <w:r w:rsidRPr="001E0DD8">
        <w:rPr>
          <w:rFonts w:ascii="Work Sans" w:eastAsia="Work Sans" w:hAnsi="Work Sans" w:cs="Work Sans"/>
          <w:color w:val="000000"/>
          <w:sz w:val="24"/>
          <w:szCs w:val="24"/>
        </w:rPr>
        <w:t xml:space="preserve"> 40112 del 2021.</w:t>
      </w:r>
    </w:p>
    <w:p w14:paraId="17A2ED4A" w14:textId="77777777" w:rsidR="00333CE3" w:rsidRPr="001E0DD8" w:rsidRDefault="00333CE3"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p>
    <w:p w14:paraId="0E1C13F8" w14:textId="062B98DF" w:rsidR="00627707" w:rsidRPr="001E0DD8" w:rsidRDefault="00627707"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 xml:space="preserve">Para el caso particular de las Zonas de Frontera, se tendrían consideraciones adicionales, tales como el componente de Costos de Cesión. Las diferencias se analizan en la sección </w:t>
      </w:r>
      <w:r w:rsidR="00333CE3" w:rsidRPr="001E0DD8">
        <w:rPr>
          <w:rFonts w:ascii="Work Sans" w:eastAsia="Work Sans" w:hAnsi="Work Sans" w:cs="Work Sans"/>
          <w:color w:val="000000"/>
          <w:sz w:val="24"/>
          <w:szCs w:val="24"/>
        </w:rPr>
        <w:t>2</w:t>
      </w:r>
      <w:r w:rsidRPr="001E0DD8">
        <w:rPr>
          <w:rFonts w:ascii="Work Sans" w:eastAsia="Work Sans" w:hAnsi="Work Sans" w:cs="Work Sans"/>
          <w:color w:val="000000"/>
          <w:sz w:val="24"/>
          <w:szCs w:val="24"/>
        </w:rPr>
        <w:t xml:space="preserve"> de esta respuesta.</w:t>
      </w:r>
    </w:p>
    <w:p w14:paraId="6636CB9C" w14:textId="77777777" w:rsidR="00627707" w:rsidRPr="001E0DD8" w:rsidRDefault="00627707"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p>
    <w:p w14:paraId="06BD8F3C" w14:textId="1489104B" w:rsidR="00627707" w:rsidRPr="001E0DD8" w:rsidRDefault="00627707" w:rsidP="001E0DD8">
      <w:pPr>
        <w:pBdr>
          <w:top w:val="nil"/>
          <w:left w:val="nil"/>
          <w:bottom w:val="nil"/>
          <w:right w:val="nil"/>
          <w:between w:val="nil"/>
        </w:pBdr>
        <w:spacing w:after="0" w:line="240" w:lineRule="auto"/>
        <w:jc w:val="center"/>
        <w:rPr>
          <w:rFonts w:ascii="Work Sans" w:eastAsia="Work Sans" w:hAnsi="Work Sans" w:cs="Work Sans"/>
          <w:b/>
          <w:color w:val="000000"/>
          <w:sz w:val="20"/>
          <w:szCs w:val="20"/>
        </w:rPr>
      </w:pPr>
      <w:r w:rsidRPr="001E0DD8">
        <w:rPr>
          <w:rFonts w:ascii="Work Sans" w:eastAsia="Work Sans" w:hAnsi="Work Sans" w:cs="Work Sans"/>
          <w:b/>
          <w:color w:val="000000"/>
          <w:sz w:val="20"/>
          <w:szCs w:val="20"/>
        </w:rPr>
        <w:t>Relación de las variables que definen estructura de precios de los combustibles</w:t>
      </w:r>
    </w:p>
    <w:p w14:paraId="312C9583" w14:textId="77777777" w:rsidR="00627707" w:rsidRPr="001E0DD8" w:rsidRDefault="00627707" w:rsidP="001E0DD8">
      <w:pPr>
        <w:pBdr>
          <w:top w:val="nil"/>
          <w:left w:val="nil"/>
          <w:bottom w:val="nil"/>
          <w:right w:val="nil"/>
          <w:between w:val="nil"/>
        </w:pBdr>
        <w:spacing w:after="0" w:line="240" w:lineRule="auto"/>
        <w:jc w:val="center"/>
        <w:rPr>
          <w:rFonts w:ascii="Work Sans" w:eastAsia="Work Sans" w:hAnsi="Work Sans" w:cs="Work Sans"/>
          <w:b/>
          <w:color w:val="000000"/>
          <w:sz w:val="20"/>
          <w:szCs w:val="20"/>
        </w:rPr>
      </w:pPr>
    </w:p>
    <w:tbl>
      <w:tblPr>
        <w:tblW w:w="9110" w:type="dxa"/>
        <w:jc w:val="center"/>
        <w:tblLayout w:type="fixed"/>
        <w:tblLook w:val="0400" w:firstRow="0" w:lastRow="0" w:firstColumn="0" w:lastColumn="0" w:noHBand="0" w:noVBand="1"/>
      </w:tblPr>
      <w:tblGrid>
        <w:gridCol w:w="6658"/>
        <w:gridCol w:w="2452"/>
      </w:tblGrid>
      <w:tr w:rsidR="00627707" w:rsidRPr="001E0DD8" w14:paraId="505B6906" w14:textId="77777777" w:rsidTr="00723207">
        <w:trPr>
          <w:trHeight w:val="340"/>
          <w:tblHeader/>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09C95" w14:textId="5A73FE0E" w:rsidR="00627707" w:rsidRPr="001E0DD8" w:rsidRDefault="00723207" w:rsidP="001E0DD8">
            <w:pPr>
              <w:spacing w:after="0" w:line="240" w:lineRule="auto"/>
              <w:jc w:val="center"/>
              <w:rPr>
                <w:rFonts w:ascii="Work Sans" w:eastAsia="Work Sans" w:hAnsi="Work Sans" w:cs="Work Sans"/>
                <w:b/>
                <w:sz w:val="20"/>
                <w:szCs w:val="20"/>
              </w:rPr>
            </w:pPr>
            <w:r w:rsidRPr="001E0DD8">
              <w:rPr>
                <w:rFonts w:ascii="Work Sans" w:eastAsia="Work Sans" w:hAnsi="Work Sans" w:cs="Work Sans"/>
                <w:b/>
                <w:sz w:val="20"/>
                <w:szCs w:val="20"/>
              </w:rPr>
              <w:t>ESTRUCTURA PRECIO GASOLINA MC OXIGENADA</w:t>
            </w:r>
          </w:p>
        </w:tc>
        <w:tc>
          <w:tcPr>
            <w:tcW w:w="2452"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14:paraId="7933B95F" w14:textId="530B57C9" w:rsidR="00627707" w:rsidRPr="001E0DD8" w:rsidRDefault="00723207" w:rsidP="001E0DD8">
            <w:pPr>
              <w:spacing w:after="0" w:line="240" w:lineRule="auto"/>
              <w:jc w:val="center"/>
              <w:rPr>
                <w:rFonts w:ascii="Work Sans" w:eastAsia="Work Sans" w:hAnsi="Work Sans" w:cs="Work Sans"/>
                <w:b/>
                <w:sz w:val="20"/>
                <w:szCs w:val="20"/>
              </w:rPr>
            </w:pPr>
            <w:r w:rsidRPr="001E0DD8">
              <w:rPr>
                <w:rFonts w:ascii="Work Sans" w:eastAsia="Work Sans" w:hAnsi="Work Sans" w:cs="Work Sans"/>
                <w:b/>
                <w:sz w:val="20"/>
                <w:szCs w:val="20"/>
              </w:rPr>
              <w:t>TIPO DE COMPONENTE</w:t>
            </w:r>
          </w:p>
        </w:tc>
      </w:tr>
      <w:tr w:rsidR="00627707" w:rsidRPr="001E0DD8" w14:paraId="16547E8C"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5DD8DA3A" w14:textId="5FBCED20"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 xml:space="preserve">1. Proporción </w:t>
            </w:r>
            <w:r w:rsidR="00723207" w:rsidRPr="001E0DD8">
              <w:rPr>
                <w:rFonts w:ascii="Work Sans" w:eastAsia="Work Sans" w:hAnsi="Work Sans" w:cs="Work Sans"/>
                <w:sz w:val="20"/>
                <w:szCs w:val="20"/>
              </w:rPr>
              <w:t>- Ingreso</w:t>
            </w:r>
            <w:r w:rsidRPr="001E0DD8">
              <w:rPr>
                <w:rFonts w:ascii="Work Sans" w:eastAsia="Work Sans" w:hAnsi="Work Sans" w:cs="Work Sans"/>
                <w:sz w:val="20"/>
                <w:szCs w:val="20"/>
              </w:rPr>
              <w:t xml:space="preserve"> al Productor de la Gasolina Motor Corriente</w:t>
            </w:r>
          </w:p>
        </w:tc>
        <w:tc>
          <w:tcPr>
            <w:tcW w:w="2452" w:type="dxa"/>
            <w:tcBorders>
              <w:top w:val="nil"/>
              <w:left w:val="nil"/>
              <w:bottom w:val="single" w:sz="4" w:space="0" w:color="000000"/>
              <w:right w:val="single" w:sz="4" w:space="0" w:color="000000"/>
            </w:tcBorders>
            <w:shd w:val="clear" w:color="auto" w:fill="auto"/>
            <w:vAlign w:val="center"/>
          </w:tcPr>
          <w:p w14:paraId="6338D51C" w14:textId="778602EA"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MME</w:t>
            </w:r>
          </w:p>
        </w:tc>
      </w:tr>
      <w:tr w:rsidR="00627707" w:rsidRPr="001E0DD8" w14:paraId="3C38041B"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42877F80" w14:textId="0BE1040A"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 xml:space="preserve">2. Proporción </w:t>
            </w:r>
            <w:r w:rsidR="00723207" w:rsidRPr="001E0DD8">
              <w:rPr>
                <w:rFonts w:ascii="Work Sans" w:eastAsia="Work Sans" w:hAnsi="Work Sans" w:cs="Work Sans"/>
                <w:sz w:val="20"/>
                <w:szCs w:val="20"/>
              </w:rPr>
              <w:t>- Ingreso</w:t>
            </w:r>
            <w:r w:rsidRPr="001E0DD8">
              <w:rPr>
                <w:rFonts w:ascii="Work Sans" w:eastAsia="Work Sans" w:hAnsi="Work Sans" w:cs="Work Sans"/>
                <w:sz w:val="20"/>
                <w:szCs w:val="20"/>
              </w:rPr>
              <w:t xml:space="preserve"> al Productor del Alcohol Carburante</w:t>
            </w:r>
          </w:p>
        </w:tc>
        <w:tc>
          <w:tcPr>
            <w:tcW w:w="2452" w:type="dxa"/>
            <w:tcBorders>
              <w:top w:val="nil"/>
              <w:left w:val="nil"/>
              <w:bottom w:val="single" w:sz="4" w:space="0" w:color="000000"/>
              <w:right w:val="single" w:sz="4" w:space="0" w:color="000000"/>
            </w:tcBorders>
            <w:shd w:val="clear" w:color="auto" w:fill="auto"/>
            <w:vAlign w:val="center"/>
          </w:tcPr>
          <w:p w14:paraId="633325A5" w14:textId="60EB6928"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MME</w:t>
            </w:r>
          </w:p>
        </w:tc>
      </w:tr>
      <w:tr w:rsidR="00627707" w:rsidRPr="001E0DD8" w14:paraId="7A2AC1AE"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4C025F7E" w14:textId="10062709"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3. Ingreso al productor de la Gasolina Motor Corriente Oxigenada</w:t>
            </w:r>
          </w:p>
        </w:tc>
        <w:tc>
          <w:tcPr>
            <w:tcW w:w="2452" w:type="dxa"/>
            <w:tcBorders>
              <w:top w:val="nil"/>
              <w:left w:val="nil"/>
              <w:bottom w:val="single" w:sz="4" w:space="0" w:color="000000"/>
              <w:right w:val="single" w:sz="4" w:space="0" w:color="000000"/>
            </w:tcBorders>
            <w:shd w:val="clear" w:color="auto" w:fill="auto"/>
            <w:vAlign w:val="center"/>
          </w:tcPr>
          <w:p w14:paraId="12163CE4" w14:textId="7C6BD401"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Subtotal</w:t>
            </w:r>
          </w:p>
        </w:tc>
      </w:tr>
      <w:tr w:rsidR="00627707" w:rsidRPr="001E0DD8" w14:paraId="1960FE21"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55551BA8" w14:textId="002EE6AF"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4.</w:t>
            </w:r>
            <w:r w:rsidR="00723207" w:rsidRPr="001E0DD8">
              <w:rPr>
                <w:rFonts w:ascii="Work Sans" w:eastAsia="Work Sans" w:hAnsi="Work Sans" w:cs="Work Sans"/>
                <w:sz w:val="20"/>
                <w:szCs w:val="20"/>
              </w:rPr>
              <w:t xml:space="preserve"> </w:t>
            </w:r>
            <w:r w:rsidRPr="001E0DD8">
              <w:rPr>
                <w:rFonts w:ascii="Work Sans" w:eastAsia="Work Sans" w:hAnsi="Work Sans" w:cs="Work Sans"/>
                <w:sz w:val="20"/>
                <w:szCs w:val="20"/>
              </w:rPr>
              <w:t>Impuesto Nacional</w:t>
            </w:r>
          </w:p>
        </w:tc>
        <w:tc>
          <w:tcPr>
            <w:tcW w:w="2452" w:type="dxa"/>
            <w:tcBorders>
              <w:top w:val="nil"/>
              <w:left w:val="nil"/>
              <w:bottom w:val="single" w:sz="4" w:space="0" w:color="000000"/>
              <w:right w:val="single" w:sz="4" w:space="0" w:color="000000"/>
            </w:tcBorders>
            <w:shd w:val="clear" w:color="auto" w:fill="auto"/>
            <w:vAlign w:val="center"/>
          </w:tcPr>
          <w:p w14:paraId="3D12E827" w14:textId="59679DAF"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756EE8CA"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39020949" w14:textId="3C1579DF"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5. IVA sobre IP Fósil</w:t>
            </w:r>
          </w:p>
        </w:tc>
        <w:tc>
          <w:tcPr>
            <w:tcW w:w="2452" w:type="dxa"/>
            <w:tcBorders>
              <w:top w:val="nil"/>
              <w:left w:val="nil"/>
              <w:bottom w:val="single" w:sz="4" w:space="0" w:color="000000"/>
              <w:right w:val="single" w:sz="4" w:space="0" w:color="000000"/>
            </w:tcBorders>
            <w:shd w:val="clear" w:color="auto" w:fill="auto"/>
            <w:vAlign w:val="center"/>
          </w:tcPr>
          <w:p w14:paraId="1E2B126F" w14:textId="1880CA66"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5DF21AAD"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3AE57DA0" w14:textId="23937C6B"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6. Impuesto al Carbono</w:t>
            </w:r>
          </w:p>
        </w:tc>
        <w:tc>
          <w:tcPr>
            <w:tcW w:w="2452" w:type="dxa"/>
            <w:tcBorders>
              <w:top w:val="nil"/>
              <w:left w:val="nil"/>
              <w:bottom w:val="single" w:sz="4" w:space="0" w:color="000000"/>
              <w:right w:val="single" w:sz="4" w:space="0" w:color="000000"/>
            </w:tcBorders>
            <w:shd w:val="clear" w:color="auto" w:fill="auto"/>
            <w:vAlign w:val="center"/>
          </w:tcPr>
          <w:p w14:paraId="111140DD" w14:textId="26B1B986"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19FA348A"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2BF64820" w14:textId="0FB09A27"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lastRenderedPageBreak/>
              <w:t>7. Tarifa de Marcación</w:t>
            </w:r>
          </w:p>
        </w:tc>
        <w:tc>
          <w:tcPr>
            <w:tcW w:w="2452" w:type="dxa"/>
            <w:tcBorders>
              <w:top w:val="nil"/>
              <w:left w:val="nil"/>
              <w:bottom w:val="single" w:sz="4" w:space="0" w:color="000000"/>
              <w:right w:val="single" w:sz="4" w:space="0" w:color="000000"/>
            </w:tcBorders>
            <w:shd w:val="clear" w:color="auto" w:fill="auto"/>
            <w:vAlign w:val="center"/>
          </w:tcPr>
          <w:p w14:paraId="2239AEF8" w14:textId="0B271AFB"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CREG</w:t>
            </w:r>
          </w:p>
        </w:tc>
      </w:tr>
      <w:tr w:rsidR="00627707" w:rsidRPr="001E0DD8" w14:paraId="5BD986AB"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2EBE60CF" w14:textId="49ED7F7A"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8. Tarifa de Transporte por poliductos de la GMC</w:t>
            </w:r>
          </w:p>
        </w:tc>
        <w:tc>
          <w:tcPr>
            <w:tcW w:w="2452" w:type="dxa"/>
            <w:tcBorders>
              <w:top w:val="nil"/>
              <w:left w:val="nil"/>
              <w:bottom w:val="single" w:sz="4" w:space="0" w:color="000000"/>
              <w:right w:val="single" w:sz="4" w:space="0" w:color="000000"/>
            </w:tcBorders>
            <w:shd w:val="clear" w:color="auto" w:fill="auto"/>
            <w:vAlign w:val="center"/>
          </w:tcPr>
          <w:p w14:paraId="5894B466" w14:textId="7642C5BA"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CREG</w:t>
            </w:r>
          </w:p>
        </w:tc>
      </w:tr>
      <w:tr w:rsidR="00627707" w:rsidRPr="001E0DD8" w14:paraId="73A9D576"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43103140" w14:textId="37BB46CB"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9. Tarifa de Transporte del Alcohol Carburante</w:t>
            </w:r>
          </w:p>
        </w:tc>
        <w:tc>
          <w:tcPr>
            <w:tcW w:w="2452" w:type="dxa"/>
            <w:tcBorders>
              <w:top w:val="nil"/>
              <w:left w:val="nil"/>
              <w:bottom w:val="single" w:sz="4" w:space="0" w:color="000000"/>
              <w:right w:val="single" w:sz="4" w:space="0" w:color="000000"/>
            </w:tcBorders>
            <w:shd w:val="clear" w:color="auto" w:fill="auto"/>
            <w:vAlign w:val="center"/>
          </w:tcPr>
          <w:p w14:paraId="5F3E4A00" w14:textId="7AA879C3"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CREG</w:t>
            </w:r>
          </w:p>
        </w:tc>
      </w:tr>
      <w:tr w:rsidR="00627707" w:rsidRPr="001E0DD8" w14:paraId="01660426"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556F0C8C" w14:textId="53E9A966"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10</w:t>
            </w:r>
            <w:r w:rsidR="00723207" w:rsidRPr="001E0DD8">
              <w:rPr>
                <w:rFonts w:ascii="Work Sans" w:eastAsia="Work Sans" w:hAnsi="Work Sans" w:cs="Work Sans"/>
                <w:b/>
                <w:i/>
                <w:sz w:val="20"/>
                <w:szCs w:val="20"/>
              </w:rPr>
              <w:t>.</w:t>
            </w:r>
            <w:r w:rsidRPr="001E0DD8">
              <w:rPr>
                <w:rFonts w:ascii="Work Sans" w:eastAsia="Work Sans" w:hAnsi="Work Sans" w:cs="Work Sans"/>
                <w:b/>
                <w:i/>
                <w:sz w:val="20"/>
                <w:szCs w:val="20"/>
              </w:rPr>
              <w:t xml:space="preserve"> Precio Máximo de Venta al Distribuidor Mayorista</w:t>
            </w:r>
          </w:p>
        </w:tc>
        <w:tc>
          <w:tcPr>
            <w:tcW w:w="2452" w:type="dxa"/>
            <w:tcBorders>
              <w:top w:val="nil"/>
              <w:left w:val="nil"/>
              <w:bottom w:val="single" w:sz="4" w:space="0" w:color="000000"/>
              <w:right w:val="single" w:sz="4" w:space="0" w:color="000000"/>
            </w:tcBorders>
            <w:shd w:val="clear" w:color="auto" w:fill="auto"/>
            <w:vAlign w:val="center"/>
          </w:tcPr>
          <w:p w14:paraId="20413A4B" w14:textId="3215C929"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Subtotal</w:t>
            </w:r>
          </w:p>
        </w:tc>
      </w:tr>
      <w:tr w:rsidR="00627707" w:rsidRPr="001E0DD8" w14:paraId="3870D088"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41B9E26C" w14:textId="1F6B8E4F"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11. Sobretasa</w:t>
            </w:r>
          </w:p>
        </w:tc>
        <w:tc>
          <w:tcPr>
            <w:tcW w:w="2452" w:type="dxa"/>
            <w:tcBorders>
              <w:top w:val="nil"/>
              <w:left w:val="nil"/>
              <w:bottom w:val="single" w:sz="4" w:space="0" w:color="000000"/>
              <w:right w:val="single" w:sz="4" w:space="0" w:color="000000"/>
            </w:tcBorders>
            <w:shd w:val="clear" w:color="auto" w:fill="auto"/>
            <w:vAlign w:val="center"/>
          </w:tcPr>
          <w:p w14:paraId="1330210E" w14:textId="21EFB8B9"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2242CE46"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5AFCBEF5" w14:textId="213A3C8D"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12. IVA sobre el margen del distribuidor mayorista</w:t>
            </w:r>
          </w:p>
        </w:tc>
        <w:tc>
          <w:tcPr>
            <w:tcW w:w="2452" w:type="dxa"/>
            <w:tcBorders>
              <w:top w:val="nil"/>
              <w:left w:val="nil"/>
              <w:bottom w:val="single" w:sz="4" w:space="0" w:color="000000"/>
              <w:right w:val="single" w:sz="4" w:space="0" w:color="000000"/>
            </w:tcBorders>
            <w:shd w:val="clear" w:color="auto" w:fill="auto"/>
            <w:vAlign w:val="center"/>
          </w:tcPr>
          <w:p w14:paraId="2D3696C5" w14:textId="61861864"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00F585C0"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77F00A93" w14:textId="5647B52E"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13. Precio Máximo en Planta de Abastecimiento Mayorista</w:t>
            </w:r>
          </w:p>
        </w:tc>
        <w:tc>
          <w:tcPr>
            <w:tcW w:w="2452" w:type="dxa"/>
            <w:tcBorders>
              <w:top w:val="nil"/>
              <w:left w:val="nil"/>
              <w:bottom w:val="single" w:sz="4" w:space="0" w:color="000000"/>
              <w:right w:val="single" w:sz="4" w:space="0" w:color="000000"/>
            </w:tcBorders>
            <w:shd w:val="clear" w:color="auto" w:fill="auto"/>
            <w:vAlign w:val="center"/>
          </w:tcPr>
          <w:p w14:paraId="4ED29D9E" w14:textId="11A6E5C5"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Subtotal</w:t>
            </w:r>
          </w:p>
        </w:tc>
      </w:tr>
      <w:tr w:rsidR="00627707" w:rsidRPr="001E0DD8" w14:paraId="2433E3DF"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6618D7F0" w14:textId="19FFCF6E"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14. Margen del distribuidor minorista</w:t>
            </w:r>
          </w:p>
        </w:tc>
        <w:tc>
          <w:tcPr>
            <w:tcW w:w="2452" w:type="dxa"/>
            <w:tcBorders>
              <w:top w:val="nil"/>
              <w:left w:val="nil"/>
              <w:bottom w:val="single" w:sz="4" w:space="0" w:color="000000"/>
              <w:right w:val="single" w:sz="4" w:space="0" w:color="000000"/>
            </w:tcBorders>
            <w:shd w:val="clear" w:color="auto" w:fill="auto"/>
            <w:vAlign w:val="center"/>
          </w:tcPr>
          <w:p w14:paraId="6220ED13" w14:textId="4AC96133"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CREG</w:t>
            </w:r>
          </w:p>
        </w:tc>
      </w:tr>
      <w:tr w:rsidR="00627707" w:rsidRPr="001E0DD8" w14:paraId="7DF387AC"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75B9A00D" w14:textId="03EA8B7F"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15. Pérdida por evaporación</w:t>
            </w:r>
          </w:p>
        </w:tc>
        <w:tc>
          <w:tcPr>
            <w:tcW w:w="2452" w:type="dxa"/>
            <w:tcBorders>
              <w:top w:val="nil"/>
              <w:left w:val="nil"/>
              <w:bottom w:val="single" w:sz="4" w:space="0" w:color="000000"/>
              <w:right w:val="single" w:sz="4" w:space="0" w:color="000000"/>
            </w:tcBorders>
            <w:shd w:val="clear" w:color="auto" w:fill="auto"/>
            <w:vAlign w:val="center"/>
          </w:tcPr>
          <w:p w14:paraId="6D3DFBD8" w14:textId="2AA2C8EE"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Gobierno Nacional</w:t>
            </w:r>
          </w:p>
        </w:tc>
      </w:tr>
      <w:tr w:rsidR="00627707" w:rsidRPr="001E0DD8" w14:paraId="4DD19980"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02A8DB95" w14:textId="57F63C42"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16. Transporte de la planta de abastecimiento mayorista a estación.</w:t>
            </w:r>
          </w:p>
        </w:tc>
        <w:tc>
          <w:tcPr>
            <w:tcW w:w="2452" w:type="dxa"/>
            <w:tcBorders>
              <w:top w:val="nil"/>
              <w:left w:val="nil"/>
              <w:bottom w:val="single" w:sz="4" w:space="0" w:color="000000"/>
              <w:right w:val="single" w:sz="4" w:space="0" w:color="000000"/>
            </w:tcBorders>
            <w:shd w:val="clear" w:color="auto" w:fill="auto"/>
            <w:vAlign w:val="center"/>
          </w:tcPr>
          <w:p w14:paraId="22FC8D9E" w14:textId="0CD8EDE4" w:rsidR="00627707" w:rsidRPr="001E0DD8" w:rsidRDefault="00627707" w:rsidP="001E0DD8">
            <w:pPr>
              <w:spacing w:after="0" w:line="240" w:lineRule="auto"/>
              <w:rPr>
                <w:rFonts w:ascii="Work Sans" w:eastAsia="Work Sans" w:hAnsi="Work Sans" w:cs="Work Sans"/>
                <w:b/>
                <w:bCs/>
                <w:sz w:val="20"/>
                <w:szCs w:val="20"/>
                <w:u w:val="single"/>
              </w:rPr>
            </w:pPr>
            <w:r w:rsidRPr="001E0DD8">
              <w:rPr>
                <w:rFonts w:ascii="Work Sans" w:eastAsia="Work Sans" w:hAnsi="Work Sans" w:cs="Work Sans"/>
                <w:b/>
                <w:bCs/>
                <w:sz w:val="20"/>
                <w:szCs w:val="20"/>
                <w:u w:val="single"/>
              </w:rPr>
              <w:t>Fijado por MME o según disposición Alcaldía Municipal</w:t>
            </w:r>
          </w:p>
        </w:tc>
      </w:tr>
      <w:tr w:rsidR="00627707" w:rsidRPr="001E0DD8" w14:paraId="1D0FA879"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7CFAAFB1" w14:textId="7F14A02C"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17. Precio de Referencia de Venta por galón. $/GAL</w:t>
            </w:r>
          </w:p>
        </w:tc>
        <w:tc>
          <w:tcPr>
            <w:tcW w:w="2452" w:type="dxa"/>
            <w:tcBorders>
              <w:top w:val="nil"/>
              <w:left w:val="nil"/>
              <w:bottom w:val="single" w:sz="4" w:space="0" w:color="000000"/>
              <w:right w:val="single" w:sz="4" w:space="0" w:color="000000"/>
            </w:tcBorders>
            <w:shd w:val="clear" w:color="auto" w:fill="auto"/>
            <w:vAlign w:val="center"/>
          </w:tcPr>
          <w:p w14:paraId="38332498" w14:textId="030A5E3B"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Total</w:t>
            </w:r>
          </w:p>
        </w:tc>
      </w:tr>
      <w:tr w:rsidR="00627707" w:rsidRPr="001E0DD8" w14:paraId="7237DAE7" w14:textId="77777777" w:rsidTr="00723207">
        <w:trPr>
          <w:trHeight w:val="340"/>
          <w:jc w:val="center"/>
        </w:trPr>
        <w:tc>
          <w:tcPr>
            <w:tcW w:w="6658" w:type="dxa"/>
            <w:tcBorders>
              <w:top w:val="nil"/>
              <w:left w:val="nil"/>
              <w:bottom w:val="nil"/>
              <w:right w:val="nil"/>
            </w:tcBorders>
            <w:shd w:val="clear" w:color="auto" w:fill="auto"/>
            <w:vAlign w:val="center"/>
          </w:tcPr>
          <w:p w14:paraId="7CBEE7D8" w14:textId="77777777" w:rsidR="00627707" w:rsidRPr="001E0DD8" w:rsidRDefault="00627707" w:rsidP="001E0DD8">
            <w:pPr>
              <w:spacing w:after="0" w:line="240" w:lineRule="auto"/>
              <w:rPr>
                <w:rFonts w:ascii="Work Sans" w:eastAsia="Work Sans" w:hAnsi="Work Sans" w:cs="Work Sans"/>
                <w:b/>
                <w:i/>
                <w:sz w:val="20"/>
                <w:szCs w:val="20"/>
              </w:rPr>
            </w:pPr>
          </w:p>
        </w:tc>
        <w:tc>
          <w:tcPr>
            <w:tcW w:w="2452" w:type="dxa"/>
            <w:tcBorders>
              <w:top w:val="nil"/>
              <w:left w:val="nil"/>
              <w:bottom w:val="nil"/>
              <w:right w:val="nil"/>
            </w:tcBorders>
            <w:shd w:val="clear" w:color="auto" w:fill="auto"/>
            <w:vAlign w:val="center"/>
          </w:tcPr>
          <w:p w14:paraId="42D14B05" w14:textId="77777777" w:rsidR="00627707" w:rsidRPr="001E0DD8" w:rsidRDefault="00627707" w:rsidP="001E0DD8">
            <w:pPr>
              <w:spacing w:after="0" w:line="240" w:lineRule="auto"/>
              <w:rPr>
                <w:rFonts w:ascii="Work Sans" w:eastAsia="Work Sans" w:hAnsi="Work Sans" w:cs="Work Sans"/>
                <w:sz w:val="20"/>
                <w:szCs w:val="20"/>
              </w:rPr>
            </w:pPr>
          </w:p>
        </w:tc>
      </w:tr>
      <w:tr w:rsidR="00627707" w:rsidRPr="001E0DD8" w14:paraId="07F11CF8" w14:textId="77777777" w:rsidTr="00723207">
        <w:trPr>
          <w:trHeight w:val="340"/>
          <w:jc w:val="center"/>
        </w:trPr>
        <w:tc>
          <w:tcPr>
            <w:tcW w:w="665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3D5B2D2" w14:textId="70DEFAE0" w:rsidR="00627707" w:rsidRPr="001E0DD8" w:rsidRDefault="00723207" w:rsidP="001E0DD8">
            <w:pPr>
              <w:spacing w:after="0" w:line="240" w:lineRule="auto"/>
              <w:jc w:val="center"/>
              <w:rPr>
                <w:rFonts w:ascii="Work Sans" w:eastAsia="Work Sans" w:hAnsi="Work Sans" w:cs="Work Sans"/>
                <w:b/>
                <w:sz w:val="20"/>
                <w:szCs w:val="20"/>
              </w:rPr>
            </w:pPr>
            <w:r w:rsidRPr="001E0DD8">
              <w:rPr>
                <w:rFonts w:ascii="Work Sans" w:eastAsia="Work Sans" w:hAnsi="Work Sans" w:cs="Work Sans"/>
                <w:b/>
                <w:sz w:val="20"/>
                <w:szCs w:val="20"/>
              </w:rPr>
              <w:t>ESTRUCTURA PRECIO ACPM CON MEZCLA DE BIOCOMBUSTIBLE</w:t>
            </w:r>
          </w:p>
        </w:tc>
        <w:tc>
          <w:tcPr>
            <w:tcW w:w="2452"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14:paraId="183A1981" w14:textId="27EA59EE" w:rsidR="00627707" w:rsidRPr="001E0DD8" w:rsidRDefault="00723207" w:rsidP="001E0DD8">
            <w:pPr>
              <w:spacing w:after="0" w:line="240" w:lineRule="auto"/>
              <w:jc w:val="center"/>
              <w:rPr>
                <w:rFonts w:ascii="Work Sans" w:eastAsia="Work Sans" w:hAnsi="Work Sans" w:cs="Work Sans"/>
                <w:b/>
                <w:sz w:val="20"/>
                <w:szCs w:val="20"/>
              </w:rPr>
            </w:pPr>
            <w:r w:rsidRPr="001E0DD8">
              <w:rPr>
                <w:rFonts w:ascii="Work Sans" w:eastAsia="Work Sans" w:hAnsi="Work Sans" w:cs="Work Sans"/>
                <w:b/>
                <w:sz w:val="20"/>
                <w:szCs w:val="20"/>
              </w:rPr>
              <w:t>TIPO DE COMPONENTE</w:t>
            </w:r>
          </w:p>
        </w:tc>
      </w:tr>
      <w:tr w:rsidR="00627707" w:rsidRPr="001E0DD8" w14:paraId="0F06354A"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47F104EC" w14:textId="14541149"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 xml:space="preserve">1. Proporción </w:t>
            </w:r>
            <w:r w:rsidR="00723207" w:rsidRPr="001E0DD8">
              <w:rPr>
                <w:rFonts w:ascii="Work Sans" w:eastAsia="Work Sans" w:hAnsi="Work Sans" w:cs="Work Sans"/>
                <w:sz w:val="20"/>
                <w:szCs w:val="20"/>
              </w:rPr>
              <w:t>- Ingreso</w:t>
            </w:r>
            <w:r w:rsidRPr="001E0DD8">
              <w:rPr>
                <w:rFonts w:ascii="Work Sans" w:eastAsia="Work Sans" w:hAnsi="Work Sans" w:cs="Work Sans"/>
                <w:sz w:val="20"/>
                <w:szCs w:val="20"/>
              </w:rPr>
              <w:t xml:space="preserve"> al Productor del ACPM</w:t>
            </w:r>
          </w:p>
        </w:tc>
        <w:tc>
          <w:tcPr>
            <w:tcW w:w="2452" w:type="dxa"/>
            <w:tcBorders>
              <w:top w:val="nil"/>
              <w:left w:val="nil"/>
              <w:bottom w:val="single" w:sz="4" w:space="0" w:color="000000"/>
              <w:right w:val="single" w:sz="4" w:space="0" w:color="000000"/>
            </w:tcBorders>
            <w:shd w:val="clear" w:color="auto" w:fill="auto"/>
            <w:vAlign w:val="center"/>
          </w:tcPr>
          <w:p w14:paraId="0456BFBC" w14:textId="6030E833"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MME</w:t>
            </w:r>
          </w:p>
        </w:tc>
      </w:tr>
      <w:tr w:rsidR="00627707" w:rsidRPr="001E0DD8" w14:paraId="0500D50C"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7C370EE0" w14:textId="7827E992"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 xml:space="preserve">2. Proporción </w:t>
            </w:r>
            <w:r w:rsidR="00723207" w:rsidRPr="001E0DD8">
              <w:rPr>
                <w:rFonts w:ascii="Work Sans" w:eastAsia="Work Sans" w:hAnsi="Work Sans" w:cs="Work Sans"/>
                <w:sz w:val="20"/>
                <w:szCs w:val="20"/>
              </w:rPr>
              <w:t>- Ingreso</w:t>
            </w:r>
            <w:r w:rsidRPr="001E0DD8">
              <w:rPr>
                <w:rFonts w:ascii="Work Sans" w:eastAsia="Work Sans" w:hAnsi="Work Sans" w:cs="Work Sans"/>
                <w:sz w:val="20"/>
                <w:szCs w:val="20"/>
              </w:rPr>
              <w:t xml:space="preserve"> al Productor del Biocombustible</w:t>
            </w:r>
          </w:p>
        </w:tc>
        <w:tc>
          <w:tcPr>
            <w:tcW w:w="2452" w:type="dxa"/>
            <w:tcBorders>
              <w:top w:val="nil"/>
              <w:left w:val="nil"/>
              <w:bottom w:val="single" w:sz="4" w:space="0" w:color="000000"/>
              <w:right w:val="single" w:sz="4" w:space="0" w:color="000000"/>
            </w:tcBorders>
            <w:shd w:val="clear" w:color="auto" w:fill="auto"/>
            <w:vAlign w:val="center"/>
          </w:tcPr>
          <w:p w14:paraId="6742B403" w14:textId="4F48DC3F"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MME</w:t>
            </w:r>
          </w:p>
        </w:tc>
      </w:tr>
      <w:tr w:rsidR="00627707" w:rsidRPr="001E0DD8" w14:paraId="2B43A1FC"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0BF9EDCD" w14:textId="2E386DE4"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3. Ingreso al productor de la mezcla ACPM – biocombustible</w:t>
            </w:r>
          </w:p>
        </w:tc>
        <w:tc>
          <w:tcPr>
            <w:tcW w:w="2452" w:type="dxa"/>
            <w:tcBorders>
              <w:top w:val="nil"/>
              <w:left w:val="nil"/>
              <w:bottom w:val="single" w:sz="4" w:space="0" w:color="000000"/>
              <w:right w:val="single" w:sz="4" w:space="0" w:color="000000"/>
            </w:tcBorders>
            <w:shd w:val="clear" w:color="auto" w:fill="auto"/>
            <w:vAlign w:val="center"/>
          </w:tcPr>
          <w:p w14:paraId="0E248D0B" w14:textId="6EDE7AC0"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Subtotal</w:t>
            </w:r>
          </w:p>
        </w:tc>
      </w:tr>
      <w:tr w:rsidR="00627707" w:rsidRPr="001E0DD8" w14:paraId="095D79F1"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5CAA02DB" w14:textId="45DC9460"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4. Impuesto Nacional</w:t>
            </w:r>
          </w:p>
        </w:tc>
        <w:tc>
          <w:tcPr>
            <w:tcW w:w="2452" w:type="dxa"/>
            <w:tcBorders>
              <w:top w:val="nil"/>
              <w:left w:val="nil"/>
              <w:bottom w:val="single" w:sz="4" w:space="0" w:color="000000"/>
              <w:right w:val="single" w:sz="4" w:space="0" w:color="000000"/>
            </w:tcBorders>
            <w:shd w:val="clear" w:color="auto" w:fill="auto"/>
            <w:vAlign w:val="center"/>
          </w:tcPr>
          <w:p w14:paraId="013C8240" w14:textId="681806A4"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58CC4238"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621BB7DD" w14:textId="1FED4CB2"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5. IVA sobre IP Fósil</w:t>
            </w:r>
          </w:p>
        </w:tc>
        <w:tc>
          <w:tcPr>
            <w:tcW w:w="2452" w:type="dxa"/>
            <w:tcBorders>
              <w:top w:val="nil"/>
              <w:left w:val="nil"/>
              <w:bottom w:val="single" w:sz="4" w:space="0" w:color="000000"/>
              <w:right w:val="single" w:sz="4" w:space="0" w:color="000000"/>
            </w:tcBorders>
            <w:shd w:val="clear" w:color="auto" w:fill="auto"/>
            <w:vAlign w:val="center"/>
          </w:tcPr>
          <w:p w14:paraId="5C699028" w14:textId="7CC3BB2F"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3DD95369"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2F154991" w14:textId="49D8828C"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6. Impuesto al Carbono</w:t>
            </w:r>
          </w:p>
        </w:tc>
        <w:tc>
          <w:tcPr>
            <w:tcW w:w="2452" w:type="dxa"/>
            <w:tcBorders>
              <w:top w:val="nil"/>
              <w:left w:val="nil"/>
              <w:bottom w:val="single" w:sz="4" w:space="0" w:color="000000"/>
              <w:right w:val="single" w:sz="4" w:space="0" w:color="000000"/>
            </w:tcBorders>
            <w:shd w:val="clear" w:color="auto" w:fill="auto"/>
            <w:vAlign w:val="center"/>
          </w:tcPr>
          <w:p w14:paraId="5EB416BE" w14:textId="7BF0F2B5"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44E21ED0"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5561BB8F" w14:textId="74DF88DB"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 xml:space="preserve">7. </w:t>
            </w:r>
            <w:r w:rsidR="00723207" w:rsidRPr="001E0DD8">
              <w:rPr>
                <w:rFonts w:ascii="Work Sans" w:eastAsia="Work Sans" w:hAnsi="Work Sans" w:cs="Work Sans"/>
                <w:sz w:val="20"/>
                <w:szCs w:val="20"/>
              </w:rPr>
              <w:t>T</w:t>
            </w:r>
            <w:r w:rsidRPr="001E0DD8">
              <w:rPr>
                <w:rFonts w:ascii="Work Sans" w:eastAsia="Work Sans" w:hAnsi="Work Sans" w:cs="Work Sans"/>
                <w:sz w:val="20"/>
                <w:szCs w:val="20"/>
              </w:rPr>
              <w:t>arifa de Marcación</w:t>
            </w:r>
          </w:p>
        </w:tc>
        <w:tc>
          <w:tcPr>
            <w:tcW w:w="2452" w:type="dxa"/>
            <w:tcBorders>
              <w:top w:val="nil"/>
              <w:left w:val="nil"/>
              <w:bottom w:val="single" w:sz="4" w:space="0" w:color="000000"/>
              <w:right w:val="single" w:sz="4" w:space="0" w:color="000000"/>
            </w:tcBorders>
            <w:shd w:val="clear" w:color="auto" w:fill="auto"/>
            <w:vAlign w:val="center"/>
          </w:tcPr>
          <w:p w14:paraId="216543AE" w14:textId="77777777"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CREG</w:t>
            </w:r>
          </w:p>
        </w:tc>
      </w:tr>
      <w:tr w:rsidR="00627707" w:rsidRPr="001E0DD8" w14:paraId="3F520314"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31C4D8AC" w14:textId="3E92363D"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8. Tarifa de Transporte por poliductos</w:t>
            </w:r>
          </w:p>
        </w:tc>
        <w:tc>
          <w:tcPr>
            <w:tcW w:w="2452" w:type="dxa"/>
            <w:tcBorders>
              <w:top w:val="nil"/>
              <w:left w:val="nil"/>
              <w:bottom w:val="single" w:sz="4" w:space="0" w:color="000000"/>
              <w:right w:val="single" w:sz="4" w:space="0" w:color="000000"/>
            </w:tcBorders>
            <w:shd w:val="clear" w:color="auto" w:fill="auto"/>
            <w:vAlign w:val="center"/>
          </w:tcPr>
          <w:p w14:paraId="67B9006B" w14:textId="77777777"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CREG</w:t>
            </w:r>
          </w:p>
        </w:tc>
      </w:tr>
      <w:tr w:rsidR="00627707" w:rsidRPr="001E0DD8" w14:paraId="00AE30C1"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484CF9EC" w14:textId="0A37A598"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9. Tarifa de Transporte del biocombustible</w:t>
            </w:r>
          </w:p>
        </w:tc>
        <w:tc>
          <w:tcPr>
            <w:tcW w:w="2452" w:type="dxa"/>
            <w:tcBorders>
              <w:top w:val="nil"/>
              <w:left w:val="nil"/>
              <w:bottom w:val="single" w:sz="4" w:space="0" w:color="000000"/>
              <w:right w:val="single" w:sz="4" w:space="0" w:color="000000"/>
            </w:tcBorders>
            <w:shd w:val="clear" w:color="auto" w:fill="auto"/>
            <w:vAlign w:val="center"/>
          </w:tcPr>
          <w:p w14:paraId="4C1C9C8A" w14:textId="77777777"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CREG</w:t>
            </w:r>
          </w:p>
        </w:tc>
      </w:tr>
      <w:tr w:rsidR="00627707" w:rsidRPr="001E0DD8" w14:paraId="66985A35"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35910EB1" w14:textId="77777777"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10. Precio Máximo de Venta al Distribuidor Mayorista</w:t>
            </w:r>
          </w:p>
        </w:tc>
        <w:tc>
          <w:tcPr>
            <w:tcW w:w="2452" w:type="dxa"/>
            <w:tcBorders>
              <w:top w:val="nil"/>
              <w:left w:val="nil"/>
              <w:bottom w:val="single" w:sz="4" w:space="0" w:color="000000"/>
              <w:right w:val="single" w:sz="4" w:space="0" w:color="000000"/>
            </w:tcBorders>
            <w:shd w:val="clear" w:color="auto" w:fill="auto"/>
            <w:vAlign w:val="center"/>
          </w:tcPr>
          <w:p w14:paraId="18ED6715" w14:textId="3162A629"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Subtotal</w:t>
            </w:r>
          </w:p>
        </w:tc>
      </w:tr>
      <w:tr w:rsidR="00627707" w:rsidRPr="001E0DD8" w14:paraId="7F8D13F1"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7DC98B53" w14:textId="77777777"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11. IVA sobre el Margen del distribuidor mayorista</w:t>
            </w:r>
          </w:p>
        </w:tc>
        <w:tc>
          <w:tcPr>
            <w:tcW w:w="2452" w:type="dxa"/>
            <w:tcBorders>
              <w:top w:val="nil"/>
              <w:left w:val="nil"/>
              <w:bottom w:val="single" w:sz="4" w:space="0" w:color="000000"/>
              <w:right w:val="single" w:sz="4" w:space="0" w:color="000000"/>
            </w:tcBorders>
            <w:shd w:val="clear" w:color="auto" w:fill="auto"/>
            <w:vAlign w:val="center"/>
          </w:tcPr>
          <w:p w14:paraId="37F2FAD2" w14:textId="308D45B1"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22FDCC31"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6242F398" w14:textId="77777777"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12. Sobretasa</w:t>
            </w:r>
          </w:p>
        </w:tc>
        <w:tc>
          <w:tcPr>
            <w:tcW w:w="2452" w:type="dxa"/>
            <w:tcBorders>
              <w:top w:val="nil"/>
              <w:left w:val="nil"/>
              <w:bottom w:val="single" w:sz="4" w:space="0" w:color="000000"/>
              <w:right w:val="single" w:sz="4" w:space="0" w:color="000000"/>
            </w:tcBorders>
            <w:shd w:val="clear" w:color="auto" w:fill="auto"/>
            <w:vAlign w:val="center"/>
          </w:tcPr>
          <w:p w14:paraId="3D87EF8D" w14:textId="36B76620"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Impuesto</w:t>
            </w:r>
          </w:p>
        </w:tc>
      </w:tr>
      <w:tr w:rsidR="00627707" w:rsidRPr="001E0DD8" w14:paraId="12DAECD9"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7D8F30B7" w14:textId="77777777"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13. Precio Máximo en Planta de Abastecimiento Mayorista</w:t>
            </w:r>
          </w:p>
        </w:tc>
        <w:tc>
          <w:tcPr>
            <w:tcW w:w="2452" w:type="dxa"/>
            <w:tcBorders>
              <w:top w:val="nil"/>
              <w:left w:val="nil"/>
              <w:bottom w:val="single" w:sz="4" w:space="0" w:color="000000"/>
              <w:right w:val="single" w:sz="4" w:space="0" w:color="000000"/>
            </w:tcBorders>
            <w:shd w:val="clear" w:color="auto" w:fill="auto"/>
            <w:vAlign w:val="center"/>
          </w:tcPr>
          <w:p w14:paraId="794CD02B" w14:textId="05D12837"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Subtotal</w:t>
            </w:r>
          </w:p>
        </w:tc>
      </w:tr>
      <w:tr w:rsidR="00627707" w:rsidRPr="001E0DD8" w14:paraId="0598CDFE"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73BCF19C" w14:textId="77777777"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14. Margen del distribuidor minorista</w:t>
            </w:r>
          </w:p>
        </w:tc>
        <w:tc>
          <w:tcPr>
            <w:tcW w:w="2452" w:type="dxa"/>
            <w:tcBorders>
              <w:top w:val="nil"/>
              <w:left w:val="nil"/>
              <w:bottom w:val="single" w:sz="4" w:space="0" w:color="000000"/>
              <w:right w:val="single" w:sz="4" w:space="0" w:color="000000"/>
            </w:tcBorders>
            <w:shd w:val="clear" w:color="auto" w:fill="auto"/>
            <w:vAlign w:val="center"/>
          </w:tcPr>
          <w:p w14:paraId="328DD107" w14:textId="77777777"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Fijado por CREG</w:t>
            </w:r>
          </w:p>
        </w:tc>
      </w:tr>
      <w:tr w:rsidR="00627707" w:rsidRPr="001E0DD8" w14:paraId="3B9D5DEA"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52233196" w14:textId="77777777" w:rsidR="00627707" w:rsidRPr="001E0DD8" w:rsidRDefault="00627707" w:rsidP="001E0DD8">
            <w:pPr>
              <w:spacing w:after="0" w:line="240" w:lineRule="auto"/>
              <w:rPr>
                <w:rFonts w:ascii="Work Sans" w:eastAsia="Work Sans" w:hAnsi="Work Sans" w:cs="Work Sans"/>
                <w:sz w:val="20"/>
                <w:szCs w:val="20"/>
              </w:rPr>
            </w:pPr>
            <w:r w:rsidRPr="001E0DD8">
              <w:rPr>
                <w:rFonts w:ascii="Work Sans" w:eastAsia="Work Sans" w:hAnsi="Work Sans" w:cs="Work Sans"/>
                <w:sz w:val="20"/>
                <w:szCs w:val="20"/>
              </w:rPr>
              <w:t>15. Transporte de la planta de abastecimiento mayorista a Estación.</w:t>
            </w:r>
          </w:p>
        </w:tc>
        <w:tc>
          <w:tcPr>
            <w:tcW w:w="2452" w:type="dxa"/>
            <w:tcBorders>
              <w:top w:val="nil"/>
              <w:left w:val="nil"/>
              <w:bottom w:val="single" w:sz="4" w:space="0" w:color="000000"/>
              <w:right w:val="single" w:sz="4" w:space="0" w:color="000000"/>
            </w:tcBorders>
            <w:shd w:val="clear" w:color="auto" w:fill="auto"/>
            <w:vAlign w:val="center"/>
          </w:tcPr>
          <w:p w14:paraId="2B3216B1" w14:textId="77777777" w:rsidR="00627707" w:rsidRPr="001E0DD8" w:rsidRDefault="00627707" w:rsidP="001E0DD8">
            <w:pPr>
              <w:spacing w:after="0" w:line="240" w:lineRule="auto"/>
              <w:rPr>
                <w:rFonts w:ascii="Work Sans" w:eastAsia="Work Sans" w:hAnsi="Work Sans" w:cs="Work Sans"/>
                <w:b/>
                <w:bCs/>
                <w:sz w:val="20"/>
                <w:szCs w:val="20"/>
                <w:u w:val="single"/>
              </w:rPr>
            </w:pPr>
            <w:r w:rsidRPr="001E0DD8">
              <w:rPr>
                <w:rFonts w:ascii="Work Sans" w:eastAsia="Work Sans" w:hAnsi="Work Sans" w:cs="Work Sans"/>
                <w:b/>
                <w:bCs/>
                <w:sz w:val="20"/>
                <w:szCs w:val="20"/>
                <w:u w:val="single"/>
              </w:rPr>
              <w:t>Fijado por CREG o según disposición Alcaldía Municipal</w:t>
            </w:r>
          </w:p>
        </w:tc>
      </w:tr>
      <w:tr w:rsidR="00627707" w:rsidRPr="001E0DD8" w14:paraId="2F9341B2" w14:textId="77777777" w:rsidTr="00723207">
        <w:trPr>
          <w:trHeight w:val="340"/>
          <w:jc w:val="center"/>
        </w:trPr>
        <w:tc>
          <w:tcPr>
            <w:tcW w:w="6658" w:type="dxa"/>
            <w:tcBorders>
              <w:top w:val="nil"/>
              <w:left w:val="single" w:sz="4" w:space="0" w:color="000000"/>
              <w:bottom w:val="single" w:sz="4" w:space="0" w:color="000000"/>
              <w:right w:val="single" w:sz="4" w:space="0" w:color="000000"/>
            </w:tcBorders>
            <w:shd w:val="clear" w:color="auto" w:fill="auto"/>
            <w:vAlign w:val="center"/>
          </w:tcPr>
          <w:p w14:paraId="1F28BD24" w14:textId="77777777"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16. Precio de Referencia de Venta por galón. $/GAL</w:t>
            </w:r>
          </w:p>
        </w:tc>
        <w:tc>
          <w:tcPr>
            <w:tcW w:w="2452" w:type="dxa"/>
            <w:tcBorders>
              <w:top w:val="nil"/>
              <w:left w:val="nil"/>
              <w:bottom w:val="single" w:sz="4" w:space="0" w:color="000000"/>
              <w:right w:val="single" w:sz="4" w:space="0" w:color="000000"/>
            </w:tcBorders>
            <w:shd w:val="clear" w:color="auto" w:fill="auto"/>
            <w:vAlign w:val="center"/>
          </w:tcPr>
          <w:p w14:paraId="78ECCD77" w14:textId="62C17DD8" w:rsidR="00627707" w:rsidRPr="001E0DD8" w:rsidRDefault="00627707" w:rsidP="001E0DD8">
            <w:pPr>
              <w:spacing w:after="0" w:line="240" w:lineRule="auto"/>
              <w:rPr>
                <w:rFonts w:ascii="Work Sans" w:eastAsia="Work Sans" w:hAnsi="Work Sans" w:cs="Work Sans"/>
                <w:b/>
                <w:i/>
                <w:sz w:val="20"/>
                <w:szCs w:val="20"/>
              </w:rPr>
            </w:pPr>
            <w:r w:rsidRPr="001E0DD8">
              <w:rPr>
                <w:rFonts w:ascii="Work Sans" w:eastAsia="Work Sans" w:hAnsi="Work Sans" w:cs="Work Sans"/>
                <w:b/>
                <w:i/>
                <w:sz w:val="20"/>
                <w:szCs w:val="20"/>
              </w:rPr>
              <w:t>Total</w:t>
            </w:r>
          </w:p>
        </w:tc>
      </w:tr>
    </w:tbl>
    <w:p w14:paraId="5529C2B3" w14:textId="77777777" w:rsidR="00723207" w:rsidRPr="001E0DD8" w:rsidRDefault="00723207" w:rsidP="001E0DD8">
      <w:pPr>
        <w:pBdr>
          <w:top w:val="nil"/>
          <w:left w:val="nil"/>
          <w:bottom w:val="nil"/>
          <w:right w:val="nil"/>
          <w:between w:val="nil"/>
        </w:pBdr>
        <w:spacing w:after="0" w:line="240" w:lineRule="auto"/>
        <w:ind w:right="40"/>
        <w:jc w:val="center"/>
        <w:rPr>
          <w:rFonts w:ascii="Work Sans" w:eastAsia="Work Sans" w:hAnsi="Work Sans" w:cs="Work Sans"/>
          <w:b/>
          <w:color w:val="000000"/>
          <w:sz w:val="20"/>
          <w:szCs w:val="20"/>
        </w:rPr>
      </w:pPr>
    </w:p>
    <w:p w14:paraId="3F4C200F" w14:textId="7533895E" w:rsidR="00627707" w:rsidRPr="001E0DD8" w:rsidRDefault="00627707" w:rsidP="001E0DD8">
      <w:pPr>
        <w:pBdr>
          <w:top w:val="nil"/>
          <w:left w:val="nil"/>
          <w:bottom w:val="nil"/>
          <w:right w:val="nil"/>
          <w:between w:val="nil"/>
        </w:pBdr>
        <w:spacing w:after="0" w:line="240" w:lineRule="auto"/>
        <w:ind w:right="40"/>
        <w:jc w:val="center"/>
        <w:rPr>
          <w:rFonts w:ascii="Work Sans" w:eastAsia="Work Sans" w:hAnsi="Work Sans" w:cs="Work Sans"/>
          <w:bCs/>
          <w:color w:val="000000"/>
          <w:sz w:val="20"/>
          <w:szCs w:val="20"/>
        </w:rPr>
      </w:pPr>
      <w:r w:rsidRPr="001E0DD8">
        <w:rPr>
          <w:rFonts w:ascii="Work Sans" w:eastAsia="Work Sans" w:hAnsi="Work Sans" w:cs="Work Sans"/>
          <w:b/>
          <w:color w:val="000000"/>
          <w:sz w:val="20"/>
          <w:szCs w:val="20"/>
        </w:rPr>
        <w:t xml:space="preserve">Fuente: </w:t>
      </w:r>
      <w:r w:rsidRPr="001E0DD8">
        <w:rPr>
          <w:rFonts w:ascii="Work Sans" w:eastAsia="Work Sans" w:hAnsi="Work Sans" w:cs="Work Sans"/>
          <w:bCs/>
          <w:color w:val="000000"/>
          <w:sz w:val="20"/>
          <w:szCs w:val="20"/>
        </w:rPr>
        <w:t>Dirección de Hidrocarburos.</w:t>
      </w:r>
    </w:p>
    <w:p w14:paraId="6676A37B" w14:textId="77777777" w:rsidR="00627707" w:rsidRPr="001E0DD8" w:rsidRDefault="00627707" w:rsidP="001E0DD8">
      <w:pPr>
        <w:spacing w:after="0" w:line="240" w:lineRule="auto"/>
        <w:ind w:right="51"/>
        <w:jc w:val="both"/>
        <w:rPr>
          <w:rFonts w:ascii="Work Sans" w:eastAsia="Work Sans" w:hAnsi="Work Sans" w:cs="Work Sans"/>
          <w:sz w:val="24"/>
          <w:szCs w:val="24"/>
        </w:rPr>
      </w:pPr>
    </w:p>
    <w:p w14:paraId="706AA330" w14:textId="5216DB3C" w:rsidR="00627707" w:rsidRPr="001E0DD8" w:rsidRDefault="00627707" w:rsidP="001E0DD8">
      <w:pPr>
        <w:spacing w:after="0" w:line="240" w:lineRule="auto"/>
        <w:ind w:right="51"/>
        <w:jc w:val="both"/>
        <w:rPr>
          <w:rFonts w:ascii="Work Sans" w:eastAsia="Work Sans" w:hAnsi="Work Sans" w:cs="Work Sans"/>
          <w:sz w:val="24"/>
          <w:szCs w:val="24"/>
        </w:rPr>
      </w:pPr>
      <w:r w:rsidRPr="001E0DD8">
        <w:rPr>
          <w:rFonts w:ascii="Work Sans" w:eastAsia="Work Sans" w:hAnsi="Work Sans" w:cs="Work Sans"/>
          <w:sz w:val="24"/>
          <w:szCs w:val="24"/>
        </w:rPr>
        <w:t>Ahora bien, teniendo en cuenta lo anterior se procede a aclarar la diferencia entre el régimen de libertad regulada y vigilada que reg</w:t>
      </w:r>
      <w:r w:rsidR="00457768" w:rsidRPr="001E0DD8">
        <w:rPr>
          <w:rFonts w:ascii="Work Sans" w:eastAsia="Work Sans" w:hAnsi="Work Sans" w:cs="Work Sans"/>
          <w:sz w:val="24"/>
          <w:szCs w:val="24"/>
        </w:rPr>
        <w:t>lamentan</w:t>
      </w:r>
      <w:r w:rsidRPr="001E0DD8">
        <w:rPr>
          <w:rFonts w:ascii="Work Sans" w:eastAsia="Work Sans" w:hAnsi="Work Sans" w:cs="Work Sans"/>
          <w:sz w:val="24"/>
          <w:szCs w:val="24"/>
        </w:rPr>
        <w:t xml:space="preserve"> los valores de los márgenes de distribución minorista en la actividad de distribución de combustibles.</w:t>
      </w:r>
    </w:p>
    <w:p w14:paraId="0B5013C1" w14:textId="77777777" w:rsidR="00333CE3" w:rsidRPr="001E0DD8" w:rsidRDefault="00333CE3" w:rsidP="001E0DD8">
      <w:pPr>
        <w:spacing w:after="0" w:line="240" w:lineRule="auto"/>
        <w:ind w:right="51"/>
        <w:jc w:val="both"/>
        <w:rPr>
          <w:rFonts w:ascii="Work Sans" w:eastAsia="Work Sans" w:hAnsi="Work Sans" w:cs="Work Sans"/>
          <w:sz w:val="24"/>
          <w:szCs w:val="24"/>
        </w:rPr>
      </w:pPr>
    </w:p>
    <w:p w14:paraId="46034BCB" w14:textId="7FEA11E1" w:rsidR="00627707" w:rsidRPr="001E0DD8" w:rsidRDefault="00627707" w:rsidP="001E0DD8">
      <w:pPr>
        <w:spacing w:after="0" w:line="240" w:lineRule="auto"/>
        <w:ind w:right="51"/>
        <w:jc w:val="both"/>
        <w:rPr>
          <w:rFonts w:ascii="Work Sans" w:eastAsia="Work Sans" w:hAnsi="Work Sans" w:cs="Work Sans"/>
          <w:sz w:val="24"/>
          <w:szCs w:val="24"/>
        </w:rPr>
      </w:pPr>
      <w:r w:rsidRPr="001E0DD8">
        <w:rPr>
          <w:rFonts w:ascii="Work Sans" w:eastAsia="Work Sans" w:hAnsi="Work Sans" w:cs="Work Sans"/>
          <w:sz w:val="24"/>
          <w:szCs w:val="24"/>
        </w:rPr>
        <w:t xml:space="preserve">El régimen de libertad vigilada es aquel en el que existe un mercado en competencia asociado a la distribución minorista a través de instalaciones correspondientes a estaciones de servicio y hacia el consumidor final. Este régimen aplica en la actualidad para 25 ciudades capitales y municipios en el país y se caracteriza porque los agentes minoristas (estaciones de servicio) pueden definir el precio que más le convenga de acuerdo con la estructura de precios, pero atendiendo las estimaciones comerciales teniendo en cuenta su propio margen de comercialización. Estas 25 ciudades se encuentran numeradas en la Resolución </w:t>
      </w:r>
      <w:r w:rsidR="00723207" w:rsidRPr="001E0DD8">
        <w:rPr>
          <w:rFonts w:ascii="Work Sans" w:eastAsia="Work Sans" w:hAnsi="Work Sans" w:cs="Work Sans"/>
          <w:sz w:val="24"/>
          <w:szCs w:val="24"/>
        </w:rPr>
        <w:t xml:space="preserve">No. </w:t>
      </w:r>
      <w:r w:rsidRPr="001E0DD8">
        <w:rPr>
          <w:rFonts w:ascii="Work Sans" w:eastAsia="Work Sans" w:hAnsi="Work Sans" w:cs="Work Sans"/>
          <w:sz w:val="24"/>
          <w:szCs w:val="24"/>
        </w:rPr>
        <w:t>181254 del 2012.</w:t>
      </w:r>
    </w:p>
    <w:p w14:paraId="570C5AA2" w14:textId="77777777" w:rsidR="00333CE3" w:rsidRPr="001E0DD8" w:rsidRDefault="00333CE3" w:rsidP="001E0DD8">
      <w:pPr>
        <w:spacing w:after="0" w:line="240" w:lineRule="auto"/>
        <w:ind w:right="51"/>
        <w:jc w:val="both"/>
        <w:rPr>
          <w:rFonts w:ascii="Work Sans" w:eastAsia="Work Sans" w:hAnsi="Work Sans" w:cs="Work Sans"/>
          <w:sz w:val="24"/>
          <w:szCs w:val="24"/>
        </w:rPr>
      </w:pPr>
    </w:p>
    <w:p w14:paraId="077F7F32" w14:textId="77777777" w:rsidR="00627707" w:rsidRPr="001E0DD8" w:rsidRDefault="00627707" w:rsidP="001E0DD8">
      <w:pPr>
        <w:spacing w:after="0" w:line="240" w:lineRule="auto"/>
        <w:ind w:right="51"/>
        <w:jc w:val="both"/>
        <w:rPr>
          <w:rFonts w:ascii="Work Sans" w:eastAsia="Work Sans" w:hAnsi="Work Sans" w:cs="Work Sans"/>
          <w:bCs/>
          <w:sz w:val="24"/>
          <w:szCs w:val="24"/>
        </w:rPr>
      </w:pPr>
      <w:r w:rsidRPr="001E0DD8">
        <w:rPr>
          <w:rFonts w:ascii="Work Sans" w:eastAsia="Work Sans" w:hAnsi="Work Sans" w:cs="Work Sans"/>
          <w:sz w:val="24"/>
          <w:szCs w:val="24"/>
        </w:rPr>
        <w:t xml:space="preserve">En relación con el régimen de libertad regulada, </w:t>
      </w:r>
      <w:r w:rsidRPr="001E0DD8">
        <w:rPr>
          <w:rFonts w:ascii="Work Sans" w:eastAsia="Work Sans" w:hAnsi="Work Sans" w:cs="Work Sans"/>
          <w:bCs/>
          <w:sz w:val="24"/>
          <w:szCs w:val="24"/>
        </w:rPr>
        <w:t xml:space="preserve">se establece un techo que los distribuidores minoristas no pueden superar en atención a la estructura de precios definida. </w:t>
      </w:r>
    </w:p>
    <w:p w14:paraId="5620A94D" w14:textId="77777777" w:rsidR="00723207" w:rsidRPr="001E0DD8" w:rsidRDefault="00723207" w:rsidP="001E0DD8">
      <w:pPr>
        <w:spacing w:after="0" w:line="240" w:lineRule="auto"/>
        <w:ind w:right="51"/>
        <w:jc w:val="both"/>
        <w:rPr>
          <w:rFonts w:ascii="Work Sans" w:eastAsia="Work Sans" w:hAnsi="Work Sans" w:cs="Work Sans"/>
          <w:bCs/>
          <w:sz w:val="24"/>
          <w:szCs w:val="24"/>
        </w:rPr>
      </w:pPr>
    </w:p>
    <w:p w14:paraId="413F497A" w14:textId="22B494CB" w:rsidR="00627707" w:rsidRPr="001E0DD8" w:rsidRDefault="00627707" w:rsidP="001E0DD8">
      <w:pPr>
        <w:spacing w:after="0" w:line="240" w:lineRule="auto"/>
        <w:ind w:right="51"/>
        <w:jc w:val="both"/>
        <w:rPr>
          <w:rFonts w:ascii="Work Sans" w:eastAsia="Work Sans" w:hAnsi="Work Sans" w:cs="Work Sans"/>
          <w:sz w:val="24"/>
          <w:szCs w:val="24"/>
        </w:rPr>
      </w:pPr>
      <w:r w:rsidRPr="001E0DD8">
        <w:rPr>
          <w:rFonts w:ascii="Work Sans" w:eastAsia="Work Sans" w:hAnsi="Work Sans" w:cs="Work Sans"/>
          <w:sz w:val="24"/>
          <w:szCs w:val="24"/>
        </w:rPr>
        <w:t xml:space="preserve">Según lo dispuesto en la Resolución </w:t>
      </w:r>
      <w:r w:rsidR="00723207" w:rsidRPr="001E0DD8">
        <w:rPr>
          <w:rFonts w:ascii="Work Sans" w:eastAsia="Work Sans" w:hAnsi="Work Sans" w:cs="Work Sans"/>
          <w:sz w:val="24"/>
          <w:szCs w:val="24"/>
        </w:rPr>
        <w:t xml:space="preserve">No. </w:t>
      </w:r>
      <w:r w:rsidRPr="001E0DD8">
        <w:rPr>
          <w:rFonts w:ascii="Work Sans" w:eastAsia="Work Sans" w:hAnsi="Work Sans" w:cs="Work Sans"/>
          <w:sz w:val="24"/>
          <w:szCs w:val="24"/>
        </w:rPr>
        <w:t xml:space="preserve">181254 del 2012, </w:t>
      </w:r>
      <w:r w:rsidRPr="001E0DD8">
        <w:rPr>
          <w:rFonts w:ascii="Work Sans" w:eastAsia="Work Sans" w:hAnsi="Work Sans" w:cs="Work Sans"/>
          <w:i/>
          <w:sz w:val="24"/>
          <w:szCs w:val="24"/>
        </w:rPr>
        <w:t>“</w:t>
      </w:r>
      <w:r w:rsidR="00723207" w:rsidRPr="001E0DD8">
        <w:rPr>
          <w:rFonts w:ascii="Work Sans" w:eastAsia="Work Sans" w:hAnsi="Work Sans" w:cs="Work Sans"/>
          <w:i/>
          <w:sz w:val="24"/>
          <w:szCs w:val="24"/>
        </w:rPr>
        <w:t>P</w:t>
      </w:r>
      <w:r w:rsidRPr="001E0DD8">
        <w:rPr>
          <w:rFonts w:ascii="Work Sans" w:eastAsia="Work Sans" w:hAnsi="Work Sans" w:cs="Work Sans"/>
          <w:i/>
          <w:sz w:val="24"/>
          <w:szCs w:val="24"/>
        </w:rPr>
        <w:t>or la cual se adopta para diferentes ciudades capitales, áreas metropolitanas y municipios del país, el régimen de libertad vigilada para la fijación del margen minorista de la gasolina motor corriente oxigenada, la gasolina motor corriente, el ACPM y la mezcla de ACPM con biocombustibles para uso en motores diésel”</w:t>
      </w:r>
      <w:r w:rsidRPr="001E0DD8">
        <w:rPr>
          <w:rFonts w:ascii="Work Sans" w:eastAsia="Work Sans" w:hAnsi="Work Sans" w:cs="Work Sans"/>
          <w:sz w:val="24"/>
          <w:szCs w:val="24"/>
        </w:rPr>
        <w:t>, se establecen de forma taxativa aquellos municipios, capitales y sus áreas metropolitanas, para los cuales aplica el régimen de libertad vigilada para la fijación del margen del distribuidor minorista de los mencionados combustibles. Por tal motivo, para cualquier otra zona que no corresponda a lo expresamente definido por los artículos 1 y 3 de dicha resolución, así como áreas o rutas que no se encuentren en la jurisdicción de los respectivos municipios, le será aplicado el régimen de libertad regulada para la fijación del margen del distribuidor minorista, en los términos del artículo 2 de tal resolución.</w:t>
      </w:r>
    </w:p>
    <w:p w14:paraId="4A060662" w14:textId="77777777" w:rsidR="00333CE3" w:rsidRPr="001E0DD8" w:rsidRDefault="00333CE3" w:rsidP="001E0DD8">
      <w:pPr>
        <w:spacing w:after="0" w:line="240" w:lineRule="auto"/>
        <w:ind w:right="51"/>
        <w:jc w:val="both"/>
        <w:rPr>
          <w:rFonts w:ascii="Work Sans" w:eastAsia="Work Sans" w:hAnsi="Work Sans" w:cs="Work Sans"/>
          <w:sz w:val="24"/>
          <w:szCs w:val="24"/>
        </w:rPr>
      </w:pPr>
    </w:p>
    <w:p w14:paraId="33F29C85" w14:textId="7FE61E3B" w:rsidR="00627707" w:rsidRPr="001E0DD8" w:rsidRDefault="00627707" w:rsidP="001E0DD8">
      <w:pPr>
        <w:spacing w:after="0" w:line="240" w:lineRule="auto"/>
        <w:ind w:right="51"/>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Debe señalarse que los valores del transporte del combustible desde la planta de abastecimiento a la respectiva estación de servicio en aquellos municipios que no cuentan con una planta de abastecimiento en su jurisdicción, es un valor que debe ser establecido por la autoridad Municipal según el artículo 3 de la Resolución 90664 de</w:t>
      </w:r>
      <w:r w:rsidRPr="001E0DD8">
        <w:rPr>
          <w:rFonts w:ascii="Work Sans" w:eastAsia="Work Sans" w:hAnsi="Work Sans" w:cs="Work Sans"/>
          <w:b/>
          <w:color w:val="000000"/>
          <w:sz w:val="24"/>
          <w:szCs w:val="24"/>
          <w:u w:val="single"/>
        </w:rPr>
        <w:t xml:space="preserve"> </w:t>
      </w:r>
      <w:r w:rsidRPr="001E0DD8">
        <w:rPr>
          <w:rFonts w:ascii="Work Sans" w:eastAsia="Work Sans" w:hAnsi="Work Sans" w:cs="Work Sans"/>
          <w:bCs/>
          <w:color w:val="000000"/>
          <w:sz w:val="24"/>
          <w:szCs w:val="24"/>
        </w:rPr>
        <w:t>2014</w:t>
      </w:r>
      <w:r w:rsidRPr="001E0DD8">
        <w:rPr>
          <w:rFonts w:ascii="Work Sans" w:eastAsia="Work Sans" w:hAnsi="Work Sans" w:cs="Work Sans"/>
          <w:color w:val="000000"/>
          <w:sz w:val="24"/>
          <w:szCs w:val="24"/>
        </w:rPr>
        <w:t xml:space="preserve"> donde se establece: “</w:t>
      </w:r>
      <w:r w:rsidRPr="001E0DD8">
        <w:rPr>
          <w:rFonts w:ascii="Work Sans" w:eastAsia="Work Sans" w:hAnsi="Work Sans" w:cs="Work Sans"/>
          <w:i/>
          <w:color w:val="000000"/>
          <w:sz w:val="24"/>
          <w:szCs w:val="24"/>
        </w:rPr>
        <w:t>En el resto de municipios y ciudades, la tarifa de transporte entre la planta de abastecimiento mayorista y las estaciones de servicio será definida por los respectivos alcaldes municipales, quienes deberán comunicarla al Ministerio de Minas y Energía</w:t>
      </w:r>
      <w:r w:rsidRPr="001E0DD8">
        <w:rPr>
          <w:rFonts w:ascii="Work Sans" w:eastAsia="Work Sans" w:hAnsi="Work Sans" w:cs="Work Sans"/>
          <w:color w:val="000000"/>
          <w:sz w:val="24"/>
          <w:szCs w:val="24"/>
        </w:rPr>
        <w:t>”. Por tanto, dicho componente del precio debe ser certificado por la autoridad municipal correspondiente.</w:t>
      </w:r>
    </w:p>
    <w:p w14:paraId="186EBB44" w14:textId="77777777" w:rsidR="00333CE3" w:rsidRPr="001E0DD8" w:rsidRDefault="00333CE3" w:rsidP="001E0DD8">
      <w:pPr>
        <w:spacing w:after="0" w:line="240" w:lineRule="auto"/>
        <w:ind w:right="51"/>
        <w:jc w:val="both"/>
        <w:rPr>
          <w:rFonts w:ascii="Work Sans" w:eastAsia="Work Sans" w:hAnsi="Work Sans" w:cs="Work Sans"/>
          <w:sz w:val="24"/>
          <w:szCs w:val="24"/>
        </w:rPr>
      </w:pPr>
    </w:p>
    <w:p w14:paraId="7D6B73ED" w14:textId="5058A079" w:rsidR="00627707" w:rsidRPr="001E0DD8" w:rsidRDefault="00627707" w:rsidP="001E0DD8">
      <w:pPr>
        <w:pStyle w:val="Prrafodelista"/>
        <w:numPr>
          <w:ilvl w:val="0"/>
          <w:numId w:val="18"/>
        </w:numPr>
        <w:pBdr>
          <w:top w:val="nil"/>
          <w:left w:val="nil"/>
          <w:bottom w:val="nil"/>
          <w:right w:val="nil"/>
          <w:between w:val="nil"/>
        </w:pBdr>
        <w:suppressAutoHyphens w:val="0"/>
        <w:spacing w:after="0" w:line="240" w:lineRule="auto"/>
        <w:jc w:val="both"/>
        <w:rPr>
          <w:rFonts w:ascii="Work Sans" w:eastAsia="Work Sans" w:hAnsi="Work Sans" w:cs="Work Sans"/>
          <w:b/>
          <w:color w:val="000000"/>
          <w:sz w:val="24"/>
          <w:szCs w:val="24"/>
        </w:rPr>
      </w:pPr>
      <w:r w:rsidRPr="001E0DD8">
        <w:rPr>
          <w:rFonts w:ascii="Work Sans" w:eastAsia="Work Sans" w:hAnsi="Work Sans" w:cs="Work Sans"/>
          <w:b/>
          <w:color w:val="000000"/>
          <w:sz w:val="24"/>
          <w:szCs w:val="24"/>
        </w:rPr>
        <w:t>Estructura diferencial de las Zonas de Frontera</w:t>
      </w:r>
    </w:p>
    <w:p w14:paraId="4C61BBB3" w14:textId="77777777" w:rsidR="00333CE3" w:rsidRPr="001E0DD8" w:rsidRDefault="00333CE3" w:rsidP="001E0DD8">
      <w:pPr>
        <w:pBdr>
          <w:top w:val="nil"/>
          <w:left w:val="nil"/>
          <w:bottom w:val="nil"/>
          <w:right w:val="nil"/>
          <w:between w:val="nil"/>
        </w:pBdr>
        <w:suppressAutoHyphens w:val="0"/>
        <w:spacing w:after="0" w:line="240" w:lineRule="auto"/>
        <w:jc w:val="both"/>
        <w:rPr>
          <w:rFonts w:ascii="Work Sans" w:eastAsia="Work Sans" w:hAnsi="Work Sans" w:cs="Work Sans"/>
          <w:b/>
          <w:color w:val="000000"/>
          <w:sz w:val="24"/>
          <w:szCs w:val="24"/>
        </w:rPr>
      </w:pPr>
    </w:p>
    <w:p w14:paraId="1E4B5498" w14:textId="1F7EA91B" w:rsidR="00627707" w:rsidRPr="001E0DD8" w:rsidRDefault="00627707"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lastRenderedPageBreak/>
        <w:t xml:space="preserve">El artículo 2.2.1.1.2.2.5.1 del Decreto </w:t>
      </w:r>
      <w:r w:rsidR="00723207" w:rsidRPr="001E0DD8">
        <w:rPr>
          <w:rFonts w:ascii="Work Sans" w:eastAsia="Work Sans" w:hAnsi="Work Sans" w:cs="Work Sans"/>
          <w:color w:val="000000"/>
          <w:sz w:val="24"/>
          <w:szCs w:val="24"/>
        </w:rPr>
        <w:t xml:space="preserve">No. </w:t>
      </w:r>
      <w:r w:rsidRPr="001E0DD8">
        <w:rPr>
          <w:rFonts w:ascii="Work Sans" w:eastAsia="Work Sans" w:hAnsi="Work Sans" w:cs="Work Sans"/>
          <w:color w:val="000000"/>
          <w:sz w:val="24"/>
          <w:szCs w:val="24"/>
        </w:rPr>
        <w:t>1073 de 2015 estableció de forma taxativa el listado de municipios de los departamentos fronterizos que “</w:t>
      </w:r>
      <w:r w:rsidRPr="001E0DD8">
        <w:rPr>
          <w:rFonts w:ascii="Work Sans" w:eastAsia="Work Sans" w:hAnsi="Work Sans" w:cs="Work Sans"/>
          <w:i/>
          <w:iCs/>
          <w:color w:val="000000"/>
          <w:sz w:val="24"/>
          <w:szCs w:val="24"/>
        </w:rPr>
        <w:t>[p]ara efectos de las exenciones de los impuestos de arancel, IVA e Impuesto Global de que trata el párrafo cuarto del artículo primero de la Ley 681 de 2001</w:t>
      </w:r>
      <w:r w:rsidRPr="001E0DD8">
        <w:rPr>
          <w:rFonts w:ascii="Work Sans" w:eastAsia="Work Sans" w:hAnsi="Work Sans" w:cs="Work Sans"/>
          <w:color w:val="000000"/>
          <w:sz w:val="24"/>
          <w:szCs w:val="24"/>
        </w:rPr>
        <w:t>”, se entienden definidos como municipios de zonas de frontera y sujetos de los beneficios de que tratan las normas tributarias y de la cadena de distribución de combustibles vigentes.</w:t>
      </w:r>
    </w:p>
    <w:p w14:paraId="04543E02" w14:textId="77777777" w:rsidR="00333CE3" w:rsidRPr="001E0DD8" w:rsidRDefault="00333CE3"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p>
    <w:p w14:paraId="4AF90AAF" w14:textId="32BD666E" w:rsidR="00627707" w:rsidRPr="001E0DD8" w:rsidRDefault="00627707"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 xml:space="preserve">Por su parte, el artículo 2.3.4.1.16 del Decreto </w:t>
      </w:r>
      <w:r w:rsidR="00723207" w:rsidRPr="001E0DD8">
        <w:rPr>
          <w:rFonts w:ascii="Work Sans" w:eastAsia="Work Sans" w:hAnsi="Work Sans" w:cs="Work Sans"/>
          <w:color w:val="000000"/>
          <w:sz w:val="24"/>
          <w:szCs w:val="24"/>
        </w:rPr>
        <w:t xml:space="preserve">No. </w:t>
      </w:r>
      <w:r w:rsidRPr="001E0DD8">
        <w:rPr>
          <w:rFonts w:ascii="Work Sans" w:eastAsia="Work Sans" w:hAnsi="Work Sans" w:cs="Work Sans"/>
          <w:color w:val="000000"/>
          <w:sz w:val="24"/>
          <w:szCs w:val="24"/>
        </w:rPr>
        <w:t>1068 de 2015 establece que el Ministerio de Minas y Energía fijará el ingreso al productor en zonas de frontera, y que los cambios en la proporcionalidad sobre el ingreso al productor nacional en dichas zonas o la decisión de extender dicha política a nuevas zonas de frontera, deberán contar con previo concepto favorable del Ministerio de Hacienda y Crédito Público.</w:t>
      </w:r>
    </w:p>
    <w:p w14:paraId="38A0F494" w14:textId="77777777" w:rsidR="00333CE3" w:rsidRPr="001E0DD8" w:rsidRDefault="00333CE3"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p>
    <w:p w14:paraId="4F1BAFA5" w14:textId="139F3542" w:rsidR="00627707" w:rsidRPr="001E0DD8" w:rsidRDefault="00627707"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 xml:space="preserve">Al respecto, la Resolución </w:t>
      </w:r>
      <w:r w:rsidR="00723207" w:rsidRPr="001E0DD8">
        <w:rPr>
          <w:rFonts w:ascii="Work Sans" w:eastAsia="Work Sans" w:hAnsi="Work Sans" w:cs="Work Sans"/>
          <w:color w:val="000000"/>
          <w:sz w:val="24"/>
          <w:szCs w:val="24"/>
        </w:rPr>
        <w:t xml:space="preserve">No. </w:t>
      </w:r>
      <w:r w:rsidRPr="001E0DD8">
        <w:rPr>
          <w:rFonts w:ascii="Work Sans" w:eastAsia="Work Sans" w:hAnsi="Work Sans" w:cs="Work Sans"/>
          <w:color w:val="000000"/>
          <w:sz w:val="24"/>
          <w:szCs w:val="24"/>
        </w:rPr>
        <w:t>40412 de 2021 planeta la metodología de fijación de los volúmenes máximos de combustible que contarán con los mencionados beneficios en zona de frontera.</w:t>
      </w:r>
      <w:r w:rsidR="00723207" w:rsidRPr="001E0DD8">
        <w:rPr>
          <w:rFonts w:ascii="Work Sans" w:eastAsia="Work Sans" w:hAnsi="Work Sans" w:cs="Work Sans"/>
          <w:color w:val="000000"/>
          <w:sz w:val="24"/>
          <w:szCs w:val="24"/>
        </w:rPr>
        <w:t xml:space="preserve"> </w:t>
      </w:r>
      <w:r w:rsidRPr="001E0DD8">
        <w:rPr>
          <w:rFonts w:ascii="Work Sans" w:eastAsia="Work Sans" w:hAnsi="Work Sans" w:cs="Work Sans"/>
          <w:color w:val="000000"/>
          <w:sz w:val="24"/>
          <w:szCs w:val="24"/>
        </w:rPr>
        <w:t xml:space="preserve">Con esto presente, resaltamos que los municipios denominados como zona de frontera cuentan con una serie de medidas y </w:t>
      </w:r>
      <w:r w:rsidRPr="001E0DD8">
        <w:rPr>
          <w:rFonts w:ascii="Work Sans" w:eastAsia="Work Sans" w:hAnsi="Work Sans" w:cs="Work Sans"/>
          <w:bCs/>
          <w:color w:val="000000"/>
          <w:sz w:val="24"/>
          <w:szCs w:val="24"/>
        </w:rPr>
        <w:t>tratamientos en materia de precios específicos y exclusivos</w:t>
      </w:r>
      <w:r w:rsidRPr="001E0DD8">
        <w:rPr>
          <w:rFonts w:ascii="Work Sans" w:eastAsia="Work Sans" w:hAnsi="Work Sans" w:cs="Work Sans"/>
          <w:color w:val="000000"/>
          <w:sz w:val="24"/>
          <w:szCs w:val="24"/>
        </w:rPr>
        <w:t xml:space="preserve"> para esta región.</w:t>
      </w:r>
    </w:p>
    <w:p w14:paraId="7ED8BD15" w14:textId="77777777" w:rsidR="00333CE3" w:rsidRPr="001E0DD8" w:rsidRDefault="00333CE3"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p>
    <w:p w14:paraId="742E1F23" w14:textId="77777777" w:rsidR="00627707" w:rsidRPr="001E0DD8" w:rsidRDefault="00627707"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 xml:space="preserve">Con lo anterior, se entiende que el precio de venta de los galones máximos de combustible distribuidos en la mencionada región presentará una diferencia respecto del precio de venta de los galones de combustible distribuidos a precio nacional. La imagen que se presenta a continuación resume las diferencias entre ambos esquemas. </w:t>
      </w:r>
    </w:p>
    <w:p w14:paraId="6E58A9A5" w14:textId="77777777" w:rsidR="008F6891" w:rsidRPr="001E0DD8" w:rsidRDefault="008F6891" w:rsidP="001E0DD8">
      <w:pPr>
        <w:pBdr>
          <w:top w:val="nil"/>
          <w:left w:val="nil"/>
          <w:bottom w:val="nil"/>
          <w:right w:val="nil"/>
          <w:between w:val="nil"/>
        </w:pBdr>
        <w:spacing w:after="0" w:line="240" w:lineRule="auto"/>
        <w:jc w:val="both"/>
        <w:rPr>
          <w:rFonts w:ascii="Work Sans" w:eastAsia="Work Sans" w:hAnsi="Work Sans" w:cs="Work Sans"/>
          <w:color w:val="000000"/>
          <w:sz w:val="24"/>
          <w:szCs w:val="24"/>
        </w:rPr>
      </w:pPr>
    </w:p>
    <w:tbl>
      <w:tblPr>
        <w:tblW w:w="9067" w:type="dxa"/>
        <w:jc w:val="center"/>
        <w:tblLayout w:type="fixed"/>
        <w:tblLook w:val="0400" w:firstRow="0" w:lastRow="0" w:firstColumn="0" w:lastColumn="0" w:noHBand="0" w:noVBand="1"/>
      </w:tblPr>
      <w:tblGrid>
        <w:gridCol w:w="5382"/>
        <w:gridCol w:w="3685"/>
      </w:tblGrid>
      <w:tr w:rsidR="00627707" w:rsidRPr="001E0DD8" w14:paraId="2FD048D3" w14:textId="77777777" w:rsidTr="00185CA4">
        <w:trPr>
          <w:trHeight w:val="340"/>
          <w:tblHeader/>
          <w:jc w:val="center"/>
        </w:trPr>
        <w:tc>
          <w:tcPr>
            <w:tcW w:w="538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86D6585" w14:textId="4E7D7E7C" w:rsidR="00627707" w:rsidRPr="001E0DD8" w:rsidRDefault="00723207" w:rsidP="001E0DD8">
            <w:pPr>
              <w:spacing w:after="0" w:line="240" w:lineRule="auto"/>
              <w:jc w:val="center"/>
              <w:rPr>
                <w:rFonts w:ascii="Work Sans" w:eastAsia="Arial" w:hAnsi="Work Sans" w:cs="Arial"/>
                <w:b/>
                <w:color w:val="000000"/>
                <w:sz w:val="20"/>
                <w:szCs w:val="20"/>
              </w:rPr>
            </w:pPr>
            <w:r w:rsidRPr="001E0DD8">
              <w:rPr>
                <w:rFonts w:ascii="Work Sans" w:eastAsia="Arial" w:hAnsi="Work Sans" w:cs="Arial"/>
                <w:b/>
                <w:color w:val="000000"/>
                <w:sz w:val="20"/>
                <w:szCs w:val="20"/>
              </w:rPr>
              <w:t>ESTRUCTURA PRECIO DE REFERENCIA COMBUSTIBLES</w:t>
            </w:r>
          </w:p>
        </w:tc>
        <w:tc>
          <w:tcPr>
            <w:tcW w:w="3685" w:type="dxa"/>
            <w:tcBorders>
              <w:top w:val="single" w:sz="4" w:space="0" w:color="000000"/>
              <w:left w:val="nil"/>
              <w:bottom w:val="single" w:sz="4" w:space="0" w:color="000000"/>
              <w:right w:val="single" w:sz="4" w:space="0" w:color="000000"/>
            </w:tcBorders>
            <w:shd w:val="clear" w:color="auto" w:fill="BFBFBF" w:themeFill="background1" w:themeFillShade="BF"/>
            <w:vAlign w:val="center"/>
          </w:tcPr>
          <w:p w14:paraId="07DC7710" w14:textId="690B73AB" w:rsidR="00627707" w:rsidRPr="001E0DD8" w:rsidRDefault="00723207" w:rsidP="001E0DD8">
            <w:pPr>
              <w:spacing w:after="0" w:line="240" w:lineRule="auto"/>
              <w:jc w:val="center"/>
              <w:rPr>
                <w:rFonts w:ascii="Work Sans" w:eastAsia="Arial" w:hAnsi="Work Sans" w:cs="Arial"/>
                <w:b/>
                <w:color w:val="000000"/>
                <w:sz w:val="20"/>
                <w:szCs w:val="20"/>
              </w:rPr>
            </w:pPr>
            <w:r w:rsidRPr="001E0DD8">
              <w:rPr>
                <w:rFonts w:ascii="Work Sans" w:eastAsia="Arial" w:hAnsi="Work Sans" w:cs="Arial"/>
                <w:b/>
                <w:color w:val="000000"/>
                <w:sz w:val="20"/>
                <w:szCs w:val="20"/>
              </w:rPr>
              <w:t>OBSERVACIONES</w:t>
            </w:r>
          </w:p>
        </w:tc>
      </w:tr>
      <w:tr w:rsidR="00627707" w:rsidRPr="001E0DD8" w14:paraId="7F7AC205"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6486A057" w14:textId="5613EDFB"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Proporción - Ingreso al Productor Fósil</w:t>
            </w:r>
          </w:p>
        </w:tc>
        <w:tc>
          <w:tcPr>
            <w:tcW w:w="3685" w:type="dxa"/>
            <w:tcBorders>
              <w:top w:val="nil"/>
              <w:left w:val="nil"/>
              <w:bottom w:val="single" w:sz="4" w:space="0" w:color="000000"/>
              <w:right w:val="single" w:sz="4" w:space="0" w:color="000000"/>
            </w:tcBorders>
            <w:shd w:val="clear" w:color="auto" w:fill="auto"/>
            <w:vAlign w:val="center"/>
          </w:tcPr>
          <w:p w14:paraId="1BC213B5" w14:textId="77777777" w:rsidR="00627707" w:rsidRPr="001E0DD8" w:rsidRDefault="00627707" w:rsidP="001E0DD8">
            <w:pPr>
              <w:spacing w:after="0" w:line="240" w:lineRule="auto"/>
              <w:jc w:val="center"/>
              <w:rPr>
                <w:rFonts w:ascii="Work Sans" w:eastAsia="Arial" w:hAnsi="Work Sans" w:cs="Arial"/>
                <w:color w:val="000000"/>
                <w:sz w:val="20"/>
                <w:szCs w:val="20"/>
              </w:rPr>
            </w:pPr>
            <w:r w:rsidRPr="001E0DD8">
              <w:rPr>
                <w:rFonts w:ascii="Work Sans" w:eastAsia="Arial" w:hAnsi="Work Sans" w:cs="Arial"/>
                <w:color w:val="000000"/>
                <w:sz w:val="20"/>
                <w:szCs w:val="20"/>
              </w:rPr>
              <w:t>Reconocimiento diferencial en ZDF</w:t>
            </w:r>
          </w:p>
        </w:tc>
      </w:tr>
      <w:tr w:rsidR="00627707" w:rsidRPr="001E0DD8" w14:paraId="4EB84B95"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23722DA8" w14:textId="559D9A36"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Proporción - Ingreso al Productor Biocombustible</w:t>
            </w:r>
          </w:p>
        </w:tc>
        <w:tc>
          <w:tcPr>
            <w:tcW w:w="3685" w:type="dxa"/>
            <w:tcBorders>
              <w:top w:val="nil"/>
              <w:left w:val="nil"/>
              <w:bottom w:val="single" w:sz="4" w:space="0" w:color="000000"/>
              <w:right w:val="single" w:sz="4" w:space="0" w:color="000000"/>
            </w:tcBorders>
            <w:shd w:val="clear" w:color="auto" w:fill="auto"/>
            <w:vAlign w:val="center"/>
          </w:tcPr>
          <w:p w14:paraId="6E4E58F9" w14:textId="37858209"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0502BA98"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0F38682D" w14:textId="63825AD7"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Impuesto Nacional</w:t>
            </w:r>
          </w:p>
        </w:tc>
        <w:tc>
          <w:tcPr>
            <w:tcW w:w="3685" w:type="dxa"/>
            <w:tcBorders>
              <w:top w:val="nil"/>
              <w:left w:val="nil"/>
              <w:bottom w:val="single" w:sz="4" w:space="0" w:color="000000"/>
              <w:right w:val="single" w:sz="4" w:space="0" w:color="000000"/>
            </w:tcBorders>
            <w:shd w:val="clear" w:color="auto" w:fill="auto"/>
            <w:vAlign w:val="center"/>
          </w:tcPr>
          <w:p w14:paraId="0201400C" w14:textId="77777777" w:rsidR="00627707" w:rsidRPr="001E0DD8" w:rsidRDefault="00627707" w:rsidP="001E0DD8">
            <w:pPr>
              <w:spacing w:after="0" w:line="240" w:lineRule="auto"/>
              <w:jc w:val="center"/>
              <w:rPr>
                <w:rFonts w:ascii="Work Sans" w:eastAsia="Arial" w:hAnsi="Work Sans" w:cs="Arial"/>
                <w:color w:val="000000"/>
                <w:sz w:val="20"/>
                <w:szCs w:val="20"/>
              </w:rPr>
            </w:pPr>
            <w:r w:rsidRPr="001E0DD8">
              <w:rPr>
                <w:rFonts w:ascii="Work Sans" w:eastAsia="Arial" w:hAnsi="Work Sans" w:cs="Arial"/>
                <w:color w:val="000000"/>
                <w:sz w:val="20"/>
                <w:szCs w:val="20"/>
              </w:rPr>
              <w:t>No aplica en ZDF</w:t>
            </w:r>
          </w:p>
        </w:tc>
      </w:tr>
      <w:tr w:rsidR="00627707" w:rsidRPr="001E0DD8" w14:paraId="571058DF"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54BD0F78" w14:textId="1AE3E78A"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IVA sobre IP Fósil</w:t>
            </w:r>
          </w:p>
        </w:tc>
        <w:tc>
          <w:tcPr>
            <w:tcW w:w="3685" w:type="dxa"/>
            <w:tcBorders>
              <w:top w:val="nil"/>
              <w:left w:val="nil"/>
              <w:bottom w:val="single" w:sz="4" w:space="0" w:color="000000"/>
              <w:right w:val="single" w:sz="4" w:space="0" w:color="000000"/>
            </w:tcBorders>
            <w:shd w:val="clear" w:color="auto" w:fill="auto"/>
            <w:vAlign w:val="center"/>
          </w:tcPr>
          <w:p w14:paraId="74074C8B" w14:textId="77777777" w:rsidR="00627707" w:rsidRPr="001E0DD8" w:rsidRDefault="00627707" w:rsidP="001E0DD8">
            <w:pPr>
              <w:spacing w:after="0" w:line="240" w:lineRule="auto"/>
              <w:jc w:val="center"/>
              <w:rPr>
                <w:rFonts w:ascii="Work Sans" w:eastAsia="Arial" w:hAnsi="Work Sans" w:cs="Arial"/>
                <w:color w:val="000000"/>
                <w:sz w:val="20"/>
                <w:szCs w:val="20"/>
              </w:rPr>
            </w:pPr>
            <w:r w:rsidRPr="001E0DD8">
              <w:rPr>
                <w:rFonts w:ascii="Work Sans" w:eastAsia="Arial" w:hAnsi="Work Sans" w:cs="Arial"/>
                <w:color w:val="000000"/>
                <w:sz w:val="20"/>
                <w:szCs w:val="20"/>
              </w:rPr>
              <w:t>No aplica en ZDF</w:t>
            </w:r>
          </w:p>
        </w:tc>
      </w:tr>
      <w:tr w:rsidR="00627707" w:rsidRPr="001E0DD8" w14:paraId="7E8F1081"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292E3DE7" w14:textId="77777777"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Impuesto al Carbono</w:t>
            </w:r>
          </w:p>
        </w:tc>
        <w:tc>
          <w:tcPr>
            <w:tcW w:w="3685" w:type="dxa"/>
            <w:tcBorders>
              <w:top w:val="nil"/>
              <w:left w:val="nil"/>
              <w:bottom w:val="single" w:sz="4" w:space="0" w:color="000000"/>
              <w:right w:val="single" w:sz="4" w:space="0" w:color="000000"/>
            </w:tcBorders>
            <w:shd w:val="clear" w:color="auto" w:fill="auto"/>
            <w:vAlign w:val="center"/>
          </w:tcPr>
          <w:p w14:paraId="6E09870E" w14:textId="17DA75BA"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0BE75548"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51791EC5" w14:textId="77777777"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Recuperación de Costos</w:t>
            </w:r>
          </w:p>
        </w:tc>
        <w:tc>
          <w:tcPr>
            <w:tcW w:w="3685" w:type="dxa"/>
            <w:tcBorders>
              <w:top w:val="nil"/>
              <w:left w:val="nil"/>
              <w:bottom w:val="single" w:sz="4" w:space="0" w:color="000000"/>
              <w:right w:val="single" w:sz="4" w:space="0" w:color="000000"/>
            </w:tcBorders>
            <w:shd w:val="clear" w:color="auto" w:fill="auto"/>
            <w:vAlign w:val="center"/>
          </w:tcPr>
          <w:p w14:paraId="2E9E59CA" w14:textId="77777777" w:rsidR="00627707" w:rsidRPr="001E0DD8" w:rsidRDefault="00627707" w:rsidP="001E0DD8">
            <w:pPr>
              <w:spacing w:after="0" w:line="240" w:lineRule="auto"/>
              <w:jc w:val="center"/>
              <w:rPr>
                <w:rFonts w:ascii="Work Sans" w:eastAsia="Arial" w:hAnsi="Work Sans" w:cs="Arial"/>
                <w:color w:val="000000"/>
                <w:sz w:val="20"/>
                <w:szCs w:val="20"/>
              </w:rPr>
            </w:pPr>
            <w:r w:rsidRPr="001E0DD8">
              <w:rPr>
                <w:rFonts w:ascii="Work Sans" w:eastAsia="Arial" w:hAnsi="Work Sans" w:cs="Arial"/>
                <w:color w:val="000000"/>
                <w:sz w:val="20"/>
                <w:szCs w:val="20"/>
              </w:rPr>
              <w:t>Aplica solo en ZDF</w:t>
            </w:r>
          </w:p>
        </w:tc>
      </w:tr>
      <w:tr w:rsidR="00627707" w:rsidRPr="001E0DD8" w14:paraId="095CA4F9"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44BF55CA" w14:textId="77777777"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Costo de Cesión</w:t>
            </w:r>
          </w:p>
        </w:tc>
        <w:tc>
          <w:tcPr>
            <w:tcW w:w="3685" w:type="dxa"/>
            <w:tcBorders>
              <w:top w:val="nil"/>
              <w:left w:val="nil"/>
              <w:bottom w:val="single" w:sz="4" w:space="0" w:color="000000"/>
              <w:right w:val="single" w:sz="4" w:space="0" w:color="000000"/>
            </w:tcBorders>
            <w:shd w:val="clear" w:color="auto" w:fill="auto"/>
            <w:vAlign w:val="center"/>
          </w:tcPr>
          <w:p w14:paraId="7B4B0DC8" w14:textId="77777777" w:rsidR="00627707" w:rsidRPr="001E0DD8" w:rsidRDefault="00627707" w:rsidP="001E0DD8">
            <w:pPr>
              <w:spacing w:after="0" w:line="240" w:lineRule="auto"/>
              <w:jc w:val="center"/>
              <w:rPr>
                <w:rFonts w:ascii="Work Sans" w:eastAsia="Arial" w:hAnsi="Work Sans" w:cs="Arial"/>
                <w:color w:val="000000"/>
                <w:sz w:val="20"/>
                <w:szCs w:val="20"/>
              </w:rPr>
            </w:pPr>
            <w:r w:rsidRPr="001E0DD8">
              <w:rPr>
                <w:rFonts w:ascii="Work Sans" w:eastAsia="Arial" w:hAnsi="Work Sans" w:cs="Arial"/>
                <w:color w:val="000000"/>
                <w:sz w:val="20"/>
                <w:szCs w:val="20"/>
              </w:rPr>
              <w:t>Aplica solo en ZDF</w:t>
            </w:r>
          </w:p>
        </w:tc>
      </w:tr>
      <w:tr w:rsidR="00627707" w:rsidRPr="001E0DD8" w14:paraId="0F451BEA"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4231ACEA" w14:textId="77777777"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Tarifa de Marcación</w:t>
            </w:r>
          </w:p>
        </w:tc>
        <w:tc>
          <w:tcPr>
            <w:tcW w:w="3685" w:type="dxa"/>
            <w:tcBorders>
              <w:top w:val="nil"/>
              <w:left w:val="nil"/>
              <w:bottom w:val="single" w:sz="4" w:space="0" w:color="000000"/>
              <w:right w:val="single" w:sz="4" w:space="0" w:color="000000"/>
            </w:tcBorders>
            <w:shd w:val="clear" w:color="auto" w:fill="auto"/>
            <w:vAlign w:val="center"/>
          </w:tcPr>
          <w:p w14:paraId="06C3594A" w14:textId="32E32DF9"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34244F12"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694CA40A" w14:textId="34364F28"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Tarifa de Transporte por poliductos Fósil</w:t>
            </w:r>
          </w:p>
        </w:tc>
        <w:tc>
          <w:tcPr>
            <w:tcW w:w="3685" w:type="dxa"/>
            <w:tcBorders>
              <w:top w:val="nil"/>
              <w:left w:val="nil"/>
              <w:bottom w:val="single" w:sz="4" w:space="0" w:color="000000"/>
              <w:right w:val="single" w:sz="4" w:space="0" w:color="000000"/>
            </w:tcBorders>
            <w:shd w:val="clear" w:color="auto" w:fill="auto"/>
            <w:vAlign w:val="center"/>
          </w:tcPr>
          <w:p w14:paraId="3C3E1123" w14:textId="50677549"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501F5120"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6FFA39D5" w14:textId="228789F3"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Tarifa de Transporte del Biocombustible</w:t>
            </w:r>
          </w:p>
        </w:tc>
        <w:tc>
          <w:tcPr>
            <w:tcW w:w="3685" w:type="dxa"/>
            <w:tcBorders>
              <w:top w:val="nil"/>
              <w:left w:val="nil"/>
              <w:bottom w:val="single" w:sz="4" w:space="0" w:color="000000"/>
              <w:right w:val="single" w:sz="4" w:space="0" w:color="000000"/>
            </w:tcBorders>
            <w:shd w:val="clear" w:color="auto" w:fill="auto"/>
            <w:vAlign w:val="center"/>
          </w:tcPr>
          <w:p w14:paraId="6D89877A" w14:textId="2C0B4477"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0438F0A0"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5C781190" w14:textId="77777777" w:rsidR="00627707" w:rsidRPr="001E0DD8" w:rsidRDefault="00627707" w:rsidP="001E0DD8">
            <w:pPr>
              <w:spacing w:after="0" w:line="240" w:lineRule="auto"/>
              <w:jc w:val="both"/>
              <w:rPr>
                <w:rFonts w:ascii="Work Sans" w:eastAsia="Arial" w:hAnsi="Work Sans" w:cs="Arial"/>
                <w:b/>
                <w:i/>
                <w:color w:val="000000"/>
                <w:sz w:val="20"/>
                <w:szCs w:val="20"/>
              </w:rPr>
            </w:pPr>
            <w:r w:rsidRPr="001E0DD8">
              <w:rPr>
                <w:rFonts w:ascii="Work Sans" w:eastAsia="Arial" w:hAnsi="Work Sans" w:cs="Arial"/>
                <w:b/>
                <w:i/>
                <w:color w:val="000000"/>
                <w:sz w:val="20"/>
                <w:szCs w:val="20"/>
              </w:rPr>
              <w:t>Precio Máximo de Venta al Distribuidor Mayorista</w:t>
            </w:r>
          </w:p>
        </w:tc>
        <w:tc>
          <w:tcPr>
            <w:tcW w:w="3685" w:type="dxa"/>
            <w:tcBorders>
              <w:top w:val="nil"/>
              <w:left w:val="nil"/>
              <w:bottom w:val="single" w:sz="4" w:space="0" w:color="000000"/>
              <w:right w:val="single" w:sz="4" w:space="0" w:color="000000"/>
            </w:tcBorders>
            <w:shd w:val="clear" w:color="auto" w:fill="auto"/>
            <w:vAlign w:val="center"/>
          </w:tcPr>
          <w:p w14:paraId="0546B275" w14:textId="474E65FE"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052B4E4D"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1773CD7E" w14:textId="44C3EFA4"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Sobretasa</w:t>
            </w:r>
          </w:p>
        </w:tc>
        <w:tc>
          <w:tcPr>
            <w:tcW w:w="3685" w:type="dxa"/>
            <w:tcBorders>
              <w:top w:val="nil"/>
              <w:left w:val="nil"/>
              <w:bottom w:val="single" w:sz="4" w:space="0" w:color="000000"/>
              <w:right w:val="single" w:sz="4" w:space="0" w:color="000000"/>
            </w:tcBorders>
            <w:shd w:val="clear" w:color="auto" w:fill="auto"/>
            <w:vAlign w:val="center"/>
          </w:tcPr>
          <w:p w14:paraId="509F2A6C" w14:textId="77777777" w:rsidR="00627707" w:rsidRPr="001E0DD8" w:rsidRDefault="00627707" w:rsidP="001E0DD8">
            <w:pPr>
              <w:spacing w:after="0" w:line="240" w:lineRule="auto"/>
              <w:jc w:val="center"/>
              <w:rPr>
                <w:rFonts w:ascii="Work Sans" w:eastAsia="Arial" w:hAnsi="Work Sans" w:cs="Arial"/>
                <w:color w:val="000000"/>
                <w:sz w:val="20"/>
                <w:szCs w:val="20"/>
              </w:rPr>
            </w:pPr>
            <w:r w:rsidRPr="001E0DD8">
              <w:rPr>
                <w:rFonts w:ascii="Work Sans" w:eastAsia="Arial" w:hAnsi="Work Sans" w:cs="Arial"/>
                <w:color w:val="000000"/>
                <w:sz w:val="20"/>
                <w:szCs w:val="20"/>
              </w:rPr>
              <w:t>Tarifa diferenciada en ZDF</w:t>
            </w:r>
          </w:p>
        </w:tc>
      </w:tr>
      <w:tr w:rsidR="00627707" w:rsidRPr="001E0DD8" w14:paraId="152703B1"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69678403" w14:textId="7C58389A"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Margen al distribuidor mayorista</w:t>
            </w:r>
          </w:p>
        </w:tc>
        <w:tc>
          <w:tcPr>
            <w:tcW w:w="3685" w:type="dxa"/>
            <w:tcBorders>
              <w:top w:val="nil"/>
              <w:left w:val="nil"/>
              <w:bottom w:val="single" w:sz="4" w:space="0" w:color="000000"/>
              <w:right w:val="single" w:sz="4" w:space="0" w:color="000000"/>
            </w:tcBorders>
            <w:shd w:val="clear" w:color="auto" w:fill="auto"/>
            <w:vAlign w:val="center"/>
          </w:tcPr>
          <w:p w14:paraId="43404F17" w14:textId="25AB962B"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2B6813BF"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14C56B14" w14:textId="5F80543E"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lastRenderedPageBreak/>
              <w:t>IVA sobre el margen del distribuidor mayorista</w:t>
            </w:r>
          </w:p>
        </w:tc>
        <w:tc>
          <w:tcPr>
            <w:tcW w:w="3685" w:type="dxa"/>
            <w:tcBorders>
              <w:top w:val="nil"/>
              <w:left w:val="nil"/>
              <w:bottom w:val="single" w:sz="4" w:space="0" w:color="000000"/>
              <w:right w:val="single" w:sz="4" w:space="0" w:color="000000"/>
            </w:tcBorders>
            <w:shd w:val="clear" w:color="auto" w:fill="auto"/>
            <w:vAlign w:val="center"/>
          </w:tcPr>
          <w:p w14:paraId="74A9A692" w14:textId="77777777" w:rsidR="00627707" w:rsidRPr="001E0DD8" w:rsidRDefault="00627707" w:rsidP="001E0DD8">
            <w:pPr>
              <w:spacing w:after="0" w:line="240" w:lineRule="auto"/>
              <w:jc w:val="center"/>
              <w:rPr>
                <w:rFonts w:ascii="Work Sans" w:eastAsia="Arial" w:hAnsi="Work Sans" w:cs="Arial"/>
                <w:color w:val="000000"/>
                <w:sz w:val="20"/>
                <w:szCs w:val="20"/>
              </w:rPr>
            </w:pPr>
            <w:r w:rsidRPr="001E0DD8">
              <w:rPr>
                <w:rFonts w:ascii="Work Sans" w:eastAsia="Arial" w:hAnsi="Work Sans" w:cs="Arial"/>
                <w:color w:val="000000"/>
                <w:sz w:val="20"/>
                <w:szCs w:val="20"/>
              </w:rPr>
              <w:t>No aplica en ZDF</w:t>
            </w:r>
          </w:p>
        </w:tc>
      </w:tr>
      <w:tr w:rsidR="00627707" w:rsidRPr="001E0DD8" w14:paraId="31D19D66"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52CA3EA8" w14:textId="77777777" w:rsidR="00627707" w:rsidRPr="001E0DD8" w:rsidRDefault="00627707" w:rsidP="001E0DD8">
            <w:pPr>
              <w:spacing w:after="0" w:line="240" w:lineRule="auto"/>
              <w:jc w:val="both"/>
              <w:rPr>
                <w:rFonts w:ascii="Work Sans" w:eastAsia="Arial" w:hAnsi="Work Sans" w:cs="Arial"/>
                <w:b/>
                <w:i/>
                <w:color w:val="000000"/>
                <w:sz w:val="20"/>
                <w:szCs w:val="20"/>
              </w:rPr>
            </w:pPr>
            <w:r w:rsidRPr="001E0DD8">
              <w:rPr>
                <w:rFonts w:ascii="Work Sans" w:eastAsia="Arial" w:hAnsi="Work Sans" w:cs="Arial"/>
                <w:b/>
                <w:i/>
                <w:color w:val="000000"/>
                <w:sz w:val="20"/>
                <w:szCs w:val="20"/>
              </w:rPr>
              <w:t>Precio Máximo en Planta de Abastecimiento Mayorista</w:t>
            </w:r>
          </w:p>
        </w:tc>
        <w:tc>
          <w:tcPr>
            <w:tcW w:w="3685" w:type="dxa"/>
            <w:tcBorders>
              <w:top w:val="nil"/>
              <w:left w:val="nil"/>
              <w:bottom w:val="single" w:sz="4" w:space="0" w:color="000000"/>
              <w:right w:val="single" w:sz="4" w:space="0" w:color="000000"/>
            </w:tcBorders>
            <w:shd w:val="clear" w:color="auto" w:fill="auto"/>
            <w:vAlign w:val="center"/>
          </w:tcPr>
          <w:p w14:paraId="33D29CAE" w14:textId="42ACC1BE"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0FD88C9E"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519011E5" w14:textId="592CC8BB"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Margen del distribuidor minorista</w:t>
            </w:r>
          </w:p>
        </w:tc>
        <w:tc>
          <w:tcPr>
            <w:tcW w:w="3685" w:type="dxa"/>
            <w:tcBorders>
              <w:top w:val="nil"/>
              <w:left w:val="nil"/>
              <w:bottom w:val="single" w:sz="4" w:space="0" w:color="000000"/>
              <w:right w:val="single" w:sz="4" w:space="0" w:color="000000"/>
            </w:tcBorders>
            <w:shd w:val="clear" w:color="auto" w:fill="auto"/>
            <w:vAlign w:val="center"/>
          </w:tcPr>
          <w:p w14:paraId="1F0B4EBE" w14:textId="789172DB"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181A137A"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019748B8" w14:textId="261D9197"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Pérdida por evaporación</w:t>
            </w:r>
          </w:p>
        </w:tc>
        <w:tc>
          <w:tcPr>
            <w:tcW w:w="3685" w:type="dxa"/>
            <w:tcBorders>
              <w:top w:val="nil"/>
              <w:left w:val="nil"/>
              <w:bottom w:val="single" w:sz="4" w:space="0" w:color="000000"/>
              <w:right w:val="single" w:sz="4" w:space="0" w:color="000000"/>
            </w:tcBorders>
            <w:shd w:val="clear" w:color="auto" w:fill="auto"/>
            <w:vAlign w:val="center"/>
          </w:tcPr>
          <w:p w14:paraId="23CD5A9E" w14:textId="77777777" w:rsidR="00627707" w:rsidRPr="001E0DD8" w:rsidRDefault="00627707" w:rsidP="001E0DD8">
            <w:pPr>
              <w:spacing w:after="0" w:line="240" w:lineRule="auto"/>
              <w:jc w:val="center"/>
              <w:rPr>
                <w:rFonts w:ascii="Work Sans" w:eastAsia="Arial" w:hAnsi="Work Sans" w:cs="Arial"/>
                <w:color w:val="000000"/>
                <w:sz w:val="20"/>
                <w:szCs w:val="20"/>
              </w:rPr>
            </w:pPr>
            <w:r w:rsidRPr="001E0DD8">
              <w:rPr>
                <w:rFonts w:ascii="Work Sans" w:eastAsia="Arial" w:hAnsi="Work Sans" w:cs="Arial"/>
                <w:color w:val="000000"/>
                <w:sz w:val="20"/>
                <w:szCs w:val="20"/>
              </w:rPr>
              <w:t>Solo para GMC</w:t>
            </w:r>
          </w:p>
        </w:tc>
      </w:tr>
      <w:tr w:rsidR="00627707" w:rsidRPr="001E0DD8" w14:paraId="75A999D9"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3B69F784" w14:textId="576717A9" w:rsidR="00627707" w:rsidRPr="001E0DD8" w:rsidRDefault="00627707" w:rsidP="001E0DD8">
            <w:pPr>
              <w:spacing w:after="0" w:line="240" w:lineRule="auto"/>
              <w:jc w:val="both"/>
              <w:rPr>
                <w:rFonts w:ascii="Work Sans" w:eastAsia="Arial" w:hAnsi="Work Sans" w:cs="Arial"/>
                <w:color w:val="000000"/>
                <w:sz w:val="20"/>
                <w:szCs w:val="20"/>
              </w:rPr>
            </w:pPr>
            <w:r w:rsidRPr="001E0DD8">
              <w:rPr>
                <w:rFonts w:ascii="Work Sans" w:eastAsia="Arial" w:hAnsi="Work Sans" w:cs="Arial"/>
                <w:color w:val="000000"/>
                <w:sz w:val="20"/>
                <w:szCs w:val="20"/>
              </w:rPr>
              <w:t>Transporte de la planta de abastecimiento mayorista a estación.</w:t>
            </w:r>
          </w:p>
        </w:tc>
        <w:tc>
          <w:tcPr>
            <w:tcW w:w="3685" w:type="dxa"/>
            <w:tcBorders>
              <w:top w:val="nil"/>
              <w:left w:val="nil"/>
              <w:bottom w:val="single" w:sz="4" w:space="0" w:color="000000"/>
              <w:right w:val="single" w:sz="4" w:space="0" w:color="000000"/>
            </w:tcBorders>
            <w:shd w:val="clear" w:color="auto" w:fill="auto"/>
            <w:vAlign w:val="center"/>
          </w:tcPr>
          <w:p w14:paraId="6B494A05" w14:textId="7EF03DC8" w:rsidR="00627707" w:rsidRPr="001E0DD8" w:rsidRDefault="00627707" w:rsidP="001E0DD8">
            <w:pPr>
              <w:spacing w:after="0" w:line="240" w:lineRule="auto"/>
              <w:jc w:val="center"/>
              <w:rPr>
                <w:rFonts w:ascii="Work Sans" w:eastAsia="Arial" w:hAnsi="Work Sans" w:cs="Arial"/>
                <w:color w:val="000000"/>
                <w:sz w:val="20"/>
                <w:szCs w:val="20"/>
              </w:rPr>
            </w:pPr>
          </w:p>
        </w:tc>
      </w:tr>
      <w:tr w:rsidR="00627707" w:rsidRPr="001E0DD8" w14:paraId="6441DB3F" w14:textId="77777777" w:rsidTr="00723207">
        <w:trPr>
          <w:trHeight w:val="340"/>
          <w:jc w:val="center"/>
        </w:trPr>
        <w:tc>
          <w:tcPr>
            <w:tcW w:w="5382" w:type="dxa"/>
            <w:tcBorders>
              <w:top w:val="nil"/>
              <w:left w:val="single" w:sz="4" w:space="0" w:color="000000"/>
              <w:bottom w:val="single" w:sz="4" w:space="0" w:color="000000"/>
              <w:right w:val="single" w:sz="4" w:space="0" w:color="000000"/>
            </w:tcBorders>
            <w:shd w:val="clear" w:color="auto" w:fill="auto"/>
            <w:vAlign w:val="center"/>
          </w:tcPr>
          <w:p w14:paraId="068019BD" w14:textId="29038503" w:rsidR="00627707" w:rsidRPr="001E0DD8" w:rsidRDefault="00627707" w:rsidP="001E0DD8">
            <w:pPr>
              <w:spacing w:after="0" w:line="240" w:lineRule="auto"/>
              <w:jc w:val="both"/>
              <w:rPr>
                <w:rFonts w:ascii="Work Sans" w:eastAsia="Arial" w:hAnsi="Work Sans" w:cs="Arial"/>
                <w:b/>
                <w:i/>
                <w:color w:val="000000"/>
                <w:sz w:val="20"/>
                <w:szCs w:val="20"/>
              </w:rPr>
            </w:pPr>
            <w:r w:rsidRPr="001E0DD8">
              <w:rPr>
                <w:rFonts w:ascii="Work Sans" w:eastAsia="Arial" w:hAnsi="Work Sans" w:cs="Arial"/>
                <w:b/>
                <w:i/>
                <w:color w:val="000000"/>
                <w:sz w:val="20"/>
                <w:szCs w:val="20"/>
              </w:rPr>
              <w:t>Precio de Referencia de Venta por galón. $/GAL</w:t>
            </w:r>
          </w:p>
        </w:tc>
        <w:tc>
          <w:tcPr>
            <w:tcW w:w="3685" w:type="dxa"/>
            <w:tcBorders>
              <w:top w:val="nil"/>
              <w:left w:val="nil"/>
              <w:bottom w:val="single" w:sz="4" w:space="0" w:color="000000"/>
              <w:right w:val="single" w:sz="4" w:space="0" w:color="000000"/>
            </w:tcBorders>
            <w:shd w:val="clear" w:color="auto" w:fill="auto"/>
            <w:vAlign w:val="center"/>
          </w:tcPr>
          <w:p w14:paraId="7B681D88" w14:textId="617F162B" w:rsidR="00627707" w:rsidRPr="001E0DD8" w:rsidRDefault="00627707" w:rsidP="001E0DD8">
            <w:pPr>
              <w:spacing w:after="0" w:line="240" w:lineRule="auto"/>
              <w:jc w:val="center"/>
              <w:rPr>
                <w:rFonts w:ascii="Work Sans" w:eastAsia="Arial" w:hAnsi="Work Sans" w:cs="Arial"/>
                <w:color w:val="000000"/>
                <w:sz w:val="20"/>
                <w:szCs w:val="20"/>
              </w:rPr>
            </w:pPr>
          </w:p>
        </w:tc>
      </w:tr>
    </w:tbl>
    <w:p w14:paraId="630EED99" w14:textId="77777777" w:rsidR="00185CA4" w:rsidRPr="001E0DD8" w:rsidRDefault="00185CA4" w:rsidP="001E0DD8">
      <w:pPr>
        <w:pBdr>
          <w:top w:val="nil"/>
          <w:left w:val="nil"/>
          <w:bottom w:val="nil"/>
          <w:right w:val="nil"/>
          <w:between w:val="nil"/>
        </w:pBdr>
        <w:spacing w:after="0" w:line="240" w:lineRule="auto"/>
        <w:jc w:val="center"/>
        <w:rPr>
          <w:rFonts w:ascii="Work Sans" w:eastAsia="Work Sans" w:hAnsi="Work Sans" w:cs="Work Sans"/>
          <w:b/>
          <w:color w:val="000000"/>
          <w:sz w:val="20"/>
          <w:szCs w:val="20"/>
        </w:rPr>
      </w:pPr>
    </w:p>
    <w:p w14:paraId="40A5ABAE" w14:textId="444D42F8" w:rsidR="008F6891" w:rsidRPr="001E0DD8" w:rsidRDefault="00627707" w:rsidP="001E0DD8">
      <w:pPr>
        <w:pBdr>
          <w:top w:val="nil"/>
          <w:left w:val="nil"/>
          <w:bottom w:val="nil"/>
          <w:right w:val="nil"/>
          <w:between w:val="nil"/>
        </w:pBdr>
        <w:spacing w:after="0" w:line="240" w:lineRule="auto"/>
        <w:jc w:val="center"/>
        <w:rPr>
          <w:rFonts w:ascii="Work Sans" w:eastAsia="Work Sans" w:hAnsi="Work Sans" w:cs="Work Sans"/>
          <w:b/>
          <w:color w:val="000000"/>
          <w:sz w:val="20"/>
          <w:szCs w:val="20"/>
        </w:rPr>
      </w:pPr>
      <w:r w:rsidRPr="001E0DD8">
        <w:rPr>
          <w:rFonts w:ascii="Work Sans" w:eastAsia="Work Sans" w:hAnsi="Work Sans" w:cs="Work Sans"/>
          <w:b/>
          <w:color w:val="000000"/>
          <w:sz w:val="20"/>
          <w:szCs w:val="20"/>
        </w:rPr>
        <w:t xml:space="preserve">Fuente: </w:t>
      </w:r>
      <w:r w:rsidRPr="001E0DD8">
        <w:rPr>
          <w:rFonts w:ascii="Work Sans" w:eastAsia="Work Sans" w:hAnsi="Work Sans" w:cs="Work Sans"/>
          <w:bCs/>
          <w:color w:val="000000"/>
          <w:sz w:val="20"/>
          <w:szCs w:val="20"/>
        </w:rPr>
        <w:t>Dirección de Hidrocarburos</w:t>
      </w:r>
    </w:p>
    <w:p w14:paraId="15C11A8C" w14:textId="77777777" w:rsidR="00333CE3" w:rsidRPr="001E0DD8" w:rsidRDefault="00333CE3" w:rsidP="001E0DD8">
      <w:pPr>
        <w:pBdr>
          <w:top w:val="nil"/>
          <w:left w:val="nil"/>
          <w:bottom w:val="nil"/>
          <w:right w:val="nil"/>
          <w:between w:val="nil"/>
        </w:pBdr>
        <w:spacing w:after="0" w:line="240" w:lineRule="auto"/>
        <w:jc w:val="center"/>
        <w:rPr>
          <w:rFonts w:ascii="Work Sans" w:eastAsia="Work Sans" w:hAnsi="Work Sans" w:cs="Work Sans"/>
          <w:b/>
          <w:color w:val="000000"/>
          <w:sz w:val="24"/>
          <w:szCs w:val="24"/>
        </w:rPr>
      </w:pPr>
    </w:p>
    <w:p w14:paraId="76F132FE" w14:textId="5CDD56F9" w:rsidR="00220DC9" w:rsidRPr="001E0DD8" w:rsidRDefault="008F6891" w:rsidP="001E0DD8">
      <w:pPr>
        <w:spacing w:after="0" w:line="240" w:lineRule="auto"/>
        <w:ind w:right="51"/>
        <w:jc w:val="both"/>
        <w:rPr>
          <w:rFonts w:ascii="Work Sans" w:hAnsi="Work Sans" w:cs="Arial"/>
          <w:bCs/>
          <w:sz w:val="24"/>
          <w:szCs w:val="24"/>
        </w:rPr>
      </w:pPr>
      <w:r w:rsidRPr="001E0DD8">
        <w:rPr>
          <w:rFonts w:ascii="Work Sans" w:eastAsia="Work Sans" w:hAnsi="Work Sans" w:cs="Work Sans"/>
          <w:bCs/>
          <w:color w:val="000000"/>
          <w:sz w:val="24"/>
          <w:szCs w:val="24"/>
        </w:rPr>
        <w:t xml:space="preserve">Los artículos 10 y 11 de la Ley 681 de 2001, y el artículo 116 de la Ley 1450 de 2011 regulan únicamente la estructura de precios y el Ingreso al Productor </w:t>
      </w:r>
      <w:r w:rsidR="00185CA4" w:rsidRPr="001E0DD8">
        <w:rPr>
          <w:rFonts w:ascii="Work Sans" w:eastAsia="Work Sans" w:hAnsi="Work Sans" w:cs="Work Sans"/>
          <w:bCs/>
          <w:color w:val="000000"/>
          <w:sz w:val="24"/>
          <w:szCs w:val="24"/>
        </w:rPr>
        <w:t xml:space="preserve">– </w:t>
      </w:r>
      <w:r w:rsidRPr="001E0DD8">
        <w:rPr>
          <w:rFonts w:ascii="Work Sans" w:eastAsia="Work Sans" w:hAnsi="Work Sans" w:cs="Work Sans"/>
          <w:bCs/>
          <w:color w:val="000000"/>
          <w:sz w:val="24"/>
          <w:szCs w:val="24"/>
        </w:rPr>
        <w:t>IP del combustible de aviación Jet A1. Por tanto, al no existir a la fecha regulación específica aplicable al Jet A, se concluye que tanto su estructura de precios como su IP son libres.</w:t>
      </w:r>
    </w:p>
    <w:p w14:paraId="7465D150" w14:textId="77777777" w:rsidR="00333CE3" w:rsidRPr="001E0DD8" w:rsidRDefault="00333CE3" w:rsidP="001E0DD8">
      <w:pPr>
        <w:spacing w:after="0" w:line="240" w:lineRule="auto"/>
        <w:ind w:right="51"/>
        <w:jc w:val="both"/>
        <w:rPr>
          <w:rFonts w:ascii="Work Sans" w:hAnsi="Work Sans" w:cs="Arial"/>
          <w:sz w:val="24"/>
          <w:szCs w:val="24"/>
        </w:rPr>
      </w:pPr>
    </w:p>
    <w:p w14:paraId="0C3586FA" w14:textId="278D98D8" w:rsidR="008F6891" w:rsidRPr="001E0DD8" w:rsidRDefault="008F6891" w:rsidP="001E0DD8">
      <w:pPr>
        <w:spacing w:after="0" w:line="240" w:lineRule="auto"/>
        <w:ind w:right="51"/>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 xml:space="preserve">Para el caso del combustible de aviación Jet A1 rige lo dispuesto en el artículo 116 de la Ley 1450 de 2011: </w:t>
      </w:r>
    </w:p>
    <w:p w14:paraId="027A8397" w14:textId="77777777" w:rsidR="00333CE3" w:rsidRPr="001E0DD8" w:rsidRDefault="00333CE3" w:rsidP="001E0DD8">
      <w:pPr>
        <w:spacing w:after="0" w:line="240" w:lineRule="auto"/>
        <w:ind w:right="51"/>
        <w:jc w:val="both"/>
        <w:rPr>
          <w:rFonts w:ascii="Work Sans" w:eastAsia="Work Sans" w:hAnsi="Work Sans" w:cs="Work Sans"/>
          <w:color w:val="000000"/>
          <w:sz w:val="24"/>
          <w:szCs w:val="24"/>
        </w:rPr>
      </w:pPr>
    </w:p>
    <w:p w14:paraId="05618C2D" w14:textId="2D98150D" w:rsidR="008F6891" w:rsidRPr="001E0DD8" w:rsidRDefault="00185CA4" w:rsidP="001E0DD8">
      <w:pPr>
        <w:spacing w:after="0" w:line="240" w:lineRule="auto"/>
        <w:ind w:left="708" w:right="51"/>
        <w:jc w:val="both"/>
        <w:rPr>
          <w:rFonts w:ascii="Work Sans" w:eastAsia="Work Sans" w:hAnsi="Work Sans" w:cs="Work Sans"/>
          <w:color w:val="000000"/>
          <w:sz w:val="24"/>
          <w:szCs w:val="24"/>
        </w:rPr>
      </w:pPr>
      <w:r w:rsidRPr="001E0DD8">
        <w:rPr>
          <w:rFonts w:ascii="Work Sans" w:eastAsia="Work Sans" w:hAnsi="Work Sans" w:cs="Work Sans"/>
          <w:b/>
          <w:bCs/>
          <w:color w:val="000000"/>
          <w:sz w:val="24"/>
          <w:szCs w:val="24"/>
        </w:rPr>
        <w:t>Artículo 116.</w:t>
      </w:r>
      <w:r w:rsidRPr="001E0DD8">
        <w:rPr>
          <w:rFonts w:ascii="Work Sans" w:eastAsia="Work Sans" w:hAnsi="Work Sans" w:cs="Work Sans"/>
          <w:color w:val="000000"/>
          <w:sz w:val="24"/>
          <w:szCs w:val="24"/>
        </w:rPr>
        <w:t xml:space="preserve"> </w:t>
      </w:r>
      <w:r w:rsidR="008F6891" w:rsidRPr="001E0DD8">
        <w:rPr>
          <w:rFonts w:ascii="Work Sans" w:eastAsia="Work Sans" w:hAnsi="Work Sans" w:cs="Work Sans"/>
          <w:color w:val="000000"/>
          <w:sz w:val="24"/>
          <w:szCs w:val="24"/>
        </w:rPr>
        <w:t xml:space="preserve">La derogatoria de los artículos 10, 11 y el parágrafo del artículo 12 de la Ley 681 de 2001, mediante los cuales se establece la fórmula para determinar los componentes de la estructura de precios del combustible de aviación JET A-1, se hará efectiva cuando el Gobierno </w:t>
      </w:r>
      <w:r w:rsidRPr="001E0DD8">
        <w:rPr>
          <w:rFonts w:ascii="Work Sans" w:eastAsia="Work Sans" w:hAnsi="Work Sans" w:cs="Work Sans"/>
          <w:color w:val="000000"/>
          <w:sz w:val="24"/>
          <w:szCs w:val="24"/>
        </w:rPr>
        <w:t>n</w:t>
      </w:r>
      <w:r w:rsidR="008F6891" w:rsidRPr="001E0DD8">
        <w:rPr>
          <w:rFonts w:ascii="Work Sans" w:eastAsia="Work Sans" w:hAnsi="Work Sans" w:cs="Work Sans"/>
          <w:color w:val="000000"/>
          <w:sz w:val="24"/>
          <w:szCs w:val="24"/>
        </w:rPr>
        <w:t>acional asigne las funciones a un ente regulador que determine los precios combustibles líquidos, biocombustibles y gas natural vehicular y se dicte la primera regulación sobre el particular, para lo cual deberá tener en cuenta, entre otros, criterios que refleje el costo de oportunidad del producto, la expansión de la infraestructura, la confiabilidad en el suministro, la promoción de la competencia, el abuso de la posición dominante, la competitividad del combustible en la región y sin que ello implique ningún tipo de subsidio económico o descuento especial.</w:t>
      </w:r>
    </w:p>
    <w:p w14:paraId="54F90874" w14:textId="77777777" w:rsidR="00333CE3" w:rsidRPr="001E0DD8" w:rsidRDefault="00333CE3" w:rsidP="001E0DD8">
      <w:pPr>
        <w:spacing w:after="0" w:line="240" w:lineRule="auto"/>
        <w:ind w:right="51"/>
        <w:jc w:val="both"/>
        <w:rPr>
          <w:rFonts w:ascii="Work Sans" w:eastAsia="Work Sans" w:hAnsi="Work Sans" w:cs="Work Sans"/>
          <w:color w:val="000000"/>
          <w:sz w:val="24"/>
          <w:szCs w:val="24"/>
        </w:rPr>
      </w:pPr>
    </w:p>
    <w:p w14:paraId="08C9C8BD" w14:textId="6BA404D8" w:rsidR="008F6891" w:rsidRPr="001E0DD8" w:rsidRDefault="008F6891" w:rsidP="001E0DD8">
      <w:pPr>
        <w:spacing w:after="0" w:line="240" w:lineRule="auto"/>
        <w:ind w:right="51"/>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Es decir, el valor del Ingreso al Productor de este combustible no es fijado por los Ministerios de Minas y Energía y Hacienda y Crédito Público.</w:t>
      </w:r>
    </w:p>
    <w:p w14:paraId="7BFA8A61" w14:textId="77777777" w:rsidR="00333CE3" w:rsidRPr="001E0DD8" w:rsidRDefault="00333CE3" w:rsidP="001E0DD8">
      <w:pPr>
        <w:spacing w:after="0" w:line="240" w:lineRule="auto"/>
        <w:ind w:right="51"/>
        <w:jc w:val="both"/>
        <w:rPr>
          <w:rFonts w:ascii="Work Sans" w:eastAsia="Work Sans" w:hAnsi="Work Sans" w:cs="Work Sans"/>
          <w:color w:val="000000"/>
          <w:sz w:val="24"/>
          <w:szCs w:val="24"/>
        </w:rPr>
      </w:pPr>
    </w:p>
    <w:p w14:paraId="267A8BD2" w14:textId="09EA6007" w:rsidR="008F6891" w:rsidRPr="001E0DD8" w:rsidRDefault="008F6891" w:rsidP="001E0DD8">
      <w:pPr>
        <w:spacing w:after="0" w:line="240" w:lineRule="auto"/>
        <w:ind w:right="51"/>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 xml:space="preserve">Por su parte, el Decreto </w:t>
      </w:r>
      <w:r w:rsidR="00185CA4" w:rsidRPr="001E0DD8">
        <w:rPr>
          <w:rFonts w:ascii="Work Sans" w:eastAsia="Work Sans" w:hAnsi="Work Sans" w:cs="Work Sans"/>
          <w:color w:val="000000"/>
          <w:sz w:val="24"/>
          <w:szCs w:val="24"/>
        </w:rPr>
        <w:t xml:space="preserve">No. </w:t>
      </w:r>
      <w:r w:rsidRPr="001E0DD8">
        <w:rPr>
          <w:rFonts w:ascii="Work Sans" w:eastAsia="Work Sans" w:hAnsi="Work Sans" w:cs="Work Sans"/>
          <w:color w:val="000000"/>
          <w:sz w:val="24"/>
          <w:szCs w:val="24"/>
        </w:rPr>
        <w:t xml:space="preserve">1073 de 2015 cuando hace referencia a combustibles de aviación para motores tipo turbina contempla únicamente </w:t>
      </w:r>
      <w:r w:rsidR="00185CA4" w:rsidRPr="001E0DD8">
        <w:rPr>
          <w:rFonts w:ascii="Work Sans" w:eastAsia="Work Sans" w:hAnsi="Work Sans" w:cs="Work Sans"/>
          <w:color w:val="000000"/>
          <w:sz w:val="24"/>
          <w:szCs w:val="24"/>
        </w:rPr>
        <w:t>g</w:t>
      </w:r>
      <w:r w:rsidRPr="001E0DD8">
        <w:rPr>
          <w:rFonts w:ascii="Work Sans" w:eastAsia="Work Sans" w:hAnsi="Work Sans" w:cs="Work Sans"/>
          <w:color w:val="000000"/>
          <w:sz w:val="24"/>
          <w:szCs w:val="24"/>
        </w:rPr>
        <w:t>asolina de aviación Jet A1; de lo cual se infiere que actualmente no está permitido la comercialización de Jet A en Colombia, por lo cual, no hay disposiciones respecto de un producto al cual no se le permite su comercialización a nivel nacional.</w:t>
      </w:r>
    </w:p>
    <w:p w14:paraId="4E9CF05A" w14:textId="77777777" w:rsidR="00333CE3" w:rsidRPr="001E0DD8" w:rsidRDefault="00333CE3" w:rsidP="001E0DD8">
      <w:pPr>
        <w:spacing w:after="0" w:line="240" w:lineRule="auto"/>
        <w:ind w:right="51"/>
        <w:jc w:val="both"/>
        <w:rPr>
          <w:rFonts w:ascii="Work Sans" w:eastAsia="Work Sans" w:hAnsi="Work Sans" w:cs="Work Sans"/>
          <w:color w:val="000000"/>
          <w:sz w:val="24"/>
          <w:szCs w:val="24"/>
        </w:rPr>
      </w:pPr>
    </w:p>
    <w:p w14:paraId="6F4DD1C4" w14:textId="4CA18A32" w:rsidR="008F6891" w:rsidRPr="001E0DD8" w:rsidRDefault="008F6891" w:rsidP="001E0DD8">
      <w:pPr>
        <w:spacing w:after="0" w:line="240" w:lineRule="auto"/>
        <w:ind w:right="51"/>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 xml:space="preserve">Con esto presente, resaltamos que el sector de aviación opera en un mercado altamente competitivo y las características técnicas del combustible de aviación utilizado son esenciales las </w:t>
      </w:r>
      <w:r w:rsidRPr="001E0DD8">
        <w:rPr>
          <w:rFonts w:ascii="Work Sans" w:eastAsia="Work Sans" w:hAnsi="Work Sans" w:cs="Work Sans"/>
          <w:color w:val="000000"/>
          <w:sz w:val="24"/>
          <w:szCs w:val="24"/>
        </w:rPr>
        <w:lastRenderedPageBreak/>
        <w:t>exigentes operaciones y condiciones de los vuelos. En particular, en Colombia actualmente se opera utilizando el combustible tipo Jet A1.</w:t>
      </w:r>
    </w:p>
    <w:p w14:paraId="02692CBF" w14:textId="77777777" w:rsidR="00333CE3" w:rsidRPr="001E0DD8" w:rsidRDefault="00333CE3" w:rsidP="001E0DD8">
      <w:pPr>
        <w:spacing w:after="0" w:line="240" w:lineRule="auto"/>
        <w:ind w:right="51"/>
        <w:jc w:val="both"/>
        <w:rPr>
          <w:rFonts w:ascii="Work Sans" w:eastAsia="Work Sans" w:hAnsi="Work Sans" w:cs="Work Sans"/>
          <w:color w:val="000000"/>
          <w:sz w:val="24"/>
          <w:szCs w:val="24"/>
        </w:rPr>
      </w:pPr>
    </w:p>
    <w:p w14:paraId="070FE56A" w14:textId="6C3F7654" w:rsidR="008F6891" w:rsidRPr="001E0DD8" w:rsidRDefault="008F6891" w:rsidP="001E0DD8">
      <w:pPr>
        <w:spacing w:after="0" w:line="240" w:lineRule="auto"/>
        <w:ind w:right="51"/>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 xml:space="preserve">Sin embargo, desde los diversos frentes de este sector se ha identificado la necesidad de diversificar el suministro de otros tipos de combustibles de aviación, entre los cuales surge la idea de incorporar el uso del denominado Jet A. </w:t>
      </w:r>
    </w:p>
    <w:p w14:paraId="7BB0EBD5" w14:textId="77777777" w:rsidR="00333CE3" w:rsidRPr="001E0DD8" w:rsidRDefault="00333CE3" w:rsidP="001E0DD8">
      <w:pPr>
        <w:spacing w:after="0" w:line="240" w:lineRule="auto"/>
        <w:ind w:right="51"/>
        <w:jc w:val="both"/>
        <w:rPr>
          <w:rFonts w:ascii="Work Sans" w:eastAsia="Work Sans" w:hAnsi="Work Sans" w:cs="Work Sans"/>
          <w:color w:val="000000"/>
          <w:sz w:val="24"/>
          <w:szCs w:val="24"/>
        </w:rPr>
      </w:pPr>
    </w:p>
    <w:p w14:paraId="5DB5D8E3" w14:textId="59B08077" w:rsidR="00616059" w:rsidRPr="001E0DD8" w:rsidRDefault="008F6891" w:rsidP="001E0DD8">
      <w:pPr>
        <w:spacing w:after="0" w:line="240" w:lineRule="auto"/>
        <w:ind w:right="51"/>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En este sentido, es necesario actualizar la política entorno a la refinación, distribución e implementación de este combustible en la cadena de combustibles líquidos del país, sobre lo cual desde las entidades competentes se han venido adelantando esfuerzos para la expedición de la regulación correspondiente.</w:t>
      </w:r>
    </w:p>
    <w:p w14:paraId="351A2F53" w14:textId="77777777" w:rsidR="00333CE3" w:rsidRPr="001E0DD8" w:rsidRDefault="00333CE3" w:rsidP="001E0DD8">
      <w:pPr>
        <w:spacing w:after="0" w:line="240" w:lineRule="auto"/>
        <w:ind w:right="51"/>
        <w:jc w:val="both"/>
        <w:rPr>
          <w:rFonts w:ascii="Work Sans" w:eastAsia="Work Sans" w:hAnsi="Work Sans" w:cs="Work Sans"/>
          <w:color w:val="000000"/>
          <w:sz w:val="24"/>
          <w:szCs w:val="24"/>
        </w:rPr>
      </w:pPr>
    </w:p>
    <w:p w14:paraId="0E8FE277" w14:textId="346FA343" w:rsidR="00333CE3" w:rsidRPr="001E0DD8" w:rsidRDefault="00616059" w:rsidP="001E0DD8">
      <w:pPr>
        <w:spacing w:after="0" w:line="240" w:lineRule="auto"/>
        <w:ind w:right="51"/>
        <w:jc w:val="both"/>
        <w:rPr>
          <w:rFonts w:ascii="Work Sans" w:eastAsia="Work Sans" w:hAnsi="Work Sans" w:cs="Work Sans"/>
          <w:color w:val="000000"/>
          <w:sz w:val="24"/>
          <w:szCs w:val="24"/>
        </w:rPr>
      </w:pPr>
      <w:r w:rsidRPr="001E0DD8">
        <w:rPr>
          <w:rFonts w:ascii="Work Sans" w:eastAsia="Work Sans" w:hAnsi="Work Sans" w:cs="Work Sans"/>
          <w:color w:val="000000"/>
          <w:sz w:val="24"/>
          <w:szCs w:val="24"/>
        </w:rPr>
        <w:t xml:space="preserve">En Colombia, el marco normativo vigente establece la regulación de precios y márgenes de los combustibles líquidos y biocombustibles. Los Ministerios de Hacienda y Crédito Público y de Minas y Energía, junto con la Comisión de Regulación de Energía y Gas </w:t>
      </w:r>
      <w:r w:rsidR="00185CA4" w:rsidRPr="001E0DD8">
        <w:rPr>
          <w:rFonts w:ascii="Work Sans" w:eastAsia="Work Sans" w:hAnsi="Work Sans" w:cs="Work Sans"/>
          <w:color w:val="000000"/>
          <w:sz w:val="24"/>
          <w:szCs w:val="24"/>
        </w:rPr>
        <w:t xml:space="preserve">– </w:t>
      </w:r>
      <w:r w:rsidRPr="001E0DD8">
        <w:rPr>
          <w:rFonts w:ascii="Work Sans" w:eastAsia="Work Sans" w:hAnsi="Work Sans" w:cs="Work Sans"/>
          <w:color w:val="000000"/>
          <w:sz w:val="24"/>
          <w:szCs w:val="24"/>
        </w:rPr>
        <w:t>CREG, son responsables de establecer los precios y tarifas en el mercado regulado, así como los márgenes de remuneración en toda la cadena de distribución. La estructura de precios está definida para la gasolina corriente, el diésel y otros combustibles, y debe ser acatada por todos los agentes, incluidos los distribuidores minoristas. En las Zonas de Frontera, existen consideraciones adicionales y beneficios tributarios, y el Ministerio de Minas y Energía determina el ingreso al productor en estas áreas. Respecto al combustible de aviación, el ingreso al productor del combustible JET no es fijado por los Ministerios de Minas y Energía y Hacienda y Crédito Público.</w:t>
      </w:r>
    </w:p>
    <w:p w14:paraId="487510BC" w14:textId="77777777" w:rsidR="00333CE3" w:rsidRPr="001E0DD8" w:rsidRDefault="00333CE3" w:rsidP="001E0DD8">
      <w:pPr>
        <w:spacing w:after="0" w:line="240" w:lineRule="auto"/>
        <w:ind w:right="51"/>
        <w:jc w:val="both"/>
        <w:rPr>
          <w:rFonts w:ascii="Work Sans" w:eastAsia="Work Sans" w:hAnsi="Work Sans" w:cs="Work Sans"/>
          <w:color w:val="000000"/>
          <w:sz w:val="24"/>
          <w:szCs w:val="24"/>
        </w:rPr>
      </w:pPr>
    </w:p>
    <w:p w14:paraId="6C1E29BA" w14:textId="77777777" w:rsidR="00185CA4" w:rsidRPr="001E0DD8" w:rsidRDefault="00185CA4" w:rsidP="001E0DD8">
      <w:pPr>
        <w:spacing w:after="0" w:line="240" w:lineRule="auto"/>
        <w:ind w:right="51"/>
        <w:jc w:val="both"/>
        <w:rPr>
          <w:rFonts w:ascii="Work Sans" w:eastAsia="Work Sans" w:hAnsi="Work Sans" w:cs="Work Sans"/>
          <w:color w:val="000000"/>
          <w:sz w:val="24"/>
          <w:szCs w:val="24"/>
        </w:rPr>
      </w:pPr>
    </w:p>
    <w:p w14:paraId="3F5A707C" w14:textId="4675CFAE" w:rsidR="008F6891" w:rsidRPr="001E0DD8" w:rsidRDefault="001E0E4B" w:rsidP="001E0DD8">
      <w:pPr>
        <w:pStyle w:val="Prrafodelista"/>
        <w:numPr>
          <w:ilvl w:val="0"/>
          <w:numId w:val="17"/>
        </w:numPr>
        <w:spacing w:after="0" w:line="240" w:lineRule="auto"/>
        <w:ind w:right="51"/>
        <w:jc w:val="both"/>
        <w:rPr>
          <w:rFonts w:ascii="Work Sans" w:eastAsia="Work Sans" w:hAnsi="Work Sans" w:cs="Work Sans"/>
          <w:b/>
          <w:bCs/>
          <w:color w:val="000000"/>
          <w:sz w:val="24"/>
          <w:szCs w:val="24"/>
        </w:rPr>
      </w:pPr>
      <w:r w:rsidRPr="001E0DD8">
        <w:rPr>
          <w:rFonts w:ascii="Work Sans" w:eastAsia="Work Sans" w:hAnsi="Work Sans" w:cs="Work Sans"/>
          <w:b/>
          <w:bCs/>
          <w:color w:val="000000"/>
          <w:sz w:val="24"/>
          <w:szCs w:val="24"/>
        </w:rPr>
        <w:t>Sírvase informar cuál ha sido el valor variable del combustible para los departamentos Vaupés, Guainía, Vichada, Amazonas y Guaviare. Desde enero el presente año.</w:t>
      </w:r>
    </w:p>
    <w:p w14:paraId="4FED3604" w14:textId="77777777" w:rsidR="00333CE3" w:rsidRPr="001E0DD8" w:rsidRDefault="00333CE3" w:rsidP="001E0DD8">
      <w:pPr>
        <w:spacing w:after="0" w:line="240" w:lineRule="auto"/>
        <w:ind w:right="51"/>
        <w:jc w:val="both"/>
        <w:rPr>
          <w:rFonts w:ascii="Work Sans" w:eastAsia="Work Sans" w:hAnsi="Work Sans" w:cs="Work Sans"/>
          <w:b/>
          <w:bCs/>
          <w:color w:val="000000"/>
          <w:sz w:val="24"/>
          <w:szCs w:val="24"/>
        </w:rPr>
      </w:pPr>
    </w:p>
    <w:p w14:paraId="5A014B85" w14:textId="5EAA574B" w:rsidR="00333CE3" w:rsidRPr="001E0DD8" w:rsidRDefault="00333CE3" w:rsidP="001E0DD8">
      <w:pPr>
        <w:pStyle w:val="Default"/>
        <w:jc w:val="both"/>
        <w:rPr>
          <w:rFonts w:ascii="Work Sans" w:hAnsi="Work Sans" w:cs="Arial"/>
        </w:rPr>
      </w:pPr>
      <w:r w:rsidRPr="001E0DD8">
        <w:rPr>
          <w:rFonts w:ascii="Work Sans" w:hAnsi="Work Sans" w:cs="Arial"/>
        </w:rPr>
        <w:t>En relación con el marco normativo anteriormente mencionado, aclaramos que la fijación del Ingreso al Productor de los combustibles fósiles gasolina corriente y ACPM-Diésel y de los biocombustibles destinados a la mezcla con estos combustibles son dirigidos por el Ministerio de Minas y Energía y el Ministerio de Hacienda y Crédito Público. Sin perjuicio de lo anterior, los componentes de la estructura de precios de combustibles que corresponden a tributos o impuestos son definidos y fijados por el poder legislativo por ser lo de su competencia.</w:t>
      </w:r>
    </w:p>
    <w:p w14:paraId="1C0A4653" w14:textId="77777777" w:rsidR="00333CE3" w:rsidRPr="001E0DD8" w:rsidRDefault="00333CE3" w:rsidP="001E0DD8">
      <w:pPr>
        <w:pStyle w:val="Default"/>
        <w:jc w:val="both"/>
        <w:rPr>
          <w:rFonts w:ascii="Work Sans" w:hAnsi="Work Sans" w:cs="Arial"/>
        </w:rPr>
      </w:pPr>
    </w:p>
    <w:p w14:paraId="07E6CF5F" w14:textId="07A343B2" w:rsidR="00333CE3" w:rsidRPr="001E0DD8" w:rsidRDefault="00333CE3" w:rsidP="001E0DD8">
      <w:pPr>
        <w:pStyle w:val="Default"/>
        <w:jc w:val="both"/>
        <w:rPr>
          <w:rFonts w:ascii="Work Sans" w:hAnsi="Work Sans" w:cs="Arial"/>
        </w:rPr>
      </w:pPr>
      <w:r w:rsidRPr="001E0DD8">
        <w:rPr>
          <w:rFonts w:ascii="Work Sans" w:hAnsi="Work Sans" w:cs="Arial"/>
        </w:rPr>
        <w:t xml:space="preserve">En particular, la estructura de precio de venta de los combustibles regulados a nivel nacional se encuentra definidas en la Resolución </w:t>
      </w:r>
      <w:r w:rsidR="00185CA4" w:rsidRPr="001E0DD8">
        <w:rPr>
          <w:rFonts w:ascii="Work Sans" w:hAnsi="Work Sans" w:cs="Arial"/>
        </w:rPr>
        <w:t xml:space="preserve">No. </w:t>
      </w:r>
      <w:r w:rsidRPr="001E0DD8">
        <w:rPr>
          <w:rFonts w:ascii="Work Sans" w:hAnsi="Work Sans" w:cs="Arial"/>
        </w:rPr>
        <w:t>40112 de 2021.</w:t>
      </w:r>
    </w:p>
    <w:p w14:paraId="7F465D6E" w14:textId="77777777" w:rsidR="00185CA4" w:rsidRPr="001E0DD8" w:rsidRDefault="00185CA4" w:rsidP="001E0DD8">
      <w:pPr>
        <w:pStyle w:val="Default"/>
        <w:jc w:val="both"/>
        <w:rPr>
          <w:rFonts w:ascii="Work Sans" w:hAnsi="Work Sans" w:cs="Arial"/>
        </w:rPr>
      </w:pPr>
    </w:p>
    <w:p w14:paraId="3CAE17D3" w14:textId="723A5962" w:rsidR="00333CE3" w:rsidRPr="001E0DD8" w:rsidRDefault="00333CE3" w:rsidP="001E0DD8">
      <w:pPr>
        <w:pStyle w:val="Textoindependiente"/>
        <w:tabs>
          <w:tab w:val="left" w:pos="4155"/>
        </w:tabs>
        <w:ind w:right="40"/>
        <w:rPr>
          <w:rFonts w:ascii="Work Sans" w:hAnsi="Work Sans" w:cs="Arial"/>
          <w:szCs w:val="24"/>
        </w:rPr>
      </w:pPr>
      <w:r w:rsidRPr="001E0DD8">
        <w:rPr>
          <w:rFonts w:ascii="Work Sans" w:hAnsi="Work Sans" w:cs="Arial"/>
          <w:szCs w:val="24"/>
        </w:rPr>
        <w:t xml:space="preserve">Ahora bien, para los municipios de los departamentos de Vaupés, Guainía, Vichada, Amazonas y Guaviare, se aplica el régimen de libertad regulada para la distribución de combustibles líquidos, según lo dispuesto en la Resolución </w:t>
      </w:r>
      <w:r w:rsidR="00185CA4" w:rsidRPr="001E0DD8">
        <w:rPr>
          <w:rFonts w:ascii="Work Sans" w:hAnsi="Work Sans" w:cs="Arial"/>
          <w:szCs w:val="24"/>
        </w:rPr>
        <w:t xml:space="preserve">No. </w:t>
      </w:r>
      <w:r w:rsidRPr="001E0DD8">
        <w:rPr>
          <w:rFonts w:ascii="Work Sans" w:hAnsi="Work Sans" w:cs="Arial"/>
          <w:szCs w:val="24"/>
        </w:rPr>
        <w:t>181254 en sus artículos del 1 al 3, y en particular el artículo 2, donde se define que:</w:t>
      </w:r>
    </w:p>
    <w:p w14:paraId="7DD4C8D9" w14:textId="77777777" w:rsidR="00333CE3" w:rsidRPr="001E0DD8" w:rsidRDefault="00333CE3" w:rsidP="001E0DD8">
      <w:pPr>
        <w:pStyle w:val="Textoindependiente"/>
        <w:tabs>
          <w:tab w:val="left" w:pos="4155"/>
        </w:tabs>
        <w:ind w:right="40"/>
        <w:rPr>
          <w:rFonts w:ascii="Work Sans" w:hAnsi="Work Sans" w:cs="Arial"/>
          <w:szCs w:val="24"/>
        </w:rPr>
      </w:pPr>
    </w:p>
    <w:p w14:paraId="672A2CCF" w14:textId="1BCF9D1A" w:rsidR="00333CE3" w:rsidRPr="001E0DD8" w:rsidRDefault="00333CE3" w:rsidP="001E0DD8">
      <w:pPr>
        <w:pStyle w:val="Textoindependiente"/>
        <w:tabs>
          <w:tab w:val="left" w:pos="4155"/>
        </w:tabs>
        <w:ind w:left="708" w:right="40"/>
        <w:rPr>
          <w:rFonts w:ascii="Work Sans" w:hAnsi="Work Sans" w:cs="Arial"/>
          <w:i/>
          <w:szCs w:val="24"/>
        </w:rPr>
      </w:pPr>
      <w:r w:rsidRPr="001E0DD8">
        <w:rPr>
          <w:rFonts w:ascii="Work Sans" w:hAnsi="Work Sans" w:cs="Arial"/>
          <w:i/>
          <w:szCs w:val="24"/>
        </w:rPr>
        <w:t>“</w:t>
      </w:r>
      <w:r w:rsidRPr="001E0DD8">
        <w:rPr>
          <w:rFonts w:ascii="Work Sans" w:hAnsi="Work Sans" w:cs="Arial"/>
          <w:b/>
          <w:bCs/>
          <w:i/>
          <w:szCs w:val="24"/>
        </w:rPr>
        <w:t>Art</w:t>
      </w:r>
      <w:r w:rsidR="00185CA4" w:rsidRPr="001E0DD8">
        <w:rPr>
          <w:rFonts w:ascii="Work Sans" w:hAnsi="Work Sans" w:cs="Arial"/>
          <w:b/>
          <w:bCs/>
          <w:i/>
          <w:szCs w:val="24"/>
        </w:rPr>
        <w:t>ículo</w:t>
      </w:r>
      <w:r w:rsidRPr="001E0DD8">
        <w:rPr>
          <w:rFonts w:ascii="Work Sans" w:hAnsi="Work Sans" w:cs="Arial"/>
          <w:b/>
          <w:bCs/>
          <w:i/>
          <w:szCs w:val="24"/>
        </w:rPr>
        <w:t xml:space="preserve"> 2.</w:t>
      </w:r>
      <w:r w:rsidRPr="001E0DD8">
        <w:rPr>
          <w:rFonts w:ascii="Work Sans" w:hAnsi="Work Sans" w:cs="Arial"/>
          <w:i/>
          <w:szCs w:val="24"/>
        </w:rPr>
        <w:t xml:space="preserve"> En el resto de </w:t>
      </w:r>
      <w:r w:rsidR="00090294" w:rsidRPr="001E0DD8">
        <w:rPr>
          <w:rFonts w:ascii="Work Sans" w:hAnsi="Work Sans" w:cs="Arial"/>
          <w:i/>
          <w:szCs w:val="24"/>
        </w:rPr>
        <w:t>las ciudades</w:t>
      </w:r>
      <w:r w:rsidRPr="001E0DD8">
        <w:rPr>
          <w:rFonts w:ascii="Work Sans" w:hAnsi="Work Sans" w:cs="Arial"/>
          <w:i/>
          <w:szCs w:val="24"/>
        </w:rPr>
        <w:t xml:space="preserve"> y municipios del país se </w:t>
      </w:r>
      <w:r w:rsidR="00090294" w:rsidRPr="001E0DD8">
        <w:rPr>
          <w:rFonts w:ascii="Work Sans" w:hAnsi="Work Sans" w:cs="Arial"/>
          <w:i/>
          <w:szCs w:val="24"/>
        </w:rPr>
        <w:t>continuará</w:t>
      </w:r>
      <w:r w:rsidRPr="001E0DD8">
        <w:rPr>
          <w:rFonts w:ascii="Work Sans" w:hAnsi="Work Sans" w:cs="Arial"/>
          <w:i/>
          <w:szCs w:val="24"/>
        </w:rPr>
        <w:t xml:space="preserve"> aplicando el régimen de libertad regulada para la fijación del margen del distribuidor minorista para la gasolina motor corriente oxigenada, la gasolina motor corriente, el ACPM y las mezclas de este último con biocombustibles para uso de motores diésel”</w:t>
      </w:r>
      <w:r w:rsidR="00185CA4" w:rsidRPr="001E0DD8">
        <w:rPr>
          <w:rFonts w:ascii="Work Sans" w:hAnsi="Work Sans" w:cs="Arial"/>
          <w:i/>
          <w:szCs w:val="24"/>
        </w:rPr>
        <w:t>.</w:t>
      </w:r>
    </w:p>
    <w:p w14:paraId="5805E454" w14:textId="77777777" w:rsidR="00333CE3" w:rsidRPr="001E0DD8" w:rsidRDefault="00333CE3" w:rsidP="001E0DD8">
      <w:pPr>
        <w:pStyle w:val="Textoindependiente"/>
        <w:tabs>
          <w:tab w:val="left" w:pos="4155"/>
        </w:tabs>
        <w:ind w:right="40"/>
        <w:rPr>
          <w:rFonts w:ascii="Work Sans" w:hAnsi="Work Sans" w:cs="Arial"/>
          <w:szCs w:val="24"/>
        </w:rPr>
      </w:pPr>
    </w:p>
    <w:p w14:paraId="75155044" w14:textId="77777777" w:rsidR="00333CE3" w:rsidRPr="001E0DD8" w:rsidRDefault="00333CE3" w:rsidP="001E0DD8">
      <w:pPr>
        <w:pStyle w:val="Textoindependiente"/>
        <w:tabs>
          <w:tab w:val="left" w:pos="4155"/>
        </w:tabs>
        <w:ind w:right="40"/>
        <w:rPr>
          <w:rFonts w:ascii="Work Sans" w:hAnsi="Work Sans" w:cs="Arial"/>
          <w:szCs w:val="24"/>
        </w:rPr>
      </w:pPr>
      <w:r w:rsidRPr="001E0DD8">
        <w:rPr>
          <w:rFonts w:ascii="Work Sans" w:hAnsi="Work Sans" w:cs="Arial"/>
          <w:szCs w:val="24"/>
        </w:rPr>
        <w:t>Tomando lo anterior en consideración, nos permitimos relacionar la estructura de precios de referencia para la gasolina motor corriente distribuida las capitales de los departamentos de Vaupés, Guainía, Vichada, Amazonas y Guaviare en lo corrido del año 2023. Es importante aclarar que esta estructura de precios es ilustrativa de los valores de referencia a considerar como componentes del precio máximo en planta de abasto.</w:t>
      </w:r>
    </w:p>
    <w:p w14:paraId="6468597C" w14:textId="77777777" w:rsidR="00333CE3" w:rsidRPr="001E0DD8" w:rsidRDefault="00333CE3" w:rsidP="001E0DD8">
      <w:pPr>
        <w:spacing w:after="0" w:line="240" w:lineRule="auto"/>
        <w:ind w:right="51"/>
        <w:contextualSpacing/>
        <w:jc w:val="both"/>
        <w:rPr>
          <w:rFonts w:ascii="Work Sans" w:hAnsi="Work Sans" w:cs="Arial"/>
          <w:sz w:val="24"/>
          <w:szCs w:val="24"/>
          <w:lang w:val="es-ES_tradnl"/>
        </w:rPr>
      </w:pPr>
    </w:p>
    <w:p w14:paraId="123DE78E" w14:textId="77777777" w:rsidR="00333CE3" w:rsidRPr="001E0DD8" w:rsidRDefault="00333CE3" w:rsidP="001E0DD8">
      <w:pPr>
        <w:spacing w:after="0" w:line="240" w:lineRule="auto"/>
        <w:ind w:right="51"/>
        <w:contextualSpacing/>
        <w:jc w:val="center"/>
        <w:rPr>
          <w:rFonts w:ascii="Work Sans" w:hAnsi="Work Sans" w:cs="Arial"/>
          <w:sz w:val="24"/>
          <w:szCs w:val="24"/>
          <w:lang w:val="es-ES_tradnl"/>
        </w:rPr>
      </w:pPr>
      <w:r w:rsidRPr="001E0DD8">
        <w:rPr>
          <w:rFonts w:ascii="Work Sans" w:hAnsi="Work Sans"/>
          <w:noProof/>
          <w:sz w:val="24"/>
          <w:szCs w:val="24"/>
          <w:lang w:eastAsia="es-CO"/>
        </w:rPr>
        <w:drawing>
          <wp:inline distT="0" distB="0" distL="0" distR="0" wp14:anchorId="111EF9F9" wp14:editId="1BFF2C4D">
            <wp:extent cx="5580000" cy="3060000"/>
            <wp:effectExtent l="0" t="0" r="1905" b="7620"/>
            <wp:docPr id="152782644"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0000" cy="3060000"/>
                    </a:xfrm>
                    <a:prstGeom prst="rect">
                      <a:avLst/>
                    </a:prstGeom>
                    <a:noFill/>
                    <a:ln>
                      <a:noFill/>
                    </a:ln>
                  </pic:spPr>
                </pic:pic>
              </a:graphicData>
            </a:graphic>
          </wp:inline>
        </w:drawing>
      </w:r>
    </w:p>
    <w:p w14:paraId="6BE8EF93" w14:textId="77777777" w:rsidR="00333CE3" w:rsidRPr="001E0DD8" w:rsidRDefault="00333CE3" w:rsidP="001E0DD8">
      <w:pPr>
        <w:spacing w:after="0" w:line="240" w:lineRule="auto"/>
        <w:ind w:right="51"/>
        <w:contextualSpacing/>
        <w:jc w:val="both"/>
        <w:rPr>
          <w:rFonts w:ascii="Work Sans" w:hAnsi="Work Sans" w:cs="Arial"/>
          <w:sz w:val="24"/>
          <w:szCs w:val="24"/>
        </w:rPr>
      </w:pPr>
    </w:p>
    <w:p w14:paraId="623BD50F" w14:textId="77777777" w:rsidR="00333CE3" w:rsidRPr="001E0DD8" w:rsidRDefault="00333CE3" w:rsidP="001E0DD8">
      <w:pPr>
        <w:spacing w:after="0" w:line="240" w:lineRule="auto"/>
        <w:ind w:right="51"/>
        <w:contextualSpacing/>
        <w:jc w:val="center"/>
        <w:rPr>
          <w:rFonts w:ascii="Work Sans" w:hAnsi="Work Sans" w:cs="Arial"/>
          <w:sz w:val="24"/>
          <w:szCs w:val="24"/>
        </w:rPr>
      </w:pPr>
      <w:r w:rsidRPr="001E0DD8">
        <w:rPr>
          <w:rFonts w:ascii="Work Sans" w:hAnsi="Work Sans"/>
          <w:noProof/>
          <w:sz w:val="24"/>
          <w:szCs w:val="24"/>
          <w:lang w:eastAsia="es-CO"/>
        </w:rPr>
        <w:lastRenderedPageBreak/>
        <w:drawing>
          <wp:inline distT="0" distB="0" distL="0" distR="0" wp14:anchorId="7F55F618" wp14:editId="021F40BC">
            <wp:extent cx="5580000" cy="3600000"/>
            <wp:effectExtent l="0" t="0" r="1905" b="635"/>
            <wp:docPr id="302605592"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0000" cy="3600000"/>
                    </a:xfrm>
                    <a:prstGeom prst="rect">
                      <a:avLst/>
                    </a:prstGeom>
                    <a:noFill/>
                    <a:ln>
                      <a:noFill/>
                    </a:ln>
                  </pic:spPr>
                </pic:pic>
              </a:graphicData>
            </a:graphic>
          </wp:inline>
        </w:drawing>
      </w:r>
    </w:p>
    <w:p w14:paraId="2C6987A1" w14:textId="77777777" w:rsidR="00333CE3" w:rsidRPr="001E0DD8" w:rsidRDefault="00333CE3" w:rsidP="001E0DD8">
      <w:pPr>
        <w:spacing w:after="0" w:line="240" w:lineRule="auto"/>
        <w:ind w:right="51"/>
        <w:contextualSpacing/>
        <w:jc w:val="both"/>
        <w:rPr>
          <w:rFonts w:ascii="Work Sans" w:hAnsi="Work Sans" w:cs="Arial"/>
          <w:sz w:val="24"/>
          <w:szCs w:val="24"/>
        </w:rPr>
      </w:pPr>
    </w:p>
    <w:p w14:paraId="6784E388" w14:textId="77777777" w:rsidR="00333CE3" w:rsidRPr="001E0DD8" w:rsidRDefault="00333CE3" w:rsidP="001E0DD8">
      <w:pPr>
        <w:spacing w:after="0" w:line="240" w:lineRule="auto"/>
        <w:ind w:right="51"/>
        <w:contextualSpacing/>
        <w:jc w:val="center"/>
        <w:rPr>
          <w:rFonts w:ascii="Work Sans" w:hAnsi="Work Sans" w:cs="Arial"/>
          <w:sz w:val="24"/>
          <w:szCs w:val="24"/>
        </w:rPr>
      </w:pPr>
      <w:r w:rsidRPr="001E0DD8">
        <w:rPr>
          <w:rFonts w:ascii="Work Sans" w:hAnsi="Work Sans"/>
          <w:noProof/>
          <w:sz w:val="24"/>
          <w:szCs w:val="24"/>
          <w:lang w:eastAsia="es-CO"/>
        </w:rPr>
        <w:drawing>
          <wp:inline distT="0" distB="0" distL="0" distR="0" wp14:anchorId="63D1F73C" wp14:editId="12FF465A">
            <wp:extent cx="5580000" cy="3600000"/>
            <wp:effectExtent l="0" t="0" r="1905" b="635"/>
            <wp:docPr id="1767057890"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0000" cy="3600000"/>
                    </a:xfrm>
                    <a:prstGeom prst="rect">
                      <a:avLst/>
                    </a:prstGeom>
                    <a:noFill/>
                    <a:ln>
                      <a:noFill/>
                    </a:ln>
                  </pic:spPr>
                </pic:pic>
              </a:graphicData>
            </a:graphic>
          </wp:inline>
        </w:drawing>
      </w:r>
    </w:p>
    <w:p w14:paraId="7019D383" w14:textId="77777777" w:rsidR="00333CE3" w:rsidRPr="001E0DD8" w:rsidRDefault="00333CE3" w:rsidP="001E0DD8">
      <w:pPr>
        <w:spacing w:after="0" w:line="240" w:lineRule="auto"/>
        <w:ind w:right="51"/>
        <w:contextualSpacing/>
        <w:jc w:val="both"/>
        <w:rPr>
          <w:rFonts w:ascii="Work Sans" w:hAnsi="Work Sans" w:cs="Arial"/>
          <w:sz w:val="24"/>
          <w:szCs w:val="24"/>
        </w:rPr>
      </w:pPr>
    </w:p>
    <w:p w14:paraId="29D43324" w14:textId="77777777" w:rsidR="00333CE3" w:rsidRPr="001E0DD8" w:rsidRDefault="00333CE3" w:rsidP="001E0DD8">
      <w:pPr>
        <w:spacing w:after="0" w:line="240" w:lineRule="auto"/>
        <w:ind w:right="51"/>
        <w:contextualSpacing/>
        <w:jc w:val="center"/>
        <w:rPr>
          <w:rFonts w:ascii="Work Sans" w:hAnsi="Work Sans" w:cs="Arial"/>
          <w:sz w:val="24"/>
          <w:szCs w:val="24"/>
        </w:rPr>
      </w:pPr>
      <w:r w:rsidRPr="001E0DD8">
        <w:rPr>
          <w:rFonts w:ascii="Work Sans" w:hAnsi="Work Sans"/>
          <w:noProof/>
          <w:sz w:val="24"/>
          <w:szCs w:val="24"/>
          <w:lang w:eastAsia="es-CO"/>
        </w:rPr>
        <w:lastRenderedPageBreak/>
        <w:drawing>
          <wp:inline distT="0" distB="0" distL="0" distR="0" wp14:anchorId="6030BAF9" wp14:editId="2B7767EE">
            <wp:extent cx="5580000" cy="3600000"/>
            <wp:effectExtent l="0" t="0" r="1905" b="635"/>
            <wp:docPr id="336927598"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0000" cy="3600000"/>
                    </a:xfrm>
                    <a:prstGeom prst="rect">
                      <a:avLst/>
                    </a:prstGeom>
                    <a:noFill/>
                    <a:ln>
                      <a:noFill/>
                    </a:ln>
                  </pic:spPr>
                </pic:pic>
              </a:graphicData>
            </a:graphic>
          </wp:inline>
        </w:drawing>
      </w:r>
    </w:p>
    <w:p w14:paraId="4CBAAAF1" w14:textId="77777777" w:rsidR="00333CE3" w:rsidRPr="001E0DD8" w:rsidRDefault="00333CE3" w:rsidP="001E0DD8">
      <w:pPr>
        <w:spacing w:after="0" w:line="240" w:lineRule="auto"/>
        <w:ind w:right="51"/>
        <w:contextualSpacing/>
        <w:jc w:val="center"/>
        <w:rPr>
          <w:rFonts w:ascii="Work Sans" w:hAnsi="Work Sans" w:cs="Arial"/>
          <w:sz w:val="24"/>
          <w:szCs w:val="24"/>
        </w:rPr>
      </w:pPr>
    </w:p>
    <w:p w14:paraId="303CC89A" w14:textId="77777777" w:rsidR="00333CE3" w:rsidRPr="001E0DD8" w:rsidRDefault="00333CE3" w:rsidP="001E0DD8">
      <w:pPr>
        <w:spacing w:after="0" w:line="240" w:lineRule="auto"/>
        <w:ind w:right="51"/>
        <w:contextualSpacing/>
        <w:jc w:val="center"/>
        <w:rPr>
          <w:rFonts w:ascii="Work Sans" w:hAnsi="Work Sans" w:cs="Arial"/>
          <w:sz w:val="24"/>
          <w:szCs w:val="24"/>
        </w:rPr>
      </w:pPr>
      <w:r w:rsidRPr="001E0DD8">
        <w:rPr>
          <w:rFonts w:ascii="Work Sans" w:hAnsi="Work Sans"/>
          <w:noProof/>
          <w:sz w:val="24"/>
          <w:szCs w:val="24"/>
          <w:lang w:eastAsia="es-CO"/>
        </w:rPr>
        <w:drawing>
          <wp:inline distT="0" distB="0" distL="0" distR="0" wp14:anchorId="3909A8C4" wp14:editId="69E0EEA8">
            <wp:extent cx="5580000" cy="3600000"/>
            <wp:effectExtent l="0" t="0" r="1905" b="635"/>
            <wp:docPr id="1501134805" name="Imagen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0000" cy="3600000"/>
                    </a:xfrm>
                    <a:prstGeom prst="rect">
                      <a:avLst/>
                    </a:prstGeom>
                    <a:noFill/>
                    <a:ln>
                      <a:noFill/>
                    </a:ln>
                  </pic:spPr>
                </pic:pic>
              </a:graphicData>
            </a:graphic>
          </wp:inline>
        </w:drawing>
      </w:r>
    </w:p>
    <w:p w14:paraId="027F7BEE" w14:textId="77777777" w:rsidR="00333CE3" w:rsidRPr="001E0DD8" w:rsidRDefault="00333CE3" w:rsidP="001E0DD8">
      <w:pPr>
        <w:pStyle w:val="Textoindependiente"/>
        <w:tabs>
          <w:tab w:val="left" w:pos="4155"/>
        </w:tabs>
        <w:ind w:right="40"/>
        <w:rPr>
          <w:rFonts w:ascii="Work Sans" w:hAnsi="Work Sans" w:cs="Arial"/>
          <w:bCs/>
          <w:szCs w:val="24"/>
        </w:rPr>
      </w:pPr>
      <w:bookmarkStart w:id="1" w:name="_Hlk136854070"/>
    </w:p>
    <w:p w14:paraId="26E888C0" w14:textId="0867F234" w:rsidR="00333CE3" w:rsidRPr="001E0DD8" w:rsidRDefault="00333CE3" w:rsidP="001E0DD8">
      <w:pPr>
        <w:pStyle w:val="Textoindependiente"/>
        <w:tabs>
          <w:tab w:val="left" w:pos="4155"/>
        </w:tabs>
        <w:ind w:right="40"/>
        <w:rPr>
          <w:rFonts w:ascii="Work Sans" w:hAnsi="Work Sans" w:cs="Arial"/>
          <w:bCs/>
          <w:szCs w:val="24"/>
        </w:rPr>
      </w:pPr>
      <w:r w:rsidRPr="001E0DD8">
        <w:rPr>
          <w:rFonts w:ascii="Work Sans" w:hAnsi="Work Sans" w:cs="Arial"/>
          <w:bCs/>
          <w:szCs w:val="24"/>
        </w:rPr>
        <w:lastRenderedPageBreak/>
        <w:t xml:space="preserve">De acuerdo con la </w:t>
      </w:r>
      <w:r w:rsidR="001E0DD8" w:rsidRPr="001E0DD8">
        <w:rPr>
          <w:rFonts w:ascii="Work Sans" w:hAnsi="Work Sans" w:cs="Arial"/>
          <w:bCs/>
          <w:szCs w:val="24"/>
        </w:rPr>
        <w:t>R</w:t>
      </w:r>
      <w:r w:rsidRPr="001E0DD8">
        <w:rPr>
          <w:rFonts w:ascii="Work Sans" w:hAnsi="Work Sans" w:cs="Arial"/>
          <w:bCs/>
          <w:szCs w:val="24"/>
        </w:rPr>
        <w:t xml:space="preserve">esolución </w:t>
      </w:r>
      <w:r w:rsidR="001E0DD8" w:rsidRPr="001E0DD8">
        <w:rPr>
          <w:rFonts w:ascii="Work Sans" w:hAnsi="Work Sans" w:cs="Arial"/>
          <w:bCs/>
          <w:szCs w:val="24"/>
        </w:rPr>
        <w:t xml:space="preserve">No. </w:t>
      </w:r>
      <w:r w:rsidRPr="001E0DD8">
        <w:rPr>
          <w:rFonts w:ascii="Work Sans" w:hAnsi="Work Sans" w:cs="Arial"/>
          <w:bCs/>
          <w:szCs w:val="24"/>
        </w:rPr>
        <w:t xml:space="preserve">40193 </w:t>
      </w:r>
      <w:r w:rsidR="001E0DD8" w:rsidRPr="001E0DD8">
        <w:rPr>
          <w:rFonts w:ascii="Work Sans" w:hAnsi="Work Sans" w:cs="Arial"/>
          <w:bCs/>
          <w:szCs w:val="24"/>
        </w:rPr>
        <w:t>de</w:t>
      </w:r>
      <w:r w:rsidRPr="001E0DD8">
        <w:rPr>
          <w:rFonts w:ascii="Work Sans" w:hAnsi="Work Sans" w:cs="Arial"/>
          <w:bCs/>
          <w:szCs w:val="24"/>
        </w:rPr>
        <w:t xml:space="preserve"> 2021, </w:t>
      </w:r>
      <w:r w:rsidR="001E0DD8" w:rsidRPr="001E0DD8">
        <w:rPr>
          <w:rFonts w:ascii="Work Sans" w:hAnsi="Work Sans" w:cs="Arial"/>
          <w:bCs/>
          <w:szCs w:val="24"/>
        </w:rPr>
        <w:t>a</w:t>
      </w:r>
      <w:r w:rsidRPr="001E0DD8">
        <w:rPr>
          <w:rFonts w:ascii="Work Sans" w:hAnsi="Work Sans" w:cs="Arial"/>
          <w:bCs/>
          <w:szCs w:val="24"/>
        </w:rPr>
        <w:t>ctualmente, la CREG se encuentra trabajando en una nueva metodología para la definición de este valor del Transporte Plantas No Interconectadas. Esto implica que la entidad está desarrollando un nuevo enfoque o conjunto de criterios que se utilizarán para determinar el valor económico del transporte en estas plantas no interconectadas. Esta iniciativa busca mejorar la eficiencia y la transparencia en la regulación de este sector y asegurar que los agentes de la cadena involucrados en el transporte de combustibles líquidos estén debidamente remunerados.</w:t>
      </w:r>
    </w:p>
    <w:bookmarkEnd w:id="1"/>
    <w:p w14:paraId="41D2E832" w14:textId="77777777" w:rsidR="00333CE3" w:rsidRPr="001E0DD8" w:rsidRDefault="00333CE3" w:rsidP="001E0DD8">
      <w:pPr>
        <w:pStyle w:val="Textoindependiente"/>
        <w:tabs>
          <w:tab w:val="left" w:pos="4155"/>
        </w:tabs>
        <w:ind w:right="40"/>
        <w:rPr>
          <w:rFonts w:ascii="Work Sans" w:hAnsi="Work Sans" w:cs="Arial"/>
          <w:bCs/>
          <w:szCs w:val="24"/>
        </w:rPr>
      </w:pPr>
    </w:p>
    <w:p w14:paraId="532293B7" w14:textId="214DD537" w:rsidR="00333CE3" w:rsidRPr="001E0DD8" w:rsidRDefault="00333CE3" w:rsidP="001E0DD8">
      <w:pPr>
        <w:pStyle w:val="Textoindependiente"/>
        <w:tabs>
          <w:tab w:val="left" w:pos="4155"/>
        </w:tabs>
        <w:ind w:right="40"/>
        <w:rPr>
          <w:rFonts w:ascii="Work Sans" w:hAnsi="Work Sans" w:cs="Arial"/>
          <w:bCs/>
          <w:szCs w:val="24"/>
        </w:rPr>
      </w:pPr>
      <w:r w:rsidRPr="001E0DD8">
        <w:rPr>
          <w:rFonts w:ascii="Work Sans" w:hAnsi="Work Sans" w:cs="Arial"/>
          <w:bCs/>
          <w:szCs w:val="24"/>
        </w:rPr>
        <w:t xml:space="preserve">De acuerdo con lo establecido en la Resolución </w:t>
      </w:r>
      <w:r w:rsidR="001E0DD8">
        <w:rPr>
          <w:rFonts w:ascii="Work Sans" w:hAnsi="Work Sans" w:cs="Arial"/>
          <w:bCs/>
          <w:szCs w:val="24"/>
        </w:rPr>
        <w:t xml:space="preserve">No. </w:t>
      </w:r>
      <w:r w:rsidRPr="001E0DD8">
        <w:rPr>
          <w:rFonts w:ascii="Work Sans" w:hAnsi="Work Sans" w:cs="Arial"/>
          <w:bCs/>
          <w:szCs w:val="24"/>
        </w:rPr>
        <w:t xml:space="preserve">90664 de 2014 del Ministerio, en los municipios que no cuenten con una planta de abastecimiento mayorista en su jurisdicción, se otorga la responsabilidad a los alcaldes municipales de determinar exclusivamente el valor de la tarifa de transporte del combustible entre la planta de abastecimiento mayorista que suministra al municipio y las estaciones de servicio correspondientes. </w:t>
      </w:r>
    </w:p>
    <w:p w14:paraId="7089AD3E" w14:textId="77777777" w:rsidR="00333CE3" w:rsidRPr="001E0DD8" w:rsidRDefault="00333CE3" w:rsidP="001E0DD8">
      <w:pPr>
        <w:pStyle w:val="Textoindependiente"/>
        <w:tabs>
          <w:tab w:val="left" w:pos="4155"/>
        </w:tabs>
        <w:ind w:right="40"/>
        <w:rPr>
          <w:rFonts w:ascii="Work Sans" w:hAnsi="Work Sans" w:cs="Arial"/>
          <w:bCs/>
          <w:szCs w:val="24"/>
        </w:rPr>
      </w:pPr>
    </w:p>
    <w:p w14:paraId="52CAC271" w14:textId="41F96051" w:rsidR="00333CE3" w:rsidRPr="001E0DD8" w:rsidRDefault="00333CE3" w:rsidP="001E0DD8">
      <w:pPr>
        <w:pStyle w:val="Textoindependiente"/>
        <w:tabs>
          <w:tab w:val="left" w:pos="4155"/>
        </w:tabs>
        <w:ind w:right="40"/>
        <w:rPr>
          <w:rFonts w:ascii="Work Sans" w:hAnsi="Work Sans" w:cs="Arial"/>
          <w:bCs/>
          <w:szCs w:val="24"/>
        </w:rPr>
      </w:pPr>
      <w:r w:rsidRPr="001E0DD8">
        <w:rPr>
          <w:rFonts w:ascii="Work Sans" w:hAnsi="Work Sans" w:cs="Arial"/>
          <w:bCs/>
          <w:szCs w:val="24"/>
        </w:rPr>
        <w:t>Con esto presente, si se desea conocer el valor de transporte desde la planta de abastecimiento mayorista hasta la estación de servicio en un municipio que carece de una planta de abastecimiento mayorista dentro de su territorio, a los precios de referencia anexados en este documento, deberán sumársele el costo de transporte terrestre entre la planta de abastecimiento mayorista hasta las Estaciones de Servicio del municipio, el cual es determinado por cada alcaldía.</w:t>
      </w:r>
    </w:p>
    <w:p w14:paraId="47923DF2" w14:textId="16F0EC41" w:rsidR="00333CE3" w:rsidRPr="001E0DD8" w:rsidRDefault="00333CE3" w:rsidP="001E0DD8">
      <w:pPr>
        <w:pStyle w:val="Textoindependiente"/>
        <w:tabs>
          <w:tab w:val="left" w:pos="4155"/>
        </w:tabs>
        <w:ind w:right="40"/>
        <w:rPr>
          <w:rFonts w:ascii="Work Sans" w:hAnsi="Work Sans" w:cs="Segoe UI"/>
          <w:szCs w:val="24"/>
        </w:rPr>
      </w:pPr>
    </w:p>
    <w:p w14:paraId="505F3F09" w14:textId="630764DF" w:rsidR="00333CE3" w:rsidRPr="001E0DD8" w:rsidRDefault="00333CE3" w:rsidP="001E0DD8">
      <w:pPr>
        <w:pStyle w:val="Textoindependiente"/>
        <w:ind w:right="48"/>
        <w:rPr>
          <w:rFonts w:ascii="Work Sans" w:hAnsi="Work Sans" w:cs="Arial"/>
          <w:szCs w:val="24"/>
        </w:rPr>
      </w:pPr>
      <w:r w:rsidRPr="001E0DD8">
        <w:rPr>
          <w:rFonts w:ascii="Work Sans" w:hAnsi="Work Sans" w:cs="Arial"/>
          <w:szCs w:val="24"/>
        </w:rPr>
        <w:t xml:space="preserve">Así mismo, mediante el siguiente </w:t>
      </w:r>
      <w:r w:rsidR="001E0DD8" w:rsidRPr="001E0DD8">
        <w:rPr>
          <w:rFonts w:ascii="Work Sans" w:hAnsi="Work Sans" w:cs="Arial"/>
          <w:szCs w:val="24"/>
        </w:rPr>
        <w:t>enlace</w:t>
      </w:r>
      <w:r w:rsidRPr="001E0DD8">
        <w:rPr>
          <w:rFonts w:ascii="Work Sans" w:hAnsi="Work Sans" w:cs="Arial"/>
          <w:szCs w:val="24"/>
        </w:rPr>
        <w:t xml:space="preserve"> podrá consultar los precios de venta al público reportados por cada estación de servicio a nivel nacional, en el sistema de información de combustibles - SICOM, la información allí registrada puede ser consultada desde el año 2011</w:t>
      </w:r>
      <w:r w:rsidR="00BB785A" w:rsidRPr="001E0DD8">
        <w:rPr>
          <w:rFonts w:ascii="Work Sans" w:hAnsi="Work Sans" w:cs="Arial"/>
          <w:szCs w:val="24"/>
        </w:rPr>
        <w:t>,</w:t>
      </w:r>
      <w:r w:rsidR="00457768" w:rsidRPr="001E0DD8">
        <w:rPr>
          <w:rFonts w:ascii="Work Sans" w:hAnsi="Work Sans" w:cs="Arial"/>
          <w:szCs w:val="24"/>
        </w:rPr>
        <w:t xml:space="preserve"> aquí:</w:t>
      </w:r>
      <w:r w:rsidR="001E0DD8">
        <w:rPr>
          <w:rFonts w:ascii="Work Sans" w:hAnsi="Work Sans" w:cs="Arial"/>
          <w:szCs w:val="24"/>
        </w:rPr>
        <w:t xml:space="preserve"> </w:t>
      </w:r>
    </w:p>
    <w:p w14:paraId="0B84D27B" w14:textId="018B6678" w:rsidR="001E0DD8" w:rsidRDefault="008067B2" w:rsidP="001E0DD8">
      <w:pPr>
        <w:pStyle w:val="Textoindependiente"/>
        <w:ind w:right="48"/>
        <w:rPr>
          <w:rFonts w:ascii="Work Sans" w:hAnsi="Work Sans" w:cs="Arial"/>
        </w:rPr>
      </w:pPr>
      <w:hyperlink r:id="rId17" w:history="1">
        <w:r w:rsidR="00F64565" w:rsidRPr="001E0DD8">
          <w:rPr>
            <w:rFonts w:ascii="Work Sans" w:hAnsi="Work Sans" w:cs="Arial"/>
          </w:rPr>
          <w:t>https://www.sicom.gov.co/index.php/consulta-de-precios</w:t>
        </w:r>
      </w:hyperlink>
    </w:p>
    <w:p w14:paraId="3DD64E60" w14:textId="77777777" w:rsidR="001E0DD8" w:rsidRPr="001E0DD8" w:rsidRDefault="001E0DD8" w:rsidP="001E0DD8">
      <w:pPr>
        <w:pStyle w:val="Textoindependiente"/>
        <w:ind w:right="48"/>
        <w:rPr>
          <w:rFonts w:ascii="Work Sans" w:hAnsi="Work Sans" w:cs="Arial"/>
        </w:rPr>
      </w:pPr>
    </w:p>
    <w:p w14:paraId="7B7520F0" w14:textId="77777777" w:rsidR="00333CE3" w:rsidRPr="001E0DD8" w:rsidRDefault="00333CE3" w:rsidP="001E0DD8">
      <w:pPr>
        <w:spacing w:after="0" w:line="240" w:lineRule="auto"/>
        <w:ind w:right="51"/>
        <w:jc w:val="both"/>
        <w:rPr>
          <w:rFonts w:ascii="Work Sans" w:hAnsi="Work Sans" w:cs="Arial"/>
          <w:sz w:val="24"/>
          <w:szCs w:val="24"/>
          <w:highlight w:val="yellow"/>
        </w:rPr>
      </w:pPr>
    </w:p>
    <w:p w14:paraId="637D4263" w14:textId="05749F59" w:rsidR="00D66687" w:rsidRPr="001E0DD8" w:rsidRDefault="00522FEF" w:rsidP="001E0DD8">
      <w:pPr>
        <w:pStyle w:val="Prrafodelista"/>
        <w:numPr>
          <w:ilvl w:val="0"/>
          <w:numId w:val="20"/>
        </w:numPr>
        <w:spacing w:after="0" w:line="240" w:lineRule="auto"/>
        <w:ind w:right="51"/>
        <w:jc w:val="both"/>
        <w:rPr>
          <w:rFonts w:ascii="Work Sans" w:hAnsi="Work Sans" w:cs="Arial"/>
          <w:b/>
          <w:bCs/>
          <w:sz w:val="24"/>
          <w:szCs w:val="24"/>
        </w:rPr>
      </w:pPr>
      <w:r w:rsidRPr="001E0DD8">
        <w:rPr>
          <w:rFonts w:ascii="Work Sans" w:hAnsi="Work Sans" w:cs="Arial"/>
          <w:b/>
          <w:bCs/>
          <w:sz w:val="24"/>
          <w:szCs w:val="24"/>
        </w:rPr>
        <w:t xml:space="preserve">Sírvase informar si este ministerio tiene planeado el cambio el a fórmula con la cual se establece los precios a los combustibles, así como lo expresaba en épocas anteriores </w:t>
      </w:r>
      <w:r w:rsidR="0066079F" w:rsidRPr="001E0DD8">
        <w:rPr>
          <w:rFonts w:ascii="Work Sans" w:hAnsi="Work Sans" w:cs="Arial"/>
          <w:b/>
          <w:bCs/>
          <w:sz w:val="24"/>
          <w:szCs w:val="24"/>
        </w:rPr>
        <w:t xml:space="preserve">el hoy presente Dr. Gustavo Petro y, el ministro de interior Luis Fernando Velasco, quienes tenían la fórmula perfecta para que los colombianos paguen un precio justo y realmente se presente un alivio al bolsillo de los hogares más </w:t>
      </w:r>
      <w:r w:rsidR="0029017F" w:rsidRPr="001E0DD8">
        <w:rPr>
          <w:rFonts w:ascii="Work Sans" w:hAnsi="Work Sans" w:cs="Arial"/>
          <w:b/>
          <w:bCs/>
          <w:sz w:val="24"/>
          <w:szCs w:val="24"/>
        </w:rPr>
        <w:t>en estos momentos de dificultad económica.</w:t>
      </w:r>
    </w:p>
    <w:p w14:paraId="5E2C93EC" w14:textId="77777777" w:rsidR="001E0DD8" w:rsidRDefault="001E0DD8"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p>
    <w:p w14:paraId="409EB04D" w14:textId="172FC546" w:rsidR="0034598F" w:rsidRPr="001E0DD8" w:rsidRDefault="0034598F"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r w:rsidRPr="001E0DD8">
        <w:rPr>
          <w:rFonts w:ascii="Work Sans" w:hAnsi="Work Sans" w:cs="Cambria"/>
          <w:color w:val="000000"/>
          <w:sz w:val="24"/>
          <w:szCs w:val="24"/>
          <w:lang w:val="es-MX"/>
        </w:rPr>
        <w:t xml:space="preserve">Actualmente, el Gobierno </w:t>
      </w:r>
      <w:r w:rsidR="001E0DD8">
        <w:rPr>
          <w:rFonts w:ascii="Work Sans" w:hAnsi="Work Sans" w:cs="Cambria"/>
          <w:color w:val="000000"/>
          <w:sz w:val="24"/>
          <w:szCs w:val="24"/>
          <w:lang w:val="es-MX"/>
        </w:rPr>
        <w:t>n</w:t>
      </w:r>
      <w:r w:rsidRPr="001E0DD8">
        <w:rPr>
          <w:rFonts w:ascii="Work Sans" w:hAnsi="Work Sans" w:cs="Cambria"/>
          <w:color w:val="000000"/>
          <w:sz w:val="24"/>
          <w:szCs w:val="24"/>
          <w:lang w:val="es-MX"/>
        </w:rPr>
        <w:t xml:space="preserve">acional se encuentra en un proceso de ajuste de precios de los combustibles líquidos en el país con el propósito de reducir el efecto negativo en las finanzas públicas del Fondo de Estabilización de Precios de los Combustibles </w:t>
      </w:r>
      <w:r w:rsidR="001E0DD8">
        <w:rPr>
          <w:rFonts w:ascii="Work Sans" w:hAnsi="Work Sans" w:cs="Cambria"/>
          <w:color w:val="000000"/>
          <w:sz w:val="24"/>
          <w:szCs w:val="24"/>
          <w:lang w:val="es-MX"/>
        </w:rPr>
        <w:t xml:space="preserve">– </w:t>
      </w:r>
      <w:r w:rsidRPr="001E0DD8">
        <w:rPr>
          <w:rFonts w:ascii="Work Sans" w:hAnsi="Work Sans" w:cs="Cambria"/>
          <w:color w:val="000000"/>
          <w:sz w:val="24"/>
          <w:szCs w:val="24"/>
          <w:lang w:val="es-MX"/>
        </w:rPr>
        <w:t>FEPC.</w:t>
      </w:r>
    </w:p>
    <w:p w14:paraId="4D848E74" w14:textId="77777777" w:rsidR="0034598F" w:rsidRPr="001E0DD8" w:rsidRDefault="0034598F"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p>
    <w:p w14:paraId="2318809E" w14:textId="77777777" w:rsidR="002638BA" w:rsidRPr="001E0DD8" w:rsidRDefault="0034598F"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r w:rsidRPr="001E0DD8">
        <w:rPr>
          <w:rFonts w:ascii="Work Sans" w:hAnsi="Work Sans" w:cs="Cambria"/>
          <w:color w:val="000000"/>
          <w:sz w:val="24"/>
          <w:szCs w:val="24"/>
          <w:lang w:val="es-MX"/>
        </w:rPr>
        <w:t xml:space="preserve">En general, el gasto público que se asigna al pago de menores precios de los combustibles fósiles en el mercado doméstico se distribuye en mayor medida a los hogares con mayores ingresos del </w:t>
      </w:r>
      <w:r w:rsidRPr="001E0DD8">
        <w:rPr>
          <w:rFonts w:ascii="Work Sans" w:hAnsi="Work Sans" w:cs="Cambria"/>
          <w:color w:val="000000"/>
          <w:sz w:val="24"/>
          <w:szCs w:val="24"/>
          <w:lang w:val="es-MX"/>
        </w:rPr>
        <w:lastRenderedPageBreak/>
        <w:t>país y por tanto es inequitativo. No hay duda de que la reducción del subsidio generalizado y regresivo contribuye a organizar mejor el gasto social que es prioridad en el Plan de Desarrollo 2022-2026 “</w:t>
      </w:r>
      <w:r w:rsidRPr="001E0DD8">
        <w:rPr>
          <w:rFonts w:ascii="Work Sans" w:hAnsi="Work Sans" w:cs="Cambria"/>
          <w:i/>
          <w:iCs/>
          <w:color w:val="000000"/>
          <w:sz w:val="24"/>
          <w:szCs w:val="24"/>
          <w:lang w:val="es-MX"/>
        </w:rPr>
        <w:t>Colombia Potencia Mundial de la Vida</w:t>
      </w:r>
      <w:r w:rsidRPr="001E0DD8">
        <w:rPr>
          <w:rFonts w:ascii="Work Sans" w:hAnsi="Work Sans" w:cs="Cambria"/>
          <w:color w:val="000000"/>
          <w:sz w:val="24"/>
          <w:szCs w:val="24"/>
          <w:lang w:val="es-MX"/>
        </w:rPr>
        <w:t xml:space="preserve">” recientemente aprobado. </w:t>
      </w:r>
    </w:p>
    <w:p w14:paraId="02564391" w14:textId="77777777" w:rsidR="002638BA" w:rsidRPr="001E0DD8" w:rsidRDefault="002638BA"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p>
    <w:p w14:paraId="22DE541D" w14:textId="570ADA53" w:rsidR="0034598F" w:rsidRPr="001E0DD8" w:rsidRDefault="0034598F"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r w:rsidRPr="001E0DD8">
        <w:rPr>
          <w:rFonts w:ascii="Work Sans" w:hAnsi="Work Sans" w:cs="Cambria"/>
          <w:color w:val="000000"/>
          <w:sz w:val="24"/>
          <w:szCs w:val="24"/>
          <w:lang w:val="es-MX"/>
        </w:rPr>
        <w:t>Adicionalmente</w:t>
      </w:r>
      <w:r w:rsidR="001E0DD8">
        <w:rPr>
          <w:rFonts w:ascii="Work Sans" w:hAnsi="Work Sans" w:cs="Cambria"/>
          <w:color w:val="000000"/>
          <w:sz w:val="24"/>
          <w:szCs w:val="24"/>
          <w:lang w:val="es-MX"/>
        </w:rPr>
        <w:t>,</w:t>
      </w:r>
      <w:r w:rsidRPr="001E0DD8">
        <w:rPr>
          <w:rFonts w:ascii="Work Sans" w:hAnsi="Work Sans" w:cs="Cambria"/>
          <w:color w:val="000000"/>
          <w:sz w:val="24"/>
          <w:szCs w:val="24"/>
          <w:lang w:val="es-MX"/>
        </w:rPr>
        <w:t xml:space="preserve"> los subsidios a los combustibles desincentivan la transición energética y la diversificación de la economía.</w:t>
      </w:r>
    </w:p>
    <w:p w14:paraId="39E58646" w14:textId="77777777" w:rsidR="002638BA" w:rsidRPr="001E0DD8" w:rsidRDefault="002638BA"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p>
    <w:p w14:paraId="79D54643" w14:textId="35536993" w:rsidR="0029017F" w:rsidRDefault="002638BA"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r w:rsidRPr="001E0DD8">
        <w:rPr>
          <w:rFonts w:ascii="Work Sans" w:hAnsi="Work Sans" w:cs="Cambria"/>
          <w:color w:val="000000"/>
          <w:sz w:val="24"/>
          <w:szCs w:val="24"/>
          <w:lang w:val="es-MX"/>
        </w:rPr>
        <w:t>Con esto preente, e</w:t>
      </w:r>
      <w:r w:rsidR="0034598F" w:rsidRPr="001E0DD8">
        <w:rPr>
          <w:rFonts w:ascii="Work Sans" w:hAnsi="Work Sans" w:cs="Cambria"/>
          <w:color w:val="000000"/>
          <w:sz w:val="24"/>
          <w:szCs w:val="24"/>
          <w:lang w:val="es-MX"/>
        </w:rPr>
        <w:t xml:space="preserve">n el marco de este proceso el Gobierno </w:t>
      </w:r>
      <w:r w:rsidR="001E0DD8">
        <w:rPr>
          <w:rFonts w:ascii="Work Sans" w:hAnsi="Work Sans" w:cs="Cambria"/>
          <w:color w:val="000000"/>
          <w:sz w:val="24"/>
          <w:szCs w:val="24"/>
          <w:lang w:val="es-MX"/>
        </w:rPr>
        <w:t>n</w:t>
      </w:r>
      <w:r w:rsidR="0034598F" w:rsidRPr="001E0DD8">
        <w:rPr>
          <w:rFonts w:ascii="Work Sans" w:hAnsi="Work Sans" w:cs="Cambria"/>
          <w:color w:val="000000"/>
          <w:sz w:val="24"/>
          <w:szCs w:val="24"/>
          <w:lang w:val="es-MX"/>
        </w:rPr>
        <w:t>acional en cabeza del Ministerio de Minas y Energía, junto al Ministerio de Hacienda y Crédito Público y Ecopetrol, trabajan en mesas técnicas para revisar las variables y la formulación vigente</w:t>
      </w:r>
      <w:r w:rsidR="000F5A7D" w:rsidRPr="001E0DD8">
        <w:rPr>
          <w:rFonts w:ascii="Work Sans" w:hAnsi="Work Sans" w:cs="Cambria"/>
          <w:color w:val="000000"/>
          <w:sz w:val="24"/>
          <w:szCs w:val="24"/>
          <w:lang w:val="es-MX"/>
        </w:rPr>
        <w:t>,</w:t>
      </w:r>
      <w:r w:rsidR="0034598F" w:rsidRPr="001E0DD8">
        <w:rPr>
          <w:rFonts w:ascii="Work Sans" w:hAnsi="Work Sans" w:cs="Cambria"/>
          <w:color w:val="000000"/>
          <w:sz w:val="24"/>
          <w:szCs w:val="24"/>
          <w:lang w:val="es-MX"/>
        </w:rPr>
        <w:t xml:space="preserve"> con el objetivo de focalizar el subsidio a los combustibles </w:t>
      </w:r>
      <w:r w:rsidR="00380393" w:rsidRPr="001E0DD8">
        <w:rPr>
          <w:rFonts w:ascii="Work Sans" w:hAnsi="Work Sans" w:cs="Cambria"/>
          <w:color w:val="000000"/>
          <w:sz w:val="24"/>
          <w:szCs w:val="24"/>
          <w:lang w:val="es-MX"/>
        </w:rPr>
        <w:t xml:space="preserve">y </w:t>
      </w:r>
      <w:r w:rsidR="0034598F" w:rsidRPr="001E0DD8">
        <w:rPr>
          <w:rFonts w:ascii="Work Sans" w:hAnsi="Work Sans" w:cs="Cambria"/>
          <w:color w:val="000000"/>
          <w:sz w:val="24"/>
          <w:szCs w:val="24"/>
          <w:lang w:val="es-MX"/>
        </w:rPr>
        <w:t>contribuir de manera fiscalmente responsable a la gradualidad del proceso de la mano de una estrategia transparente en el manejo de precios de los subsidios de los combustibles</w:t>
      </w:r>
      <w:r w:rsidR="00380393" w:rsidRPr="001E0DD8">
        <w:rPr>
          <w:rFonts w:ascii="Work Sans" w:hAnsi="Work Sans" w:cs="Cambria"/>
          <w:color w:val="000000"/>
          <w:sz w:val="24"/>
          <w:szCs w:val="24"/>
          <w:lang w:val="es-MX"/>
        </w:rPr>
        <w:t>.</w:t>
      </w:r>
      <w:r w:rsidR="00FE3DF5" w:rsidRPr="001E0DD8">
        <w:rPr>
          <w:rFonts w:ascii="Work Sans" w:hAnsi="Work Sans" w:cs="Cambria"/>
          <w:color w:val="000000"/>
          <w:sz w:val="24"/>
          <w:szCs w:val="24"/>
          <w:lang w:val="es-MX"/>
        </w:rPr>
        <w:t xml:space="preserve"> Se resalta, que todas estás propuestas se encuentran siendo evaluadas por los equipos de las entidades descritas.</w:t>
      </w:r>
    </w:p>
    <w:p w14:paraId="6D63F31E" w14:textId="77777777" w:rsidR="001E0DD8" w:rsidRPr="001E0DD8" w:rsidRDefault="001E0DD8"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p>
    <w:p w14:paraId="43336195" w14:textId="77777777" w:rsidR="00BB785A" w:rsidRPr="001E0DD8" w:rsidRDefault="00BB785A" w:rsidP="001E0DD8">
      <w:pPr>
        <w:suppressAutoHyphens w:val="0"/>
        <w:autoSpaceDE w:val="0"/>
        <w:autoSpaceDN w:val="0"/>
        <w:adjustRightInd w:val="0"/>
        <w:spacing w:after="0" w:line="240" w:lineRule="auto"/>
        <w:jc w:val="both"/>
        <w:rPr>
          <w:rFonts w:ascii="Work Sans" w:hAnsi="Work Sans" w:cs="Cambria"/>
          <w:color w:val="000000"/>
          <w:sz w:val="24"/>
          <w:szCs w:val="24"/>
          <w:lang w:val="es-MX"/>
        </w:rPr>
      </w:pPr>
    </w:p>
    <w:p w14:paraId="421F8C4F" w14:textId="1B284CDB" w:rsidR="00BB785A" w:rsidRPr="001E0DD8" w:rsidRDefault="00BB785A" w:rsidP="001E0DD8">
      <w:pPr>
        <w:pStyle w:val="Prrafodelista"/>
        <w:numPr>
          <w:ilvl w:val="0"/>
          <w:numId w:val="20"/>
        </w:numPr>
        <w:suppressAutoHyphens w:val="0"/>
        <w:autoSpaceDE w:val="0"/>
        <w:autoSpaceDN w:val="0"/>
        <w:adjustRightInd w:val="0"/>
        <w:spacing w:after="0" w:line="240" w:lineRule="auto"/>
        <w:jc w:val="both"/>
        <w:rPr>
          <w:rFonts w:ascii="Work Sans" w:hAnsi="Work Sans" w:cs="Cambria"/>
          <w:b/>
          <w:bCs/>
          <w:color w:val="000000"/>
          <w:sz w:val="24"/>
          <w:szCs w:val="24"/>
          <w:lang w:val="es-MX"/>
        </w:rPr>
      </w:pPr>
      <w:r w:rsidRPr="001E0DD8">
        <w:rPr>
          <w:rFonts w:ascii="Work Sans" w:hAnsi="Work Sans" w:cs="Cambria"/>
          <w:b/>
          <w:bCs/>
          <w:color w:val="000000"/>
          <w:sz w:val="24"/>
          <w:szCs w:val="24"/>
          <w:lang w:val="es-MX"/>
        </w:rPr>
        <w:t>Sírvase informar qué proyectos estratégicos se pretenden implementar en los departamentos de la amazonía en especial el Vaupés, como zonas no interconectadas</w:t>
      </w:r>
    </w:p>
    <w:p w14:paraId="6468A7A3" w14:textId="77777777" w:rsidR="00F64565" w:rsidRPr="001E0DD8" w:rsidRDefault="00F64565" w:rsidP="001E0DD8">
      <w:pPr>
        <w:suppressAutoHyphens w:val="0"/>
        <w:spacing w:after="0" w:line="240" w:lineRule="auto"/>
        <w:jc w:val="both"/>
        <w:rPr>
          <w:rFonts w:ascii="Work Sans" w:hAnsi="Work Sans" w:cs="Cambria"/>
          <w:color w:val="000000"/>
          <w:sz w:val="24"/>
          <w:szCs w:val="24"/>
          <w:lang w:val="es-MX"/>
        </w:rPr>
      </w:pPr>
    </w:p>
    <w:p w14:paraId="050ADDD0" w14:textId="2D92F022" w:rsidR="00D66687" w:rsidRDefault="00BB785A" w:rsidP="001E0DD8">
      <w:pPr>
        <w:suppressAutoHyphens w:val="0"/>
        <w:spacing w:after="0" w:line="240" w:lineRule="auto"/>
        <w:jc w:val="both"/>
        <w:rPr>
          <w:rFonts w:ascii="Work Sans" w:hAnsi="Work Sans"/>
          <w:sz w:val="24"/>
          <w:szCs w:val="24"/>
          <w:lang w:val="es-ES"/>
        </w:rPr>
      </w:pPr>
      <w:r w:rsidRPr="001E0DD8">
        <w:rPr>
          <w:rFonts w:ascii="Work Sans" w:hAnsi="Work Sans"/>
          <w:sz w:val="24"/>
          <w:szCs w:val="24"/>
          <w:lang w:val="es-ES"/>
        </w:rPr>
        <w:t>En cuanto a los proyectos estratégicos relacionados con la distribución de combustibles, la Dirección de Hidrocarburos del Ministerio de Minas y Energía se encuentra realizando estudios bajo consultoría, con el fin de fomentar esquemas de abastecimiento que garanticen la prestación del servicio de suministro de combustible de manera regular, eficiente y en condiciones de seguridad al consumidor final, especialmente, a poblaciones rurales dispersas, comunidades étnicas y zonas de difícil acceso en todas las regiones del país, incluido</w:t>
      </w:r>
      <w:r w:rsidR="001E0DD8">
        <w:rPr>
          <w:rFonts w:ascii="Work Sans" w:hAnsi="Work Sans"/>
          <w:sz w:val="24"/>
          <w:szCs w:val="24"/>
          <w:lang w:val="es-ES"/>
        </w:rPr>
        <w:t xml:space="preserve"> el departamento de</w:t>
      </w:r>
      <w:r w:rsidRPr="001E0DD8">
        <w:rPr>
          <w:rFonts w:ascii="Work Sans" w:hAnsi="Work Sans"/>
          <w:sz w:val="24"/>
          <w:szCs w:val="24"/>
          <w:lang w:val="es-ES"/>
        </w:rPr>
        <w:t xml:space="preserve"> Vaupés</w:t>
      </w:r>
      <w:r w:rsidR="00F64565" w:rsidRPr="001E0DD8">
        <w:rPr>
          <w:rFonts w:ascii="Work Sans" w:hAnsi="Work Sans"/>
          <w:sz w:val="24"/>
          <w:szCs w:val="24"/>
          <w:lang w:val="es-ES"/>
        </w:rPr>
        <w:t>.</w:t>
      </w:r>
    </w:p>
    <w:p w14:paraId="6B9DFFCB" w14:textId="77777777" w:rsidR="001E0DD8" w:rsidRDefault="001E0DD8" w:rsidP="001E0DD8">
      <w:pPr>
        <w:suppressAutoHyphens w:val="0"/>
        <w:spacing w:after="0" w:line="240" w:lineRule="auto"/>
        <w:jc w:val="both"/>
        <w:rPr>
          <w:rFonts w:ascii="Work Sans" w:hAnsi="Work Sans"/>
          <w:sz w:val="24"/>
          <w:szCs w:val="24"/>
          <w:lang w:val="es-ES"/>
        </w:rPr>
      </w:pPr>
    </w:p>
    <w:p w14:paraId="4E607219" w14:textId="1E2EE43D" w:rsidR="001E0DD8" w:rsidRPr="001E0DD8" w:rsidRDefault="001E0DD8" w:rsidP="001E0DD8">
      <w:pPr>
        <w:shd w:val="clear" w:color="auto" w:fill="FFFFFF"/>
        <w:suppressAutoHyphens w:val="0"/>
        <w:spacing w:after="0" w:line="240" w:lineRule="auto"/>
        <w:ind w:right="40"/>
        <w:jc w:val="both"/>
        <w:textAlignment w:val="baseline"/>
        <w:rPr>
          <w:rFonts w:ascii="Work Sans" w:hAnsi="Work Sans"/>
          <w:sz w:val="24"/>
          <w:szCs w:val="24"/>
        </w:rPr>
      </w:pPr>
      <w:r w:rsidRPr="009202D3">
        <w:rPr>
          <w:rFonts w:ascii="Work Sans" w:hAnsi="Work Sans"/>
          <w:sz w:val="24"/>
          <w:szCs w:val="24"/>
        </w:rPr>
        <w:t xml:space="preserve">Esperamos haber resuelto de manera satisfactoria </w:t>
      </w:r>
      <w:r>
        <w:rPr>
          <w:rFonts w:ascii="Work Sans" w:hAnsi="Work Sans"/>
          <w:sz w:val="24"/>
          <w:szCs w:val="24"/>
        </w:rPr>
        <w:t>el</w:t>
      </w:r>
      <w:r w:rsidRPr="009202D3">
        <w:rPr>
          <w:rFonts w:ascii="Work Sans" w:hAnsi="Work Sans"/>
          <w:sz w:val="24"/>
          <w:szCs w:val="24"/>
        </w:rPr>
        <w:t xml:space="preserve"> presente </w:t>
      </w:r>
      <w:r>
        <w:rPr>
          <w:rFonts w:ascii="Work Sans" w:hAnsi="Work Sans"/>
          <w:sz w:val="24"/>
          <w:szCs w:val="24"/>
        </w:rPr>
        <w:t>cuestionario</w:t>
      </w:r>
      <w:r w:rsidRPr="009202D3">
        <w:rPr>
          <w:rFonts w:ascii="Work Sans" w:hAnsi="Work Sans"/>
          <w:sz w:val="24"/>
          <w:szCs w:val="24"/>
        </w:rPr>
        <w:t>, señalando que de requerirse alguna información adicional con gusto será atendida.</w:t>
      </w:r>
    </w:p>
    <w:sectPr w:rsidR="001E0DD8" w:rsidRPr="001E0DD8">
      <w:headerReference w:type="default" r:id="rId18"/>
      <w:footerReference w:type="default" r:id="rId19"/>
      <w:pgSz w:w="12240" w:h="15840"/>
      <w:pgMar w:top="1991" w:right="1418" w:bottom="1588" w:left="1418" w:header="573" w:footer="1531" w:gutter="0"/>
      <w:cols w:space="720"/>
      <w:formProt w:val="0"/>
      <w:docGrid w:linePitch="360" w:charSpace="1638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73AD0" w14:textId="77777777" w:rsidR="008067B2" w:rsidRDefault="008067B2">
      <w:pPr>
        <w:spacing w:after="0" w:line="240" w:lineRule="auto"/>
      </w:pPr>
      <w:r>
        <w:separator/>
      </w:r>
    </w:p>
  </w:endnote>
  <w:endnote w:type="continuationSeparator" w:id="0">
    <w:p w14:paraId="16063044" w14:textId="77777777" w:rsidR="008067B2" w:rsidRDefault="00806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Bitstream Vera Sans">
    <w:panose1 w:val="00000000000000000000"/>
    <w:charset w:val="00"/>
    <w:family w:val="roman"/>
    <w:notTrueType/>
    <w:pitch w:val="default"/>
  </w:font>
  <w:font w:name="FreeSans">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Work Sans">
    <w:altName w:val="Calibri"/>
    <w:charset w:val="00"/>
    <w:family w:val="auto"/>
    <w:pitch w:val="variable"/>
    <w:sig w:usb0="A00000FF" w:usb1="5000E07B"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25EFB" w14:textId="02C74B51" w:rsidR="00DE1913" w:rsidRDefault="005646C4">
    <w:pPr>
      <w:pStyle w:val="Piedepgina"/>
    </w:pPr>
    <w:r>
      <w:rPr>
        <w:noProof/>
        <w:lang w:eastAsia="es-CO"/>
      </w:rPr>
      <w:drawing>
        <wp:anchor distT="0" distB="0" distL="114300" distR="114300" simplePos="0" relativeHeight="251661312" behindDoc="0" locked="0" layoutInCell="1" allowOverlap="1" wp14:anchorId="32A11AEC" wp14:editId="0B665D61">
          <wp:simplePos x="0" y="0"/>
          <wp:positionH relativeFrom="margin">
            <wp:align>left</wp:align>
          </wp:positionH>
          <wp:positionV relativeFrom="paragraph">
            <wp:posOffset>167640</wp:posOffset>
          </wp:positionV>
          <wp:extent cx="4678680" cy="754380"/>
          <wp:effectExtent l="0" t="0" r="0" b="762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868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B2B73">
      <w:rPr>
        <w:noProof/>
        <w:lang w:eastAsia="es-CO"/>
      </w:rPr>
      <w:drawing>
        <wp:anchor distT="0" distB="0" distL="0" distR="0" simplePos="0" relativeHeight="2" behindDoc="1" locked="0" layoutInCell="0" allowOverlap="1" wp14:anchorId="4DACDF0C" wp14:editId="78656771">
          <wp:simplePos x="0" y="0"/>
          <wp:positionH relativeFrom="page">
            <wp:posOffset>6362700</wp:posOffset>
          </wp:positionH>
          <wp:positionV relativeFrom="paragraph">
            <wp:posOffset>213360</wp:posOffset>
          </wp:positionV>
          <wp:extent cx="1397000" cy="934720"/>
          <wp:effectExtent l="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pic:cNvPicPr>
                </pic:nvPicPr>
                <pic:blipFill rotWithShape="1">
                  <a:blip r:embed="rId2"/>
                  <a:srcRect l="81979"/>
                  <a:stretch/>
                </pic:blipFill>
                <pic:spPr bwMode="auto">
                  <a:xfrm>
                    <a:off x="0" y="0"/>
                    <a:ext cx="1397000" cy="934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A0EA6" w14:textId="77777777" w:rsidR="008067B2" w:rsidRDefault="008067B2">
      <w:pPr>
        <w:spacing w:after="0" w:line="240" w:lineRule="auto"/>
      </w:pPr>
      <w:r>
        <w:separator/>
      </w:r>
    </w:p>
  </w:footnote>
  <w:footnote w:type="continuationSeparator" w:id="0">
    <w:p w14:paraId="54B9E8F9" w14:textId="77777777" w:rsidR="008067B2" w:rsidRDefault="008067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0614062"/>
      <w:docPartObj>
        <w:docPartGallery w:val="Page Numbers (Top of Page)"/>
        <w:docPartUnique/>
      </w:docPartObj>
    </w:sdtPr>
    <w:sdtEndPr/>
    <w:sdtContent>
      <w:p w14:paraId="4A7D4DE7" w14:textId="4BFDFAFE" w:rsidR="00892C0E" w:rsidRDefault="00892C0E">
        <w:pPr>
          <w:pStyle w:val="Encabezado"/>
          <w:jc w:val="right"/>
          <w:rPr>
            <w:noProof/>
          </w:rPr>
        </w:pPr>
        <w:r w:rsidRPr="00892C0E">
          <w:rPr>
            <w:noProof/>
            <w:lang w:eastAsia="es-CO"/>
          </w:rPr>
          <w:drawing>
            <wp:anchor distT="0" distB="0" distL="114300" distR="114300" simplePos="0" relativeHeight="251664384" behindDoc="0" locked="0" layoutInCell="1" allowOverlap="1" wp14:anchorId="3CB8430B" wp14:editId="31E137AA">
              <wp:simplePos x="0" y="0"/>
              <wp:positionH relativeFrom="margin">
                <wp:posOffset>-507076</wp:posOffset>
              </wp:positionH>
              <wp:positionV relativeFrom="paragraph">
                <wp:posOffset>190673</wp:posOffset>
              </wp:positionV>
              <wp:extent cx="2386330" cy="701040"/>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6330" cy="701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62CB07" w14:textId="6992D12A" w:rsidR="00892C0E" w:rsidRDefault="00892C0E">
        <w:pPr>
          <w:pStyle w:val="Encabezado"/>
          <w:jc w:val="right"/>
          <w:rPr>
            <w:noProof/>
          </w:rPr>
        </w:pPr>
        <w:r w:rsidRPr="00892C0E">
          <w:rPr>
            <w:noProof/>
            <w:lang w:eastAsia="es-CO"/>
          </w:rPr>
          <w:drawing>
            <wp:anchor distT="0" distB="0" distL="114300" distR="114300" simplePos="0" relativeHeight="251663360" behindDoc="0" locked="0" layoutInCell="1" allowOverlap="1" wp14:anchorId="1FEE9544" wp14:editId="2B651B6F">
              <wp:simplePos x="0" y="0"/>
              <wp:positionH relativeFrom="margin">
                <wp:posOffset>4624359</wp:posOffset>
              </wp:positionH>
              <wp:positionV relativeFrom="paragraph">
                <wp:posOffset>127808</wp:posOffset>
              </wp:positionV>
              <wp:extent cx="1634490" cy="48006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4490" cy="480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66BE6" w14:textId="77777777" w:rsidR="00892C0E" w:rsidRDefault="00892C0E">
        <w:pPr>
          <w:pStyle w:val="Encabezado"/>
          <w:jc w:val="right"/>
          <w:rPr>
            <w:noProof/>
          </w:rPr>
        </w:pPr>
      </w:p>
      <w:p w14:paraId="10EE52E8" w14:textId="77777777" w:rsidR="00892C0E" w:rsidRDefault="00892C0E">
        <w:pPr>
          <w:pStyle w:val="Encabezado"/>
          <w:jc w:val="right"/>
          <w:rPr>
            <w:noProof/>
          </w:rPr>
        </w:pPr>
      </w:p>
      <w:p w14:paraId="2E443FA2" w14:textId="79216B88" w:rsidR="00DE1913" w:rsidRPr="00CD7486" w:rsidRDefault="008067B2" w:rsidP="00CD7486">
        <w:pPr>
          <w:tabs>
            <w:tab w:val="left" w:pos="1354"/>
            <w:tab w:val="left" w:pos="1485"/>
            <w:tab w:val="right" w:pos="9404"/>
          </w:tabs>
          <w:snapToGrid w:val="0"/>
          <w:spacing w:after="0" w:line="240" w:lineRule="auto"/>
          <w:textAlignment w:val="baseline"/>
          <w:rPr>
            <w:rFonts w:ascii="Arial" w:eastAsia="Times New Roman" w:hAnsi="Arial" w:cs="Arial"/>
            <w:sz w:val="16"/>
            <w:lang w:val="es-ES"/>
          </w:rP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E3531"/>
    <w:multiLevelType w:val="hybridMultilevel"/>
    <w:tmpl w:val="C194DDD4"/>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5A8116C"/>
    <w:multiLevelType w:val="hybridMultilevel"/>
    <w:tmpl w:val="806E89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16319CF"/>
    <w:multiLevelType w:val="hybridMultilevel"/>
    <w:tmpl w:val="8D32194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6886700"/>
    <w:multiLevelType w:val="hybridMultilevel"/>
    <w:tmpl w:val="82F094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7A40A5D"/>
    <w:multiLevelType w:val="hybridMultilevel"/>
    <w:tmpl w:val="83467D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7F22B8A"/>
    <w:multiLevelType w:val="hybridMultilevel"/>
    <w:tmpl w:val="B31848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BD41D4F"/>
    <w:multiLevelType w:val="hybridMultilevel"/>
    <w:tmpl w:val="16867F92"/>
    <w:lvl w:ilvl="0" w:tplc="240A000F">
      <w:start w:val="1"/>
      <w:numFmt w:val="decimal"/>
      <w:lvlText w:val="%1."/>
      <w:lvlJc w:val="left"/>
      <w:pPr>
        <w:ind w:left="776" w:hanging="360"/>
      </w:pPr>
    </w:lvl>
    <w:lvl w:ilvl="1" w:tplc="240A0019" w:tentative="1">
      <w:start w:val="1"/>
      <w:numFmt w:val="lowerLetter"/>
      <w:lvlText w:val="%2."/>
      <w:lvlJc w:val="left"/>
      <w:pPr>
        <w:ind w:left="1496" w:hanging="360"/>
      </w:pPr>
    </w:lvl>
    <w:lvl w:ilvl="2" w:tplc="240A001B" w:tentative="1">
      <w:start w:val="1"/>
      <w:numFmt w:val="lowerRoman"/>
      <w:lvlText w:val="%3."/>
      <w:lvlJc w:val="right"/>
      <w:pPr>
        <w:ind w:left="2216" w:hanging="180"/>
      </w:pPr>
    </w:lvl>
    <w:lvl w:ilvl="3" w:tplc="240A000F" w:tentative="1">
      <w:start w:val="1"/>
      <w:numFmt w:val="decimal"/>
      <w:lvlText w:val="%4."/>
      <w:lvlJc w:val="left"/>
      <w:pPr>
        <w:ind w:left="2936" w:hanging="360"/>
      </w:pPr>
    </w:lvl>
    <w:lvl w:ilvl="4" w:tplc="240A0019" w:tentative="1">
      <w:start w:val="1"/>
      <w:numFmt w:val="lowerLetter"/>
      <w:lvlText w:val="%5."/>
      <w:lvlJc w:val="left"/>
      <w:pPr>
        <w:ind w:left="3656" w:hanging="360"/>
      </w:pPr>
    </w:lvl>
    <w:lvl w:ilvl="5" w:tplc="240A001B" w:tentative="1">
      <w:start w:val="1"/>
      <w:numFmt w:val="lowerRoman"/>
      <w:lvlText w:val="%6."/>
      <w:lvlJc w:val="right"/>
      <w:pPr>
        <w:ind w:left="4376" w:hanging="180"/>
      </w:pPr>
    </w:lvl>
    <w:lvl w:ilvl="6" w:tplc="240A000F" w:tentative="1">
      <w:start w:val="1"/>
      <w:numFmt w:val="decimal"/>
      <w:lvlText w:val="%7."/>
      <w:lvlJc w:val="left"/>
      <w:pPr>
        <w:ind w:left="5096" w:hanging="360"/>
      </w:pPr>
    </w:lvl>
    <w:lvl w:ilvl="7" w:tplc="240A0019" w:tentative="1">
      <w:start w:val="1"/>
      <w:numFmt w:val="lowerLetter"/>
      <w:lvlText w:val="%8."/>
      <w:lvlJc w:val="left"/>
      <w:pPr>
        <w:ind w:left="5816" w:hanging="360"/>
      </w:pPr>
    </w:lvl>
    <w:lvl w:ilvl="8" w:tplc="240A001B" w:tentative="1">
      <w:start w:val="1"/>
      <w:numFmt w:val="lowerRoman"/>
      <w:lvlText w:val="%9."/>
      <w:lvlJc w:val="right"/>
      <w:pPr>
        <w:ind w:left="6536" w:hanging="180"/>
      </w:pPr>
    </w:lvl>
  </w:abstractNum>
  <w:abstractNum w:abstractNumId="7" w15:restartNumberingAfterBreak="0">
    <w:nsid w:val="30C942B4"/>
    <w:multiLevelType w:val="hybridMultilevel"/>
    <w:tmpl w:val="7624B110"/>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8" w15:restartNumberingAfterBreak="0">
    <w:nsid w:val="37EE5A24"/>
    <w:multiLevelType w:val="hybridMultilevel"/>
    <w:tmpl w:val="A8D454D2"/>
    <w:lvl w:ilvl="0" w:tplc="240A000F">
      <w:start w:val="1"/>
      <w:numFmt w:val="decimal"/>
      <w:lvlText w:val="%1."/>
      <w:lvlJc w:val="left"/>
      <w:pPr>
        <w:ind w:left="786" w:hanging="360"/>
      </w:p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9" w15:restartNumberingAfterBreak="0">
    <w:nsid w:val="3CD57B13"/>
    <w:multiLevelType w:val="multilevel"/>
    <w:tmpl w:val="325074AE"/>
    <w:lvl w:ilvl="0">
      <w:start w:val="1"/>
      <w:numFmt w:val="decimal"/>
      <w:lvlText w:val="%1."/>
      <w:lvlJc w:val="left"/>
      <w:pPr>
        <w:ind w:left="720" w:hanging="360"/>
      </w:pPr>
      <w:rPr>
        <w:b/>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D1166A9"/>
    <w:multiLevelType w:val="multilevel"/>
    <w:tmpl w:val="A266B35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8CC0083"/>
    <w:multiLevelType w:val="hybridMultilevel"/>
    <w:tmpl w:val="9268021E"/>
    <w:lvl w:ilvl="0" w:tplc="FCD87A9C">
      <w:start w:val="9"/>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CB03CFC"/>
    <w:multiLevelType w:val="hybridMultilevel"/>
    <w:tmpl w:val="7FE631C4"/>
    <w:lvl w:ilvl="0" w:tplc="C4C0B16E">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431291B"/>
    <w:multiLevelType w:val="hybridMultilevel"/>
    <w:tmpl w:val="3BD4A3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356162B"/>
    <w:multiLevelType w:val="hybridMultilevel"/>
    <w:tmpl w:val="806E89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9A121F2"/>
    <w:multiLevelType w:val="hybridMultilevel"/>
    <w:tmpl w:val="90E2AF8A"/>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B4E557C"/>
    <w:multiLevelType w:val="hybridMultilevel"/>
    <w:tmpl w:val="89E0BC60"/>
    <w:lvl w:ilvl="0" w:tplc="240A0001">
      <w:start w:val="1"/>
      <w:numFmt w:val="bullet"/>
      <w:lvlText w:val=""/>
      <w:lvlJc w:val="left"/>
      <w:pPr>
        <w:ind w:left="1095" w:hanging="360"/>
      </w:pPr>
      <w:rPr>
        <w:rFonts w:ascii="Symbol" w:hAnsi="Symbol" w:hint="default"/>
      </w:rPr>
    </w:lvl>
    <w:lvl w:ilvl="1" w:tplc="240A0003" w:tentative="1">
      <w:start w:val="1"/>
      <w:numFmt w:val="bullet"/>
      <w:lvlText w:val="o"/>
      <w:lvlJc w:val="left"/>
      <w:pPr>
        <w:ind w:left="1815" w:hanging="360"/>
      </w:pPr>
      <w:rPr>
        <w:rFonts w:ascii="Courier New" w:hAnsi="Courier New" w:cs="Courier New" w:hint="default"/>
      </w:rPr>
    </w:lvl>
    <w:lvl w:ilvl="2" w:tplc="240A0005" w:tentative="1">
      <w:start w:val="1"/>
      <w:numFmt w:val="bullet"/>
      <w:lvlText w:val=""/>
      <w:lvlJc w:val="left"/>
      <w:pPr>
        <w:ind w:left="2535" w:hanging="360"/>
      </w:pPr>
      <w:rPr>
        <w:rFonts w:ascii="Wingdings" w:hAnsi="Wingdings" w:hint="default"/>
      </w:rPr>
    </w:lvl>
    <w:lvl w:ilvl="3" w:tplc="240A0001" w:tentative="1">
      <w:start w:val="1"/>
      <w:numFmt w:val="bullet"/>
      <w:lvlText w:val=""/>
      <w:lvlJc w:val="left"/>
      <w:pPr>
        <w:ind w:left="3255" w:hanging="360"/>
      </w:pPr>
      <w:rPr>
        <w:rFonts w:ascii="Symbol" w:hAnsi="Symbol" w:hint="default"/>
      </w:rPr>
    </w:lvl>
    <w:lvl w:ilvl="4" w:tplc="240A0003" w:tentative="1">
      <w:start w:val="1"/>
      <w:numFmt w:val="bullet"/>
      <w:lvlText w:val="o"/>
      <w:lvlJc w:val="left"/>
      <w:pPr>
        <w:ind w:left="3975" w:hanging="360"/>
      </w:pPr>
      <w:rPr>
        <w:rFonts w:ascii="Courier New" w:hAnsi="Courier New" w:cs="Courier New" w:hint="default"/>
      </w:rPr>
    </w:lvl>
    <w:lvl w:ilvl="5" w:tplc="240A0005" w:tentative="1">
      <w:start w:val="1"/>
      <w:numFmt w:val="bullet"/>
      <w:lvlText w:val=""/>
      <w:lvlJc w:val="left"/>
      <w:pPr>
        <w:ind w:left="4695" w:hanging="360"/>
      </w:pPr>
      <w:rPr>
        <w:rFonts w:ascii="Wingdings" w:hAnsi="Wingdings" w:hint="default"/>
      </w:rPr>
    </w:lvl>
    <w:lvl w:ilvl="6" w:tplc="240A0001" w:tentative="1">
      <w:start w:val="1"/>
      <w:numFmt w:val="bullet"/>
      <w:lvlText w:val=""/>
      <w:lvlJc w:val="left"/>
      <w:pPr>
        <w:ind w:left="5415" w:hanging="360"/>
      </w:pPr>
      <w:rPr>
        <w:rFonts w:ascii="Symbol" w:hAnsi="Symbol" w:hint="default"/>
      </w:rPr>
    </w:lvl>
    <w:lvl w:ilvl="7" w:tplc="240A0003" w:tentative="1">
      <w:start w:val="1"/>
      <w:numFmt w:val="bullet"/>
      <w:lvlText w:val="o"/>
      <w:lvlJc w:val="left"/>
      <w:pPr>
        <w:ind w:left="6135" w:hanging="360"/>
      </w:pPr>
      <w:rPr>
        <w:rFonts w:ascii="Courier New" w:hAnsi="Courier New" w:cs="Courier New" w:hint="default"/>
      </w:rPr>
    </w:lvl>
    <w:lvl w:ilvl="8" w:tplc="240A0005" w:tentative="1">
      <w:start w:val="1"/>
      <w:numFmt w:val="bullet"/>
      <w:lvlText w:val=""/>
      <w:lvlJc w:val="left"/>
      <w:pPr>
        <w:ind w:left="6855" w:hanging="360"/>
      </w:pPr>
      <w:rPr>
        <w:rFonts w:ascii="Wingdings" w:hAnsi="Wingdings" w:hint="default"/>
      </w:rPr>
    </w:lvl>
  </w:abstractNum>
  <w:abstractNum w:abstractNumId="17" w15:restartNumberingAfterBreak="0">
    <w:nsid w:val="6FE45F80"/>
    <w:multiLevelType w:val="hybridMultilevel"/>
    <w:tmpl w:val="90E2AF8A"/>
    <w:lvl w:ilvl="0" w:tplc="7F8826B0">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7AE0E26"/>
    <w:multiLevelType w:val="hybridMultilevel"/>
    <w:tmpl w:val="981288BC"/>
    <w:lvl w:ilvl="0" w:tplc="99A6F6B2">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 w15:restartNumberingAfterBreak="0">
    <w:nsid w:val="7DD77BE1"/>
    <w:multiLevelType w:val="hybridMultilevel"/>
    <w:tmpl w:val="E16212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10"/>
  </w:num>
  <w:num w:numId="3">
    <w:abstractNumId w:val="18"/>
  </w:num>
  <w:num w:numId="4">
    <w:abstractNumId w:val="19"/>
  </w:num>
  <w:num w:numId="5">
    <w:abstractNumId w:val="11"/>
  </w:num>
  <w:num w:numId="6">
    <w:abstractNumId w:val="3"/>
  </w:num>
  <w:num w:numId="7">
    <w:abstractNumId w:val="5"/>
  </w:num>
  <w:num w:numId="8">
    <w:abstractNumId w:val="16"/>
  </w:num>
  <w:num w:numId="9">
    <w:abstractNumId w:val="0"/>
  </w:num>
  <w:num w:numId="10">
    <w:abstractNumId w:val="4"/>
  </w:num>
  <w:num w:numId="11">
    <w:abstractNumId w:val="7"/>
  </w:num>
  <w:num w:numId="12">
    <w:abstractNumId w:val="6"/>
  </w:num>
  <w:num w:numId="13">
    <w:abstractNumId w:val="8"/>
  </w:num>
  <w:num w:numId="14">
    <w:abstractNumId w:val="13"/>
  </w:num>
  <w:num w:numId="15">
    <w:abstractNumId w:val="1"/>
  </w:num>
  <w:num w:numId="16">
    <w:abstractNumId w:val="14"/>
  </w:num>
  <w:num w:numId="17">
    <w:abstractNumId w:val="17"/>
  </w:num>
  <w:num w:numId="18">
    <w:abstractNumId w:val="2"/>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913"/>
    <w:rsid w:val="00012CF1"/>
    <w:rsid w:val="00076C39"/>
    <w:rsid w:val="00090294"/>
    <w:rsid w:val="000F5A7D"/>
    <w:rsid w:val="0014497F"/>
    <w:rsid w:val="00184B5D"/>
    <w:rsid w:val="00185CA4"/>
    <w:rsid w:val="001E0DD8"/>
    <w:rsid w:val="001E0E4B"/>
    <w:rsid w:val="00220DC9"/>
    <w:rsid w:val="00230A73"/>
    <w:rsid w:val="002638BA"/>
    <w:rsid w:val="0029017F"/>
    <w:rsid w:val="00333CE3"/>
    <w:rsid w:val="0034598F"/>
    <w:rsid w:val="00380393"/>
    <w:rsid w:val="003913C1"/>
    <w:rsid w:val="003B2B73"/>
    <w:rsid w:val="00457768"/>
    <w:rsid w:val="00466038"/>
    <w:rsid w:val="00470221"/>
    <w:rsid w:val="00522FEF"/>
    <w:rsid w:val="0053714D"/>
    <w:rsid w:val="005646C4"/>
    <w:rsid w:val="005E5977"/>
    <w:rsid w:val="00616059"/>
    <w:rsid w:val="00627707"/>
    <w:rsid w:val="0066079F"/>
    <w:rsid w:val="00723207"/>
    <w:rsid w:val="007A5A72"/>
    <w:rsid w:val="007A7494"/>
    <w:rsid w:val="008067B2"/>
    <w:rsid w:val="00892C0E"/>
    <w:rsid w:val="008B6B5F"/>
    <w:rsid w:val="008D3A09"/>
    <w:rsid w:val="008F6891"/>
    <w:rsid w:val="009359F1"/>
    <w:rsid w:val="009D4ADE"/>
    <w:rsid w:val="009E4853"/>
    <w:rsid w:val="00B13908"/>
    <w:rsid w:val="00B4250F"/>
    <w:rsid w:val="00BB785A"/>
    <w:rsid w:val="00CC1628"/>
    <w:rsid w:val="00CD7486"/>
    <w:rsid w:val="00D17489"/>
    <w:rsid w:val="00D55BB5"/>
    <w:rsid w:val="00D66687"/>
    <w:rsid w:val="00D83534"/>
    <w:rsid w:val="00DC7B37"/>
    <w:rsid w:val="00DE1913"/>
    <w:rsid w:val="00E24043"/>
    <w:rsid w:val="00E37AC0"/>
    <w:rsid w:val="00E53D85"/>
    <w:rsid w:val="00E823F2"/>
    <w:rsid w:val="00E874EE"/>
    <w:rsid w:val="00EB3862"/>
    <w:rsid w:val="00EE35AA"/>
    <w:rsid w:val="00F319BA"/>
    <w:rsid w:val="00F47354"/>
    <w:rsid w:val="00F64565"/>
    <w:rsid w:val="00F81F37"/>
    <w:rsid w:val="00FA439A"/>
    <w:rsid w:val="00FE3DF5"/>
  </w:rsids>
  <m:mathPr>
    <m:mathFont m:val="Cambria Math"/>
    <m:brkBin m:val="before"/>
    <m:brkBinSub m:val="--"/>
    <m:smallFrac m:val="0"/>
    <m:dispDef/>
    <m:lMargin m:val="0"/>
    <m:rMargin m:val="0"/>
    <m:defJc m:val="centerGroup"/>
    <m:wrapIndent m:val="1440"/>
    <m:intLim m:val="subSup"/>
    <m:naryLim m:val="undOvr"/>
  </m:mathPr>
  <w:themeFontLang w:val="es-CO"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83ACB"/>
  <w15:docId w15:val="{3D21B7EB-ACCF-459A-9F5C-376FD846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EF3"/>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4B5EF3"/>
  </w:style>
  <w:style w:type="character" w:customStyle="1" w:styleId="PiedepginaCar">
    <w:name w:val="Pie de página Car"/>
    <w:basedOn w:val="Fuentedeprrafopredeter"/>
    <w:link w:val="Piedepgina"/>
    <w:uiPriority w:val="99"/>
    <w:qFormat/>
    <w:rsid w:val="004B5EF3"/>
  </w:style>
  <w:style w:type="character" w:customStyle="1" w:styleId="TextoindependienteCar">
    <w:name w:val="Texto independiente Car"/>
    <w:basedOn w:val="Fuentedeprrafopredeter"/>
    <w:link w:val="Textoindependiente"/>
    <w:qFormat/>
    <w:rsid w:val="004B5EF3"/>
    <w:rPr>
      <w:rFonts w:ascii="Arial" w:eastAsia="Times New Roman" w:hAnsi="Arial" w:cs="Times New Roman"/>
      <w:sz w:val="24"/>
      <w:szCs w:val="20"/>
      <w:lang w:val="es-ES_tradnl" w:eastAsia="es-ES"/>
    </w:rPr>
  </w:style>
  <w:style w:type="character" w:customStyle="1" w:styleId="TextoindependienteCar1">
    <w:name w:val="Texto independiente Car1"/>
    <w:basedOn w:val="Fuentedeprrafopredeter"/>
    <w:uiPriority w:val="99"/>
    <w:semiHidden/>
    <w:qFormat/>
    <w:rsid w:val="004B5EF3"/>
  </w:style>
  <w:style w:type="character" w:customStyle="1" w:styleId="EncabezadoCar1">
    <w:name w:val="Encabezado Car1"/>
    <w:basedOn w:val="Fuentedeprrafopredeter"/>
    <w:uiPriority w:val="99"/>
    <w:semiHidden/>
    <w:qFormat/>
    <w:rsid w:val="004B5EF3"/>
  </w:style>
  <w:style w:type="character" w:customStyle="1" w:styleId="PiedepginaCar1">
    <w:name w:val="Pie de página Car1"/>
    <w:basedOn w:val="Fuentedeprrafopredeter"/>
    <w:uiPriority w:val="99"/>
    <w:semiHidden/>
    <w:qFormat/>
    <w:rsid w:val="004B5EF3"/>
  </w:style>
  <w:style w:type="paragraph" w:customStyle="1" w:styleId="Ttulo1">
    <w:name w:val="Título1"/>
    <w:basedOn w:val="Normal"/>
    <w:next w:val="Textoindependiente"/>
    <w:qFormat/>
    <w:pPr>
      <w:keepNext/>
      <w:spacing w:before="240" w:after="120"/>
    </w:pPr>
    <w:rPr>
      <w:rFonts w:ascii="Liberation Sans" w:eastAsia="Bitstream Vera Sans" w:hAnsi="Liberation Sans" w:cs="FreeSans"/>
      <w:sz w:val="28"/>
      <w:szCs w:val="28"/>
    </w:rPr>
  </w:style>
  <w:style w:type="paragraph" w:styleId="Textoindependiente">
    <w:name w:val="Body Text"/>
    <w:basedOn w:val="Normal"/>
    <w:link w:val="TextoindependienteCar"/>
    <w:rsid w:val="004B5EF3"/>
    <w:pPr>
      <w:spacing w:after="0" w:line="240" w:lineRule="auto"/>
      <w:jc w:val="both"/>
    </w:pPr>
    <w:rPr>
      <w:rFonts w:ascii="Arial" w:eastAsia="Times New Roman" w:hAnsi="Arial" w:cs="Times New Roman"/>
      <w:sz w:val="24"/>
      <w:szCs w:val="20"/>
      <w:lang w:val="es-ES_tradnl" w:eastAsia="es-ES"/>
    </w:rPr>
  </w:style>
  <w:style w:type="paragraph" w:styleId="Lista">
    <w:name w:val="List"/>
    <w:basedOn w:val="Textoindependiente"/>
    <w:rPr>
      <w:rFonts w:cs="FreeSans"/>
    </w:rPr>
  </w:style>
  <w:style w:type="paragraph" w:styleId="Descripcin">
    <w:name w:val="caption"/>
    <w:basedOn w:val="Normal"/>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Cabeceraypie">
    <w:name w:val="Cabecera y pie"/>
    <w:basedOn w:val="Normal"/>
    <w:qFormat/>
  </w:style>
  <w:style w:type="paragraph" w:styleId="Encabezado">
    <w:name w:val="header"/>
    <w:basedOn w:val="Normal"/>
    <w:link w:val="EncabezadoCar"/>
    <w:uiPriority w:val="99"/>
    <w:unhideWhenUsed/>
    <w:rsid w:val="004B5EF3"/>
    <w:pPr>
      <w:tabs>
        <w:tab w:val="center" w:pos="4419"/>
        <w:tab w:val="right" w:pos="8838"/>
      </w:tabs>
      <w:spacing w:after="0" w:line="240" w:lineRule="auto"/>
    </w:pPr>
  </w:style>
  <w:style w:type="paragraph" w:styleId="Piedepgina">
    <w:name w:val="footer"/>
    <w:basedOn w:val="Normal"/>
    <w:link w:val="PiedepginaCar"/>
    <w:uiPriority w:val="99"/>
    <w:unhideWhenUsed/>
    <w:rsid w:val="004B5EF3"/>
    <w:pPr>
      <w:tabs>
        <w:tab w:val="center" w:pos="4419"/>
        <w:tab w:val="right" w:pos="8838"/>
      </w:tabs>
      <w:spacing w:after="0" w:line="240" w:lineRule="auto"/>
    </w:pPr>
  </w:style>
  <w:style w:type="paragraph" w:customStyle="1" w:styleId="Contenidodelatabla">
    <w:name w:val="Contenido de la tabla"/>
    <w:basedOn w:val="Normal"/>
    <w:qFormat/>
    <w:pPr>
      <w:widowControl w:val="0"/>
      <w:suppressLineNumbers/>
    </w:pPr>
  </w:style>
  <w:style w:type="paragraph" w:customStyle="1" w:styleId="Ttulodelatabla">
    <w:name w:val="Título de la tabla"/>
    <w:basedOn w:val="Contenidodelatabla"/>
    <w:qFormat/>
    <w:pPr>
      <w:jc w:val="center"/>
    </w:pPr>
    <w:rPr>
      <w:b/>
      <w:bCs/>
    </w:rPr>
  </w:style>
  <w:style w:type="paragraph" w:styleId="Prrafodelista">
    <w:name w:val="List Paragraph"/>
    <w:basedOn w:val="Normal"/>
    <w:uiPriority w:val="34"/>
    <w:qFormat/>
    <w:rsid w:val="008F6891"/>
    <w:pPr>
      <w:ind w:left="720"/>
      <w:contextualSpacing/>
    </w:pPr>
  </w:style>
  <w:style w:type="character" w:styleId="Hipervnculo">
    <w:name w:val="Hyperlink"/>
    <w:basedOn w:val="Fuentedeprrafopredeter"/>
    <w:uiPriority w:val="99"/>
    <w:unhideWhenUsed/>
    <w:rsid w:val="00333CE3"/>
    <w:rPr>
      <w:color w:val="0563C1" w:themeColor="hyperlink"/>
      <w:u w:val="single"/>
    </w:rPr>
  </w:style>
  <w:style w:type="character" w:customStyle="1" w:styleId="eop">
    <w:name w:val="eop"/>
    <w:basedOn w:val="Fuentedeprrafopredeter"/>
    <w:rsid w:val="00333CE3"/>
  </w:style>
  <w:style w:type="paragraph" w:customStyle="1" w:styleId="Default">
    <w:name w:val="Default"/>
    <w:rsid w:val="00333CE3"/>
    <w:pPr>
      <w:suppressAutoHyphens w:val="0"/>
      <w:autoSpaceDE w:val="0"/>
      <w:autoSpaceDN w:val="0"/>
      <w:adjustRightInd w:val="0"/>
    </w:pPr>
    <w:rPr>
      <w:rFonts w:ascii="Arial Narrow" w:hAnsi="Arial Narrow" w:cs="Arial Narrow"/>
      <w:color w:val="000000"/>
      <w:sz w:val="24"/>
      <w:szCs w:val="24"/>
      <w:lang w:val="es-MX"/>
    </w:rPr>
  </w:style>
  <w:style w:type="character" w:customStyle="1" w:styleId="UnresolvedMention">
    <w:name w:val="Unresolved Mention"/>
    <w:basedOn w:val="Fuentedeprrafopredeter"/>
    <w:uiPriority w:val="99"/>
    <w:semiHidden/>
    <w:unhideWhenUsed/>
    <w:rsid w:val="00F645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hyperlink" Target="https://www.sicom.gov.co/index.php/consulta-de-precios" TargetMode="Externa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emf"/><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s>
</file>

<file path=word/_rels/foot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A9035BCD46A14682EF481B6ED55E5E" ma:contentTypeVersion="15" ma:contentTypeDescription="Crear nuevo documento." ma:contentTypeScope="" ma:versionID="36f007965761ae9a1b3a026981aeb3b2">
  <xsd:schema xmlns:xsd="http://www.w3.org/2001/XMLSchema" xmlns:xs="http://www.w3.org/2001/XMLSchema" xmlns:p="http://schemas.microsoft.com/office/2006/metadata/properties" xmlns:ns2="257718aa-1722-4edc-bfc2-6456f2e168a4" xmlns:ns3="340212a7-36f9-45b6-b086-fba85a7ac61f" targetNamespace="http://schemas.microsoft.com/office/2006/metadata/properties" ma:root="true" ma:fieldsID="15b6a5954fde94eb0ae4a8e17ddb5265" ns2:_="" ns3:_="">
    <xsd:import namespace="257718aa-1722-4edc-bfc2-6456f2e168a4"/>
    <xsd:import namespace="340212a7-36f9-45b6-b086-fba85a7ac6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718aa-1722-4edc-bfc2-6456f2e168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c2231ce5-edc9-4cf3-bcdc-afedc95ebd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0212a7-36f9-45b6-b086-fba85a7ac61f"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3d836177-9c8d-42b7-91aa-ec9c8a8e4d40}" ma:internalName="TaxCatchAll" ma:showField="CatchAllData" ma:web="340212a7-36f9-45b6-b086-fba85a7ac6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40212a7-36f9-45b6-b086-fba85a7ac61f" xsi:nil="true"/>
    <lcf76f155ced4ddcb4097134ff3c332f xmlns="257718aa-1722-4edc-bfc2-6456f2e168a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44EFD2-E540-4943-9782-B56441B52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718aa-1722-4edc-bfc2-6456f2e168a4"/>
    <ds:schemaRef ds:uri="340212a7-36f9-45b6-b086-fba85a7ac6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A82F53-E950-49AC-AA81-B3DB5F2ADE5D}">
  <ds:schemaRefs>
    <ds:schemaRef ds:uri="http://schemas.microsoft.com/sharepoint/v3/contenttype/forms"/>
  </ds:schemaRefs>
</ds:datastoreItem>
</file>

<file path=customXml/itemProps3.xml><?xml version="1.0" encoding="utf-8"?>
<ds:datastoreItem xmlns:ds="http://schemas.openxmlformats.org/officeDocument/2006/customXml" ds:itemID="{32EF3AA7-CF1D-45D6-BAA5-F3FF95C56B2C}">
  <ds:schemaRefs>
    <ds:schemaRef ds:uri="http://schemas.microsoft.com/office/2006/metadata/properties"/>
    <ds:schemaRef ds:uri="http://schemas.microsoft.com/office/infopath/2007/PartnerControls"/>
    <ds:schemaRef ds:uri="340212a7-36f9-45b6-b086-fba85a7ac61f"/>
    <ds:schemaRef ds:uri="257718aa-1722-4edc-bfc2-6456f2e168a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3279</Words>
  <Characters>18040</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Comunicación Oficial</vt:lpstr>
    </vt:vector>
  </TitlesOfParts>
  <Company>HP</Company>
  <LinksUpToDate>false</LinksUpToDate>
  <CharactersWithSpaces>21277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Comunicación Oficial</dc:title>
  <dc:subject>Comunicación Oficial</dc:subject>
  <dc:creator>Ministerio de Minas y Energía</dc:creator>
  <dc:description/>
  <cp:lastModifiedBy>Hector Hernan Salinas Soto</cp:lastModifiedBy>
  <cp:revision>2</cp:revision>
  <dcterms:created xsi:type="dcterms:W3CDTF">2023-06-14T23:01:00Z</dcterms:created>
  <dcterms:modified xsi:type="dcterms:W3CDTF">2023-06-14T23:01:00Z</dcterms:modified>
  <dc:language>es-CO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0x010100F9A9035BCD46A14682EF481B6ED55E5E</vt:lpwstr>
  </property>
  <property fmtid="{D5CDD505-2E9C-101B-9397-08002B2CF9AE}" pid="7" name="MediaServiceImageTags">
    <vt:lpwstr/>
  </property>
</Properties>
</file>