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92557" w14:textId="0709B068" w:rsidR="0060771E" w:rsidRPr="00550E1B" w:rsidRDefault="0060771E" w:rsidP="00550E1B">
      <w:pPr>
        <w:spacing w:after="0" w:line="240" w:lineRule="auto"/>
        <w:ind w:right="49"/>
        <w:jc w:val="both"/>
        <w:rPr>
          <w:rFonts w:ascii="Work Sans Regular Roman" w:hAnsi="Work Sans Regular Roman"/>
          <w:b/>
          <w:bCs/>
          <w:sz w:val="24"/>
          <w:szCs w:val="24"/>
          <w:lang w:val="es-ES"/>
        </w:rPr>
      </w:pPr>
      <w:bookmarkStart w:id="0" w:name="_Hlk121300302"/>
      <w:bookmarkStart w:id="1" w:name="_GoBack"/>
      <w:bookmarkEnd w:id="1"/>
      <w:r w:rsidRPr="00550E1B">
        <w:rPr>
          <w:rFonts w:ascii="Work Sans Regular Roman" w:hAnsi="Work Sans Regular Roman" w:cs="Arial"/>
          <w:b/>
          <w:bCs/>
          <w:sz w:val="24"/>
          <w:szCs w:val="24"/>
        </w:rPr>
        <w:t xml:space="preserve">RESPUESTA AL </w:t>
      </w:r>
      <w:r w:rsidR="00550E1B" w:rsidRPr="00550E1B">
        <w:rPr>
          <w:rFonts w:ascii="Work Sans Regular Roman" w:hAnsi="Work Sans Regular Roman" w:cs="Arial"/>
          <w:b/>
          <w:bCs/>
          <w:sz w:val="24"/>
          <w:szCs w:val="24"/>
        </w:rPr>
        <w:t>CUESTIONARIO PARA</w:t>
      </w:r>
      <w:r w:rsidRPr="00550E1B">
        <w:rPr>
          <w:rFonts w:ascii="Work Sans Regular Roman" w:hAnsi="Work Sans Regular Roman" w:cs="Arial"/>
          <w:b/>
          <w:bCs/>
          <w:sz w:val="24"/>
          <w:szCs w:val="24"/>
        </w:rPr>
        <w:t xml:space="preserve"> DEBATE DE CONTROL POLÍTICO ANEXO A LA PROPOSICIÓN NO. 23 DE 2023 RELACIONADO CON EL</w:t>
      </w:r>
      <w:r w:rsidRPr="00550E1B">
        <w:rPr>
          <w:rFonts w:ascii="Work Sans Regular Roman" w:hAnsi="Work Sans Regular Roman"/>
          <w:b/>
          <w:bCs/>
          <w:sz w:val="24"/>
          <w:szCs w:val="24"/>
          <w:lang w:val="es-ES"/>
        </w:rPr>
        <w:t xml:space="preserve"> “</w:t>
      </w:r>
      <w:r w:rsidRPr="00550E1B">
        <w:rPr>
          <w:rFonts w:ascii="Work Sans Regular Roman" w:hAnsi="Work Sans Regular Roman"/>
          <w:b/>
          <w:bCs/>
          <w:sz w:val="24"/>
          <w:szCs w:val="24"/>
        </w:rPr>
        <w:t>SIGNIFICATIVO INCREMENTO DE LA GASOLINA EN COLOMBIA, LOS EFECTOS NEGATIVOS EN LA ECONOMÍA DE LOS Y LAS COLOMBIANAS Y LAS PROPUESTAS PARA MITIGARLOS</w:t>
      </w:r>
      <w:r w:rsidRPr="00550E1B">
        <w:rPr>
          <w:rFonts w:ascii="Work Sans Regular Roman" w:hAnsi="Work Sans Regular Roman"/>
          <w:b/>
          <w:bCs/>
          <w:sz w:val="24"/>
          <w:szCs w:val="24"/>
          <w:lang w:val="es-ES"/>
        </w:rPr>
        <w:t xml:space="preserve">”, PRESENTADO POR </w:t>
      </w:r>
      <w:r w:rsidR="00550E1B" w:rsidRPr="00550E1B">
        <w:rPr>
          <w:rFonts w:ascii="Work Sans Regular Roman" w:hAnsi="Work Sans Regular Roman"/>
          <w:b/>
          <w:bCs/>
          <w:sz w:val="24"/>
          <w:szCs w:val="24"/>
          <w:lang w:val="es-ES"/>
        </w:rPr>
        <w:t>LAS</w:t>
      </w:r>
      <w:r w:rsidRPr="00550E1B">
        <w:rPr>
          <w:rFonts w:ascii="Work Sans Regular Roman" w:hAnsi="Work Sans Regular Roman"/>
          <w:b/>
          <w:bCs/>
          <w:sz w:val="24"/>
          <w:szCs w:val="24"/>
          <w:lang w:val="es-ES"/>
        </w:rPr>
        <w:t xml:space="preserve"> HH.RR</w:t>
      </w:r>
      <w:r w:rsidR="00550E1B" w:rsidRPr="00550E1B">
        <w:rPr>
          <w:rFonts w:ascii="Work Sans Regular Roman" w:hAnsi="Work Sans Regular Roman"/>
          <w:b/>
          <w:bCs/>
          <w:sz w:val="24"/>
          <w:szCs w:val="24"/>
          <w:lang w:val="es-ES"/>
        </w:rPr>
        <w:t>.</w:t>
      </w:r>
      <w:r w:rsidRPr="00550E1B">
        <w:rPr>
          <w:rFonts w:ascii="Work Sans Regular Roman" w:hAnsi="Work Sans Regular Roman"/>
          <w:b/>
          <w:bCs/>
          <w:sz w:val="24"/>
          <w:szCs w:val="24"/>
          <w:lang w:val="es-ES"/>
        </w:rPr>
        <w:t xml:space="preserve"> JENNIFER DALLEY PEDRAZA SANDOVAL</w:t>
      </w:r>
      <w:r w:rsidR="00550E1B" w:rsidRPr="00550E1B">
        <w:rPr>
          <w:rFonts w:ascii="Work Sans Regular Roman" w:hAnsi="Work Sans Regular Roman"/>
          <w:b/>
          <w:bCs/>
          <w:sz w:val="24"/>
          <w:szCs w:val="24"/>
          <w:lang w:val="es-ES"/>
        </w:rPr>
        <w:t xml:space="preserve"> Y</w:t>
      </w:r>
      <w:r w:rsidRPr="00550E1B">
        <w:rPr>
          <w:rFonts w:ascii="Work Sans Regular Roman" w:hAnsi="Work Sans Regular Roman"/>
          <w:b/>
          <w:bCs/>
          <w:sz w:val="24"/>
          <w:szCs w:val="24"/>
          <w:lang w:val="es-ES"/>
        </w:rPr>
        <w:t xml:space="preserve"> YENICA SUGEIN ACOSTA INFANTE</w:t>
      </w:r>
      <w:r w:rsidR="00550E1B" w:rsidRPr="00550E1B">
        <w:rPr>
          <w:rFonts w:ascii="Work Sans Regular Roman" w:hAnsi="Work Sans Regular Roman"/>
          <w:b/>
          <w:bCs/>
          <w:sz w:val="24"/>
          <w:szCs w:val="24"/>
          <w:lang w:val="es-ES"/>
        </w:rPr>
        <w:t>.</w:t>
      </w:r>
    </w:p>
    <w:p w14:paraId="330248DE" w14:textId="77777777" w:rsidR="00550E1B" w:rsidRPr="00550E1B" w:rsidRDefault="00550E1B" w:rsidP="00550E1B">
      <w:pPr>
        <w:suppressAutoHyphens w:val="0"/>
        <w:spacing w:after="0" w:line="240" w:lineRule="auto"/>
        <w:jc w:val="both"/>
        <w:rPr>
          <w:rFonts w:ascii="Work Sans Regular Roman" w:hAnsi="Work Sans Regular Roman"/>
          <w:sz w:val="24"/>
          <w:szCs w:val="24"/>
          <w:lang w:val="es-ES"/>
        </w:rPr>
      </w:pPr>
    </w:p>
    <w:p w14:paraId="3DF40C91" w14:textId="277B8C31" w:rsidR="00342281" w:rsidRPr="00550E1B" w:rsidRDefault="00342281" w:rsidP="00550E1B">
      <w:pPr>
        <w:suppressAutoHyphens w:val="0"/>
        <w:spacing w:after="0" w:line="240" w:lineRule="auto"/>
        <w:jc w:val="both"/>
        <w:rPr>
          <w:rFonts w:ascii="Work Sans Regular Roman" w:hAnsi="Work Sans Regular Roman"/>
          <w:sz w:val="24"/>
          <w:szCs w:val="24"/>
          <w:lang w:val="es-ES"/>
        </w:rPr>
      </w:pPr>
      <w:r w:rsidRPr="00550E1B">
        <w:rPr>
          <w:rFonts w:ascii="Work Sans Regular Roman" w:hAnsi="Work Sans Regular Roman"/>
          <w:sz w:val="24"/>
          <w:szCs w:val="24"/>
          <w:lang w:val="es-ES"/>
        </w:rPr>
        <w:t>En el marco de las funciones y competencias otorgadas al Ministerio de Minas y Energía mediante Decreto No. 381 de 2012</w:t>
      </w:r>
      <w:bookmarkEnd w:id="0"/>
      <w:r w:rsidRPr="00550E1B">
        <w:rPr>
          <w:rFonts w:ascii="Work Sans Regular Roman" w:hAnsi="Work Sans Regular Roman"/>
          <w:sz w:val="24"/>
          <w:szCs w:val="24"/>
          <w:lang w:val="es-ES"/>
        </w:rPr>
        <w:t>, me permito dar respuesta a</w:t>
      </w:r>
      <w:r w:rsidR="005D6E40">
        <w:rPr>
          <w:rFonts w:ascii="Work Sans Regular Roman" w:hAnsi="Work Sans Regular Roman"/>
          <w:sz w:val="24"/>
          <w:szCs w:val="24"/>
          <w:lang w:val="es-ES"/>
        </w:rPr>
        <w:t>l cuestionario</w:t>
      </w:r>
      <w:r w:rsidRPr="00550E1B">
        <w:rPr>
          <w:rFonts w:ascii="Work Sans Regular Roman" w:hAnsi="Work Sans Regular Roman"/>
          <w:sz w:val="24"/>
          <w:szCs w:val="24"/>
          <w:lang w:val="es-ES"/>
        </w:rPr>
        <w:t xml:space="preserve"> mencionad</w:t>
      </w:r>
      <w:r w:rsidR="005D6E40">
        <w:rPr>
          <w:rFonts w:ascii="Work Sans Regular Roman" w:hAnsi="Work Sans Regular Roman"/>
          <w:sz w:val="24"/>
          <w:szCs w:val="24"/>
          <w:lang w:val="es-ES"/>
        </w:rPr>
        <w:t>o</w:t>
      </w:r>
      <w:r w:rsidRPr="00550E1B">
        <w:rPr>
          <w:rFonts w:ascii="Work Sans Regular Roman" w:hAnsi="Work Sans Regular Roman"/>
          <w:sz w:val="24"/>
          <w:szCs w:val="24"/>
          <w:lang w:val="es-ES"/>
        </w:rPr>
        <w:t>:</w:t>
      </w:r>
    </w:p>
    <w:p w14:paraId="5692FA7B" w14:textId="77777777" w:rsidR="00342281" w:rsidRPr="00550E1B" w:rsidRDefault="00342281" w:rsidP="00550E1B">
      <w:pPr>
        <w:suppressAutoHyphens w:val="0"/>
        <w:spacing w:after="0" w:line="240" w:lineRule="auto"/>
        <w:jc w:val="both"/>
        <w:rPr>
          <w:rFonts w:ascii="Work Sans Regular Roman" w:hAnsi="Work Sans Regular Roman"/>
          <w:sz w:val="24"/>
          <w:szCs w:val="24"/>
          <w:lang w:val="es-ES"/>
        </w:rPr>
      </w:pPr>
    </w:p>
    <w:p w14:paraId="4302AC3A" w14:textId="77777777" w:rsidR="00550E1B" w:rsidRPr="00550E1B" w:rsidRDefault="00550E1B" w:rsidP="00550E1B">
      <w:pPr>
        <w:suppressAutoHyphens w:val="0"/>
        <w:spacing w:after="0" w:line="240" w:lineRule="auto"/>
        <w:jc w:val="both"/>
        <w:rPr>
          <w:rFonts w:ascii="Work Sans Regular Roman" w:hAnsi="Work Sans Regular Roman"/>
          <w:sz w:val="24"/>
          <w:szCs w:val="24"/>
          <w:lang w:val="es-ES"/>
        </w:rPr>
      </w:pPr>
    </w:p>
    <w:p w14:paraId="52F89C99" w14:textId="42586B32" w:rsidR="00D94988" w:rsidRPr="00550E1B" w:rsidRDefault="00D94988">
      <w:pPr>
        <w:pStyle w:val="Prrafodelista"/>
        <w:numPr>
          <w:ilvl w:val="0"/>
          <w:numId w:val="2"/>
        </w:numPr>
        <w:suppressAutoHyphens w:val="0"/>
        <w:spacing w:after="0" w:line="240" w:lineRule="auto"/>
        <w:jc w:val="both"/>
        <w:rPr>
          <w:rFonts w:ascii="Work Sans Regular Roman" w:eastAsia="Calibri" w:hAnsi="Work Sans Regular Roman" w:cs="Arial"/>
          <w:b/>
          <w:bCs/>
          <w:kern w:val="2"/>
          <w:sz w:val="24"/>
          <w:szCs w:val="24"/>
          <w14:ligatures w14:val="standardContextual"/>
        </w:rPr>
      </w:pPr>
      <w:r w:rsidRPr="00550E1B">
        <w:rPr>
          <w:rFonts w:ascii="Work Sans Regular Roman" w:eastAsia="Calibri" w:hAnsi="Work Sans Regular Roman" w:cs="Arial"/>
          <w:b/>
          <w:bCs/>
          <w:kern w:val="2"/>
          <w:sz w:val="24"/>
          <w:szCs w:val="24"/>
          <w14:ligatures w14:val="standardContextual"/>
        </w:rPr>
        <w:t>Informar para los años 2010 a 2023: la producción anual de combustibles en el país, diferenciado por gasolina, diésel, biodiésel y gasolina para aeronave; la importación anual de combustibles en el país, diferenciado por gasolina, diésel. Biodiésel y gasolina para aeronaves y; el consumo anual de combustibles en el país, diferenciado por gasolina, diésel, biodiésel y gasolina para aeronaves.</w:t>
      </w:r>
    </w:p>
    <w:p w14:paraId="373A469E" w14:textId="77777777" w:rsidR="00550E1B" w:rsidRPr="00550E1B" w:rsidRDefault="00550E1B" w:rsidP="00550E1B">
      <w:pPr>
        <w:pStyle w:val="Prrafodelista"/>
        <w:suppressAutoHyphens w:val="0"/>
        <w:spacing w:after="0" w:line="240" w:lineRule="auto"/>
        <w:jc w:val="both"/>
        <w:rPr>
          <w:rFonts w:ascii="Work Sans Regular Roman" w:eastAsia="Calibri" w:hAnsi="Work Sans Regular Roman" w:cs="Arial"/>
          <w:b/>
          <w:bCs/>
          <w:kern w:val="2"/>
          <w:sz w:val="24"/>
          <w:szCs w:val="24"/>
          <w14:ligatures w14:val="standardContextual"/>
        </w:rPr>
      </w:pPr>
    </w:p>
    <w:p w14:paraId="2AD9B223" w14:textId="77777777" w:rsidR="00550E1B" w:rsidRDefault="00D94988" w:rsidP="00550E1B">
      <w:pPr>
        <w:spacing w:after="0" w:line="240" w:lineRule="auto"/>
        <w:contextualSpacing/>
        <w:jc w:val="both"/>
        <w:rPr>
          <w:rFonts w:ascii="Work Sans Regular Roman" w:hAnsi="Work Sans Regular Roman"/>
          <w:sz w:val="24"/>
          <w:szCs w:val="24"/>
        </w:rPr>
      </w:pPr>
      <w:r w:rsidRPr="00550E1B">
        <w:rPr>
          <w:rFonts w:ascii="Work Sans Regular Roman" w:hAnsi="Work Sans Regular Roman"/>
          <w:sz w:val="24"/>
          <w:szCs w:val="24"/>
        </w:rPr>
        <w:t>A continuación, en las siguientes tablas se visualiza la producción, importación y consumo por producto desde el 2010 al 2023. Es importante aclarar que, para el uso de aeronaves se utiliza únicamente JetA1. Sin embargo, para proveer la información de cada producto como se solicita en el cuestionario se incluyeron todos en el archivo.</w:t>
      </w:r>
    </w:p>
    <w:p w14:paraId="488236F4" w14:textId="77777777" w:rsidR="00550E1B" w:rsidRPr="00550E1B" w:rsidRDefault="00550E1B" w:rsidP="00550E1B">
      <w:pPr>
        <w:spacing w:after="0" w:line="240" w:lineRule="auto"/>
        <w:contextualSpacing/>
        <w:jc w:val="both"/>
        <w:rPr>
          <w:rFonts w:ascii="Work Sans Regular Roman" w:hAnsi="Work Sans Regular Roman"/>
          <w:sz w:val="24"/>
          <w:szCs w:val="24"/>
        </w:rPr>
      </w:pPr>
    </w:p>
    <w:p w14:paraId="263C3AD2" w14:textId="423C1FC4" w:rsidR="00D94988" w:rsidRPr="000A26BF" w:rsidRDefault="00550E1B" w:rsidP="00550E1B">
      <w:pPr>
        <w:spacing w:after="0" w:line="240" w:lineRule="auto"/>
        <w:contextualSpacing/>
        <w:jc w:val="both"/>
        <w:rPr>
          <w:rFonts w:ascii="Work Sans Regular Roman" w:hAnsi="Work Sans Regular Roman"/>
          <w:sz w:val="20"/>
          <w:szCs w:val="20"/>
        </w:rPr>
      </w:pPr>
      <w:r w:rsidRPr="000A26BF">
        <w:rPr>
          <w:rFonts w:ascii="Work Sans Regular Roman" w:hAnsi="Work Sans Regular Roman"/>
          <w:sz w:val="20"/>
          <w:szCs w:val="20"/>
        </w:rPr>
        <w:t>Producción:</w:t>
      </w:r>
    </w:p>
    <w:p w14:paraId="31589CF0" w14:textId="77777777" w:rsidR="000A26BF" w:rsidRDefault="000A26BF" w:rsidP="00550E1B">
      <w:pPr>
        <w:spacing w:after="0" w:line="240" w:lineRule="auto"/>
        <w:contextualSpacing/>
        <w:jc w:val="both"/>
        <w:rPr>
          <w:rFonts w:ascii="Work Sans Regular Roman" w:hAnsi="Work Sans Regular Roman"/>
          <w:sz w:val="24"/>
          <w:szCs w:val="24"/>
        </w:rPr>
      </w:pPr>
    </w:p>
    <w:p w14:paraId="079283E0" w14:textId="77777777" w:rsidR="000A26BF" w:rsidRDefault="000A26BF" w:rsidP="00550E1B">
      <w:pPr>
        <w:spacing w:after="0" w:line="240" w:lineRule="auto"/>
        <w:contextualSpacing/>
        <w:jc w:val="both"/>
        <w:rPr>
          <w:rFonts w:ascii="Work Sans Regular Roman" w:hAnsi="Work Sans Regular Roman"/>
          <w:sz w:val="24"/>
          <w:szCs w:val="24"/>
        </w:rPr>
        <w:sectPr w:rsidR="000A26BF">
          <w:headerReference w:type="default" r:id="rId8"/>
          <w:footerReference w:type="default" r:id="rId9"/>
          <w:pgSz w:w="12240" w:h="15840"/>
          <w:pgMar w:top="1991" w:right="1418" w:bottom="1588" w:left="1418" w:header="573" w:footer="1531" w:gutter="0"/>
          <w:cols w:space="720"/>
          <w:formProt w:val="0"/>
          <w:docGrid w:linePitch="360" w:charSpace="16384"/>
        </w:sectPr>
      </w:pPr>
    </w:p>
    <w:p w14:paraId="768BA401" w14:textId="77777777" w:rsidR="000A26BF" w:rsidRPr="000A26BF" w:rsidRDefault="000A26BF" w:rsidP="000A26BF">
      <w:pPr>
        <w:spacing w:after="0" w:line="240" w:lineRule="auto"/>
        <w:contextualSpacing/>
        <w:jc w:val="both"/>
        <w:rPr>
          <w:rFonts w:ascii="Work Sans Regular Roman" w:hAnsi="Work Sans Regular Roman"/>
          <w:b/>
          <w:bCs/>
          <w:sz w:val="20"/>
          <w:szCs w:val="20"/>
        </w:rPr>
      </w:pPr>
      <w:r w:rsidRPr="000A26BF">
        <w:rPr>
          <w:rFonts w:ascii="Work Sans Regular Roman" w:hAnsi="Work Sans Regular Roman"/>
          <w:b/>
          <w:bCs/>
          <w:sz w:val="20"/>
          <w:szCs w:val="20"/>
        </w:rPr>
        <w:lastRenderedPageBreak/>
        <w:t>Producción:</w:t>
      </w:r>
    </w:p>
    <w:p w14:paraId="4581E62E" w14:textId="77777777" w:rsidR="00550E1B" w:rsidRPr="009110B9" w:rsidRDefault="00550E1B" w:rsidP="00550E1B">
      <w:pPr>
        <w:spacing w:after="0" w:line="240" w:lineRule="auto"/>
        <w:contextualSpacing/>
        <w:jc w:val="both"/>
        <w:rPr>
          <w:rFonts w:ascii="Work Sans Regular Roman" w:hAnsi="Work Sans Regular Roman"/>
          <w:b/>
          <w:bCs/>
          <w:sz w:val="20"/>
          <w:szCs w:val="20"/>
        </w:rPr>
      </w:pPr>
    </w:p>
    <w:tbl>
      <w:tblPr>
        <w:tblW w:w="5496" w:type="pct"/>
        <w:tblInd w:w="-289" w:type="dxa"/>
        <w:tblLayout w:type="fixed"/>
        <w:tblLook w:val="04A0" w:firstRow="1" w:lastRow="0" w:firstColumn="1" w:lastColumn="0" w:noHBand="0" w:noVBand="1"/>
      </w:tblPr>
      <w:tblGrid>
        <w:gridCol w:w="1413"/>
        <w:gridCol w:w="705"/>
        <w:gridCol w:w="706"/>
        <w:gridCol w:w="708"/>
        <w:gridCol w:w="854"/>
        <w:gridCol w:w="854"/>
        <w:gridCol w:w="843"/>
        <w:gridCol w:w="854"/>
        <w:gridCol w:w="854"/>
        <w:gridCol w:w="854"/>
        <w:gridCol w:w="851"/>
        <w:gridCol w:w="994"/>
        <w:gridCol w:w="708"/>
        <w:gridCol w:w="706"/>
        <w:gridCol w:w="754"/>
        <w:gridCol w:w="808"/>
      </w:tblGrid>
      <w:tr w:rsidR="000A26BF" w:rsidRPr="00550E1B" w14:paraId="42753E9A" w14:textId="77777777" w:rsidTr="000A26BF">
        <w:trPr>
          <w:trHeight w:val="285"/>
        </w:trPr>
        <w:tc>
          <w:tcPr>
            <w:tcW w:w="525" w:type="pct"/>
            <w:tcBorders>
              <w:top w:val="single" w:sz="4" w:space="0" w:color="auto"/>
              <w:left w:val="single" w:sz="4" w:space="0" w:color="auto"/>
              <w:bottom w:val="nil"/>
              <w:right w:val="nil"/>
            </w:tcBorders>
            <w:shd w:val="clear" w:color="auto" w:fill="BFBFBF" w:themeFill="background1" w:themeFillShade="BF"/>
            <w:noWrap/>
            <w:vAlign w:val="bottom"/>
            <w:hideMark/>
          </w:tcPr>
          <w:p w14:paraId="6FA94375" w14:textId="77777777" w:rsidR="00550E1B" w:rsidRPr="00550E1B" w:rsidRDefault="00550E1B" w:rsidP="00550E1B">
            <w:pPr>
              <w:spacing w:after="0" w:line="240" w:lineRule="auto"/>
              <w:jc w:val="both"/>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VOLUMEN (GALONES)</w:t>
            </w:r>
          </w:p>
        </w:tc>
        <w:tc>
          <w:tcPr>
            <w:tcW w:w="4475" w:type="pct"/>
            <w:gridSpan w:val="15"/>
            <w:tcBorders>
              <w:top w:val="single" w:sz="4" w:space="0" w:color="auto"/>
              <w:left w:val="nil"/>
              <w:bottom w:val="nil"/>
              <w:right w:val="single" w:sz="4" w:space="0" w:color="auto"/>
            </w:tcBorders>
            <w:shd w:val="clear" w:color="auto" w:fill="BFBFBF" w:themeFill="background1" w:themeFillShade="BF"/>
            <w:noWrap/>
            <w:vAlign w:val="bottom"/>
            <w:hideMark/>
          </w:tcPr>
          <w:p w14:paraId="1B63104E" w14:textId="6C0BDE84" w:rsidR="00550E1B" w:rsidRPr="00550E1B" w:rsidRDefault="00550E1B" w:rsidP="00550E1B">
            <w:pPr>
              <w:spacing w:after="0" w:line="240" w:lineRule="auto"/>
              <w:jc w:val="center"/>
              <w:rPr>
                <w:rFonts w:ascii="Work Sans Regular Roman" w:eastAsia="Times New Roman" w:hAnsi="Work Sans Regular Roman" w:cs="Times New Roman"/>
                <w:sz w:val="16"/>
                <w:szCs w:val="16"/>
              </w:rPr>
            </w:pPr>
            <w:r w:rsidRPr="00550E1B">
              <w:rPr>
                <w:rFonts w:ascii="Work Sans Regular Roman" w:eastAsia="Times New Roman" w:hAnsi="Work Sans Regular Roman" w:cs="Calibri"/>
                <w:b/>
                <w:bCs/>
                <w:sz w:val="16"/>
                <w:szCs w:val="16"/>
              </w:rPr>
              <w:t>AÑO</w:t>
            </w:r>
          </w:p>
        </w:tc>
      </w:tr>
      <w:tr w:rsidR="000A26BF" w:rsidRPr="00550E1B" w14:paraId="6D5142B2" w14:textId="77777777" w:rsidTr="000A26BF">
        <w:trPr>
          <w:trHeight w:val="285"/>
        </w:trPr>
        <w:tc>
          <w:tcPr>
            <w:tcW w:w="525" w:type="pct"/>
            <w:tcBorders>
              <w:top w:val="nil"/>
              <w:left w:val="single" w:sz="4" w:space="0" w:color="auto"/>
              <w:bottom w:val="single" w:sz="4" w:space="0" w:color="auto"/>
              <w:right w:val="nil"/>
            </w:tcBorders>
            <w:shd w:val="clear" w:color="auto" w:fill="BFBFBF" w:themeFill="background1" w:themeFillShade="BF"/>
            <w:noWrap/>
            <w:vAlign w:val="bottom"/>
            <w:hideMark/>
          </w:tcPr>
          <w:p w14:paraId="26EF719D" w14:textId="77777777" w:rsidR="00D94988" w:rsidRPr="00550E1B" w:rsidRDefault="00D94988" w:rsidP="00550E1B">
            <w:pPr>
              <w:spacing w:after="0" w:line="240" w:lineRule="auto"/>
              <w:jc w:val="both"/>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DESCRIPCIÓN PRODUCTO</w:t>
            </w:r>
          </w:p>
        </w:tc>
        <w:tc>
          <w:tcPr>
            <w:tcW w:w="262" w:type="pct"/>
            <w:tcBorders>
              <w:top w:val="nil"/>
              <w:left w:val="nil"/>
              <w:bottom w:val="single" w:sz="4" w:space="0" w:color="auto"/>
              <w:right w:val="nil"/>
            </w:tcBorders>
            <w:shd w:val="clear" w:color="auto" w:fill="BFBFBF" w:themeFill="background1" w:themeFillShade="BF"/>
            <w:noWrap/>
            <w:vAlign w:val="center"/>
            <w:hideMark/>
          </w:tcPr>
          <w:p w14:paraId="4AE65B71"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2010</w:t>
            </w:r>
          </w:p>
        </w:tc>
        <w:tc>
          <w:tcPr>
            <w:tcW w:w="262" w:type="pct"/>
            <w:tcBorders>
              <w:top w:val="nil"/>
              <w:left w:val="nil"/>
              <w:bottom w:val="single" w:sz="4" w:space="0" w:color="auto"/>
              <w:right w:val="nil"/>
            </w:tcBorders>
            <w:shd w:val="clear" w:color="auto" w:fill="BFBFBF" w:themeFill="background1" w:themeFillShade="BF"/>
            <w:noWrap/>
            <w:vAlign w:val="center"/>
            <w:hideMark/>
          </w:tcPr>
          <w:p w14:paraId="024EDBDD"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2011</w:t>
            </w:r>
          </w:p>
        </w:tc>
        <w:tc>
          <w:tcPr>
            <w:tcW w:w="263" w:type="pct"/>
            <w:tcBorders>
              <w:top w:val="nil"/>
              <w:left w:val="nil"/>
              <w:bottom w:val="single" w:sz="4" w:space="0" w:color="auto"/>
              <w:right w:val="nil"/>
            </w:tcBorders>
            <w:shd w:val="clear" w:color="auto" w:fill="BFBFBF" w:themeFill="background1" w:themeFillShade="BF"/>
            <w:noWrap/>
            <w:vAlign w:val="center"/>
            <w:hideMark/>
          </w:tcPr>
          <w:p w14:paraId="265570A6"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2012</w:t>
            </w:r>
          </w:p>
        </w:tc>
        <w:tc>
          <w:tcPr>
            <w:tcW w:w="317" w:type="pct"/>
            <w:tcBorders>
              <w:top w:val="nil"/>
              <w:left w:val="nil"/>
              <w:bottom w:val="single" w:sz="4" w:space="0" w:color="auto"/>
              <w:right w:val="nil"/>
            </w:tcBorders>
            <w:shd w:val="clear" w:color="auto" w:fill="BFBFBF" w:themeFill="background1" w:themeFillShade="BF"/>
            <w:noWrap/>
            <w:vAlign w:val="center"/>
            <w:hideMark/>
          </w:tcPr>
          <w:p w14:paraId="36CF4F19"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2013</w:t>
            </w:r>
          </w:p>
        </w:tc>
        <w:tc>
          <w:tcPr>
            <w:tcW w:w="317" w:type="pct"/>
            <w:tcBorders>
              <w:top w:val="nil"/>
              <w:left w:val="nil"/>
              <w:bottom w:val="single" w:sz="4" w:space="0" w:color="auto"/>
              <w:right w:val="nil"/>
            </w:tcBorders>
            <w:shd w:val="clear" w:color="auto" w:fill="BFBFBF" w:themeFill="background1" w:themeFillShade="BF"/>
            <w:noWrap/>
            <w:vAlign w:val="center"/>
            <w:hideMark/>
          </w:tcPr>
          <w:p w14:paraId="4A1A44CD"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2014</w:t>
            </w:r>
          </w:p>
        </w:tc>
        <w:tc>
          <w:tcPr>
            <w:tcW w:w="313" w:type="pct"/>
            <w:tcBorders>
              <w:top w:val="nil"/>
              <w:left w:val="nil"/>
              <w:bottom w:val="single" w:sz="4" w:space="0" w:color="auto"/>
              <w:right w:val="nil"/>
            </w:tcBorders>
            <w:shd w:val="clear" w:color="auto" w:fill="BFBFBF" w:themeFill="background1" w:themeFillShade="BF"/>
            <w:noWrap/>
            <w:vAlign w:val="center"/>
            <w:hideMark/>
          </w:tcPr>
          <w:p w14:paraId="6CCE5AB1"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2015</w:t>
            </w:r>
          </w:p>
        </w:tc>
        <w:tc>
          <w:tcPr>
            <w:tcW w:w="317" w:type="pct"/>
            <w:tcBorders>
              <w:top w:val="nil"/>
              <w:left w:val="nil"/>
              <w:bottom w:val="single" w:sz="4" w:space="0" w:color="auto"/>
              <w:right w:val="nil"/>
            </w:tcBorders>
            <w:shd w:val="clear" w:color="auto" w:fill="BFBFBF" w:themeFill="background1" w:themeFillShade="BF"/>
            <w:noWrap/>
            <w:vAlign w:val="center"/>
            <w:hideMark/>
          </w:tcPr>
          <w:p w14:paraId="437A198F"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2016</w:t>
            </w:r>
          </w:p>
        </w:tc>
        <w:tc>
          <w:tcPr>
            <w:tcW w:w="317" w:type="pct"/>
            <w:tcBorders>
              <w:top w:val="nil"/>
              <w:left w:val="nil"/>
              <w:bottom w:val="single" w:sz="4" w:space="0" w:color="auto"/>
              <w:right w:val="nil"/>
            </w:tcBorders>
            <w:shd w:val="clear" w:color="auto" w:fill="BFBFBF" w:themeFill="background1" w:themeFillShade="BF"/>
            <w:noWrap/>
            <w:vAlign w:val="center"/>
            <w:hideMark/>
          </w:tcPr>
          <w:p w14:paraId="3E335419"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2017</w:t>
            </w:r>
          </w:p>
        </w:tc>
        <w:tc>
          <w:tcPr>
            <w:tcW w:w="317" w:type="pct"/>
            <w:tcBorders>
              <w:top w:val="nil"/>
              <w:left w:val="nil"/>
              <w:bottom w:val="single" w:sz="4" w:space="0" w:color="auto"/>
              <w:right w:val="nil"/>
            </w:tcBorders>
            <w:shd w:val="clear" w:color="auto" w:fill="BFBFBF" w:themeFill="background1" w:themeFillShade="BF"/>
            <w:noWrap/>
            <w:vAlign w:val="center"/>
            <w:hideMark/>
          </w:tcPr>
          <w:p w14:paraId="522E120E"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2018</w:t>
            </w:r>
          </w:p>
        </w:tc>
        <w:tc>
          <w:tcPr>
            <w:tcW w:w="316" w:type="pct"/>
            <w:tcBorders>
              <w:top w:val="nil"/>
              <w:left w:val="nil"/>
              <w:bottom w:val="single" w:sz="4" w:space="0" w:color="auto"/>
              <w:right w:val="nil"/>
            </w:tcBorders>
            <w:shd w:val="clear" w:color="auto" w:fill="BFBFBF" w:themeFill="background1" w:themeFillShade="BF"/>
            <w:noWrap/>
            <w:vAlign w:val="center"/>
            <w:hideMark/>
          </w:tcPr>
          <w:p w14:paraId="4C778E28"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2019</w:t>
            </w:r>
          </w:p>
        </w:tc>
        <w:tc>
          <w:tcPr>
            <w:tcW w:w="369" w:type="pct"/>
            <w:tcBorders>
              <w:top w:val="nil"/>
              <w:left w:val="nil"/>
              <w:bottom w:val="single" w:sz="4" w:space="0" w:color="auto"/>
              <w:right w:val="nil"/>
            </w:tcBorders>
            <w:shd w:val="clear" w:color="auto" w:fill="BFBFBF" w:themeFill="background1" w:themeFillShade="BF"/>
            <w:noWrap/>
            <w:vAlign w:val="center"/>
            <w:hideMark/>
          </w:tcPr>
          <w:p w14:paraId="21958407"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2020</w:t>
            </w:r>
          </w:p>
        </w:tc>
        <w:tc>
          <w:tcPr>
            <w:tcW w:w="263" w:type="pct"/>
            <w:tcBorders>
              <w:top w:val="nil"/>
              <w:left w:val="nil"/>
              <w:bottom w:val="single" w:sz="4" w:space="0" w:color="auto"/>
              <w:right w:val="nil"/>
            </w:tcBorders>
            <w:shd w:val="clear" w:color="auto" w:fill="BFBFBF" w:themeFill="background1" w:themeFillShade="BF"/>
            <w:noWrap/>
            <w:vAlign w:val="center"/>
            <w:hideMark/>
          </w:tcPr>
          <w:p w14:paraId="7FF6BECE"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2021</w:t>
            </w:r>
          </w:p>
        </w:tc>
        <w:tc>
          <w:tcPr>
            <w:tcW w:w="262" w:type="pct"/>
            <w:tcBorders>
              <w:top w:val="nil"/>
              <w:left w:val="nil"/>
              <w:bottom w:val="single" w:sz="4" w:space="0" w:color="auto"/>
              <w:right w:val="nil"/>
            </w:tcBorders>
            <w:shd w:val="clear" w:color="auto" w:fill="BFBFBF" w:themeFill="background1" w:themeFillShade="BF"/>
            <w:noWrap/>
            <w:vAlign w:val="center"/>
            <w:hideMark/>
          </w:tcPr>
          <w:p w14:paraId="3802E2DE"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2022</w:t>
            </w:r>
          </w:p>
        </w:tc>
        <w:tc>
          <w:tcPr>
            <w:tcW w:w="280" w:type="pct"/>
            <w:tcBorders>
              <w:top w:val="nil"/>
              <w:left w:val="nil"/>
              <w:bottom w:val="single" w:sz="4" w:space="0" w:color="auto"/>
              <w:right w:val="nil"/>
            </w:tcBorders>
            <w:shd w:val="clear" w:color="auto" w:fill="BFBFBF" w:themeFill="background1" w:themeFillShade="BF"/>
            <w:noWrap/>
            <w:vAlign w:val="center"/>
            <w:hideMark/>
          </w:tcPr>
          <w:p w14:paraId="61C62634"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2023</w:t>
            </w:r>
          </w:p>
        </w:tc>
        <w:tc>
          <w:tcPr>
            <w:tcW w:w="298" w:type="pct"/>
            <w:tcBorders>
              <w:top w:val="nil"/>
              <w:left w:val="nil"/>
              <w:bottom w:val="single" w:sz="4" w:space="0" w:color="auto"/>
              <w:right w:val="single" w:sz="4" w:space="0" w:color="auto"/>
            </w:tcBorders>
            <w:shd w:val="clear" w:color="auto" w:fill="BFBFBF" w:themeFill="background1" w:themeFillShade="BF"/>
            <w:noWrap/>
            <w:vAlign w:val="center"/>
            <w:hideMark/>
          </w:tcPr>
          <w:p w14:paraId="09B484A4" w14:textId="77777777" w:rsidR="00D94988" w:rsidRPr="00550E1B" w:rsidRDefault="00D94988" w:rsidP="000A26BF">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TOTAL</w:t>
            </w:r>
          </w:p>
        </w:tc>
      </w:tr>
      <w:tr w:rsidR="000A26BF" w:rsidRPr="00550E1B" w14:paraId="52B0918F" w14:textId="77777777" w:rsidTr="000A26BF">
        <w:trPr>
          <w:trHeight w:val="285"/>
        </w:trPr>
        <w:tc>
          <w:tcPr>
            <w:tcW w:w="525" w:type="pct"/>
            <w:tcBorders>
              <w:top w:val="single" w:sz="4" w:space="0" w:color="auto"/>
              <w:left w:val="single" w:sz="4" w:space="0" w:color="auto"/>
              <w:bottom w:val="single" w:sz="4" w:space="0" w:color="auto"/>
              <w:right w:val="nil"/>
            </w:tcBorders>
            <w:shd w:val="clear" w:color="auto" w:fill="auto"/>
            <w:noWrap/>
            <w:vAlign w:val="bottom"/>
            <w:hideMark/>
          </w:tcPr>
          <w:p w14:paraId="61788C91" w14:textId="77777777" w:rsidR="00D94988" w:rsidRPr="00550E1B" w:rsidRDefault="00D94988" w:rsidP="00550E1B">
            <w:pPr>
              <w:spacing w:after="0" w:line="240" w:lineRule="auto"/>
              <w:jc w:val="both"/>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PRODUCTOR</w:t>
            </w:r>
          </w:p>
        </w:tc>
        <w:tc>
          <w:tcPr>
            <w:tcW w:w="262" w:type="pct"/>
            <w:tcBorders>
              <w:top w:val="single" w:sz="4" w:space="0" w:color="auto"/>
              <w:left w:val="nil"/>
              <w:bottom w:val="single" w:sz="4" w:space="0" w:color="auto"/>
              <w:right w:val="nil"/>
            </w:tcBorders>
            <w:shd w:val="clear" w:color="auto" w:fill="auto"/>
            <w:noWrap/>
            <w:vAlign w:val="center"/>
            <w:hideMark/>
          </w:tcPr>
          <w:p w14:paraId="68B571B6"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p>
        </w:tc>
        <w:tc>
          <w:tcPr>
            <w:tcW w:w="262" w:type="pct"/>
            <w:tcBorders>
              <w:top w:val="single" w:sz="4" w:space="0" w:color="auto"/>
              <w:left w:val="nil"/>
              <w:bottom w:val="single" w:sz="4" w:space="0" w:color="auto"/>
              <w:right w:val="nil"/>
            </w:tcBorders>
            <w:shd w:val="clear" w:color="auto" w:fill="auto"/>
            <w:noWrap/>
            <w:vAlign w:val="center"/>
            <w:hideMark/>
          </w:tcPr>
          <w:p w14:paraId="13D8478F"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263" w:type="pct"/>
            <w:tcBorders>
              <w:top w:val="single" w:sz="4" w:space="0" w:color="auto"/>
              <w:left w:val="nil"/>
              <w:bottom w:val="single" w:sz="4" w:space="0" w:color="auto"/>
              <w:right w:val="nil"/>
            </w:tcBorders>
            <w:shd w:val="clear" w:color="auto" w:fill="auto"/>
            <w:noWrap/>
            <w:vAlign w:val="center"/>
            <w:hideMark/>
          </w:tcPr>
          <w:p w14:paraId="6B3DF6C3"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7" w:type="pct"/>
            <w:tcBorders>
              <w:top w:val="single" w:sz="4" w:space="0" w:color="auto"/>
              <w:left w:val="nil"/>
              <w:bottom w:val="single" w:sz="4" w:space="0" w:color="auto"/>
              <w:right w:val="nil"/>
            </w:tcBorders>
            <w:shd w:val="clear" w:color="auto" w:fill="auto"/>
            <w:noWrap/>
            <w:vAlign w:val="center"/>
            <w:hideMark/>
          </w:tcPr>
          <w:p w14:paraId="4330916C"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7" w:type="pct"/>
            <w:tcBorders>
              <w:top w:val="single" w:sz="4" w:space="0" w:color="auto"/>
              <w:left w:val="nil"/>
              <w:bottom w:val="single" w:sz="4" w:space="0" w:color="auto"/>
              <w:right w:val="nil"/>
            </w:tcBorders>
            <w:shd w:val="clear" w:color="auto" w:fill="auto"/>
            <w:noWrap/>
            <w:vAlign w:val="center"/>
            <w:hideMark/>
          </w:tcPr>
          <w:p w14:paraId="3947BC5E"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3" w:type="pct"/>
            <w:tcBorders>
              <w:top w:val="single" w:sz="4" w:space="0" w:color="auto"/>
              <w:left w:val="nil"/>
              <w:bottom w:val="single" w:sz="4" w:space="0" w:color="auto"/>
              <w:right w:val="nil"/>
            </w:tcBorders>
            <w:shd w:val="clear" w:color="auto" w:fill="auto"/>
            <w:noWrap/>
            <w:vAlign w:val="center"/>
            <w:hideMark/>
          </w:tcPr>
          <w:p w14:paraId="10123DB7"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7" w:type="pct"/>
            <w:tcBorders>
              <w:top w:val="single" w:sz="4" w:space="0" w:color="auto"/>
              <w:left w:val="nil"/>
              <w:bottom w:val="single" w:sz="4" w:space="0" w:color="auto"/>
              <w:right w:val="nil"/>
            </w:tcBorders>
            <w:shd w:val="clear" w:color="auto" w:fill="auto"/>
            <w:noWrap/>
            <w:vAlign w:val="center"/>
            <w:hideMark/>
          </w:tcPr>
          <w:p w14:paraId="26D6479C"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7" w:type="pct"/>
            <w:tcBorders>
              <w:top w:val="single" w:sz="4" w:space="0" w:color="auto"/>
              <w:left w:val="nil"/>
              <w:bottom w:val="single" w:sz="4" w:space="0" w:color="auto"/>
              <w:right w:val="nil"/>
            </w:tcBorders>
            <w:shd w:val="clear" w:color="auto" w:fill="auto"/>
            <w:noWrap/>
            <w:vAlign w:val="center"/>
            <w:hideMark/>
          </w:tcPr>
          <w:p w14:paraId="0585F302"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7" w:type="pct"/>
            <w:tcBorders>
              <w:top w:val="single" w:sz="4" w:space="0" w:color="auto"/>
              <w:left w:val="nil"/>
              <w:bottom w:val="single" w:sz="4" w:space="0" w:color="auto"/>
              <w:right w:val="nil"/>
            </w:tcBorders>
            <w:shd w:val="clear" w:color="auto" w:fill="auto"/>
            <w:noWrap/>
            <w:vAlign w:val="center"/>
            <w:hideMark/>
          </w:tcPr>
          <w:p w14:paraId="7EC84434"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6" w:type="pct"/>
            <w:tcBorders>
              <w:top w:val="single" w:sz="4" w:space="0" w:color="auto"/>
              <w:left w:val="nil"/>
              <w:bottom w:val="single" w:sz="4" w:space="0" w:color="auto"/>
              <w:right w:val="nil"/>
            </w:tcBorders>
            <w:shd w:val="clear" w:color="auto" w:fill="auto"/>
            <w:noWrap/>
            <w:vAlign w:val="center"/>
            <w:hideMark/>
          </w:tcPr>
          <w:p w14:paraId="63ED6CBC"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69" w:type="pct"/>
            <w:tcBorders>
              <w:top w:val="single" w:sz="4" w:space="0" w:color="auto"/>
              <w:left w:val="nil"/>
              <w:bottom w:val="single" w:sz="4" w:space="0" w:color="auto"/>
              <w:right w:val="nil"/>
            </w:tcBorders>
            <w:shd w:val="clear" w:color="auto" w:fill="auto"/>
            <w:noWrap/>
            <w:vAlign w:val="center"/>
            <w:hideMark/>
          </w:tcPr>
          <w:p w14:paraId="26714D3A"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263" w:type="pct"/>
            <w:tcBorders>
              <w:top w:val="single" w:sz="4" w:space="0" w:color="auto"/>
              <w:left w:val="nil"/>
              <w:bottom w:val="single" w:sz="4" w:space="0" w:color="auto"/>
              <w:right w:val="nil"/>
            </w:tcBorders>
            <w:shd w:val="clear" w:color="auto" w:fill="auto"/>
            <w:noWrap/>
            <w:vAlign w:val="center"/>
            <w:hideMark/>
          </w:tcPr>
          <w:p w14:paraId="63AC773F"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262" w:type="pct"/>
            <w:tcBorders>
              <w:top w:val="single" w:sz="4" w:space="0" w:color="auto"/>
              <w:left w:val="nil"/>
              <w:bottom w:val="single" w:sz="4" w:space="0" w:color="auto"/>
              <w:right w:val="nil"/>
            </w:tcBorders>
            <w:shd w:val="clear" w:color="auto" w:fill="auto"/>
            <w:noWrap/>
            <w:vAlign w:val="center"/>
            <w:hideMark/>
          </w:tcPr>
          <w:p w14:paraId="6A67892C"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280" w:type="pct"/>
            <w:tcBorders>
              <w:top w:val="single" w:sz="4" w:space="0" w:color="auto"/>
              <w:left w:val="nil"/>
              <w:bottom w:val="single" w:sz="4" w:space="0" w:color="auto"/>
              <w:right w:val="nil"/>
            </w:tcBorders>
            <w:shd w:val="clear" w:color="auto" w:fill="auto"/>
            <w:noWrap/>
            <w:vAlign w:val="center"/>
            <w:hideMark/>
          </w:tcPr>
          <w:p w14:paraId="21063C4C"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298" w:type="pct"/>
            <w:tcBorders>
              <w:top w:val="single" w:sz="4" w:space="0" w:color="auto"/>
              <w:left w:val="nil"/>
              <w:bottom w:val="single" w:sz="4" w:space="0" w:color="auto"/>
              <w:right w:val="single" w:sz="4" w:space="0" w:color="auto"/>
            </w:tcBorders>
            <w:shd w:val="clear" w:color="auto" w:fill="auto"/>
            <w:noWrap/>
            <w:vAlign w:val="center"/>
            <w:hideMark/>
          </w:tcPr>
          <w:p w14:paraId="0743E4E3"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r>
      <w:tr w:rsidR="000A26BF" w:rsidRPr="00550E1B" w14:paraId="18D7E40D" w14:textId="77777777" w:rsidTr="000A26BF">
        <w:trPr>
          <w:trHeight w:val="285"/>
        </w:trPr>
        <w:tc>
          <w:tcPr>
            <w:tcW w:w="525" w:type="pct"/>
            <w:tcBorders>
              <w:top w:val="single" w:sz="4" w:space="0" w:color="auto"/>
              <w:left w:val="single" w:sz="4" w:space="0" w:color="auto"/>
              <w:bottom w:val="nil"/>
              <w:right w:val="nil"/>
            </w:tcBorders>
            <w:shd w:val="clear" w:color="auto" w:fill="auto"/>
            <w:noWrap/>
            <w:vAlign w:val="center"/>
            <w:hideMark/>
          </w:tcPr>
          <w:p w14:paraId="5ACD0486" w14:textId="77777777" w:rsidR="00D94988" w:rsidRPr="00550E1B" w:rsidRDefault="00D94988" w:rsidP="000A26BF">
            <w:pPr>
              <w:spacing w:after="0" w:line="240" w:lineRule="auto"/>
              <w:ind w:firstLineChars="100" w:firstLine="160"/>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B 100</w:t>
            </w:r>
          </w:p>
        </w:tc>
        <w:tc>
          <w:tcPr>
            <w:tcW w:w="262" w:type="pct"/>
            <w:tcBorders>
              <w:top w:val="single" w:sz="4" w:space="0" w:color="auto"/>
              <w:left w:val="nil"/>
              <w:bottom w:val="nil"/>
              <w:right w:val="nil"/>
            </w:tcBorders>
            <w:shd w:val="clear" w:color="auto" w:fill="auto"/>
            <w:noWrap/>
            <w:vAlign w:val="center"/>
            <w:hideMark/>
          </w:tcPr>
          <w:p w14:paraId="06335FE6"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32313251,96</w:t>
            </w:r>
          </w:p>
        </w:tc>
        <w:tc>
          <w:tcPr>
            <w:tcW w:w="262" w:type="pct"/>
            <w:tcBorders>
              <w:top w:val="single" w:sz="4" w:space="0" w:color="auto"/>
              <w:left w:val="nil"/>
              <w:bottom w:val="nil"/>
              <w:right w:val="nil"/>
            </w:tcBorders>
            <w:shd w:val="clear" w:color="auto" w:fill="auto"/>
            <w:noWrap/>
            <w:vAlign w:val="center"/>
            <w:hideMark/>
          </w:tcPr>
          <w:p w14:paraId="7BF2BE83"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67384791,31</w:t>
            </w:r>
          </w:p>
        </w:tc>
        <w:tc>
          <w:tcPr>
            <w:tcW w:w="263" w:type="pct"/>
            <w:tcBorders>
              <w:top w:val="single" w:sz="4" w:space="0" w:color="auto"/>
              <w:left w:val="nil"/>
              <w:bottom w:val="nil"/>
              <w:right w:val="nil"/>
            </w:tcBorders>
            <w:shd w:val="clear" w:color="auto" w:fill="auto"/>
            <w:noWrap/>
            <w:vAlign w:val="center"/>
            <w:hideMark/>
          </w:tcPr>
          <w:p w14:paraId="2A839E21"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52832597,18</w:t>
            </w:r>
          </w:p>
        </w:tc>
        <w:tc>
          <w:tcPr>
            <w:tcW w:w="317" w:type="pct"/>
            <w:tcBorders>
              <w:top w:val="single" w:sz="4" w:space="0" w:color="auto"/>
              <w:left w:val="nil"/>
              <w:bottom w:val="nil"/>
              <w:right w:val="nil"/>
            </w:tcBorders>
            <w:shd w:val="clear" w:color="auto" w:fill="auto"/>
            <w:noWrap/>
            <w:vAlign w:val="center"/>
            <w:hideMark/>
          </w:tcPr>
          <w:p w14:paraId="16561941"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46921714,49</w:t>
            </w:r>
          </w:p>
        </w:tc>
        <w:tc>
          <w:tcPr>
            <w:tcW w:w="317" w:type="pct"/>
            <w:tcBorders>
              <w:top w:val="single" w:sz="4" w:space="0" w:color="auto"/>
              <w:left w:val="nil"/>
              <w:bottom w:val="nil"/>
              <w:right w:val="nil"/>
            </w:tcBorders>
            <w:shd w:val="clear" w:color="auto" w:fill="auto"/>
            <w:noWrap/>
            <w:vAlign w:val="center"/>
            <w:hideMark/>
          </w:tcPr>
          <w:p w14:paraId="00138E1C"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43624780,55</w:t>
            </w:r>
          </w:p>
        </w:tc>
        <w:tc>
          <w:tcPr>
            <w:tcW w:w="313" w:type="pct"/>
            <w:tcBorders>
              <w:top w:val="single" w:sz="4" w:space="0" w:color="auto"/>
              <w:left w:val="nil"/>
              <w:bottom w:val="nil"/>
              <w:right w:val="nil"/>
            </w:tcBorders>
            <w:shd w:val="clear" w:color="auto" w:fill="auto"/>
            <w:noWrap/>
            <w:vAlign w:val="center"/>
            <w:hideMark/>
          </w:tcPr>
          <w:p w14:paraId="093F8431"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125710824,6</w:t>
            </w:r>
          </w:p>
        </w:tc>
        <w:tc>
          <w:tcPr>
            <w:tcW w:w="317" w:type="pct"/>
            <w:tcBorders>
              <w:top w:val="single" w:sz="4" w:space="0" w:color="auto"/>
              <w:left w:val="nil"/>
              <w:bottom w:val="nil"/>
              <w:right w:val="nil"/>
            </w:tcBorders>
            <w:shd w:val="clear" w:color="auto" w:fill="auto"/>
            <w:noWrap/>
            <w:vAlign w:val="center"/>
            <w:hideMark/>
          </w:tcPr>
          <w:p w14:paraId="64BF123C"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157960870,8</w:t>
            </w:r>
          </w:p>
        </w:tc>
        <w:tc>
          <w:tcPr>
            <w:tcW w:w="317" w:type="pct"/>
            <w:tcBorders>
              <w:top w:val="single" w:sz="4" w:space="0" w:color="auto"/>
              <w:left w:val="nil"/>
              <w:bottom w:val="nil"/>
              <w:right w:val="nil"/>
            </w:tcBorders>
            <w:shd w:val="clear" w:color="auto" w:fill="auto"/>
            <w:noWrap/>
            <w:vAlign w:val="center"/>
            <w:hideMark/>
          </w:tcPr>
          <w:p w14:paraId="112B6567"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153066224,4</w:t>
            </w:r>
          </w:p>
        </w:tc>
        <w:tc>
          <w:tcPr>
            <w:tcW w:w="317" w:type="pct"/>
            <w:tcBorders>
              <w:top w:val="single" w:sz="4" w:space="0" w:color="auto"/>
              <w:left w:val="nil"/>
              <w:bottom w:val="nil"/>
              <w:right w:val="nil"/>
            </w:tcBorders>
            <w:shd w:val="clear" w:color="auto" w:fill="auto"/>
            <w:noWrap/>
            <w:vAlign w:val="center"/>
            <w:hideMark/>
          </w:tcPr>
          <w:p w14:paraId="48DDED5E"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167145973,6</w:t>
            </w:r>
          </w:p>
        </w:tc>
        <w:tc>
          <w:tcPr>
            <w:tcW w:w="316" w:type="pct"/>
            <w:tcBorders>
              <w:top w:val="single" w:sz="4" w:space="0" w:color="auto"/>
              <w:left w:val="nil"/>
              <w:bottom w:val="nil"/>
              <w:right w:val="nil"/>
            </w:tcBorders>
            <w:shd w:val="clear" w:color="auto" w:fill="auto"/>
            <w:noWrap/>
            <w:vAlign w:val="center"/>
            <w:hideMark/>
          </w:tcPr>
          <w:p w14:paraId="04E81DE5"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162262227,8</w:t>
            </w:r>
          </w:p>
        </w:tc>
        <w:tc>
          <w:tcPr>
            <w:tcW w:w="369" w:type="pct"/>
            <w:tcBorders>
              <w:top w:val="single" w:sz="4" w:space="0" w:color="auto"/>
              <w:left w:val="nil"/>
              <w:bottom w:val="nil"/>
              <w:right w:val="nil"/>
            </w:tcBorders>
            <w:shd w:val="clear" w:color="auto" w:fill="auto"/>
            <w:noWrap/>
            <w:vAlign w:val="center"/>
            <w:hideMark/>
          </w:tcPr>
          <w:p w14:paraId="57CF9F80"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151715320,5</w:t>
            </w:r>
          </w:p>
        </w:tc>
        <w:tc>
          <w:tcPr>
            <w:tcW w:w="263" w:type="pct"/>
            <w:tcBorders>
              <w:top w:val="single" w:sz="4" w:space="0" w:color="auto"/>
              <w:left w:val="nil"/>
              <w:bottom w:val="nil"/>
              <w:right w:val="nil"/>
            </w:tcBorders>
            <w:shd w:val="clear" w:color="auto" w:fill="auto"/>
            <w:noWrap/>
            <w:vAlign w:val="center"/>
            <w:hideMark/>
          </w:tcPr>
          <w:p w14:paraId="5326CC03"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193615421,4</w:t>
            </w:r>
          </w:p>
        </w:tc>
        <w:tc>
          <w:tcPr>
            <w:tcW w:w="262" w:type="pct"/>
            <w:tcBorders>
              <w:top w:val="single" w:sz="4" w:space="0" w:color="auto"/>
              <w:left w:val="nil"/>
              <w:bottom w:val="nil"/>
              <w:right w:val="nil"/>
            </w:tcBorders>
            <w:shd w:val="clear" w:color="auto" w:fill="auto"/>
            <w:noWrap/>
            <w:vAlign w:val="center"/>
            <w:hideMark/>
          </w:tcPr>
          <w:p w14:paraId="126D791E"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204713480</w:t>
            </w:r>
          </w:p>
        </w:tc>
        <w:tc>
          <w:tcPr>
            <w:tcW w:w="280" w:type="pct"/>
            <w:tcBorders>
              <w:top w:val="single" w:sz="4" w:space="0" w:color="auto"/>
              <w:left w:val="nil"/>
              <w:bottom w:val="nil"/>
              <w:right w:val="nil"/>
            </w:tcBorders>
            <w:shd w:val="clear" w:color="auto" w:fill="auto"/>
            <w:noWrap/>
            <w:vAlign w:val="center"/>
            <w:hideMark/>
          </w:tcPr>
          <w:p w14:paraId="0CCC2834"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90369687,49</w:t>
            </w:r>
          </w:p>
        </w:tc>
        <w:tc>
          <w:tcPr>
            <w:tcW w:w="298" w:type="pct"/>
            <w:tcBorders>
              <w:top w:val="single" w:sz="4" w:space="0" w:color="auto"/>
              <w:left w:val="nil"/>
              <w:bottom w:val="nil"/>
              <w:right w:val="single" w:sz="4" w:space="0" w:color="auto"/>
            </w:tcBorders>
            <w:shd w:val="clear" w:color="auto" w:fill="auto"/>
            <w:noWrap/>
            <w:vAlign w:val="center"/>
            <w:hideMark/>
          </w:tcPr>
          <w:p w14:paraId="0F2EFE21"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1649637166</w:t>
            </w:r>
          </w:p>
        </w:tc>
      </w:tr>
      <w:tr w:rsidR="000A26BF" w:rsidRPr="00550E1B" w14:paraId="6794F536" w14:textId="77777777" w:rsidTr="000A26BF">
        <w:trPr>
          <w:trHeight w:val="285"/>
        </w:trPr>
        <w:tc>
          <w:tcPr>
            <w:tcW w:w="525" w:type="pct"/>
            <w:tcBorders>
              <w:top w:val="nil"/>
              <w:left w:val="single" w:sz="4" w:space="0" w:color="auto"/>
              <w:bottom w:val="single" w:sz="4" w:space="0" w:color="auto"/>
              <w:right w:val="nil"/>
            </w:tcBorders>
            <w:shd w:val="clear" w:color="auto" w:fill="auto"/>
            <w:noWrap/>
            <w:vAlign w:val="center"/>
            <w:hideMark/>
          </w:tcPr>
          <w:p w14:paraId="2D5472B5" w14:textId="77777777" w:rsidR="00D94988" w:rsidRPr="00550E1B" w:rsidRDefault="00D94988" w:rsidP="000A26BF">
            <w:pPr>
              <w:spacing w:after="0" w:line="240" w:lineRule="auto"/>
              <w:ind w:firstLineChars="100" w:firstLine="160"/>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GASOLINA CORRIENTE</w:t>
            </w:r>
          </w:p>
        </w:tc>
        <w:tc>
          <w:tcPr>
            <w:tcW w:w="262" w:type="pct"/>
            <w:tcBorders>
              <w:top w:val="nil"/>
              <w:left w:val="nil"/>
              <w:bottom w:val="single" w:sz="4" w:space="0" w:color="auto"/>
              <w:right w:val="nil"/>
            </w:tcBorders>
            <w:shd w:val="clear" w:color="auto" w:fill="auto"/>
            <w:noWrap/>
            <w:vAlign w:val="center"/>
            <w:hideMark/>
          </w:tcPr>
          <w:p w14:paraId="1BC15522" w14:textId="77777777" w:rsidR="00D94988" w:rsidRPr="00550E1B" w:rsidRDefault="00D94988" w:rsidP="00550E1B">
            <w:pPr>
              <w:spacing w:after="0" w:line="240" w:lineRule="auto"/>
              <w:ind w:firstLineChars="100" w:firstLine="160"/>
              <w:jc w:val="center"/>
              <w:rPr>
                <w:rFonts w:ascii="Work Sans Regular Roman" w:eastAsia="Times New Roman" w:hAnsi="Work Sans Regular Roman" w:cs="Calibri"/>
                <w:sz w:val="16"/>
                <w:szCs w:val="16"/>
              </w:rPr>
            </w:pPr>
          </w:p>
        </w:tc>
        <w:tc>
          <w:tcPr>
            <w:tcW w:w="262" w:type="pct"/>
            <w:tcBorders>
              <w:top w:val="nil"/>
              <w:left w:val="nil"/>
              <w:bottom w:val="single" w:sz="4" w:space="0" w:color="auto"/>
              <w:right w:val="nil"/>
            </w:tcBorders>
            <w:shd w:val="clear" w:color="auto" w:fill="auto"/>
            <w:noWrap/>
            <w:vAlign w:val="center"/>
            <w:hideMark/>
          </w:tcPr>
          <w:p w14:paraId="62EBC8D9"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263" w:type="pct"/>
            <w:tcBorders>
              <w:top w:val="nil"/>
              <w:left w:val="nil"/>
              <w:bottom w:val="single" w:sz="4" w:space="0" w:color="auto"/>
              <w:right w:val="nil"/>
            </w:tcBorders>
            <w:shd w:val="clear" w:color="auto" w:fill="auto"/>
            <w:noWrap/>
            <w:vAlign w:val="center"/>
            <w:hideMark/>
          </w:tcPr>
          <w:p w14:paraId="0A852253"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7" w:type="pct"/>
            <w:tcBorders>
              <w:top w:val="nil"/>
              <w:left w:val="nil"/>
              <w:bottom w:val="single" w:sz="4" w:space="0" w:color="auto"/>
              <w:right w:val="nil"/>
            </w:tcBorders>
            <w:shd w:val="clear" w:color="auto" w:fill="auto"/>
            <w:noWrap/>
            <w:vAlign w:val="center"/>
            <w:hideMark/>
          </w:tcPr>
          <w:p w14:paraId="30827670"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7" w:type="pct"/>
            <w:tcBorders>
              <w:top w:val="nil"/>
              <w:left w:val="nil"/>
              <w:bottom w:val="single" w:sz="4" w:space="0" w:color="auto"/>
              <w:right w:val="nil"/>
            </w:tcBorders>
            <w:shd w:val="clear" w:color="auto" w:fill="auto"/>
            <w:noWrap/>
            <w:vAlign w:val="center"/>
            <w:hideMark/>
          </w:tcPr>
          <w:p w14:paraId="18066794"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3" w:type="pct"/>
            <w:tcBorders>
              <w:top w:val="nil"/>
              <w:left w:val="nil"/>
              <w:bottom w:val="single" w:sz="4" w:space="0" w:color="auto"/>
              <w:right w:val="nil"/>
            </w:tcBorders>
            <w:shd w:val="clear" w:color="auto" w:fill="auto"/>
            <w:noWrap/>
            <w:vAlign w:val="center"/>
            <w:hideMark/>
          </w:tcPr>
          <w:p w14:paraId="48C057C8"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7" w:type="pct"/>
            <w:tcBorders>
              <w:top w:val="nil"/>
              <w:left w:val="nil"/>
              <w:bottom w:val="single" w:sz="4" w:space="0" w:color="auto"/>
              <w:right w:val="nil"/>
            </w:tcBorders>
            <w:shd w:val="clear" w:color="auto" w:fill="auto"/>
            <w:noWrap/>
            <w:vAlign w:val="center"/>
            <w:hideMark/>
          </w:tcPr>
          <w:p w14:paraId="15F46448"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7" w:type="pct"/>
            <w:tcBorders>
              <w:top w:val="nil"/>
              <w:left w:val="nil"/>
              <w:bottom w:val="single" w:sz="4" w:space="0" w:color="auto"/>
              <w:right w:val="nil"/>
            </w:tcBorders>
            <w:shd w:val="clear" w:color="auto" w:fill="auto"/>
            <w:noWrap/>
            <w:vAlign w:val="center"/>
            <w:hideMark/>
          </w:tcPr>
          <w:p w14:paraId="5BB7E2B7"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7" w:type="pct"/>
            <w:tcBorders>
              <w:top w:val="nil"/>
              <w:left w:val="nil"/>
              <w:bottom w:val="single" w:sz="4" w:space="0" w:color="auto"/>
              <w:right w:val="nil"/>
            </w:tcBorders>
            <w:shd w:val="clear" w:color="auto" w:fill="auto"/>
            <w:noWrap/>
            <w:vAlign w:val="center"/>
            <w:hideMark/>
          </w:tcPr>
          <w:p w14:paraId="3881680A"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16" w:type="pct"/>
            <w:tcBorders>
              <w:top w:val="nil"/>
              <w:left w:val="nil"/>
              <w:bottom w:val="single" w:sz="4" w:space="0" w:color="auto"/>
              <w:right w:val="nil"/>
            </w:tcBorders>
            <w:shd w:val="clear" w:color="auto" w:fill="auto"/>
            <w:noWrap/>
            <w:vAlign w:val="center"/>
            <w:hideMark/>
          </w:tcPr>
          <w:p w14:paraId="57810E24"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369" w:type="pct"/>
            <w:tcBorders>
              <w:top w:val="nil"/>
              <w:left w:val="nil"/>
              <w:bottom w:val="single" w:sz="4" w:space="0" w:color="auto"/>
              <w:right w:val="nil"/>
            </w:tcBorders>
            <w:shd w:val="clear" w:color="auto" w:fill="auto"/>
            <w:noWrap/>
            <w:vAlign w:val="center"/>
            <w:hideMark/>
          </w:tcPr>
          <w:p w14:paraId="0D085200"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263" w:type="pct"/>
            <w:tcBorders>
              <w:top w:val="nil"/>
              <w:left w:val="nil"/>
              <w:bottom w:val="single" w:sz="4" w:space="0" w:color="auto"/>
              <w:right w:val="nil"/>
            </w:tcBorders>
            <w:shd w:val="clear" w:color="auto" w:fill="auto"/>
            <w:noWrap/>
            <w:vAlign w:val="center"/>
            <w:hideMark/>
          </w:tcPr>
          <w:p w14:paraId="133E7217"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262" w:type="pct"/>
            <w:tcBorders>
              <w:top w:val="nil"/>
              <w:left w:val="nil"/>
              <w:bottom w:val="single" w:sz="4" w:space="0" w:color="auto"/>
              <w:right w:val="nil"/>
            </w:tcBorders>
            <w:shd w:val="clear" w:color="auto" w:fill="auto"/>
            <w:noWrap/>
            <w:vAlign w:val="center"/>
            <w:hideMark/>
          </w:tcPr>
          <w:p w14:paraId="5DAB96A6" w14:textId="77777777" w:rsidR="00D94988" w:rsidRPr="00550E1B" w:rsidRDefault="00D94988" w:rsidP="00550E1B">
            <w:pPr>
              <w:spacing w:after="0" w:line="240" w:lineRule="auto"/>
              <w:jc w:val="center"/>
              <w:rPr>
                <w:rFonts w:ascii="Work Sans Regular Roman" w:eastAsia="Times New Roman" w:hAnsi="Work Sans Regular Roman" w:cs="Times New Roman"/>
                <w:sz w:val="16"/>
                <w:szCs w:val="16"/>
              </w:rPr>
            </w:pPr>
          </w:p>
        </w:tc>
        <w:tc>
          <w:tcPr>
            <w:tcW w:w="280" w:type="pct"/>
            <w:tcBorders>
              <w:top w:val="nil"/>
              <w:left w:val="nil"/>
              <w:bottom w:val="single" w:sz="4" w:space="0" w:color="auto"/>
              <w:right w:val="nil"/>
            </w:tcBorders>
            <w:shd w:val="clear" w:color="auto" w:fill="auto"/>
            <w:noWrap/>
            <w:vAlign w:val="center"/>
            <w:hideMark/>
          </w:tcPr>
          <w:p w14:paraId="1ABF4449"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12052</w:t>
            </w:r>
          </w:p>
        </w:tc>
        <w:tc>
          <w:tcPr>
            <w:tcW w:w="298" w:type="pct"/>
            <w:tcBorders>
              <w:top w:val="nil"/>
              <w:left w:val="nil"/>
              <w:bottom w:val="single" w:sz="4" w:space="0" w:color="auto"/>
              <w:right w:val="single" w:sz="4" w:space="0" w:color="auto"/>
            </w:tcBorders>
            <w:shd w:val="clear" w:color="auto" w:fill="auto"/>
            <w:noWrap/>
            <w:vAlign w:val="center"/>
            <w:hideMark/>
          </w:tcPr>
          <w:p w14:paraId="36AB602A" w14:textId="77777777" w:rsidR="00D94988" w:rsidRPr="00550E1B" w:rsidRDefault="00D94988" w:rsidP="00550E1B">
            <w:pPr>
              <w:spacing w:after="0" w:line="240" w:lineRule="auto"/>
              <w:jc w:val="center"/>
              <w:rPr>
                <w:rFonts w:ascii="Work Sans Regular Roman" w:eastAsia="Times New Roman" w:hAnsi="Work Sans Regular Roman" w:cs="Calibri"/>
                <w:sz w:val="16"/>
                <w:szCs w:val="16"/>
              </w:rPr>
            </w:pPr>
            <w:r w:rsidRPr="00550E1B">
              <w:rPr>
                <w:rFonts w:ascii="Work Sans Regular Roman" w:eastAsia="Times New Roman" w:hAnsi="Work Sans Regular Roman" w:cs="Calibri"/>
                <w:sz w:val="16"/>
                <w:szCs w:val="16"/>
              </w:rPr>
              <w:t>12052</w:t>
            </w:r>
          </w:p>
        </w:tc>
      </w:tr>
      <w:tr w:rsidR="000A26BF" w:rsidRPr="00550E1B" w14:paraId="17ECBB17" w14:textId="77777777" w:rsidTr="000A26BF">
        <w:trPr>
          <w:trHeight w:val="285"/>
        </w:trPr>
        <w:tc>
          <w:tcPr>
            <w:tcW w:w="525" w:type="pct"/>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588FFD2B"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TOTAL</w:t>
            </w:r>
          </w:p>
        </w:tc>
        <w:tc>
          <w:tcPr>
            <w:tcW w:w="262" w:type="pct"/>
            <w:tcBorders>
              <w:top w:val="single" w:sz="4" w:space="0" w:color="auto"/>
              <w:left w:val="nil"/>
              <w:bottom w:val="single" w:sz="4" w:space="0" w:color="auto"/>
              <w:right w:val="nil"/>
            </w:tcBorders>
            <w:shd w:val="clear" w:color="auto" w:fill="D9D9D9" w:themeFill="background1" w:themeFillShade="D9"/>
            <w:noWrap/>
            <w:vAlign w:val="center"/>
            <w:hideMark/>
          </w:tcPr>
          <w:p w14:paraId="26F051AF"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32313251,96</w:t>
            </w:r>
          </w:p>
        </w:tc>
        <w:tc>
          <w:tcPr>
            <w:tcW w:w="262" w:type="pct"/>
            <w:tcBorders>
              <w:top w:val="single" w:sz="4" w:space="0" w:color="auto"/>
              <w:left w:val="nil"/>
              <w:bottom w:val="single" w:sz="4" w:space="0" w:color="auto"/>
              <w:right w:val="nil"/>
            </w:tcBorders>
            <w:shd w:val="clear" w:color="auto" w:fill="D9D9D9" w:themeFill="background1" w:themeFillShade="D9"/>
            <w:noWrap/>
            <w:vAlign w:val="center"/>
            <w:hideMark/>
          </w:tcPr>
          <w:p w14:paraId="6C7A7219"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67384791,31</w:t>
            </w:r>
          </w:p>
        </w:tc>
        <w:tc>
          <w:tcPr>
            <w:tcW w:w="263" w:type="pct"/>
            <w:tcBorders>
              <w:top w:val="single" w:sz="4" w:space="0" w:color="auto"/>
              <w:left w:val="nil"/>
              <w:bottom w:val="single" w:sz="4" w:space="0" w:color="auto"/>
              <w:right w:val="nil"/>
            </w:tcBorders>
            <w:shd w:val="clear" w:color="auto" w:fill="D9D9D9" w:themeFill="background1" w:themeFillShade="D9"/>
            <w:noWrap/>
            <w:vAlign w:val="center"/>
            <w:hideMark/>
          </w:tcPr>
          <w:p w14:paraId="30782CE2"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52832597,18</w:t>
            </w:r>
          </w:p>
        </w:tc>
        <w:tc>
          <w:tcPr>
            <w:tcW w:w="317" w:type="pct"/>
            <w:tcBorders>
              <w:top w:val="single" w:sz="4" w:space="0" w:color="auto"/>
              <w:left w:val="nil"/>
              <w:bottom w:val="single" w:sz="4" w:space="0" w:color="auto"/>
              <w:right w:val="nil"/>
            </w:tcBorders>
            <w:shd w:val="clear" w:color="auto" w:fill="D9D9D9" w:themeFill="background1" w:themeFillShade="D9"/>
            <w:noWrap/>
            <w:vAlign w:val="center"/>
            <w:hideMark/>
          </w:tcPr>
          <w:p w14:paraId="0D5EA110"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46921714,49</w:t>
            </w:r>
          </w:p>
        </w:tc>
        <w:tc>
          <w:tcPr>
            <w:tcW w:w="317" w:type="pct"/>
            <w:tcBorders>
              <w:top w:val="single" w:sz="4" w:space="0" w:color="auto"/>
              <w:left w:val="nil"/>
              <w:bottom w:val="single" w:sz="4" w:space="0" w:color="auto"/>
              <w:right w:val="nil"/>
            </w:tcBorders>
            <w:shd w:val="clear" w:color="auto" w:fill="D9D9D9" w:themeFill="background1" w:themeFillShade="D9"/>
            <w:noWrap/>
            <w:vAlign w:val="center"/>
            <w:hideMark/>
          </w:tcPr>
          <w:p w14:paraId="025596D1"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43624780,55</w:t>
            </w:r>
          </w:p>
        </w:tc>
        <w:tc>
          <w:tcPr>
            <w:tcW w:w="313" w:type="pct"/>
            <w:tcBorders>
              <w:top w:val="single" w:sz="4" w:space="0" w:color="auto"/>
              <w:left w:val="nil"/>
              <w:bottom w:val="single" w:sz="4" w:space="0" w:color="auto"/>
              <w:right w:val="nil"/>
            </w:tcBorders>
            <w:shd w:val="clear" w:color="auto" w:fill="D9D9D9" w:themeFill="background1" w:themeFillShade="D9"/>
            <w:noWrap/>
            <w:vAlign w:val="center"/>
            <w:hideMark/>
          </w:tcPr>
          <w:p w14:paraId="288785A7"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125710824,6</w:t>
            </w:r>
          </w:p>
        </w:tc>
        <w:tc>
          <w:tcPr>
            <w:tcW w:w="317" w:type="pct"/>
            <w:tcBorders>
              <w:top w:val="single" w:sz="4" w:space="0" w:color="auto"/>
              <w:left w:val="nil"/>
              <w:bottom w:val="single" w:sz="4" w:space="0" w:color="auto"/>
              <w:right w:val="nil"/>
            </w:tcBorders>
            <w:shd w:val="clear" w:color="auto" w:fill="D9D9D9" w:themeFill="background1" w:themeFillShade="D9"/>
            <w:noWrap/>
            <w:vAlign w:val="center"/>
            <w:hideMark/>
          </w:tcPr>
          <w:p w14:paraId="721F1436"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157960870,8</w:t>
            </w:r>
          </w:p>
        </w:tc>
        <w:tc>
          <w:tcPr>
            <w:tcW w:w="317" w:type="pct"/>
            <w:tcBorders>
              <w:top w:val="single" w:sz="4" w:space="0" w:color="auto"/>
              <w:left w:val="nil"/>
              <w:bottom w:val="single" w:sz="4" w:space="0" w:color="auto"/>
              <w:right w:val="nil"/>
            </w:tcBorders>
            <w:shd w:val="clear" w:color="auto" w:fill="D9D9D9" w:themeFill="background1" w:themeFillShade="D9"/>
            <w:noWrap/>
            <w:vAlign w:val="center"/>
            <w:hideMark/>
          </w:tcPr>
          <w:p w14:paraId="2D574378"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153066224,4</w:t>
            </w:r>
          </w:p>
        </w:tc>
        <w:tc>
          <w:tcPr>
            <w:tcW w:w="317" w:type="pct"/>
            <w:tcBorders>
              <w:top w:val="single" w:sz="4" w:space="0" w:color="auto"/>
              <w:left w:val="nil"/>
              <w:bottom w:val="single" w:sz="4" w:space="0" w:color="auto"/>
              <w:right w:val="nil"/>
            </w:tcBorders>
            <w:shd w:val="clear" w:color="auto" w:fill="D9D9D9" w:themeFill="background1" w:themeFillShade="D9"/>
            <w:noWrap/>
            <w:vAlign w:val="center"/>
            <w:hideMark/>
          </w:tcPr>
          <w:p w14:paraId="07C42325"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167145973,6</w:t>
            </w:r>
          </w:p>
        </w:tc>
        <w:tc>
          <w:tcPr>
            <w:tcW w:w="316" w:type="pct"/>
            <w:tcBorders>
              <w:top w:val="single" w:sz="4" w:space="0" w:color="auto"/>
              <w:left w:val="nil"/>
              <w:bottom w:val="single" w:sz="4" w:space="0" w:color="auto"/>
              <w:right w:val="nil"/>
            </w:tcBorders>
            <w:shd w:val="clear" w:color="auto" w:fill="D9D9D9" w:themeFill="background1" w:themeFillShade="D9"/>
            <w:noWrap/>
            <w:vAlign w:val="center"/>
            <w:hideMark/>
          </w:tcPr>
          <w:p w14:paraId="0A850009"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162262227,8</w:t>
            </w:r>
          </w:p>
        </w:tc>
        <w:tc>
          <w:tcPr>
            <w:tcW w:w="369" w:type="pct"/>
            <w:tcBorders>
              <w:top w:val="single" w:sz="4" w:space="0" w:color="auto"/>
              <w:left w:val="nil"/>
              <w:bottom w:val="single" w:sz="4" w:space="0" w:color="auto"/>
              <w:right w:val="nil"/>
            </w:tcBorders>
            <w:shd w:val="clear" w:color="auto" w:fill="D9D9D9" w:themeFill="background1" w:themeFillShade="D9"/>
            <w:noWrap/>
            <w:vAlign w:val="center"/>
            <w:hideMark/>
          </w:tcPr>
          <w:p w14:paraId="2B5F1896"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151715320,5</w:t>
            </w:r>
          </w:p>
        </w:tc>
        <w:tc>
          <w:tcPr>
            <w:tcW w:w="263" w:type="pct"/>
            <w:tcBorders>
              <w:top w:val="single" w:sz="4" w:space="0" w:color="auto"/>
              <w:left w:val="nil"/>
              <w:bottom w:val="single" w:sz="4" w:space="0" w:color="auto"/>
              <w:right w:val="nil"/>
            </w:tcBorders>
            <w:shd w:val="clear" w:color="auto" w:fill="D9D9D9" w:themeFill="background1" w:themeFillShade="D9"/>
            <w:noWrap/>
            <w:vAlign w:val="center"/>
            <w:hideMark/>
          </w:tcPr>
          <w:p w14:paraId="7A3EF89F"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193615421,4</w:t>
            </w:r>
          </w:p>
        </w:tc>
        <w:tc>
          <w:tcPr>
            <w:tcW w:w="262" w:type="pct"/>
            <w:tcBorders>
              <w:top w:val="single" w:sz="4" w:space="0" w:color="auto"/>
              <w:left w:val="nil"/>
              <w:bottom w:val="single" w:sz="4" w:space="0" w:color="auto"/>
              <w:right w:val="nil"/>
            </w:tcBorders>
            <w:shd w:val="clear" w:color="auto" w:fill="D9D9D9" w:themeFill="background1" w:themeFillShade="D9"/>
            <w:noWrap/>
            <w:vAlign w:val="center"/>
            <w:hideMark/>
          </w:tcPr>
          <w:p w14:paraId="5CD4EC90"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204713480</w:t>
            </w:r>
          </w:p>
        </w:tc>
        <w:tc>
          <w:tcPr>
            <w:tcW w:w="280" w:type="pct"/>
            <w:tcBorders>
              <w:top w:val="single" w:sz="4" w:space="0" w:color="auto"/>
              <w:left w:val="nil"/>
              <w:bottom w:val="single" w:sz="4" w:space="0" w:color="auto"/>
              <w:right w:val="nil"/>
            </w:tcBorders>
            <w:shd w:val="clear" w:color="auto" w:fill="D9D9D9" w:themeFill="background1" w:themeFillShade="D9"/>
            <w:noWrap/>
            <w:vAlign w:val="center"/>
            <w:hideMark/>
          </w:tcPr>
          <w:p w14:paraId="6F843371"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90381739,49</w:t>
            </w:r>
          </w:p>
        </w:tc>
        <w:tc>
          <w:tcPr>
            <w:tcW w:w="29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DB65BCE" w14:textId="77777777" w:rsidR="00D94988" w:rsidRPr="00550E1B" w:rsidRDefault="00D94988" w:rsidP="00550E1B">
            <w:pPr>
              <w:spacing w:after="0" w:line="240" w:lineRule="auto"/>
              <w:jc w:val="center"/>
              <w:rPr>
                <w:rFonts w:ascii="Work Sans Regular Roman" w:eastAsia="Times New Roman" w:hAnsi="Work Sans Regular Roman" w:cs="Calibri"/>
                <w:b/>
                <w:bCs/>
                <w:sz w:val="16"/>
                <w:szCs w:val="16"/>
              </w:rPr>
            </w:pPr>
            <w:r w:rsidRPr="00550E1B">
              <w:rPr>
                <w:rFonts w:ascii="Work Sans Regular Roman" w:eastAsia="Times New Roman" w:hAnsi="Work Sans Regular Roman" w:cs="Calibri"/>
                <w:b/>
                <w:bCs/>
                <w:sz w:val="16"/>
                <w:szCs w:val="16"/>
              </w:rPr>
              <w:t>1649649218</w:t>
            </w:r>
          </w:p>
        </w:tc>
      </w:tr>
    </w:tbl>
    <w:p w14:paraId="4AC926CF" w14:textId="77777777" w:rsidR="00D94988" w:rsidRPr="009110B9" w:rsidRDefault="00D94988" w:rsidP="00550E1B">
      <w:pPr>
        <w:spacing w:after="0" w:line="240" w:lineRule="auto"/>
        <w:contextualSpacing/>
        <w:jc w:val="both"/>
        <w:rPr>
          <w:rFonts w:ascii="Work Sans Regular Roman" w:hAnsi="Work Sans Regular Roman"/>
          <w:b/>
          <w:bCs/>
          <w:sz w:val="20"/>
          <w:szCs w:val="20"/>
        </w:rPr>
      </w:pPr>
    </w:p>
    <w:p w14:paraId="10912C33" w14:textId="39483884" w:rsidR="00D94988" w:rsidRDefault="000A26BF" w:rsidP="000A26BF">
      <w:pPr>
        <w:spacing w:after="0" w:line="240" w:lineRule="auto"/>
        <w:contextualSpacing/>
        <w:jc w:val="both"/>
        <w:rPr>
          <w:rFonts w:ascii="Work Sans Regular Roman" w:hAnsi="Work Sans Regular Roman"/>
          <w:b/>
          <w:bCs/>
          <w:sz w:val="20"/>
          <w:szCs w:val="20"/>
        </w:rPr>
      </w:pPr>
      <w:r w:rsidRPr="000A26BF">
        <w:rPr>
          <w:rFonts w:ascii="Work Sans Regular Roman" w:hAnsi="Work Sans Regular Roman"/>
          <w:b/>
          <w:bCs/>
          <w:sz w:val="20"/>
          <w:szCs w:val="20"/>
        </w:rPr>
        <w:t>Importación</w:t>
      </w:r>
      <w:r>
        <w:rPr>
          <w:rFonts w:ascii="Work Sans Regular Roman" w:hAnsi="Work Sans Regular Roman"/>
          <w:b/>
          <w:bCs/>
          <w:sz w:val="20"/>
          <w:szCs w:val="20"/>
        </w:rPr>
        <w:t>:</w:t>
      </w:r>
    </w:p>
    <w:p w14:paraId="2975E98E" w14:textId="77777777" w:rsidR="009110B9" w:rsidRPr="000A26BF" w:rsidRDefault="009110B9" w:rsidP="000A26BF">
      <w:pPr>
        <w:spacing w:after="0" w:line="240" w:lineRule="auto"/>
        <w:contextualSpacing/>
        <w:jc w:val="both"/>
        <w:rPr>
          <w:rFonts w:ascii="Work Sans Regular Roman" w:hAnsi="Work Sans Regular Roman"/>
          <w:b/>
          <w:bCs/>
          <w:sz w:val="20"/>
          <w:szCs w:val="20"/>
        </w:rPr>
      </w:pPr>
    </w:p>
    <w:tbl>
      <w:tblPr>
        <w:tblW w:w="13467" w:type="dxa"/>
        <w:tblInd w:w="-284" w:type="dxa"/>
        <w:tblLayout w:type="fixed"/>
        <w:tblLook w:val="04A0" w:firstRow="1" w:lastRow="0" w:firstColumn="1" w:lastColumn="0" w:noHBand="0" w:noVBand="1"/>
      </w:tblPr>
      <w:tblGrid>
        <w:gridCol w:w="1418"/>
        <w:gridCol w:w="710"/>
        <w:gridCol w:w="708"/>
        <w:gridCol w:w="709"/>
        <w:gridCol w:w="987"/>
        <w:gridCol w:w="709"/>
        <w:gridCol w:w="708"/>
        <w:gridCol w:w="851"/>
        <w:gridCol w:w="709"/>
        <w:gridCol w:w="850"/>
        <w:gridCol w:w="851"/>
        <w:gridCol w:w="850"/>
        <w:gridCol w:w="709"/>
        <w:gridCol w:w="709"/>
        <w:gridCol w:w="850"/>
        <w:gridCol w:w="1139"/>
      </w:tblGrid>
      <w:tr w:rsidR="000A26BF" w:rsidRPr="000A26BF" w14:paraId="71848852" w14:textId="77777777" w:rsidTr="001033A1">
        <w:trPr>
          <w:trHeight w:val="645"/>
        </w:trPr>
        <w:tc>
          <w:tcPr>
            <w:tcW w:w="1418" w:type="dxa"/>
            <w:tcBorders>
              <w:top w:val="single" w:sz="4" w:space="0" w:color="auto"/>
              <w:left w:val="single" w:sz="4" w:space="0" w:color="auto"/>
              <w:bottom w:val="nil"/>
              <w:right w:val="nil"/>
            </w:tcBorders>
            <w:shd w:val="clear" w:color="auto" w:fill="BFBFBF" w:themeFill="background1" w:themeFillShade="BF"/>
            <w:vAlign w:val="center"/>
            <w:hideMark/>
          </w:tcPr>
          <w:p w14:paraId="2C5951E8" w14:textId="77777777" w:rsidR="000A26BF" w:rsidRPr="000A26BF" w:rsidRDefault="000A26BF"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VOLUMEN IMPORTADO (GALONES)</w:t>
            </w:r>
          </w:p>
        </w:tc>
        <w:tc>
          <w:tcPr>
            <w:tcW w:w="12049" w:type="dxa"/>
            <w:gridSpan w:val="15"/>
            <w:tcBorders>
              <w:top w:val="single" w:sz="4" w:space="0" w:color="auto"/>
              <w:left w:val="nil"/>
              <w:bottom w:val="nil"/>
              <w:right w:val="single" w:sz="4" w:space="0" w:color="auto"/>
            </w:tcBorders>
            <w:shd w:val="clear" w:color="auto" w:fill="BFBFBF" w:themeFill="background1" w:themeFillShade="BF"/>
            <w:noWrap/>
            <w:vAlign w:val="center"/>
            <w:hideMark/>
          </w:tcPr>
          <w:p w14:paraId="42C743E5" w14:textId="69F82B84" w:rsidR="000A26BF" w:rsidRPr="000A26BF" w:rsidRDefault="000A26BF" w:rsidP="000A26BF">
            <w:pPr>
              <w:spacing w:after="0" w:line="240" w:lineRule="auto"/>
              <w:jc w:val="center"/>
              <w:rPr>
                <w:rFonts w:ascii="Work Sans Regular Roman" w:eastAsia="Times New Roman" w:hAnsi="Work Sans Regular Roman" w:cs="Times New Roman"/>
                <w:sz w:val="16"/>
                <w:szCs w:val="16"/>
              </w:rPr>
            </w:pPr>
            <w:r w:rsidRPr="000A26BF">
              <w:rPr>
                <w:rFonts w:ascii="Work Sans Regular Roman" w:eastAsia="Times New Roman" w:hAnsi="Work Sans Regular Roman" w:cs="Calibri"/>
                <w:b/>
                <w:bCs/>
                <w:sz w:val="16"/>
                <w:szCs w:val="16"/>
              </w:rPr>
              <w:t>AÑO</w:t>
            </w:r>
          </w:p>
        </w:tc>
      </w:tr>
      <w:tr w:rsidR="000A26BF" w:rsidRPr="000A26BF" w14:paraId="7B455238" w14:textId="77777777" w:rsidTr="009110B9">
        <w:trPr>
          <w:trHeight w:val="435"/>
        </w:trPr>
        <w:tc>
          <w:tcPr>
            <w:tcW w:w="1418" w:type="dxa"/>
            <w:tcBorders>
              <w:top w:val="nil"/>
              <w:left w:val="single" w:sz="4" w:space="0" w:color="auto"/>
              <w:bottom w:val="single" w:sz="4" w:space="0" w:color="auto"/>
              <w:right w:val="nil"/>
            </w:tcBorders>
            <w:shd w:val="clear" w:color="auto" w:fill="BFBFBF" w:themeFill="background1" w:themeFillShade="BF"/>
            <w:vAlign w:val="center"/>
            <w:hideMark/>
          </w:tcPr>
          <w:p w14:paraId="046EB3B8"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TIPO DE AGENTE/PRODUCTO</w:t>
            </w:r>
          </w:p>
        </w:tc>
        <w:tc>
          <w:tcPr>
            <w:tcW w:w="710" w:type="dxa"/>
            <w:tcBorders>
              <w:top w:val="nil"/>
              <w:left w:val="nil"/>
              <w:bottom w:val="single" w:sz="4" w:space="0" w:color="auto"/>
              <w:right w:val="nil"/>
            </w:tcBorders>
            <w:shd w:val="clear" w:color="auto" w:fill="BFBFBF" w:themeFill="background1" w:themeFillShade="BF"/>
            <w:noWrap/>
            <w:vAlign w:val="center"/>
            <w:hideMark/>
          </w:tcPr>
          <w:p w14:paraId="25F14C1F"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2010</w:t>
            </w:r>
          </w:p>
        </w:tc>
        <w:tc>
          <w:tcPr>
            <w:tcW w:w="708" w:type="dxa"/>
            <w:tcBorders>
              <w:top w:val="nil"/>
              <w:left w:val="nil"/>
              <w:bottom w:val="single" w:sz="4" w:space="0" w:color="auto"/>
              <w:right w:val="nil"/>
            </w:tcBorders>
            <w:shd w:val="clear" w:color="auto" w:fill="BFBFBF" w:themeFill="background1" w:themeFillShade="BF"/>
            <w:noWrap/>
            <w:vAlign w:val="center"/>
            <w:hideMark/>
          </w:tcPr>
          <w:p w14:paraId="35021688"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2011</w:t>
            </w:r>
          </w:p>
        </w:tc>
        <w:tc>
          <w:tcPr>
            <w:tcW w:w="709" w:type="dxa"/>
            <w:tcBorders>
              <w:top w:val="nil"/>
              <w:left w:val="nil"/>
              <w:bottom w:val="single" w:sz="4" w:space="0" w:color="auto"/>
              <w:right w:val="nil"/>
            </w:tcBorders>
            <w:shd w:val="clear" w:color="auto" w:fill="BFBFBF" w:themeFill="background1" w:themeFillShade="BF"/>
            <w:noWrap/>
            <w:vAlign w:val="center"/>
            <w:hideMark/>
          </w:tcPr>
          <w:p w14:paraId="2C272E02"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2012</w:t>
            </w:r>
          </w:p>
        </w:tc>
        <w:tc>
          <w:tcPr>
            <w:tcW w:w="987" w:type="dxa"/>
            <w:tcBorders>
              <w:top w:val="nil"/>
              <w:left w:val="nil"/>
              <w:bottom w:val="single" w:sz="4" w:space="0" w:color="auto"/>
              <w:right w:val="nil"/>
            </w:tcBorders>
            <w:shd w:val="clear" w:color="auto" w:fill="BFBFBF" w:themeFill="background1" w:themeFillShade="BF"/>
            <w:noWrap/>
            <w:vAlign w:val="center"/>
            <w:hideMark/>
          </w:tcPr>
          <w:p w14:paraId="761CCAF4"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2013</w:t>
            </w:r>
          </w:p>
        </w:tc>
        <w:tc>
          <w:tcPr>
            <w:tcW w:w="709" w:type="dxa"/>
            <w:tcBorders>
              <w:top w:val="nil"/>
              <w:left w:val="nil"/>
              <w:bottom w:val="single" w:sz="4" w:space="0" w:color="auto"/>
              <w:right w:val="nil"/>
            </w:tcBorders>
            <w:shd w:val="clear" w:color="auto" w:fill="BFBFBF" w:themeFill="background1" w:themeFillShade="BF"/>
            <w:noWrap/>
            <w:vAlign w:val="center"/>
            <w:hideMark/>
          </w:tcPr>
          <w:p w14:paraId="49A2F6BD"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2014</w:t>
            </w:r>
          </w:p>
        </w:tc>
        <w:tc>
          <w:tcPr>
            <w:tcW w:w="708" w:type="dxa"/>
            <w:tcBorders>
              <w:top w:val="nil"/>
              <w:left w:val="nil"/>
              <w:bottom w:val="single" w:sz="4" w:space="0" w:color="auto"/>
              <w:right w:val="nil"/>
            </w:tcBorders>
            <w:shd w:val="clear" w:color="auto" w:fill="BFBFBF" w:themeFill="background1" w:themeFillShade="BF"/>
            <w:noWrap/>
            <w:vAlign w:val="center"/>
            <w:hideMark/>
          </w:tcPr>
          <w:p w14:paraId="0BE0937E"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2015</w:t>
            </w:r>
          </w:p>
        </w:tc>
        <w:tc>
          <w:tcPr>
            <w:tcW w:w="851" w:type="dxa"/>
            <w:tcBorders>
              <w:top w:val="nil"/>
              <w:left w:val="nil"/>
              <w:bottom w:val="single" w:sz="4" w:space="0" w:color="auto"/>
              <w:right w:val="nil"/>
            </w:tcBorders>
            <w:shd w:val="clear" w:color="auto" w:fill="BFBFBF" w:themeFill="background1" w:themeFillShade="BF"/>
            <w:noWrap/>
            <w:vAlign w:val="center"/>
            <w:hideMark/>
          </w:tcPr>
          <w:p w14:paraId="418712A7"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2016</w:t>
            </w:r>
          </w:p>
        </w:tc>
        <w:tc>
          <w:tcPr>
            <w:tcW w:w="709" w:type="dxa"/>
            <w:tcBorders>
              <w:top w:val="nil"/>
              <w:left w:val="nil"/>
              <w:bottom w:val="single" w:sz="4" w:space="0" w:color="auto"/>
              <w:right w:val="nil"/>
            </w:tcBorders>
            <w:shd w:val="clear" w:color="auto" w:fill="BFBFBF" w:themeFill="background1" w:themeFillShade="BF"/>
            <w:noWrap/>
            <w:vAlign w:val="center"/>
            <w:hideMark/>
          </w:tcPr>
          <w:p w14:paraId="75E36E40"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2017</w:t>
            </w:r>
          </w:p>
        </w:tc>
        <w:tc>
          <w:tcPr>
            <w:tcW w:w="850" w:type="dxa"/>
            <w:tcBorders>
              <w:top w:val="nil"/>
              <w:left w:val="nil"/>
              <w:bottom w:val="single" w:sz="4" w:space="0" w:color="auto"/>
              <w:right w:val="nil"/>
            </w:tcBorders>
            <w:shd w:val="clear" w:color="auto" w:fill="BFBFBF" w:themeFill="background1" w:themeFillShade="BF"/>
            <w:noWrap/>
            <w:vAlign w:val="center"/>
            <w:hideMark/>
          </w:tcPr>
          <w:p w14:paraId="3109886F"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2018</w:t>
            </w:r>
          </w:p>
        </w:tc>
        <w:tc>
          <w:tcPr>
            <w:tcW w:w="851" w:type="dxa"/>
            <w:tcBorders>
              <w:top w:val="nil"/>
              <w:left w:val="nil"/>
              <w:bottom w:val="single" w:sz="4" w:space="0" w:color="auto"/>
              <w:right w:val="nil"/>
            </w:tcBorders>
            <w:shd w:val="clear" w:color="auto" w:fill="BFBFBF" w:themeFill="background1" w:themeFillShade="BF"/>
            <w:noWrap/>
            <w:vAlign w:val="center"/>
            <w:hideMark/>
          </w:tcPr>
          <w:p w14:paraId="55C3D57A"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2019</w:t>
            </w:r>
          </w:p>
        </w:tc>
        <w:tc>
          <w:tcPr>
            <w:tcW w:w="850" w:type="dxa"/>
            <w:tcBorders>
              <w:top w:val="nil"/>
              <w:left w:val="nil"/>
              <w:bottom w:val="single" w:sz="4" w:space="0" w:color="auto"/>
              <w:right w:val="nil"/>
            </w:tcBorders>
            <w:shd w:val="clear" w:color="auto" w:fill="BFBFBF" w:themeFill="background1" w:themeFillShade="BF"/>
            <w:noWrap/>
            <w:vAlign w:val="center"/>
            <w:hideMark/>
          </w:tcPr>
          <w:p w14:paraId="54E18A47"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2020</w:t>
            </w:r>
          </w:p>
        </w:tc>
        <w:tc>
          <w:tcPr>
            <w:tcW w:w="709" w:type="dxa"/>
            <w:tcBorders>
              <w:top w:val="nil"/>
              <w:left w:val="nil"/>
              <w:bottom w:val="single" w:sz="4" w:space="0" w:color="auto"/>
              <w:right w:val="nil"/>
            </w:tcBorders>
            <w:shd w:val="clear" w:color="auto" w:fill="BFBFBF" w:themeFill="background1" w:themeFillShade="BF"/>
            <w:noWrap/>
            <w:vAlign w:val="center"/>
            <w:hideMark/>
          </w:tcPr>
          <w:p w14:paraId="6B82A147"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2021</w:t>
            </w:r>
          </w:p>
        </w:tc>
        <w:tc>
          <w:tcPr>
            <w:tcW w:w="709" w:type="dxa"/>
            <w:tcBorders>
              <w:top w:val="nil"/>
              <w:left w:val="nil"/>
              <w:bottom w:val="single" w:sz="4" w:space="0" w:color="auto"/>
              <w:right w:val="nil"/>
            </w:tcBorders>
            <w:shd w:val="clear" w:color="auto" w:fill="BFBFBF" w:themeFill="background1" w:themeFillShade="BF"/>
            <w:noWrap/>
            <w:vAlign w:val="center"/>
            <w:hideMark/>
          </w:tcPr>
          <w:p w14:paraId="0D7218AF"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2022</w:t>
            </w:r>
          </w:p>
        </w:tc>
        <w:tc>
          <w:tcPr>
            <w:tcW w:w="850" w:type="dxa"/>
            <w:tcBorders>
              <w:top w:val="nil"/>
              <w:left w:val="nil"/>
              <w:bottom w:val="single" w:sz="4" w:space="0" w:color="auto"/>
              <w:right w:val="nil"/>
            </w:tcBorders>
            <w:shd w:val="clear" w:color="auto" w:fill="BFBFBF" w:themeFill="background1" w:themeFillShade="BF"/>
            <w:noWrap/>
            <w:vAlign w:val="center"/>
            <w:hideMark/>
          </w:tcPr>
          <w:p w14:paraId="6D2996A9"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2023</w:t>
            </w:r>
          </w:p>
        </w:tc>
        <w:tc>
          <w:tcPr>
            <w:tcW w:w="1139" w:type="dxa"/>
            <w:tcBorders>
              <w:top w:val="nil"/>
              <w:left w:val="nil"/>
              <w:bottom w:val="single" w:sz="4" w:space="0" w:color="auto"/>
              <w:right w:val="single" w:sz="4" w:space="0" w:color="auto"/>
            </w:tcBorders>
            <w:shd w:val="clear" w:color="auto" w:fill="BFBFBF" w:themeFill="background1" w:themeFillShade="BF"/>
            <w:noWrap/>
            <w:vAlign w:val="center"/>
            <w:hideMark/>
          </w:tcPr>
          <w:p w14:paraId="6F85CE39"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TOTAL</w:t>
            </w:r>
          </w:p>
        </w:tc>
      </w:tr>
      <w:tr w:rsidR="009110B9" w:rsidRPr="000A26BF" w14:paraId="3246F87B" w14:textId="77777777" w:rsidTr="009110B9">
        <w:trPr>
          <w:trHeight w:val="285"/>
        </w:trPr>
        <w:tc>
          <w:tcPr>
            <w:tcW w:w="1418" w:type="dxa"/>
            <w:tcBorders>
              <w:top w:val="single" w:sz="4" w:space="0" w:color="auto"/>
              <w:left w:val="single" w:sz="4" w:space="0" w:color="auto"/>
              <w:bottom w:val="single" w:sz="4" w:space="0" w:color="auto"/>
              <w:right w:val="nil"/>
            </w:tcBorders>
            <w:shd w:val="clear" w:color="auto" w:fill="auto"/>
            <w:noWrap/>
            <w:vAlign w:val="center"/>
            <w:hideMark/>
          </w:tcPr>
          <w:p w14:paraId="2D7035BE"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IMPORTADOR</w:t>
            </w:r>
          </w:p>
        </w:tc>
        <w:tc>
          <w:tcPr>
            <w:tcW w:w="710" w:type="dxa"/>
            <w:tcBorders>
              <w:top w:val="single" w:sz="4" w:space="0" w:color="auto"/>
              <w:left w:val="nil"/>
              <w:bottom w:val="single" w:sz="4" w:space="0" w:color="auto"/>
              <w:right w:val="nil"/>
            </w:tcBorders>
            <w:shd w:val="clear" w:color="auto" w:fill="auto"/>
            <w:noWrap/>
            <w:vAlign w:val="center"/>
            <w:hideMark/>
          </w:tcPr>
          <w:p w14:paraId="44CA7631"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p>
        </w:tc>
        <w:tc>
          <w:tcPr>
            <w:tcW w:w="708" w:type="dxa"/>
            <w:tcBorders>
              <w:top w:val="single" w:sz="4" w:space="0" w:color="auto"/>
              <w:left w:val="nil"/>
              <w:bottom w:val="single" w:sz="4" w:space="0" w:color="auto"/>
              <w:right w:val="nil"/>
            </w:tcBorders>
            <w:shd w:val="clear" w:color="auto" w:fill="auto"/>
            <w:noWrap/>
            <w:vAlign w:val="center"/>
            <w:hideMark/>
          </w:tcPr>
          <w:p w14:paraId="26250A2C"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single" w:sz="4" w:space="0" w:color="auto"/>
              <w:left w:val="nil"/>
              <w:bottom w:val="single" w:sz="4" w:space="0" w:color="auto"/>
              <w:right w:val="nil"/>
            </w:tcBorders>
            <w:shd w:val="clear" w:color="auto" w:fill="auto"/>
            <w:noWrap/>
            <w:vAlign w:val="center"/>
            <w:hideMark/>
          </w:tcPr>
          <w:p w14:paraId="760401B0"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987" w:type="dxa"/>
            <w:tcBorders>
              <w:top w:val="single" w:sz="4" w:space="0" w:color="auto"/>
              <w:left w:val="nil"/>
              <w:bottom w:val="single" w:sz="4" w:space="0" w:color="auto"/>
              <w:right w:val="nil"/>
            </w:tcBorders>
            <w:shd w:val="clear" w:color="auto" w:fill="auto"/>
            <w:noWrap/>
            <w:vAlign w:val="center"/>
            <w:hideMark/>
          </w:tcPr>
          <w:p w14:paraId="12C1B6A0"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single" w:sz="4" w:space="0" w:color="auto"/>
              <w:left w:val="nil"/>
              <w:bottom w:val="single" w:sz="4" w:space="0" w:color="auto"/>
              <w:right w:val="nil"/>
            </w:tcBorders>
            <w:shd w:val="clear" w:color="auto" w:fill="auto"/>
            <w:noWrap/>
            <w:vAlign w:val="center"/>
            <w:hideMark/>
          </w:tcPr>
          <w:p w14:paraId="2C87CB01"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8" w:type="dxa"/>
            <w:tcBorders>
              <w:top w:val="single" w:sz="4" w:space="0" w:color="auto"/>
              <w:left w:val="nil"/>
              <w:bottom w:val="single" w:sz="4" w:space="0" w:color="auto"/>
              <w:right w:val="nil"/>
            </w:tcBorders>
            <w:shd w:val="clear" w:color="auto" w:fill="auto"/>
            <w:noWrap/>
            <w:vAlign w:val="center"/>
            <w:hideMark/>
          </w:tcPr>
          <w:p w14:paraId="7083A5A6"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851" w:type="dxa"/>
            <w:tcBorders>
              <w:top w:val="single" w:sz="4" w:space="0" w:color="auto"/>
              <w:left w:val="nil"/>
              <w:bottom w:val="single" w:sz="4" w:space="0" w:color="auto"/>
              <w:right w:val="nil"/>
            </w:tcBorders>
            <w:shd w:val="clear" w:color="auto" w:fill="auto"/>
            <w:noWrap/>
            <w:vAlign w:val="center"/>
            <w:hideMark/>
          </w:tcPr>
          <w:p w14:paraId="0576CBAB"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single" w:sz="4" w:space="0" w:color="auto"/>
              <w:left w:val="nil"/>
              <w:bottom w:val="single" w:sz="4" w:space="0" w:color="auto"/>
              <w:right w:val="nil"/>
            </w:tcBorders>
            <w:shd w:val="clear" w:color="auto" w:fill="auto"/>
            <w:noWrap/>
            <w:vAlign w:val="center"/>
            <w:hideMark/>
          </w:tcPr>
          <w:p w14:paraId="39700410"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850" w:type="dxa"/>
            <w:tcBorders>
              <w:top w:val="single" w:sz="4" w:space="0" w:color="auto"/>
              <w:left w:val="nil"/>
              <w:bottom w:val="single" w:sz="4" w:space="0" w:color="auto"/>
              <w:right w:val="nil"/>
            </w:tcBorders>
            <w:shd w:val="clear" w:color="auto" w:fill="auto"/>
            <w:noWrap/>
            <w:vAlign w:val="center"/>
            <w:hideMark/>
          </w:tcPr>
          <w:p w14:paraId="1958A259"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851" w:type="dxa"/>
            <w:tcBorders>
              <w:top w:val="single" w:sz="4" w:space="0" w:color="auto"/>
              <w:left w:val="nil"/>
              <w:bottom w:val="single" w:sz="4" w:space="0" w:color="auto"/>
              <w:right w:val="nil"/>
            </w:tcBorders>
            <w:shd w:val="clear" w:color="auto" w:fill="auto"/>
            <w:noWrap/>
            <w:vAlign w:val="center"/>
            <w:hideMark/>
          </w:tcPr>
          <w:p w14:paraId="7858DD36"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850" w:type="dxa"/>
            <w:tcBorders>
              <w:top w:val="single" w:sz="4" w:space="0" w:color="auto"/>
              <w:left w:val="nil"/>
              <w:bottom w:val="single" w:sz="4" w:space="0" w:color="auto"/>
              <w:right w:val="nil"/>
            </w:tcBorders>
            <w:shd w:val="clear" w:color="auto" w:fill="auto"/>
            <w:noWrap/>
            <w:vAlign w:val="center"/>
            <w:hideMark/>
          </w:tcPr>
          <w:p w14:paraId="042B5941"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single" w:sz="4" w:space="0" w:color="auto"/>
              <w:left w:val="nil"/>
              <w:bottom w:val="single" w:sz="4" w:space="0" w:color="auto"/>
              <w:right w:val="nil"/>
            </w:tcBorders>
            <w:shd w:val="clear" w:color="auto" w:fill="auto"/>
            <w:noWrap/>
            <w:vAlign w:val="center"/>
            <w:hideMark/>
          </w:tcPr>
          <w:p w14:paraId="0E0BD72D"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single" w:sz="4" w:space="0" w:color="auto"/>
              <w:left w:val="nil"/>
              <w:bottom w:val="single" w:sz="4" w:space="0" w:color="auto"/>
              <w:right w:val="nil"/>
            </w:tcBorders>
            <w:shd w:val="clear" w:color="auto" w:fill="auto"/>
            <w:noWrap/>
            <w:vAlign w:val="center"/>
            <w:hideMark/>
          </w:tcPr>
          <w:p w14:paraId="774A948A"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850" w:type="dxa"/>
            <w:tcBorders>
              <w:top w:val="single" w:sz="4" w:space="0" w:color="auto"/>
              <w:left w:val="nil"/>
              <w:bottom w:val="single" w:sz="4" w:space="0" w:color="auto"/>
              <w:right w:val="nil"/>
            </w:tcBorders>
            <w:shd w:val="clear" w:color="auto" w:fill="auto"/>
            <w:noWrap/>
            <w:vAlign w:val="center"/>
            <w:hideMark/>
          </w:tcPr>
          <w:p w14:paraId="03315F02"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1816805C"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r>
      <w:tr w:rsidR="00D94988" w:rsidRPr="000A26BF" w14:paraId="709564CC" w14:textId="77777777" w:rsidTr="009110B9">
        <w:trPr>
          <w:trHeight w:val="285"/>
        </w:trPr>
        <w:tc>
          <w:tcPr>
            <w:tcW w:w="1418" w:type="dxa"/>
            <w:tcBorders>
              <w:top w:val="single" w:sz="4" w:space="0" w:color="auto"/>
              <w:left w:val="single" w:sz="4" w:space="0" w:color="auto"/>
              <w:bottom w:val="nil"/>
              <w:right w:val="nil"/>
            </w:tcBorders>
            <w:shd w:val="clear" w:color="auto" w:fill="auto"/>
            <w:noWrap/>
            <w:vAlign w:val="center"/>
            <w:hideMark/>
          </w:tcPr>
          <w:p w14:paraId="67B753DC"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ACPM</w:t>
            </w:r>
          </w:p>
        </w:tc>
        <w:tc>
          <w:tcPr>
            <w:tcW w:w="710" w:type="dxa"/>
            <w:tcBorders>
              <w:top w:val="single" w:sz="4" w:space="0" w:color="auto"/>
              <w:left w:val="nil"/>
              <w:bottom w:val="nil"/>
              <w:right w:val="nil"/>
            </w:tcBorders>
            <w:shd w:val="clear" w:color="auto" w:fill="auto"/>
            <w:noWrap/>
            <w:vAlign w:val="center"/>
            <w:hideMark/>
          </w:tcPr>
          <w:p w14:paraId="7F18FC34"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173851880</w:t>
            </w:r>
          </w:p>
        </w:tc>
        <w:tc>
          <w:tcPr>
            <w:tcW w:w="708" w:type="dxa"/>
            <w:tcBorders>
              <w:top w:val="single" w:sz="4" w:space="0" w:color="auto"/>
              <w:left w:val="nil"/>
              <w:bottom w:val="nil"/>
              <w:right w:val="nil"/>
            </w:tcBorders>
            <w:shd w:val="clear" w:color="auto" w:fill="auto"/>
            <w:noWrap/>
            <w:vAlign w:val="center"/>
            <w:hideMark/>
          </w:tcPr>
          <w:p w14:paraId="7C905C8F"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302450472</w:t>
            </w:r>
          </w:p>
        </w:tc>
        <w:tc>
          <w:tcPr>
            <w:tcW w:w="709" w:type="dxa"/>
            <w:tcBorders>
              <w:top w:val="single" w:sz="4" w:space="0" w:color="auto"/>
              <w:left w:val="nil"/>
              <w:bottom w:val="nil"/>
              <w:right w:val="nil"/>
            </w:tcBorders>
            <w:shd w:val="clear" w:color="auto" w:fill="auto"/>
            <w:noWrap/>
            <w:vAlign w:val="center"/>
            <w:hideMark/>
          </w:tcPr>
          <w:p w14:paraId="493BDBF3"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252110097</w:t>
            </w:r>
          </w:p>
        </w:tc>
        <w:tc>
          <w:tcPr>
            <w:tcW w:w="987" w:type="dxa"/>
            <w:tcBorders>
              <w:top w:val="single" w:sz="4" w:space="0" w:color="auto"/>
              <w:left w:val="nil"/>
              <w:bottom w:val="nil"/>
              <w:right w:val="nil"/>
            </w:tcBorders>
            <w:shd w:val="clear" w:color="auto" w:fill="auto"/>
            <w:noWrap/>
            <w:vAlign w:val="center"/>
            <w:hideMark/>
          </w:tcPr>
          <w:p w14:paraId="1871D8D0"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237491533</w:t>
            </w:r>
          </w:p>
        </w:tc>
        <w:tc>
          <w:tcPr>
            <w:tcW w:w="709" w:type="dxa"/>
            <w:tcBorders>
              <w:top w:val="single" w:sz="4" w:space="0" w:color="auto"/>
              <w:left w:val="nil"/>
              <w:bottom w:val="nil"/>
              <w:right w:val="nil"/>
            </w:tcBorders>
            <w:shd w:val="clear" w:color="auto" w:fill="auto"/>
            <w:noWrap/>
            <w:vAlign w:val="center"/>
            <w:hideMark/>
          </w:tcPr>
          <w:p w14:paraId="62976DBD"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245642621</w:t>
            </w:r>
          </w:p>
        </w:tc>
        <w:tc>
          <w:tcPr>
            <w:tcW w:w="708" w:type="dxa"/>
            <w:tcBorders>
              <w:top w:val="single" w:sz="4" w:space="0" w:color="auto"/>
              <w:left w:val="nil"/>
              <w:bottom w:val="nil"/>
              <w:right w:val="nil"/>
            </w:tcBorders>
            <w:shd w:val="clear" w:color="auto" w:fill="auto"/>
            <w:noWrap/>
            <w:vAlign w:val="center"/>
            <w:hideMark/>
          </w:tcPr>
          <w:p w14:paraId="6659E51E"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302683192</w:t>
            </w:r>
          </w:p>
        </w:tc>
        <w:tc>
          <w:tcPr>
            <w:tcW w:w="851" w:type="dxa"/>
            <w:tcBorders>
              <w:top w:val="single" w:sz="4" w:space="0" w:color="auto"/>
              <w:left w:val="nil"/>
              <w:bottom w:val="nil"/>
              <w:right w:val="nil"/>
            </w:tcBorders>
            <w:shd w:val="clear" w:color="auto" w:fill="auto"/>
            <w:noWrap/>
            <w:vAlign w:val="center"/>
            <w:hideMark/>
          </w:tcPr>
          <w:p w14:paraId="21B79A99"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646945353</w:t>
            </w:r>
          </w:p>
        </w:tc>
        <w:tc>
          <w:tcPr>
            <w:tcW w:w="709" w:type="dxa"/>
            <w:tcBorders>
              <w:top w:val="single" w:sz="4" w:space="0" w:color="auto"/>
              <w:left w:val="nil"/>
              <w:bottom w:val="nil"/>
              <w:right w:val="nil"/>
            </w:tcBorders>
            <w:shd w:val="clear" w:color="auto" w:fill="auto"/>
            <w:noWrap/>
            <w:vAlign w:val="center"/>
            <w:hideMark/>
          </w:tcPr>
          <w:p w14:paraId="1BB2AC3C"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736186961</w:t>
            </w:r>
          </w:p>
        </w:tc>
        <w:tc>
          <w:tcPr>
            <w:tcW w:w="850" w:type="dxa"/>
            <w:tcBorders>
              <w:top w:val="single" w:sz="4" w:space="0" w:color="auto"/>
              <w:left w:val="nil"/>
              <w:bottom w:val="nil"/>
              <w:right w:val="nil"/>
            </w:tcBorders>
            <w:shd w:val="clear" w:color="auto" w:fill="auto"/>
            <w:noWrap/>
            <w:vAlign w:val="center"/>
            <w:hideMark/>
          </w:tcPr>
          <w:p w14:paraId="30864CAB"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334800992</w:t>
            </w:r>
          </w:p>
        </w:tc>
        <w:tc>
          <w:tcPr>
            <w:tcW w:w="851" w:type="dxa"/>
            <w:tcBorders>
              <w:top w:val="single" w:sz="4" w:space="0" w:color="auto"/>
              <w:left w:val="nil"/>
              <w:bottom w:val="nil"/>
              <w:right w:val="nil"/>
            </w:tcBorders>
            <w:shd w:val="clear" w:color="auto" w:fill="auto"/>
            <w:noWrap/>
            <w:vAlign w:val="center"/>
            <w:hideMark/>
          </w:tcPr>
          <w:p w14:paraId="2B3811EA"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592912234</w:t>
            </w:r>
          </w:p>
        </w:tc>
        <w:tc>
          <w:tcPr>
            <w:tcW w:w="850" w:type="dxa"/>
            <w:tcBorders>
              <w:top w:val="single" w:sz="4" w:space="0" w:color="auto"/>
              <w:left w:val="nil"/>
              <w:bottom w:val="nil"/>
              <w:right w:val="nil"/>
            </w:tcBorders>
            <w:shd w:val="clear" w:color="auto" w:fill="auto"/>
            <w:noWrap/>
            <w:vAlign w:val="center"/>
            <w:hideMark/>
          </w:tcPr>
          <w:p w14:paraId="21141706"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318547422</w:t>
            </w:r>
          </w:p>
        </w:tc>
        <w:tc>
          <w:tcPr>
            <w:tcW w:w="709" w:type="dxa"/>
            <w:tcBorders>
              <w:top w:val="single" w:sz="4" w:space="0" w:color="auto"/>
              <w:left w:val="nil"/>
              <w:bottom w:val="nil"/>
              <w:right w:val="nil"/>
            </w:tcBorders>
            <w:shd w:val="clear" w:color="auto" w:fill="auto"/>
            <w:noWrap/>
            <w:vAlign w:val="center"/>
            <w:hideMark/>
          </w:tcPr>
          <w:p w14:paraId="1AC412EE"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423980551</w:t>
            </w:r>
          </w:p>
        </w:tc>
        <w:tc>
          <w:tcPr>
            <w:tcW w:w="709" w:type="dxa"/>
            <w:tcBorders>
              <w:top w:val="single" w:sz="4" w:space="0" w:color="auto"/>
              <w:left w:val="nil"/>
              <w:bottom w:val="nil"/>
              <w:right w:val="nil"/>
            </w:tcBorders>
            <w:shd w:val="clear" w:color="auto" w:fill="auto"/>
            <w:noWrap/>
            <w:vAlign w:val="center"/>
            <w:hideMark/>
          </w:tcPr>
          <w:p w14:paraId="6F16EE74"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553119112</w:t>
            </w:r>
          </w:p>
        </w:tc>
        <w:tc>
          <w:tcPr>
            <w:tcW w:w="850" w:type="dxa"/>
            <w:tcBorders>
              <w:top w:val="single" w:sz="4" w:space="0" w:color="auto"/>
              <w:left w:val="nil"/>
              <w:bottom w:val="nil"/>
              <w:right w:val="nil"/>
            </w:tcBorders>
            <w:shd w:val="clear" w:color="auto" w:fill="auto"/>
            <w:noWrap/>
            <w:vAlign w:val="center"/>
            <w:hideMark/>
          </w:tcPr>
          <w:p w14:paraId="5DC6C89B"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275341277</w:t>
            </w:r>
          </w:p>
        </w:tc>
        <w:tc>
          <w:tcPr>
            <w:tcW w:w="1139" w:type="dxa"/>
            <w:tcBorders>
              <w:top w:val="single" w:sz="4" w:space="0" w:color="auto"/>
              <w:left w:val="nil"/>
              <w:bottom w:val="nil"/>
              <w:right w:val="single" w:sz="4" w:space="0" w:color="auto"/>
            </w:tcBorders>
            <w:shd w:val="clear" w:color="auto" w:fill="auto"/>
            <w:noWrap/>
            <w:vAlign w:val="center"/>
            <w:hideMark/>
          </w:tcPr>
          <w:p w14:paraId="2E0AD4E0"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5396063698</w:t>
            </w:r>
          </w:p>
        </w:tc>
      </w:tr>
      <w:tr w:rsidR="00D94988" w:rsidRPr="000A26BF" w14:paraId="061D44DC" w14:textId="77777777" w:rsidTr="009110B9">
        <w:trPr>
          <w:trHeight w:val="285"/>
        </w:trPr>
        <w:tc>
          <w:tcPr>
            <w:tcW w:w="1418" w:type="dxa"/>
            <w:tcBorders>
              <w:top w:val="nil"/>
              <w:left w:val="single" w:sz="4" w:space="0" w:color="auto"/>
              <w:bottom w:val="nil"/>
              <w:right w:val="nil"/>
            </w:tcBorders>
            <w:shd w:val="clear" w:color="auto" w:fill="auto"/>
            <w:noWrap/>
            <w:vAlign w:val="center"/>
            <w:hideMark/>
          </w:tcPr>
          <w:p w14:paraId="2E48D4A1"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B 100</w:t>
            </w:r>
          </w:p>
        </w:tc>
        <w:tc>
          <w:tcPr>
            <w:tcW w:w="710" w:type="dxa"/>
            <w:tcBorders>
              <w:top w:val="nil"/>
              <w:left w:val="nil"/>
              <w:bottom w:val="nil"/>
              <w:right w:val="nil"/>
            </w:tcBorders>
            <w:shd w:val="clear" w:color="auto" w:fill="auto"/>
            <w:noWrap/>
            <w:vAlign w:val="center"/>
            <w:hideMark/>
          </w:tcPr>
          <w:p w14:paraId="3B11FB55"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p>
        </w:tc>
        <w:tc>
          <w:tcPr>
            <w:tcW w:w="708" w:type="dxa"/>
            <w:tcBorders>
              <w:top w:val="nil"/>
              <w:left w:val="nil"/>
              <w:bottom w:val="nil"/>
              <w:right w:val="nil"/>
            </w:tcBorders>
            <w:shd w:val="clear" w:color="auto" w:fill="auto"/>
            <w:noWrap/>
            <w:vAlign w:val="center"/>
            <w:hideMark/>
          </w:tcPr>
          <w:p w14:paraId="3BE3B35C"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nil"/>
              <w:left w:val="nil"/>
              <w:bottom w:val="nil"/>
              <w:right w:val="nil"/>
            </w:tcBorders>
            <w:shd w:val="clear" w:color="auto" w:fill="auto"/>
            <w:noWrap/>
            <w:vAlign w:val="center"/>
            <w:hideMark/>
          </w:tcPr>
          <w:p w14:paraId="2964B534"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987" w:type="dxa"/>
            <w:tcBorders>
              <w:top w:val="nil"/>
              <w:left w:val="nil"/>
              <w:bottom w:val="nil"/>
              <w:right w:val="nil"/>
            </w:tcBorders>
            <w:shd w:val="clear" w:color="auto" w:fill="auto"/>
            <w:noWrap/>
            <w:vAlign w:val="center"/>
            <w:hideMark/>
          </w:tcPr>
          <w:p w14:paraId="17884B22"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nil"/>
              <w:left w:val="nil"/>
              <w:bottom w:val="nil"/>
              <w:right w:val="nil"/>
            </w:tcBorders>
            <w:shd w:val="clear" w:color="auto" w:fill="auto"/>
            <w:noWrap/>
            <w:vAlign w:val="center"/>
            <w:hideMark/>
          </w:tcPr>
          <w:p w14:paraId="62B71684"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8" w:type="dxa"/>
            <w:tcBorders>
              <w:top w:val="nil"/>
              <w:left w:val="nil"/>
              <w:bottom w:val="nil"/>
              <w:right w:val="nil"/>
            </w:tcBorders>
            <w:shd w:val="clear" w:color="auto" w:fill="auto"/>
            <w:noWrap/>
            <w:vAlign w:val="center"/>
            <w:hideMark/>
          </w:tcPr>
          <w:p w14:paraId="24E7A484"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851" w:type="dxa"/>
            <w:tcBorders>
              <w:top w:val="nil"/>
              <w:left w:val="nil"/>
              <w:bottom w:val="nil"/>
              <w:right w:val="nil"/>
            </w:tcBorders>
            <w:shd w:val="clear" w:color="auto" w:fill="auto"/>
            <w:noWrap/>
            <w:vAlign w:val="center"/>
            <w:hideMark/>
          </w:tcPr>
          <w:p w14:paraId="659F1845"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nil"/>
              <w:left w:val="nil"/>
              <w:bottom w:val="nil"/>
              <w:right w:val="nil"/>
            </w:tcBorders>
            <w:shd w:val="clear" w:color="auto" w:fill="auto"/>
            <w:noWrap/>
            <w:vAlign w:val="center"/>
            <w:hideMark/>
          </w:tcPr>
          <w:p w14:paraId="2372F160"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850" w:type="dxa"/>
            <w:tcBorders>
              <w:top w:val="nil"/>
              <w:left w:val="nil"/>
              <w:bottom w:val="nil"/>
              <w:right w:val="nil"/>
            </w:tcBorders>
            <w:shd w:val="clear" w:color="auto" w:fill="auto"/>
            <w:noWrap/>
            <w:vAlign w:val="center"/>
            <w:hideMark/>
          </w:tcPr>
          <w:p w14:paraId="0BA2AF58"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851" w:type="dxa"/>
            <w:tcBorders>
              <w:top w:val="nil"/>
              <w:left w:val="nil"/>
              <w:bottom w:val="nil"/>
              <w:right w:val="nil"/>
            </w:tcBorders>
            <w:shd w:val="clear" w:color="auto" w:fill="auto"/>
            <w:noWrap/>
            <w:vAlign w:val="center"/>
            <w:hideMark/>
          </w:tcPr>
          <w:p w14:paraId="7B2D70AC"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428719,1</w:t>
            </w:r>
          </w:p>
        </w:tc>
        <w:tc>
          <w:tcPr>
            <w:tcW w:w="850" w:type="dxa"/>
            <w:tcBorders>
              <w:top w:val="nil"/>
              <w:left w:val="nil"/>
              <w:bottom w:val="nil"/>
              <w:right w:val="nil"/>
            </w:tcBorders>
            <w:shd w:val="clear" w:color="auto" w:fill="auto"/>
            <w:noWrap/>
            <w:vAlign w:val="center"/>
            <w:hideMark/>
          </w:tcPr>
          <w:p w14:paraId="19486F0C"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1087310,01</w:t>
            </w:r>
          </w:p>
        </w:tc>
        <w:tc>
          <w:tcPr>
            <w:tcW w:w="709" w:type="dxa"/>
            <w:tcBorders>
              <w:top w:val="nil"/>
              <w:left w:val="nil"/>
              <w:bottom w:val="nil"/>
              <w:right w:val="nil"/>
            </w:tcBorders>
            <w:shd w:val="clear" w:color="auto" w:fill="auto"/>
            <w:noWrap/>
            <w:vAlign w:val="center"/>
            <w:hideMark/>
          </w:tcPr>
          <w:p w14:paraId="0AD8DCE1"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10684</w:t>
            </w:r>
          </w:p>
        </w:tc>
        <w:tc>
          <w:tcPr>
            <w:tcW w:w="709" w:type="dxa"/>
            <w:tcBorders>
              <w:top w:val="nil"/>
              <w:left w:val="nil"/>
              <w:bottom w:val="nil"/>
              <w:right w:val="nil"/>
            </w:tcBorders>
            <w:shd w:val="clear" w:color="auto" w:fill="auto"/>
            <w:noWrap/>
            <w:vAlign w:val="center"/>
            <w:hideMark/>
          </w:tcPr>
          <w:p w14:paraId="3C9E5C16"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10846</w:t>
            </w:r>
          </w:p>
        </w:tc>
        <w:tc>
          <w:tcPr>
            <w:tcW w:w="850" w:type="dxa"/>
            <w:tcBorders>
              <w:top w:val="nil"/>
              <w:left w:val="nil"/>
              <w:bottom w:val="nil"/>
              <w:right w:val="nil"/>
            </w:tcBorders>
            <w:shd w:val="clear" w:color="auto" w:fill="auto"/>
            <w:noWrap/>
            <w:vAlign w:val="center"/>
            <w:hideMark/>
          </w:tcPr>
          <w:p w14:paraId="223F8240"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p>
        </w:tc>
        <w:tc>
          <w:tcPr>
            <w:tcW w:w="1139" w:type="dxa"/>
            <w:tcBorders>
              <w:top w:val="nil"/>
              <w:left w:val="nil"/>
              <w:bottom w:val="nil"/>
              <w:right w:val="single" w:sz="4" w:space="0" w:color="auto"/>
            </w:tcBorders>
            <w:shd w:val="clear" w:color="auto" w:fill="auto"/>
            <w:noWrap/>
            <w:vAlign w:val="center"/>
            <w:hideMark/>
          </w:tcPr>
          <w:p w14:paraId="797484F3"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1537559,11</w:t>
            </w:r>
          </w:p>
        </w:tc>
      </w:tr>
      <w:tr w:rsidR="00D94988" w:rsidRPr="000A26BF" w14:paraId="3376AE3A" w14:textId="77777777" w:rsidTr="009110B9">
        <w:trPr>
          <w:trHeight w:val="285"/>
        </w:trPr>
        <w:tc>
          <w:tcPr>
            <w:tcW w:w="1418" w:type="dxa"/>
            <w:tcBorders>
              <w:top w:val="nil"/>
              <w:left w:val="single" w:sz="4" w:space="0" w:color="auto"/>
              <w:bottom w:val="nil"/>
              <w:right w:val="nil"/>
            </w:tcBorders>
            <w:shd w:val="clear" w:color="auto" w:fill="auto"/>
            <w:noWrap/>
            <w:vAlign w:val="center"/>
            <w:hideMark/>
          </w:tcPr>
          <w:p w14:paraId="2BE752A9"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GASOLINA CORRIENTE</w:t>
            </w:r>
          </w:p>
        </w:tc>
        <w:tc>
          <w:tcPr>
            <w:tcW w:w="710" w:type="dxa"/>
            <w:tcBorders>
              <w:top w:val="nil"/>
              <w:left w:val="nil"/>
              <w:bottom w:val="nil"/>
              <w:right w:val="nil"/>
            </w:tcBorders>
            <w:shd w:val="clear" w:color="auto" w:fill="auto"/>
            <w:noWrap/>
            <w:vAlign w:val="center"/>
            <w:hideMark/>
          </w:tcPr>
          <w:p w14:paraId="645AF3B6"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6365143</w:t>
            </w:r>
          </w:p>
        </w:tc>
        <w:tc>
          <w:tcPr>
            <w:tcW w:w="708" w:type="dxa"/>
            <w:tcBorders>
              <w:top w:val="nil"/>
              <w:left w:val="nil"/>
              <w:bottom w:val="nil"/>
              <w:right w:val="nil"/>
            </w:tcBorders>
            <w:shd w:val="clear" w:color="auto" w:fill="auto"/>
            <w:noWrap/>
            <w:vAlign w:val="center"/>
            <w:hideMark/>
          </w:tcPr>
          <w:p w14:paraId="1044708D"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16831575,4</w:t>
            </w:r>
          </w:p>
        </w:tc>
        <w:tc>
          <w:tcPr>
            <w:tcW w:w="709" w:type="dxa"/>
            <w:tcBorders>
              <w:top w:val="nil"/>
              <w:left w:val="nil"/>
              <w:bottom w:val="nil"/>
              <w:right w:val="nil"/>
            </w:tcBorders>
            <w:shd w:val="clear" w:color="auto" w:fill="auto"/>
            <w:noWrap/>
            <w:vAlign w:val="center"/>
            <w:hideMark/>
          </w:tcPr>
          <w:p w14:paraId="2C9E8620"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19837888</w:t>
            </w:r>
          </w:p>
        </w:tc>
        <w:tc>
          <w:tcPr>
            <w:tcW w:w="987" w:type="dxa"/>
            <w:tcBorders>
              <w:top w:val="nil"/>
              <w:left w:val="nil"/>
              <w:bottom w:val="nil"/>
              <w:right w:val="nil"/>
            </w:tcBorders>
            <w:shd w:val="clear" w:color="auto" w:fill="auto"/>
            <w:noWrap/>
            <w:vAlign w:val="center"/>
            <w:hideMark/>
          </w:tcPr>
          <w:p w14:paraId="588C363E"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7177298</w:t>
            </w:r>
          </w:p>
        </w:tc>
        <w:tc>
          <w:tcPr>
            <w:tcW w:w="709" w:type="dxa"/>
            <w:tcBorders>
              <w:top w:val="nil"/>
              <w:left w:val="nil"/>
              <w:bottom w:val="nil"/>
              <w:right w:val="nil"/>
            </w:tcBorders>
            <w:shd w:val="clear" w:color="auto" w:fill="auto"/>
            <w:noWrap/>
            <w:vAlign w:val="center"/>
            <w:hideMark/>
          </w:tcPr>
          <w:p w14:paraId="1609C058"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1841903</w:t>
            </w:r>
          </w:p>
        </w:tc>
        <w:tc>
          <w:tcPr>
            <w:tcW w:w="708" w:type="dxa"/>
            <w:tcBorders>
              <w:top w:val="nil"/>
              <w:left w:val="nil"/>
              <w:bottom w:val="nil"/>
              <w:right w:val="nil"/>
            </w:tcBorders>
            <w:shd w:val="clear" w:color="auto" w:fill="auto"/>
            <w:noWrap/>
            <w:vAlign w:val="center"/>
            <w:hideMark/>
          </w:tcPr>
          <w:p w14:paraId="0F249EF4"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2010654</w:t>
            </w:r>
          </w:p>
        </w:tc>
        <w:tc>
          <w:tcPr>
            <w:tcW w:w="851" w:type="dxa"/>
            <w:tcBorders>
              <w:top w:val="nil"/>
              <w:left w:val="nil"/>
              <w:bottom w:val="nil"/>
              <w:right w:val="nil"/>
            </w:tcBorders>
            <w:shd w:val="clear" w:color="auto" w:fill="auto"/>
            <w:noWrap/>
            <w:vAlign w:val="center"/>
            <w:hideMark/>
          </w:tcPr>
          <w:p w14:paraId="0AF2A5D9"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288104564</w:t>
            </w:r>
          </w:p>
        </w:tc>
        <w:tc>
          <w:tcPr>
            <w:tcW w:w="709" w:type="dxa"/>
            <w:tcBorders>
              <w:top w:val="nil"/>
              <w:left w:val="nil"/>
              <w:bottom w:val="nil"/>
              <w:right w:val="nil"/>
            </w:tcBorders>
            <w:shd w:val="clear" w:color="auto" w:fill="auto"/>
            <w:noWrap/>
            <w:vAlign w:val="center"/>
            <w:hideMark/>
          </w:tcPr>
          <w:p w14:paraId="19D139F2"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728048578</w:t>
            </w:r>
          </w:p>
        </w:tc>
        <w:tc>
          <w:tcPr>
            <w:tcW w:w="850" w:type="dxa"/>
            <w:tcBorders>
              <w:top w:val="nil"/>
              <w:left w:val="nil"/>
              <w:bottom w:val="nil"/>
              <w:right w:val="nil"/>
            </w:tcBorders>
            <w:shd w:val="clear" w:color="auto" w:fill="auto"/>
            <w:noWrap/>
            <w:vAlign w:val="center"/>
            <w:hideMark/>
          </w:tcPr>
          <w:p w14:paraId="0AA8B0AA"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392993986</w:t>
            </w:r>
          </w:p>
        </w:tc>
        <w:tc>
          <w:tcPr>
            <w:tcW w:w="851" w:type="dxa"/>
            <w:tcBorders>
              <w:top w:val="nil"/>
              <w:left w:val="nil"/>
              <w:bottom w:val="nil"/>
              <w:right w:val="nil"/>
            </w:tcBorders>
            <w:shd w:val="clear" w:color="auto" w:fill="auto"/>
            <w:noWrap/>
            <w:vAlign w:val="center"/>
            <w:hideMark/>
          </w:tcPr>
          <w:p w14:paraId="048E22A2"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362363644</w:t>
            </w:r>
          </w:p>
        </w:tc>
        <w:tc>
          <w:tcPr>
            <w:tcW w:w="850" w:type="dxa"/>
            <w:tcBorders>
              <w:top w:val="nil"/>
              <w:left w:val="nil"/>
              <w:bottom w:val="nil"/>
              <w:right w:val="nil"/>
            </w:tcBorders>
            <w:shd w:val="clear" w:color="auto" w:fill="auto"/>
            <w:noWrap/>
            <w:vAlign w:val="center"/>
            <w:hideMark/>
          </w:tcPr>
          <w:p w14:paraId="5BD34F28"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432199925</w:t>
            </w:r>
          </w:p>
        </w:tc>
        <w:tc>
          <w:tcPr>
            <w:tcW w:w="709" w:type="dxa"/>
            <w:tcBorders>
              <w:top w:val="nil"/>
              <w:left w:val="nil"/>
              <w:bottom w:val="nil"/>
              <w:right w:val="nil"/>
            </w:tcBorders>
            <w:shd w:val="clear" w:color="auto" w:fill="auto"/>
            <w:noWrap/>
            <w:vAlign w:val="center"/>
            <w:hideMark/>
          </w:tcPr>
          <w:p w14:paraId="5490951C"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544032311</w:t>
            </w:r>
          </w:p>
        </w:tc>
        <w:tc>
          <w:tcPr>
            <w:tcW w:w="709" w:type="dxa"/>
            <w:tcBorders>
              <w:top w:val="nil"/>
              <w:left w:val="nil"/>
              <w:bottom w:val="nil"/>
              <w:right w:val="nil"/>
            </w:tcBorders>
            <w:shd w:val="clear" w:color="auto" w:fill="auto"/>
            <w:noWrap/>
            <w:vAlign w:val="center"/>
            <w:hideMark/>
          </w:tcPr>
          <w:p w14:paraId="49B53C5F"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752340112,6</w:t>
            </w:r>
          </w:p>
        </w:tc>
        <w:tc>
          <w:tcPr>
            <w:tcW w:w="850" w:type="dxa"/>
            <w:tcBorders>
              <w:top w:val="nil"/>
              <w:left w:val="nil"/>
              <w:bottom w:val="nil"/>
              <w:right w:val="nil"/>
            </w:tcBorders>
            <w:shd w:val="clear" w:color="auto" w:fill="auto"/>
            <w:noWrap/>
            <w:vAlign w:val="center"/>
            <w:hideMark/>
          </w:tcPr>
          <w:p w14:paraId="48D9E340"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381419157</w:t>
            </w:r>
          </w:p>
        </w:tc>
        <w:tc>
          <w:tcPr>
            <w:tcW w:w="1139" w:type="dxa"/>
            <w:tcBorders>
              <w:top w:val="nil"/>
              <w:left w:val="nil"/>
              <w:bottom w:val="nil"/>
              <w:right w:val="single" w:sz="4" w:space="0" w:color="auto"/>
            </w:tcBorders>
            <w:shd w:val="clear" w:color="auto" w:fill="auto"/>
            <w:noWrap/>
            <w:vAlign w:val="center"/>
            <w:hideMark/>
          </w:tcPr>
          <w:p w14:paraId="69EFE6D0"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3935566739</w:t>
            </w:r>
          </w:p>
        </w:tc>
      </w:tr>
      <w:tr w:rsidR="00D94988" w:rsidRPr="000A26BF" w14:paraId="52E3CBEE" w14:textId="77777777" w:rsidTr="009110B9">
        <w:trPr>
          <w:trHeight w:val="285"/>
        </w:trPr>
        <w:tc>
          <w:tcPr>
            <w:tcW w:w="1418" w:type="dxa"/>
            <w:tcBorders>
              <w:top w:val="nil"/>
              <w:left w:val="single" w:sz="4" w:space="0" w:color="auto"/>
              <w:bottom w:val="nil"/>
              <w:right w:val="nil"/>
            </w:tcBorders>
            <w:shd w:val="clear" w:color="auto" w:fill="auto"/>
            <w:noWrap/>
            <w:vAlign w:val="center"/>
            <w:hideMark/>
          </w:tcPr>
          <w:p w14:paraId="6B06B9CA"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GASOLINA EXTRA</w:t>
            </w:r>
          </w:p>
        </w:tc>
        <w:tc>
          <w:tcPr>
            <w:tcW w:w="710" w:type="dxa"/>
            <w:tcBorders>
              <w:top w:val="nil"/>
              <w:left w:val="nil"/>
              <w:bottom w:val="nil"/>
              <w:right w:val="nil"/>
            </w:tcBorders>
            <w:shd w:val="clear" w:color="auto" w:fill="auto"/>
            <w:noWrap/>
            <w:vAlign w:val="center"/>
            <w:hideMark/>
          </w:tcPr>
          <w:p w14:paraId="7C126899"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p>
        </w:tc>
        <w:tc>
          <w:tcPr>
            <w:tcW w:w="708" w:type="dxa"/>
            <w:tcBorders>
              <w:top w:val="nil"/>
              <w:left w:val="nil"/>
              <w:bottom w:val="nil"/>
              <w:right w:val="nil"/>
            </w:tcBorders>
            <w:shd w:val="clear" w:color="auto" w:fill="auto"/>
            <w:noWrap/>
            <w:vAlign w:val="center"/>
            <w:hideMark/>
          </w:tcPr>
          <w:p w14:paraId="6943BD46"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nil"/>
              <w:left w:val="nil"/>
              <w:bottom w:val="nil"/>
              <w:right w:val="nil"/>
            </w:tcBorders>
            <w:shd w:val="clear" w:color="auto" w:fill="auto"/>
            <w:noWrap/>
            <w:vAlign w:val="center"/>
            <w:hideMark/>
          </w:tcPr>
          <w:p w14:paraId="66C124D5"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987" w:type="dxa"/>
            <w:tcBorders>
              <w:top w:val="nil"/>
              <w:left w:val="nil"/>
              <w:bottom w:val="nil"/>
              <w:right w:val="nil"/>
            </w:tcBorders>
            <w:shd w:val="clear" w:color="auto" w:fill="auto"/>
            <w:noWrap/>
            <w:vAlign w:val="center"/>
            <w:hideMark/>
          </w:tcPr>
          <w:p w14:paraId="1AAEE9A1"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nil"/>
              <w:left w:val="nil"/>
              <w:bottom w:val="nil"/>
              <w:right w:val="nil"/>
            </w:tcBorders>
            <w:shd w:val="clear" w:color="auto" w:fill="auto"/>
            <w:noWrap/>
            <w:vAlign w:val="center"/>
            <w:hideMark/>
          </w:tcPr>
          <w:p w14:paraId="43458EB1"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8" w:type="dxa"/>
            <w:tcBorders>
              <w:top w:val="nil"/>
              <w:left w:val="nil"/>
              <w:bottom w:val="nil"/>
              <w:right w:val="nil"/>
            </w:tcBorders>
            <w:shd w:val="clear" w:color="auto" w:fill="auto"/>
            <w:noWrap/>
            <w:vAlign w:val="center"/>
            <w:hideMark/>
          </w:tcPr>
          <w:p w14:paraId="5E8007E5"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851" w:type="dxa"/>
            <w:tcBorders>
              <w:top w:val="nil"/>
              <w:left w:val="nil"/>
              <w:bottom w:val="nil"/>
              <w:right w:val="nil"/>
            </w:tcBorders>
            <w:shd w:val="clear" w:color="auto" w:fill="auto"/>
            <w:noWrap/>
            <w:vAlign w:val="center"/>
            <w:hideMark/>
          </w:tcPr>
          <w:p w14:paraId="70BBD619"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269228</w:t>
            </w:r>
          </w:p>
        </w:tc>
        <w:tc>
          <w:tcPr>
            <w:tcW w:w="709" w:type="dxa"/>
            <w:tcBorders>
              <w:top w:val="nil"/>
              <w:left w:val="nil"/>
              <w:bottom w:val="nil"/>
              <w:right w:val="nil"/>
            </w:tcBorders>
            <w:shd w:val="clear" w:color="auto" w:fill="auto"/>
            <w:noWrap/>
            <w:vAlign w:val="center"/>
            <w:hideMark/>
          </w:tcPr>
          <w:p w14:paraId="71116B39"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3636598,35</w:t>
            </w:r>
          </w:p>
        </w:tc>
        <w:tc>
          <w:tcPr>
            <w:tcW w:w="850" w:type="dxa"/>
            <w:tcBorders>
              <w:top w:val="nil"/>
              <w:left w:val="nil"/>
              <w:bottom w:val="nil"/>
              <w:right w:val="nil"/>
            </w:tcBorders>
            <w:shd w:val="clear" w:color="auto" w:fill="auto"/>
            <w:noWrap/>
            <w:vAlign w:val="center"/>
            <w:hideMark/>
          </w:tcPr>
          <w:p w14:paraId="444B6A82"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p>
        </w:tc>
        <w:tc>
          <w:tcPr>
            <w:tcW w:w="851" w:type="dxa"/>
            <w:tcBorders>
              <w:top w:val="nil"/>
              <w:left w:val="nil"/>
              <w:bottom w:val="nil"/>
              <w:right w:val="nil"/>
            </w:tcBorders>
            <w:shd w:val="clear" w:color="auto" w:fill="auto"/>
            <w:noWrap/>
            <w:vAlign w:val="center"/>
            <w:hideMark/>
          </w:tcPr>
          <w:p w14:paraId="1C41E05C"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850" w:type="dxa"/>
            <w:tcBorders>
              <w:top w:val="nil"/>
              <w:left w:val="nil"/>
              <w:bottom w:val="nil"/>
              <w:right w:val="nil"/>
            </w:tcBorders>
            <w:shd w:val="clear" w:color="auto" w:fill="auto"/>
            <w:noWrap/>
            <w:vAlign w:val="center"/>
            <w:hideMark/>
          </w:tcPr>
          <w:p w14:paraId="2648E8D0"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nil"/>
              <w:left w:val="nil"/>
              <w:bottom w:val="nil"/>
              <w:right w:val="nil"/>
            </w:tcBorders>
            <w:shd w:val="clear" w:color="auto" w:fill="auto"/>
            <w:noWrap/>
            <w:vAlign w:val="center"/>
            <w:hideMark/>
          </w:tcPr>
          <w:p w14:paraId="561840AA"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9" w:type="dxa"/>
            <w:tcBorders>
              <w:top w:val="nil"/>
              <w:left w:val="nil"/>
              <w:bottom w:val="nil"/>
              <w:right w:val="nil"/>
            </w:tcBorders>
            <w:shd w:val="clear" w:color="auto" w:fill="auto"/>
            <w:noWrap/>
            <w:vAlign w:val="center"/>
            <w:hideMark/>
          </w:tcPr>
          <w:p w14:paraId="7B759012"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10825</w:t>
            </w:r>
          </w:p>
        </w:tc>
        <w:tc>
          <w:tcPr>
            <w:tcW w:w="850" w:type="dxa"/>
            <w:tcBorders>
              <w:top w:val="nil"/>
              <w:left w:val="nil"/>
              <w:bottom w:val="nil"/>
              <w:right w:val="nil"/>
            </w:tcBorders>
            <w:shd w:val="clear" w:color="auto" w:fill="auto"/>
            <w:noWrap/>
            <w:vAlign w:val="center"/>
            <w:hideMark/>
          </w:tcPr>
          <w:p w14:paraId="68250C54"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p>
        </w:tc>
        <w:tc>
          <w:tcPr>
            <w:tcW w:w="1139" w:type="dxa"/>
            <w:tcBorders>
              <w:top w:val="nil"/>
              <w:left w:val="nil"/>
              <w:bottom w:val="nil"/>
              <w:right w:val="single" w:sz="4" w:space="0" w:color="auto"/>
            </w:tcBorders>
            <w:shd w:val="clear" w:color="auto" w:fill="auto"/>
            <w:noWrap/>
            <w:vAlign w:val="center"/>
            <w:hideMark/>
          </w:tcPr>
          <w:p w14:paraId="7056F437"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3916651,35</w:t>
            </w:r>
          </w:p>
        </w:tc>
      </w:tr>
      <w:tr w:rsidR="00D94988" w:rsidRPr="000A26BF" w14:paraId="5820312C" w14:textId="77777777" w:rsidTr="009110B9">
        <w:trPr>
          <w:trHeight w:val="285"/>
        </w:trPr>
        <w:tc>
          <w:tcPr>
            <w:tcW w:w="1418" w:type="dxa"/>
            <w:tcBorders>
              <w:top w:val="nil"/>
              <w:left w:val="single" w:sz="4" w:space="0" w:color="auto"/>
              <w:bottom w:val="single" w:sz="4" w:space="0" w:color="auto"/>
              <w:right w:val="nil"/>
            </w:tcBorders>
            <w:shd w:val="clear" w:color="auto" w:fill="auto"/>
            <w:noWrap/>
            <w:vAlign w:val="center"/>
            <w:hideMark/>
          </w:tcPr>
          <w:p w14:paraId="08133D4F"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JP- 1A</w:t>
            </w:r>
          </w:p>
        </w:tc>
        <w:tc>
          <w:tcPr>
            <w:tcW w:w="710" w:type="dxa"/>
            <w:tcBorders>
              <w:top w:val="nil"/>
              <w:left w:val="nil"/>
              <w:bottom w:val="single" w:sz="4" w:space="0" w:color="auto"/>
              <w:right w:val="nil"/>
            </w:tcBorders>
            <w:shd w:val="clear" w:color="auto" w:fill="auto"/>
            <w:noWrap/>
            <w:vAlign w:val="center"/>
            <w:hideMark/>
          </w:tcPr>
          <w:p w14:paraId="6523BCFD"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748861</w:t>
            </w:r>
          </w:p>
        </w:tc>
        <w:tc>
          <w:tcPr>
            <w:tcW w:w="708" w:type="dxa"/>
            <w:tcBorders>
              <w:top w:val="nil"/>
              <w:left w:val="nil"/>
              <w:bottom w:val="single" w:sz="4" w:space="0" w:color="auto"/>
              <w:right w:val="nil"/>
            </w:tcBorders>
            <w:shd w:val="clear" w:color="auto" w:fill="auto"/>
            <w:noWrap/>
            <w:vAlign w:val="center"/>
            <w:hideMark/>
          </w:tcPr>
          <w:p w14:paraId="27162614"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389423</w:t>
            </w:r>
          </w:p>
        </w:tc>
        <w:tc>
          <w:tcPr>
            <w:tcW w:w="709" w:type="dxa"/>
            <w:tcBorders>
              <w:top w:val="nil"/>
              <w:left w:val="nil"/>
              <w:bottom w:val="single" w:sz="4" w:space="0" w:color="auto"/>
              <w:right w:val="nil"/>
            </w:tcBorders>
            <w:shd w:val="clear" w:color="auto" w:fill="auto"/>
            <w:noWrap/>
            <w:vAlign w:val="center"/>
            <w:hideMark/>
          </w:tcPr>
          <w:p w14:paraId="17BFA3E3"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3780126</w:t>
            </w:r>
          </w:p>
        </w:tc>
        <w:tc>
          <w:tcPr>
            <w:tcW w:w="987" w:type="dxa"/>
            <w:tcBorders>
              <w:top w:val="nil"/>
              <w:left w:val="nil"/>
              <w:bottom w:val="single" w:sz="4" w:space="0" w:color="auto"/>
              <w:right w:val="nil"/>
            </w:tcBorders>
            <w:shd w:val="clear" w:color="auto" w:fill="auto"/>
            <w:noWrap/>
            <w:vAlign w:val="center"/>
            <w:hideMark/>
          </w:tcPr>
          <w:p w14:paraId="2DFEEE0B"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p>
        </w:tc>
        <w:tc>
          <w:tcPr>
            <w:tcW w:w="709" w:type="dxa"/>
            <w:tcBorders>
              <w:top w:val="nil"/>
              <w:left w:val="nil"/>
              <w:bottom w:val="single" w:sz="4" w:space="0" w:color="auto"/>
              <w:right w:val="nil"/>
            </w:tcBorders>
            <w:shd w:val="clear" w:color="auto" w:fill="auto"/>
            <w:noWrap/>
            <w:vAlign w:val="center"/>
            <w:hideMark/>
          </w:tcPr>
          <w:p w14:paraId="27FEE6C7"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708" w:type="dxa"/>
            <w:tcBorders>
              <w:top w:val="nil"/>
              <w:left w:val="nil"/>
              <w:bottom w:val="single" w:sz="4" w:space="0" w:color="auto"/>
              <w:right w:val="nil"/>
            </w:tcBorders>
            <w:shd w:val="clear" w:color="auto" w:fill="auto"/>
            <w:noWrap/>
            <w:vAlign w:val="center"/>
            <w:hideMark/>
          </w:tcPr>
          <w:p w14:paraId="78E81E68" w14:textId="77777777" w:rsidR="00D94988" w:rsidRPr="000A26BF" w:rsidRDefault="00D94988" w:rsidP="000A26BF">
            <w:pPr>
              <w:spacing w:after="0" w:line="240" w:lineRule="auto"/>
              <w:jc w:val="center"/>
              <w:rPr>
                <w:rFonts w:ascii="Work Sans Regular Roman" w:eastAsia="Times New Roman" w:hAnsi="Work Sans Regular Roman" w:cs="Times New Roman"/>
                <w:sz w:val="16"/>
                <w:szCs w:val="16"/>
              </w:rPr>
            </w:pPr>
          </w:p>
        </w:tc>
        <w:tc>
          <w:tcPr>
            <w:tcW w:w="851" w:type="dxa"/>
            <w:tcBorders>
              <w:top w:val="nil"/>
              <w:left w:val="nil"/>
              <w:bottom w:val="single" w:sz="4" w:space="0" w:color="auto"/>
              <w:right w:val="nil"/>
            </w:tcBorders>
            <w:shd w:val="clear" w:color="auto" w:fill="auto"/>
            <w:noWrap/>
            <w:vAlign w:val="center"/>
            <w:hideMark/>
          </w:tcPr>
          <w:p w14:paraId="7BE36BDF"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8207505</w:t>
            </w:r>
          </w:p>
        </w:tc>
        <w:tc>
          <w:tcPr>
            <w:tcW w:w="709" w:type="dxa"/>
            <w:tcBorders>
              <w:top w:val="nil"/>
              <w:left w:val="nil"/>
              <w:bottom w:val="single" w:sz="4" w:space="0" w:color="auto"/>
              <w:right w:val="nil"/>
            </w:tcBorders>
            <w:shd w:val="clear" w:color="auto" w:fill="auto"/>
            <w:noWrap/>
            <w:vAlign w:val="center"/>
            <w:hideMark/>
          </w:tcPr>
          <w:p w14:paraId="5EAE4006"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53717143,8</w:t>
            </w:r>
          </w:p>
        </w:tc>
        <w:tc>
          <w:tcPr>
            <w:tcW w:w="850" w:type="dxa"/>
            <w:tcBorders>
              <w:top w:val="nil"/>
              <w:left w:val="nil"/>
              <w:bottom w:val="single" w:sz="4" w:space="0" w:color="auto"/>
              <w:right w:val="nil"/>
            </w:tcBorders>
            <w:shd w:val="clear" w:color="auto" w:fill="auto"/>
            <w:noWrap/>
            <w:vAlign w:val="center"/>
            <w:hideMark/>
          </w:tcPr>
          <w:p w14:paraId="5DDB0350"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14148288,8</w:t>
            </w:r>
          </w:p>
        </w:tc>
        <w:tc>
          <w:tcPr>
            <w:tcW w:w="851" w:type="dxa"/>
            <w:tcBorders>
              <w:top w:val="nil"/>
              <w:left w:val="nil"/>
              <w:bottom w:val="single" w:sz="4" w:space="0" w:color="auto"/>
              <w:right w:val="nil"/>
            </w:tcBorders>
            <w:shd w:val="clear" w:color="auto" w:fill="auto"/>
            <w:noWrap/>
            <w:vAlign w:val="center"/>
            <w:hideMark/>
          </w:tcPr>
          <w:p w14:paraId="361B0BCD"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25983167</w:t>
            </w:r>
          </w:p>
        </w:tc>
        <w:tc>
          <w:tcPr>
            <w:tcW w:w="850" w:type="dxa"/>
            <w:tcBorders>
              <w:top w:val="nil"/>
              <w:left w:val="nil"/>
              <w:bottom w:val="single" w:sz="4" w:space="0" w:color="auto"/>
              <w:right w:val="nil"/>
            </w:tcBorders>
            <w:shd w:val="clear" w:color="auto" w:fill="auto"/>
            <w:noWrap/>
            <w:vAlign w:val="center"/>
            <w:hideMark/>
          </w:tcPr>
          <w:p w14:paraId="46A074FD"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15026022</w:t>
            </w:r>
          </w:p>
        </w:tc>
        <w:tc>
          <w:tcPr>
            <w:tcW w:w="709" w:type="dxa"/>
            <w:tcBorders>
              <w:top w:val="nil"/>
              <w:left w:val="nil"/>
              <w:bottom w:val="single" w:sz="4" w:space="0" w:color="auto"/>
              <w:right w:val="nil"/>
            </w:tcBorders>
            <w:shd w:val="clear" w:color="auto" w:fill="auto"/>
            <w:noWrap/>
            <w:vAlign w:val="center"/>
            <w:hideMark/>
          </w:tcPr>
          <w:p w14:paraId="14B4EC9F"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p>
        </w:tc>
        <w:tc>
          <w:tcPr>
            <w:tcW w:w="709" w:type="dxa"/>
            <w:tcBorders>
              <w:top w:val="nil"/>
              <w:left w:val="nil"/>
              <w:bottom w:val="single" w:sz="4" w:space="0" w:color="auto"/>
              <w:right w:val="nil"/>
            </w:tcBorders>
            <w:shd w:val="clear" w:color="auto" w:fill="auto"/>
            <w:noWrap/>
            <w:vAlign w:val="center"/>
            <w:hideMark/>
          </w:tcPr>
          <w:p w14:paraId="7BE65A03"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28434578</w:t>
            </w:r>
          </w:p>
        </w:tc>
        <w:tc>
          <w:tcPr>
            <w:tcW w:w="850" w:type="dxa"/>
            <w:tcBorders>
              <w:top w:val="nil"/>
              <w:left w:val="nil"/>
              <w:bottom w:val="single" w:sz="4" w:space="0" w:color="auto"/>
              <w:right w:val="nil"/>
            </w:tcBorders>
            <w:shd w:val="clear" w:color="auto" w:fill="auto"/>
            <w:noWrap/>
            <w:vAlign w:val="center"/>
            <w:hideMark/>
          </w:tcPr>
          <w:p w14:paraId="4F182584"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p>
        </w:tc>
        <w:tc>
          <w:tcPr>
            <w:tcW w:w="1139" w:type="dxa"/>
            <w:tcBorders>
              <w:top w:val="nil"/>
              <w:left w:val="nil"/>
              <w:bottom w:val="single" w:sz="4" w:space="0" w:color="auto"/>
              <w:right w:val="single" w:sz="4" w:space="0" w:color="auto"/>
            </w:tcBorders>
            <w:shd w:val="clear" w:color="auto" w:fill="auto"/>
            <w:noWrap/>
            <w:vAlign w:val="center"/>
            <w:hideMark/>
          </w:tcPr>
          <w:p w14:paraId="6C641FAD" w14:textId="77777777" w:rsidR="00D94988" w:rsidRPr="000A26BF" w:rsidRDefault="00D94988" w:rsidP="000A26BF">
            <w:pPr>
              <w:spacing w:after="0" w:line="240" w:lineRule="auto"/>
              <w:jc w:val="center"/>
              <w:rPr>
                <w:rFonts w:ascii="Work Sans Regular Roman" w:eastAsia="Times New Roman" w:hAnsi="Work Sans Regular Roman" w:cs="Calibri"/>
                <w:sz w:val="16"/>
                <w:szCs w:val="16"/>
              </w:rPr>
            </w:pPr>
            <w:r w:rsidRPr="000A26BF">
              <w:rPr>
                <w:rFonts w:ascii="Work Sans Regular Roman" w:eastAsia="Times New Roman" w:hAnsi="Work Sans Regular Roman" w:cs="Calibri"/>
                <w:sz w:val="16"/>
                <w:szCs w:val="16"/>
              </w:rPr>
              <w:t>150435115</w:t>
            </w:r>
          </w:p>
        </w:tc>
      </w:tr>
      <w:tr w:rsidR="000A26BF" w:rsidRPr="000A26BF" w14:paraId="48B5653F" w14:textId="77777777" w:rsidTr="009110B9">
        <w:trPr>
          <w:trHeight w:val="285"/>
        </w:trPr>
        <w:tc>
          <w:tcPr>
            <w:tcW w:w="1418" w:type="dxa"/>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660B529A"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TOTAL</w:t>
            </w:r>
          </w:p>
        </w:tc>
        <w:tc>
          <w:tcPr>
            <w:tcW w:w="710" w:type="dxa"/>
            <w:tcBorders>
              <w:top w:val="single" w:sz="4" w:space="0" w:color="auto"/>
              <w:left w:val="nil"/>
              <w:bottom w:val="single" w:sz="4" w:space="0" w:color="auto"/>
              <w:right w:val="nil"/>
            </w:tcBorders>
            <w:shd w:val="clear" w:color="auto" w:fill="D9D9D9" w:themeFill="background1" w:themeFillShade="D9"/>
            <w:noWrap/>
            <w:vAlign w:val="center"/>
            <w:hideMark/>
          </w:tcPr>
          <w:p w14:paraId="5B6CD42E"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180965884</w:t>
            </w:r>
          </w:p>
        </w:tc>
        <w:tc>
          <w:tcPr>
            <w:tcW w:w="708" w:type="dxa"/>
            <w:tcBorders>
              <w:top w:val="single" w:sz="4" w:space="0" w:color="auto"/>
              <w:left w:val="nil"/>
              <w:bottom w:val="single" w:sz="4" w:space="0" w:color="auto"/>
              <w:right w:val="nil"/>
            </w:tcBorders>
            <w:shd w:val="clear" w:color="auto" w:fill="D9D9D9" w:themeFill="background1" w:themeFillShade="D9"/>
            <w:noWrap/>
            <w:vAlign w:val="center"/>
            <w:hideMark/>
          </w:tcPr>
          <w:p w14:paraId="7914DAAC"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319671470</w:t>
            </w:r>
          </w:p>
        </w:tc>
        <w:tc>
          <w:tcPr>
            <w:tcW w:w="709" w:type="dxa"/>
            <w:tcBorders>
              <w:top w:val="single" w:sz="4" w:space="0" w:color="auto"/>
              <w:left w:val="nil"/>
              <w:bottom w:val="single" w:sz="4" w:space="0" w:color="auto"/>
              <w:right w:val="nil"/>
            </w:tcBorders>
            <w:shd w:val="clear" w:color="auto" w:fill="D9D9D9" w:themeFill="background1" w:themeFillShade="D9"/>
            <w:noWrap/>
            <w:vAlign w:val="center"/>
            <w:hideMark/>
          </w:tcPr>
          <w:p w14:paraId="30160341"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275728111</w:t>
            </w:r>
          </w:p>
        </w:tc>
        <w:tc>
          <w:tcPr>
            <w:tcW w:w="987" w:type="dxa"/>
            <w:tcBorders>
              <w:top w:val="single" w:sz="4" w:space="0" w:color="auto"/>
              <w:left w:val="nil"/>
              <w:bottom w:val="single" w:sz="4" w:space="0" w:color="auto"/>
              <w:right w:val="nil"/>
            </w:tcBorders>
            <w:shd w:val="clear" w:color="auto" w:fill="D9D9D9" w:themeFill="background1" w:themeFillShade="D9"/>
            <w:noWrap/>
            <w:vAlign w:val="center"/>
            <w:hideMark/>
          </w:tcPr>
          <w:p w14:paraId="57879760"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244668831</w:t>
            </w:r>
          </w:p>
        </w:tc>
        <w:tc>
          <w:tcPr>
            <w:tcW w:w="709" w:type="dxa"/>
            <w:tcBorders>
              <w:top w:val="single" w:sz="4" w:space="0" w:color="auto"/>
              <w:left w:val="nil"/>
              <w:bottom w:val="single" w:sz="4" w:space="0" w:color="auto"/>
              <w:right w:val="nil"/>
            </w:tcBorders>
            <w:shd w:val="clear" w:color="auto" w:fill="D9D9D9" w:themeFill="background1" w:themeFillShade="D9"/>
            <w:noWrap/>
            <w:vAlign w:val="center"/>
            <w:hideMark/>
          </w:tcPr>
          <w:p w14:paraId="07C711A6"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247484524</w:t>
            </w:r>
          </w:p>
        </w:tc>
        <w:tc>
          <w:tcPr>
            <w:tcW w:w="708" w:type="dxa"/>
            <w:tcBorders>
              <w:top w:val="single" w:sz="4" w:space="0" w:color="auto"/>
              <w:left w:val="nil"/>
              <w:bottom w:val="single" w:sz="4" w:space="0" w:color="auto"/>
              <w:right w:val="nil"/>
            </w:tcBorders>
            <w:shd w:val="clear" w:color="auto" w:fill="D9D9D9" w:themeFill="background1" w:themeFillShade="D9"/>
            <w:noWrap/>
            <w:vAlign w:val="center"/>
            <w:hideMark/>
          </w:tcPr>
          <w:p w14:paraId="7AFCC3A0"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304693846</w:t>
            </w:r>
          </w:p>
        </w:tc>
        <w:tc>
          <w:tcPr>
            <w:tcW w:w="851" w:type="dxa"/>
            <w:tcBorders>
              <w:top w:val="single" w:sz="4" w:space="0" w:color="auto"/>
              <w:left w:val="nil"/>
              <w:bottom w:val="single" w:sz="4" w:space="0" w:color="auto"/>
              <w:right w:val="nil"/>
            </w:tcBorders>
            <w:shd w:val="clear" w:color="auto" w:fill="D9D9D9" w:themeFill="background1" w:themeFillShade="D9"/>
            <w:noWrap/>
            <w:vAlign w:val="center"/>
            <w:hideMark/>
          </w:tcPr>
          <w:p w14:paraId="4DE9C56A"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943526650</w:t>
            </w:r>
          </w:p>
        </w:tc>
        <w:tc>
          <w:tcPr>
            <w:tcW w:w="709" w:type="dxa"/>
            <w:tcBorders>
              <w:top w:val="single" w:sz="4" w:space="0" w:color="auto"/>
              <w:left w:val="nil"/>
              <w:bottom w:val="single" w:sz="4" w:space="0" w:color="auto"/>
              <w:right w:val="nil"/>
            </w:tcBorders>
            <w:shd w:val="clear" w:color="auto" w:fill="D9D9D9" w:themeFill="background1" w:themeFillShade="D9"/>
            <w:noWrap/>
            <w:vAlign w:val="center"/>
            <w:hideMark/>
          </w:tcPr>
          <w:p w14:paraId="1C4749C1"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1521589282</w:t>
            </w:r>
          </w:p>
        </w:tc>
        <w:tc>
          <w:tcPr>
            <w:tcW w:w="850" w:type="dxa"/>
            <w:tcBorders>
              <w:top w:val="single" w:sz="4" w:space="0" w:color="auto"/>
              <w:left w:val="nil"/>
              <w:bottom w:val="single" w:sz="4" w:space="0" w:color="auto"/>
              <w:right w:val="nil"/>
            </w:tcBorders>
            <w:shd w:val="clear" w:color="auto" w:fill="D9D9D9" w:themeFill="background1" w:themeFillShade="D9"/>
            <w:noWrap/>
            <w:vAlign w:val="center"/>
            <w:hideMark/>
          </w:tcPr>
          <w:p w14:paraId="75E52735"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741943268</w:t>
            </w:r>
          </w:p>
        </w:tc>
        <w:tc>
          <w:tcPr>
            <w:tcW w:w="851" w:type="dxa"/>
            <w:tcBorders>
              <w:top w:val="single" w:sz="4" w:space="0" w:color="auto"/>
              <w:left w:val="nil"/>
              <w:bottom w:val="single" w:sz="4" w:space="0" w:color="auto"/>
              <w:right w:val="nil"/>
            </w:tcBorders>
            <w:shd w:val="clear" w:color="auto" w:fill="D9D9D9" w:themeFill="background1" w:themeFillShade="D9"/>
            <w:noWrap/>
            <w:vAlign w:val="center"/>
            <w:hideMark/>
          </w:tcPr>
          <w:p w14:paraId="731E2200"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981687764</w:t>
            </w:r>
          </w:p>
        </w:tc>
        <w:tc>
          <w:tcPr>
            <w:tcW w:w="850" w:type="dxa"/>
            <w:tcBorders>
              <w:top w:val="single" w:sz="4" w:space="0" w:color="auto"/>
              <w:left w:val="nil"/>
              <w:bottom w:val="single" w:sz="4" w:space="0" w:color="auto"/>
              <w:right w:val="nil"/>
            </w:tcBorders>
            <w:shd w:val="clear" w:color="auto" w:fill="D9D9D9" w:themeFill="background1" w:themeFillShade="D9"/>
            <w:noWrap/>
            <w:vAlign w:val="center"/>
            <w:hideMark/>
          </w:tcPr>
          <w:p w14:paraId="660B3CAE"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766860679</w:t>
            </w:r>
          </w:p>
        </w:tc>
        <w:tc>
          <w:tcPr>
            <w:tcW w:w="709" w:type="dxa"/>
            <w:tcBorders>
              <w:top w:val="single" w:sz="4" w:space="0" w:color="auto"/>
              <w:left w:val="nil"/>
              <w:bottom w:val="single" w:sz="4" w:space="0" w:color="auto"/>
              <w:right w:val="nil"/>
            </w:tcBorders>
            <w:shd w:val="clear" w:color="auto" w:fill="D9D9D9" w:themeFill="background1" w:themeFillShade="D9"/>
            <w:noWrap/>
            <w:vAlign w:val="center"/>
            <w:hideMark/>
          </w:tcPr>
          <w:p w14:paraId="5823C197"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968023546</w:t>
            </w:r>
          </w:p>
        </w:tc>
        <w:tc>
          <w:tcPr>
            <w:tcW w:w="709" w:type="dxa"/>
            <w:tcBorders>
              <w:top w:val="single" w:sz="4" w:space="0" w:color="auto"/>
              <w:left w:val="nil"/>
              <w:bottom w:val="single" w:sz="4" w:space="0" w:color="auto"/>
              <w:right w:val="nil"/>
            </w:tcBorders>
            <w:shd w:val="clear" w:color="auto" w:fill="D9D9D9" w:themeFill="background1" w:themeFillShade="D9"/>
            <w:noWrap/>
            <w:vAlign w:val="center"/>
            <w:hideMark/>
          </w:tcPr>
          <w:p w14:paraId="6EC6AAA6"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1333915474</w:t>
            </w:r>
          </w:p>
        </w:tc>
        <w:tc>
          <w:tcPr>
            <w:tcW w:w="850" w:type="dxa"/>
            <w:tcBorders>
              <w:top w:val="single" w:sz="4" w:space="0" w:color="auto"/>
              <w:left w:val="nil"/>
              <w:bottom w:val="single" w:sz="4" w:space="0" w:color="auto"/>
              <w:right w:val="nil"/>
            </w:tcBorders>
            <w:shd w:val="clear" w:color="auto" w:fill="D9D9D9" w:themeFill="background1" w:themeFillShade="D9"/>
            <w:noWrap/>
            <w:vAlign w:val="center"/>
            <w:hideMark/>
          </w:tcPr>
          <w:p w14:paraId="568D989E"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656760434</w:t>
            </w:r>
          </w:p>
        </w:tc>
        <w:tc>
          <w:tcPr>
            <w:tcW w:w="113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124B80C" w14:textId="77777777" w:rsidR="00D94988" w:rsidRPr="000A26BF" w:rsidRDefault="00D94988" w:rsidP="000A26BF">
            <w:pPr>
              <w:spacing w:after="0" w:line="240" w:lineRule="auto"/>
              <w:jc w:val="center"/>
              <w:rPr>
                <w:rFonts w:ascii="Work Sans Regular Roman" w:eastAsia="Times New Roman" w:hAnsi="Work Sans Regular Roman" w:cs="Calibri"/>
                <w:b/>
                <w:bCs/>
                <w:sz w:val="16"/>
                <w:szCs w:val="16"/>
              </w:rPr>
            </w:pPr>
            <w:r w:rsidRPr="000A26BF">
              <w:rPr>
                <w:rFonts w:ascii="Work Sans Regular Roman" w:eastAsia="Times New Roman" w:hAnsi="Work Sans Regular Roman" w:cs="Calibri"/>
                <w:b/>
                <w:bCs/>
                <w:sz w:val="16"/>
                <w:szCs w:val="16"/>
              </w:rPr>
              <w:t>9487519763</w:t>
            </w:r>
          </w:p>
        </w:tc>
      </w:tr>
    </w:tbl>
    <w:p w14:paraId="71FA0743" w14:textId="77777777" w:rsidR="00D94988" w:rsidRPr="009110B9" w:rsidRDefault="00D94988" w:rsidP="009110B9">
      <w:pPr>
        <w:spacing w:after="0" w:line="240" w:lineRule="auto"/>
        <w:contextualSpacing/>
        <w:jc w:val="both"/>
        <w:rPr>
          <w:rFonts w:ascii="Work Sans Regular Roman" w:hAnsi="Work Sans Regular Roman"/>
          <w:b/>
          <w:bCs/>
          <w:sz w:val="20"/>
          <w:szCs w:val="20"/>
        </w:rPr>
      </w:pPr>
    </w:p>
    <w:p w14:paraId="1FF58C54" w14:textId="563C8AF3" w:rsidR="00D94988" w:rsidRPr="009110B9" w:rsidRDefault="009110B9" w:rsidP="009110B9">
      <w:pPr>
        <w:spacing w:after="0" w:line="240" w:lineRule="auto"/>
        <w:contextualSpacing/>
        <w:jc w:val="both"/>
        <w:rPr>
          <w:rFonts w:ascii="Work Sans Regular Roman" w:hAnsi="Work Sans Regular Roman"/>
          <w:b/>
          <w:bCs/>
          <w:sz w:val="20"/>
          <w:szCs w:val="20"/>
        </w:rPr>
      </w:pPr>
      <w:r w:rsidRPr="009110B9">
        <w:rPr>
          <w:rFonts w:ascii="Work Sans Regular Roman" w:hAnsi="Work Sans Regular Roman"/>
          <w:b/>
          <w:bCs/>
          <w:sz w:val="20"/>
          <w:szCs w:val="20"/>
        </w:rPr>
        <w:t>Consumo</w:t>
      </w:r>
      <w:r>
        <w:rPr>
          <w:rFonts w:ascii="Work Sans Regular Roman" w:hAnsi="Work Sans Regular Roman"/>
          <w:b/>
          <w:bCs/>
          <w:sz w:val="20"/>
          <w:szCs w:val="20"/>
        </w:rPr>
        <w:t>:</w:t>
      </w:r>
    </w:p>
    <w:tbl>
      <w:tblPr>
        <w:tblW w:w="5000" w:type="pct"/>
        <w:jc w:val="center"/>
        <w:tblLook w:val="04A0" w:firstRow="1" w:lastRow="0" w:firstColumn="1" w:lastColumn="0" w:noHBand="0" w:noVBand="1"/>
      </w:tblPr>
      <w:tblGrid>
        <w:gridCol w:w="1311"/>
        <w:gridCol w:w="740"/>
        <w:gridCol w:w="740"/>
        <w:gridCol w:w="715"/>
        <w:gridCol w:w="740"/>
        <w:gridCol w:w="740"/>
        <w:gridCol w:w="739"/>
        <w:gridCol w:w="739"/>
        <w:gridCol w:w="714"/>
        <w:gridCol w:w="714"/>
        <w:gridCol w:w="714"/>
        <w:gridCol w:w="714"/>
        <w:gridCol w:w="739"/>
        <w:gridCol w:w="714"/>
        <w:gridCol w:w="714"/>
        <w:gridCol w:w="764"/>
      </w:tblGrid>
      <w:tr w:rsidR="009110B9" w:rsidRPr="009110B9" w14:paraId="2EE14928" w14:textId="77777777" w:rsidTr="009110B9">
        <w:trPr>
          <w:trHeight w:val="435"/>
          <w:jc w:val="center"/>
        </w:trPr>
        <w:tc>
          <w:tcPr>
            <w:tcW w:w="342" w:type="pct"/>
            <w:tcBorders>
              <w:top w:val="single" w:sz="4" w:space="0" w:color="auto"/>
              <w:left w:val="single" w:sz="4" w:space="0" w:color="auto"/>
              <w:bottom w:val="nil"/>
              <w:right w:val="nil"/>
            </w:tcBorders>
            <w:shd w:val="clear" w:color="auto" w:fill="BFBFBF" w:themeFill="background1" w:themeFillShade="BF"/>
            <w:vAlign w:val="bottom"/>
            <w:hideMark/>
          </w:tcPr>
          <w:p w14:paraId="2D8784E3"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VOLUMEN DESPACHADO (GALONES)</w:t>
            </w:r>
          </w:p>
        </w:tc>
        <w:tc>
          <w:tcPr>
            <w:tcW w:w="318" w:type="pct"/>
            <w:tcBorders>
              <w:top w:val="single" w:sz="4" w:space="0" w:color="auto"/>
              <w:left w:val="nil"/>
              <w:bottom w:val="nil"/>
              <w:right w:val="nil"/>
            </w:tcBorders>
            <w:shd w:val="clear" w:color="auto" w:fill="BFBFBF" w:themeFill="background1" w:themeFillShade="BF"/>
            <w:noWrap/>
            <w:vAlign w:val="bottom"/>
            <w:hideMark/>
          </w:tcPr>
          <w:p w14:paraId="4301D3F4"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p>
        </w:tc>
        <w:tc>
          <w:tcPr>
            <w:tcW w:w="315" w:type="pct"/>
            <w:tcBorders>
              <w:top w:val="single" w:sz="4" w:space="0" w:color="auto"/>
              <w:left w:val="nil"/>
              <w:bottom w:val="nil"/>
              <w:right w:val="nil"/>
            </w:tcBorders>
            <w:shd w:val="clear" w:color="auto" w:fill="BFBFBF" w:themeFill="background1" w:themeFillShade="BF"/>
            <w:noWrap/>
            <w:vAlign w:val="bottom"/>
            <w:hideMark/>
          </w:tcPr>
          <w:p w14:paraId="382D092A"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p>
        </w:tc>
        <w:tc>
          <w:tcPr>
            <w:tcW w:w="308" w:type="pct"/>
            <w:tcBorders>
              <w:top w:val="single" w:sz="4" w:space="0" w:color="auto"/>
              <w:left w:val="nil"/>
              <w:bottom w:val="nil"/>
              <w:right w:val="nil"/>
            </w:tcBorders>
            <w:shd w:val="clear" w:color="auto" w:fill="BFBFBF" w:themeFill="background1" w:themeFillShade="BF"/>
            <w:noWrap/>
            <w:vAlign w:val="bottom"/>
            <w:hideMark/>
          </w:tcPr>
          <w:p w14:paraId="32C55BB6"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c>
          <w:tcPr>
            <w:tcW w:w="305" w:type="pct"/>
            <w:tcBorders>
              <w:top w:val="single" w:sz="4" w:space="0" w:color="auto"/>
              <w:left w:val="nil"/>
              <w:bottom w:val="nil"/>
              <w:right w:val="nil"/>
            </w:tcBorders>
            <w:shd w:val="clear" w:color="auto" w:fill="BFBFBF" w:themeFill="background1" w:themeFillShade="BF"/>
            <w:noWrap/>
            <w:vAlign w:val="bottom"/>
            <w:hideMark/>
          </w:tcPr>
          <w:p w14:paraId="585C2B95"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c>
          <w:tcPr>
            <w:tcW w:w="316" w:type="pct"/>
            <w:tcBorders>
              <w:top w:val="single" w:sz="4" w:space="0" w:color="auto"/>
              <w:left w:val="nil"/>
              <w:bottom w:val="nil"/>
              <w:right w:val="nil"/>
            </w:tcBorders>
            <w:shd w:val="clear" w:color="auto" w:fill="BFBFBF" w:themeFill="background1" w:themeFillShade="BF"/>
            <w:noWrap/>
            <w:vAlign w:val="bottom"/>
            <w:hideMark/>
          </w:tcPr>
          <w:p w14:paraId="6300E47E"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c>
          <w:tcPr>
            <w:tcW w:w="307" w:type="pct"/>
            <w:tcBorders>
              <w:top w:val="single" w:sz="4" w:space="0" w:color="auto"/>
              <w:left w:val="nil"/>
              <w:bottom w:val="nil"/>
              <w:right w:val="nil"/>
            </w:tcBorders>
            <w:shd w:val="clear" w:color="auto" w:fill="BFBFBF" w:themeFill="background1" w:themeFillShade="BF"/>
            <w:noWrap/>
            <w:vAlign w:val="bottom"/>
            <w:hideMark/>
          </w:tcPr>
          <w:p w14:paraId="344AAF29"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c>
          <w:tcPr>
            <w:tcW w:w="309" w:type="pct"/>
            <w:tcBorders>
              <w:top w:val="single" w:sz="4" w:space="0" w:color="auto"/>
              <w:left w:val="nil"/>
              <w:bottom w:val="nil"/>
              <w:right w:val="nil"/>
            </w:tcBorders>
            <w:shd w:val="clear" w:color="auto" w:fill="BFBFBF" w:themeFill="background1" w:themeFillShade="BF"/>
            <w:noWrap/>
            <w:vAlign w:val="bottom"/>
            <w:hideMark/>
          </w:tcPr>
          <w:p w14:paraId="302E7543"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r w:rsidRPr="009110B9">
              <w:rPr>
                <w:rFonts w:ascii="Work Sans Regular Roman" w:eastAsia="Times New Roman" w:hAnsi="Work Sans Regular Roman" w:cs="Calibri"/>
                <w:b/>
                <w:bCs/>
                <w:sz w:val="16"/>
                <w:szCs w:val="16"/>
              </w:rPr>
              <w:t>AÑO</w:t>
            </w:r>
          </w:p>
        </w:tc>
        <w:tc>
          <w:tcPr>
            <w:tcW w:w="312" w:type="pct"/>
            <w:tcBorders>
              <w:top w:val="single" w:sz="4" w:space="0" w:color="auto"/>
              <w:left w:val="nil"/>
              <w:bottom w:val="nil"/>
              <w:right w:val="nil"/>
            </w:tcBorders>
            <w:shd w:val="clear" w:color="auto" w:fill="BFBFBF" w:themeFill="background1" w:themeFillShade="BF"/>
            <w:noWrap/>
            <w:vAlign w:val="bottom"/>
            <w:hideMark/>
          </w:tcPr>
          <w:p w14:paraId="01555C1E"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c>
          <w:tcPr>
            <w:tcW w:w="306" w:type="pct"/>
            <w:tcBorders>
              <w:top w:val="single" w:sz="4" w:space="0" w:color="auto"/>
              <w:left w:val="nil"/>
              <w:bottom w:val="nil"/>
              <w:right w:val="nil"/>
            </w:tcBorders>
            <w:shd w:val="clear" w:color="auto" w:fill="BFBFBF" w:themeFill="background1" w:themeFillShade="BF"/>
            <w:noWrap/>
            <w:vAlign w:val="bottom"/>
            <w:hideMark/>
          </w:tcPr>
          <w:p w14:paraId="42BB9708"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c>
          <w:tcPr>
            <w:tcW w:w="304" w:type="pct"/>
            <w:tcBorders>
              <w:top w:val="single" w:sz="4" w:space="0" w:color="auto"/>
              <w:left w:val="nil"/>
              <w:bottom w:val="nil"/>
              <w:right w:val="nil"/>
            </w:tcBorders>
            <w:shd w:val="clear" w:color="auto" w:fill="BFBFBF" w:themeFill="background1" w:themeFillShade="BF"/>
            <w:noWrap/>
            <w:vAlign w:val="bottom"/>
            <w:hideMark/>
          </w:tcPr>
          <w:p w14:paraId="319DE739"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c>
          <w:tcPr>
            <w:tcW w:w="313" w:type="pct"/>
            <w:tcBorders>
              <w:top w:val="single" w:sz="4" w:space="0" w:color="auto"/>
              <w:left w:val="nil"/>
              <w:bottom w:val="nil"/>
              <w:right w:val="nil"/>
            </w:tcBorders>
            <w:shd w:val="clear" w:color="auto" w:fill="BFBFBF" w:themeFill="background1" w:themeFillShade="BF"/>
            <w:noWrap/>
            <w:vAlign w:val="bottom"/>
            <w:hideMark/>
          </w:tcPr>
          <w:p w14:paraId="11BC486E"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c>
          <w:tcPr>
            <w:tcW w:w="316" w:type="pct"/>
            <w:tcBorders>
              <w:top w:val="single" w:sz="4" w:space="0" w:color="auto"/>
              <w:left w:val="nil"/>
              <w:bottom w:val="nil"/>
              <w:right w:val="nil"/>
            </w:tcBorders>
            <w:shd w:val="clear" w:color="auto" w:fill="BFBFBF" w:themeFill="background1" w:themeFillShade="BF"/>
            <w:noWrap/>
            <w:vAlign w:val="bottom"/>
            <w:hideMark/>
          </w:tcPr>
          <w:p w14:paraId="7F336BD0"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c>
          <w:tcPr>
            <w:tcW w:w="304" w:type="pct"/>
            <w:tcBorders>
              <w:top w:val="single" w:sz="4" w:space="0" w:color="auto"/>
              <w:left w:val="nil"/>
              <w:bottom w:val="nil"/>
              <w:right w:val="nil"/>
            </w:tcBorders>
            <w:shd w:val="clear" w:color="auto" w:fill="BFBFBF" w:themeFill="background1" w:themeFillShade="BF"/>
            <w:noWrap/>
            <w:vAlign w:val="bottom"/>
            <w:hideMark/>
          </w:tcPr>
          <w:p w14:paraId="72BC122E"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c>
          <w:tcPr>
            <w:tcW w:w="298" w:type="pct"/>
            <w:tcBorders>
              <w:top w:val="single" w:sz="4" w:space="0" w:color="auto"/>
              <w:left w:val="nil"/>
              <w:bottom w:val="nil"/>
              <w:right w:val="nil"/>
            </w:tcBorders>
            <w:shd w:val="clear" w:color="auto" w:fill="BFBFBF" w:themeFill="background1" w:themeFillShade="BF"/>
            <w:noWrap/>
            <w:vAlign w:val="bottom"/>
            <w:hideMark/>
          </w:tcPr>
          <w:p w14:paraId="34126639"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c>
          <w:tcPr>
            <w:tcW w:w="327" w:type="pct"/>
            <w:tcBorders>
              <w:top w:val="single" w:sz="4" w:space="0" w:color="auto"/>
              <w:left w:val="nil"/>
              <w:bottom w:val="nil"/>
              <w:right w:val="single" w:sz="4" w:space="0" w:color="auto"/>
            </w:tcBorders>
            <w:shd w:val="clear" w:color="auto" w:fill="BFBFBF" w:themeFill="background1" w:themeFillShade="BF"/>
            <w:noWrap/>
            <w:vAlign w:val="bottom"/>
            <w:hideMark/>
          </w:tcPr>
          <w:p w14:paraId="40E867C2" w14:textId="77777777" w:rsidR="00D94988" w:rsidRPr="009110B9" w:rsidRDefault="00D94988" w:rsidP="00550E1B">
            <w:pPr>
              <w:spacing w:after="0" w:line="240" w:lineRule="auto"/>
              <w:jc w:val="both"/>
              <w:rPr>
                <w:rFonts w:ascii="Work Sans Regular Roman" w:eastAsia="Times New Roman" w:hAnsi="Work Sans Regular Roman" w:cs="Times New Roman"/>
                <w:sz w:val="16"/>
                <w:szCs w:val="16"/>
              </w:rPr>
            </w:pPr>
          </w:p>
        </w:tc>
      </w:tr>
      <w:tr w:rsidR="009110B9" w:rsidRPr="009110B9" w14:paraId="3E17A916" w14:textId="77777777" w:rsidTr="009110B9">
        <w:trPr>
          <w:trHeight w:val="285"/>
          <w:jc w:val="center"/>
        </w:trPr>
        <w:tc>
          <w:tcPr>
            <w:tcW w:w="342" w:type="pct"/>
            <w:tcBorders>
              <w:top w:val="nil"/>
              <w:left w:val="single" w:sz="4" w:space="0" w:color="auto"/>
              <w:bottom w:val="single" w:sz="4" w:space="0" w:color="auto"/>
              <w:right w:val="nil"/>
            </w:tcBorders>
            <w:shd w:val="clear" w:color="auto" w:fill="BFBFBF" w:themeFill="background1" w:themeFillShade="BF"/>
            <w:vAlign w:val="bottom"/>
            <w:hideMark/>
          </w:tcPr>
          <w:p w14:paraId="13C0488B"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lastRenderedPageBreak/>
              <w:t>DESCRIPCIÓN PRODUCTO</w:t>
            </w:r>
          </w:p>
        </w:tc>
        <w:tc>
          <w:tcPr>
            <w:tcW w:w="318" w:type="pct"/>
            <w:tcBorders>
              <w:top w:val="nil"/>
              <w:left w:val="nil"/>
              <w:bottom w:val="single" w:sz="4" w:space="0" w:color="auto"/>
              <w:right w:val="nil"/>
            </w:tcBorders>
            <w:shd w:val="clear" w:color="auto" w:fill="BFBFBF" w:themeFill="background1" w:themeFillShade="BF"/>
            <w:noWrap/>
            <w:vAlign w:val="bottom"/>
            <w:hideMark/>
          </w:tcPr>
          <w:p w14:paraId="52ABBB23"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2010</w:t>
            </w:r>
          </w:p>
        </w:tc>
        <w:tc>
          <w:tcPr>
            <w:tcW w:w="315" w:type="pct"/>
            <w:tcBorders>
              <w:top w:val="nil"/>
              <w:left w:val="nil"/>
              <w:bottom w:val="single" w:sz="4" w:space="0" w:color="auto"/>
              <w:right w:val="nil"/>
            </w:tcBorders>
            <w:shd w:val="clear" w:color="auto" w:fill="BFBFBF" w:themeFill="background1" w:themeFillShade="BF"/>
            <w:noWrap/>
            <w:vAlign w:val="bottom"/>
            <w:hideMark/>
          </w:tcPr>
          <w:p w14:paraId="213701DD"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2011</w:t>
            </w:r>
          </w:p>
        </w:tc>
        <w:tc>
          <w:tcPr>
            <w:tcW w:w="308" w:type="pct"/>
            <w:tcBorders>
              <w:top w:val="nil"/>
              <w:left w:val="nil"/>
              <w:bottom w:val="single" w:sz="4" w:space="0" w:color="auto"/>
              <w:right w:val="nil"/>
            </w:tcBorders>
            <w:shd w:val="clear" w:color="auto" w:fill="BFBFBF" w:themeFill="background1" w:themeFillShade="BF"/>
            <w:noWrap/>
            <w:vAlign w:val="bottom"/>
            <w:hideMark/>
          </w:tcPr>
          <w:p w14:paraId="564F2E16"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2012</w:t>
            </w:r>
          </w:p>
        </w:tc>
        <w:tc>
          <w:tcPr>
            <w:tcW w:w="305" w:type="pct"/>
            <w:tcBorders>
              <w:top w:val="nil"/>
              <w:left w:val="nil"/>
              <w:bottom w:val="single" w:sz="4" w:space="0" w:color="auto"/>
              <w:right w:val="nil"/>
            </w:tcBorders>
            <w:shd w:val="clear" w:color="auto" w:fill="BFBFBF" w:themeFill="background1" w:themeFillShade="BF"/>
            <w:noWrap/>
            <w:vAlign w:val="bottom"/>
            <w:hideMark/>
          </w:tcPr>
          <w:p w14:paraId="36A7E1AD"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2013</w:t>
            </w:r>
          </w:p>
        </w:tc>
        <w:tc>
          <w:tcPr>
            <w:tcW w:w="316" w:type="pct"/>
            <w:tcBorders>
              <w:top w:val="nil"/>
              <w:left w:val="nil"/>
              <w:bottom w:val="single" w:sz="4" w:space="0" w:color="auto"/>
              <w:right w:val="nil"/>
            </w:tcBorders>
            <w:shd w:val="clear" w:color="auto" w:fill="BFBFBF" w:themeFill="background1" w:themeFillShade="BF"/>
            <w:noWrap/>
            <w:vAlign w:val="bottom"/>
            <w:hideMark/>
          </w:tcPr>
          <w:p w14:paraId="618981F6"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2014</w:t>
            </w:r>
          </w:p>
        </w:tc>
        <w:tc>
          <w:tcPr>
            <w:tcW w:w="307" w:type="pct"/>
            <w:tcBorders>
              <w:top w:val="nil"/>
              <w:left w:val="nil"/>
              <w:bottom w:val="single" w:sz="4" w:space="0" w:color="auto"/>
              <w:right w:val="nil"/>
            </w:tcBorders>
            <w:shd w:val="clear" w:color="auto" w:fill="BFBFBF" w:themeFill="background1" w:themeFillShade="BF"/>
            <w:noWrap/>
            <w:vAlign w:val="bottom"/>
            <w:hideMark/>
          </w:tcPr>
          <w:p w14:paraId="734BAB95"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2015</w:t>
            </w:r>
          </w:p>
        </w:tc>
        <w:tc>
          <w:tcPr>
            <w:tcW w:w="309" w:type="pct"/>
            <w:tcBorders>
              <w:top w:val="nil"/>
              <w:left w:val="nil"/>
              <w:bottom w:val="single" w:sz="4" w:space="0" w:color="auto"/>
              <w:right w:val="nil"/>
            </w:tcBorders>
            <w:shd w:val="clear" w:color="auto" w:fill="BFBFBF" w:themeFill="background1" w:themeFillShade="BF"/>
            <w:noWrap/>
            <w:vAlign w:val="bottom"/>
            <w:hideMark/>
          </w:tcPr>
          <w:p w14:paraId="39025E94"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2016</w:t>
            </w:r>
          </w:p>
        </w:tc>
        <w:tc>
          <w:tcPr>
            <w:tcW w:w="312" w:type="pct"/>
            <w:tcBorders>
              <w:top w:val="nil"/>
              <w:left w:val="nil"/>
              <w:bottom w:val="single" w:sz="4" w:space="0" w:color="auto"/>
              <w:right w:val="nil"/>
            </w:tcBorders>
            <w:shd w:val="clear" w:color="auto" w:fill="BFBFBF" w:themeFill="background1" w:themeFillShade="BF"/>
            <w:noWrap/>
            <w:vAlign w:val="bottom"/>
            <w:hideMark/>
          </w:tcPr>
          <w:p w14:paraId="2AF31987"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2017</w:t>
            </w:r>
          </w:p>
        </w:tc>
        <w:tc>
          <w:tcPr>
            <w:tcW w:w="306" w:type="pct"/>
            <w:tcBorders>
              <w:top w:val="nil"/>
              <w:left w:val="nil"/>
              <w:bottom w:val="single" w:sz="4" w:space="0" w:color="auto"/>
              <w:right w:val="nil"/>
            </w:tcBorders>
            <w:shd w:val="clear" w:color="auto" w:fill="BFBFBF" w:themeFill="background1" w:themeFillShade="BF"/>
            <w:noWrap/>
            <w:vAlign w:val="bottom"/>
            <w:hideMark/>
          </w:tcPr>
          <w:p w14:paraId="4B2707A4"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2018</w:t>
            </w:r>
          </w:p>
        </w:tc>
        <w:tc>
          <w:tcPr>
            <w:tcW w:w="304" w:type="pct"/>
            <w:tcBorders>
              <w:top w:val="nil"/>
              <w:left w:val="nil"/>
              <w:bottom w:val="single" w:sz="4" w:space="0" w:color="auto"/>
              <w:right w:val="nil"/>
            </w:tcBorders>
            <w:shd w:val="clear" w:color="auto" w:fill="BFBFBF" w:themeFill="background1" w:themeFillShade="BF"/>
            <w:noWrap/>
            <w:vAlign w:val="bottom"/>
            <w:hideMark/>
          </w:tcPr>
          <w:p w14:paraId="335CEFE0"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2019</w:t>
            </w:r>
          </w:p>
        </w:tc>
        <w:tc>
          <w:tcPr>
            <w:tcW w:w="313" w:type="pct"/>
            <w:tcBorders>
              <w:top w:val="nil"/>
              <w:left w:val="nil"/>
              <w:bottom w:val="single" w:sz="4" w:space="0" w:color="auto"/>
              <w:right w:val="nil"/>
            </w:tcBorders>
            <w:shd w:val="clear" w:color="auto" w:fill="BFBFBF" w:themeFill="background1" w:themeFillShade="BF"/>
            <w:noWrap/>
            <w:vAlign w:val="bottom"/>
            <w:hideMark/>
          </w:tcPr>
          <w:p w14:paraId="0F6B414A"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2020</w:t>
            </w:r>
          </w:p>
        </w:tc>
        <w:tc>
          <w:tcPr>
            <w:tcW w:w="316" w:type="pct"/>
            <w:tcBorders>
              <w:top w:val="nil"/>
              <w:left w:val="nil"/>
              <w:bottom w:val="single" w:sz="4" w:space="0" w:color="auto"/>
              <w:right w:val="nil"/>
            </w:tcBorders>
            <w:shd w:val="clear" w:color="auto" w:fill="BFBFBF" w:themeFill="background1" w:themeFillShade="BF"/>
            <w:noWrap/>
            <w:vAlign w:val="bottom"/>
            <w:hideMark/>
          </w:tcPr>
          <w:p w14:paraId="20B4705A"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2021</w:t>
            </w:r>
          </w:p>
        </w:tc>
        <w:tc>
          <w:tcPr>
            <w:tcW w:w="304" w:type="pct"/>
            <w:tcBorders>
              <w:top w:val="nil"/>
              <w:left w:val="nil"/>
              <w:bottom w:val="single" w:sz="4" w:space="0" w:color="auto"/>
              <w:right w:val="nil"/>
            </w:tcBorders>
            <w:shd w:val="clear" w:color="auto" w:fill="BFBFBF" w:themeFill="background1" w:themeFillShade="BF"/>
            <w:noWrap/>
            <w:vAlign w:val="bottom"/>
            <w:hideMark/>
          </w:tcPr>
          <w:p w14:paraId="4546F693"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2022</w:t>
            </w:r>
          </w:p>
        </w:tc>
        <w:tc>
          <w:tcPr>
            <w:tcW w:w="298" w:type="pct"/>
            <w:tcBorders>
              <w:top w:val="nil"/>
              <w:left w:val="nil"/>
              <w:bottom w:val="single" w:sz="4" w:space="0" w:color="auto"/>
              <w:right w:val="nil"/>
            </w:tcBorders>
            <w:shd w:val="clear" w:color="auto" w:fill="BFBFBF" w:themeFill="background1" w:themeFillShade="BF"/>
            <w:noWrap/>
            <w:vAlign w:val="bottom"/>
            <w:hideMark/>
          </w:tcPr>
          <w:p w14:paraId="4E6E42FD"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2023</w:t>
            </w:r>
          </w:p>
        </w:tc>
        <w:tc>
          <w:tcPr>
            <w:tcW w:w="327" w:type="pct"/>
            <w:tcBorders>
              <w:top w:val="nil"/>
              <w:left w:val="nil"/>
              <w:bottom w:val="single" w:sz="4" w:space="0" w:color="auto"/>
              <w:right w:val="single" w:sz="4" w:space="0" w:color="auto"/>
            </w:tcBorders>
            <w:shd w:val="clear" w:color="auto" w:fill="BFBFBF" w:themeFill="background1" w:themeFillShade="BF"/>
            <w:noWrap/>
            <w:vAlign w:val="bottom"/>
            <w:hideMark/>
          </w:tcPr>
          <w:p w14:paraId="770CB8BA" w14:textId="77777777" w:rsidR="00D94988" w:rsidRPr="009110B9" w:rsidRDefault="00D94988" w:rsidP="00550E1B">
            <w:pPr>
              <w:spacing w:after="0" w:line="240" w:lineRule="auto"/>
              <w:jc w:val="both"/>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TOTAL</w:t>
            </w:r>
          </w:p>
        </w:tc>
      </w:tr>
      <w:tr w:rsidR="009110B9" w:rsidRPr="009110B9" w14:paraId="50F4D2DB" w14:textId="77777777" w:rsidTr="009110B9">
        <w:trPr>
          <w:trHeight w:val="285"/>
          <w:jc w:val="center"/>
        </w:trPr>
        <w:tc>
          <w:tcPr>
            <w:tcW w:w="342" w:type="pct"/>
            <w:tcBorders>
              <w:top w:val="single" w:sz="4" w:space="0" w:color="auto"/>
              <w:left w:val="single" w:sz="4" w:space="0" w:color="auto"/>
              <w:bottom w:val="nil"/>
              <w:right w:val="nil"/>
            </w:tcBorders>
            <w:shd w:val="clear" w:color="auto" w:fill="auto"/>
            <w:noWrap/>
            <w:vAlign w:val="bottom"/>
            <w:hideMark/>
          </w:tcPr>
          <w:p w14:paraId="2CBE9207"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ACPM</w:t>
            </w:r>
          </w:p>
        </w:tc>
        <w:tc>
          <w:tcPr>
            <w:tcW w:w="318" w:type="pct"/>
            <w:tcBorders>
              <w:top w:val="single" w:sz="4" w:space="0" w:color="auto"/>
              <w:left w:val="nil"/>
              <w:bottom w:val="nil"/>
              <w:right w:val="nil"/>
            </w:tcBorders>
            <w:shd w:val="clear" w:color="auto" w:fill="auto"/>
            <w:noWrap/>
            <w:vAlign w:val="bottom"/>
            <w:hideMark/>
          </w:tcPr>
          <w:p w14:paraId="25F4D2A3"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1606545561</w:t>
            </w:r>
          </w:p>
        </w:tc>
        <w:tc>
          <w:tcPr>
            <w:tcW w:w="315" w:type="pct"/>
            <w:tcBorders>
              <w:top w:val="single" w:sz="4" w:space="0" w:color="auto"/>
              <w:left w:val="nil"/>
              <w:bottom w:val="nil"/>
              <w:right w:val="nil"/>
            </w:tcBorders>
            <w:shd w:val="clear" w:color="auto" w:fill="auto"/>
            <w:noWrap/>
            <w:vAlign w:val="bottom"/>
            <w:hideMark/>
          </w:tcPr>
          <w:p w14:paraId="3C41849E"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1879513228</w:t>
            </w:r>
          </w:p>
        </w:tc>
        <w:tc>
          <w:tcPr>
            <w:tcW w:w="308" w:type="pct"/>
            <w:tcBorders>
              <w:top w:val="single" w:sz="4" w:space="0" w:color="auto"/>
              <w:left w:val="nil"/>
              <w:bottom w:val="nil"/>
              <w:right w:val="nil"/>
            </w:tcBorders>
            <w:shd w:val="clear" w:color="auto" w:fill="auto"/>
            <w:noWrap/>
            <w:vAlign w:val="bottom"/>
            <w:hideMark/>
          </w:tcPr>
          <w:p w14:paraId="38896D3A"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1984630278</w:t>
            </w:r>
          </w:p>
        </w:tc>
        <w:tc>
          <w:tcPr>
            <w:tcW w:w="305" w:type="pct"/>
            <w:tcBorders>
              <w:top w:val="single" w:sz="4" w:space="0" w:color="auto"/>
              <w:left w:val="nil"/>
              <w:bottom w:val="nil"/>
              <w:right w:val="nil"/>
            </w:tcBorders>
            <w:shd w:val="clear" w:color="auto" w:fill="auto"/>
            <w:noWrap/>
            <w:vAlign w:val="bottom"/>
            <w:hideMark/>
          </w:tcPr>
          <w:p w14:paraId="0B301D05"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2004731945</w:t>
            </w:r>
          </w:p>
        </w:tc>
        <w:tc>
          <w:tcPr>
            <w:tcW w:w="316" w:type="pct"/>
            <w:tcBorders>
              <w:top w:val="single" w:sz="4" w:space="0" w:color="auto"/>
              <w:left w:val="nil"/>
              <w:bottom w:val="nil"/>
              <w:right w:val="nil"/>
            </w:tcBorders>
            <w:shd w:val="clear" w:color="auto" w:fill="auto"/>
            <w:noWrap/>
            <w:vAlign w:val="bottom"/>
            <w:hideMark/>
          </w:tcPr>
          <w:p w14:paraId="4FD5FF37"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2027577026</w:t>
            </w:r>
          </w:p>
        </w:tc>
        <w:tc>
          <w:tcPr>
            <w:tcW w:w="307" w:type="pct"/>
            <w:tcBorders>
              <w:top w:val="single" w:sz="4" w:space="0" w:color="auto"/>
              <w:left w:val="nil"/>
              <w:bottom w:val="nil"/>
              <w:right w:val="nil"/>
            </w:tcBorders>
            <w:shd w:val="clear" w:color="auto" w:fill="auto"/>
            <w:noWrap/>
            <w:vAlign w:val="bottom"/>
            <w:hideMark/>
          </w:tcPr>
          <w:p w14:paraId="5FACB5DF"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2122874097</w:t>
            </w:r>
          </w:p>
        </w:tc>
        <w:tc>
          <w:tcPr>
            <w:tcW w:w="309" w:type="pct"/>
            <w:tcBorders>
              <w:top w:val="single" w:sz="4" w:space="0" w:color="auto"/>
              <w:left w:val="nil"/>
              <w:bottom w:val="nil"/>
              <w:right w:val="nil"/>
            </w:tcBorders>
            <w:shd w:val="clear" w:color="auto" w:fill="auto"/>
            <w:noWrap/>
            <w:vAlign w:val="bottom"/>
            <w:hideMark/>
          </w:tcPr>
          <w:p w14:paraId="7FCA247E"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2075961093</w:t>
            </w:r>
          </w:p>
        </w:tc>
        <w:tc>
          <w:tcPr>
            <w:tcW w:w="312" w:type="pct"/>
            <w:tcBorders>
              <w:top w:val="single" w:sz="4" w:space="0" w:color="auto"/>
              <w:left w:val="nil"/>
              <w:bottom w:val="nil"/>
              <w:right w:val="nil"/>
            </w:tcBorders>
            <w:shd w:val="clear" w:color="auto" w:fill="auto"/>
            <w:noWrap/>
            <w:vAlign w:val="bottom"/>
            <w:hideMark/>
          </w:tcPr>
          <w:p w14:paraId="08E6F8FA"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1992280968</w:t>
            </w:r>
          </w:p>
        </w:tc>
        <w:tc>
          <w:tcPr>
            <w:tcW w:w="306" w:type="pct"/>
            <w:tcBorders>
              <w:top w:val="single" w:sz="4" w:space="0" w:color="auto"/>
              <w:left w:val="nil"/>
              <w:bottom w:val="nil"/>
              <w:right w:val="nil"/>
            </w:tcBorders>
            <w:shd w:val="clear" w:color="auto" w:fill="auto"/>
            <w:noWrap/>
            <w:vAlign w:val="bottom"/>
            <w:hideMark/>
          </w:tcPr>
          <w:p w14:paraId="1FEA4465"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2053970575</w:t>
            </w:r>
          </w:p>
        </w:tc>
        <w:tc>
          <w:tcPr>
            <w:tcW w:w="304" w:type="pct"/>
            <w:tcBorders>
              <w:top w:val="single" w:sz="4" w:space="0" w:color="auto"/>
              <w:left w:val="nil"/>
              <w:bottom w:val="nil"/>
              <w:right w:val="nil"/>
            </w:tcBorders>
            <w:shd w:val="clear" w:color="auto" w:fill="auto"/>
            <w:noWrap/>
            <w:vAlign w:val="bottom"/>
            <w:hideMark/>
          </w:tcPr>
          <w:p w14:paraId="794EABA8"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2093306218</w:t>
            </w:r>
          </w:p>
        </w:tc>
        <w:tc>
          <w:tcPr>
            <w:tcW w:w="313" w:type="pct"/>
            <w:tcBorders>
              <w:top w:val="single" w:sz="4" w:space="0" w:color="auto"/>
              <w:left w:val="nil"/>
              <w:bottom w:val="nil"/>
              <w:right w:val="nil"/>
            </w:tcBorders>
            <w:shd w:val="clear" w:color="auto" w:fill="auto"/>
            <w:noWrap/>
            <w:vAlign w:val="bottom"/>
            <w:hideMark/>
          </w:tcPr>
          <w:p w14:paraId="5A1C4B7C"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1730259192</w:t>
            </w:r>
          </w:p>
        </w:tc>
        <w:tc>
          <w:tcPr>
            <w:tcW w:w="316" w:type="pct"/>
            <w:tcBorders>
              <w:top w:val="single" w:sz="4" w:space="0" w:color="auto"/>
              <w:left w:val="nil"/>
              <w:bottom w:val="nil"/>
              <w:right w:val="nil"/>
            </w:tcBorders>
            <w:shd w:val="clear" w:color="auto" w:fill="auto"/>
            <w:noWrap/>
            <w:vAlign w:val="bottom"/>
            <w:hideMark/>
          </w:tcPr>
          <w:p w14:paraId="0A88ACD7"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2026594266</w:t>
            </w:r>
          </w:p>
        </w:tc>
        <w:tc>
          <w:tcPr>
            <w:tcW w:w="304" w:type="pct"/>
            <w:tcBorders>
              <w:top w:val="single" w:sz="4" w:space="0" w:color="auto"/>
              <w:left w:val="nil"/>
              <w:bottom w:val="nil"/>
              <w:right w:val="nil"/>
            </w:tcBorders>
            <w:shd w:val="clear" w:color="auto" w:fill="auto"/>
            <w:noWrap/>
            <w:vAlign w:val="bottom"/>
            <w:hideMark/>
          </w:tcPr>
          <w:p w14:paraId="385B70F3"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2220719333</w:t>
            </w:r>
          </w:p>
        </w:tc>
        <w:tc>
          <w:tcPr>
            <w:tcW w:w="298" w:type="pct"/>
            <w:tcBorders>
              <w:top w:val="single" w:sz="4" w:space="0" w:color="auto"/>
              <w:left w:val="nil"/>
              <w:bottom w:val="nil"/>
              <w:right w:val="nil"/>
            </w:tcBorders>
            <w:shd w:val="clear" w:color="auto" w:fill="auto"/>
            <w:noWrap/>
            <w:vAlign w:val="bottom"/>
            <w:hideMark/>
          </w:tcPr>
          <w:p w14:paraId="2708E0A3"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940207057</w:t>
            </w:r>
          </w:p>
        </w:tc>
        <w:tc>
          <w:tcPr>
            <w:tcW w:w="327" w:type="pct"/>
            <w:tcBorders>
              <w:top w:val="single" w:sz="4" w:space="0" w:color="auto"/>
              <w:left w:val="nil"/>
              <w:bottom w:val="nil"/>
              <w:right w:val="single" w:sz="4" w:space="0" w:color="auto"/>
            </w:tcBorders>
            <w:shd w:val="clear" w:color="auto" w:fill="auto"/>
            <w:noWrap/>
            <w:vAlign w:val="bottom"/>
            <w:hideMark/>
          </w:tcPr>
          <w:p w14:paraId="1A9E9633"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26759170836</w:t>
            </w:r>
          </w:p>
        </w:tc>
      </w:tr>
      <w:tr w:rsidR="009110B9" w:rsidRPr="009110B9" w14:paraId="0A8F1C56" w14:textId="77777777" w:rsidTr="009110B9">
        <w:trPr>
          <w:trHeight w:val="285"/>
          <w:jc w:val="center"/>
        </w:trPr>
        <w:tc>
          <w:tcPr>
            <w:tcW w:w="342" w:type="pct"/>
            <w:tcBorders>
              <w:top w:val="nil"/>
              <w:left w:val="single" w:sz="4" w:space="0" w:color="auto"/>
              <w:bottom w:val="nil"/>
              <w:right w:val="nil"/>
            </w:tcBorders>
            <w:shd w:val="clear" w:color="auto" w:fill="auto"/>
            <w:noWrap/>
            <w:vAlign w:val="bottom"/>
            <w:hideMark/>
          </w:tcPr>
          <w:p w14:paraId="5B49FB77"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DIESEL MARINO</w:t>
            </w:r>
          </w:p>
        </w:tc>
        <w:tc>
          <w:tcPr>
            <w:tcW w:w="318" w:type="pct"/>
            <w:tcBorders>
              <w:top w:val="nil"/>
              <w:left w:val="nil"/>
              <w:bottom w:val="nil"/>
              <w:right w:val="nil"/>
            </w:tcBorders>
            <w:shd w:val="clear" w:color="auto" w:fill="auto"/>
            <w:noWrap/>
            <w:vAlign w:val="bottom"/>
            <w:hideMark/>
          </w:tcPr>
          <w:p w14:paraId="4040F140"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51352608,48</w:t>
            </w:r>
          </w:p>
        </w:tc>
        <w:tc>
          <w:tcPr>
            <w:tcW w:w="315" w:type="pct"/>
            <w:tcBorders>
              <w:top w:val="nil"/>
              <w:left w:val="nil"/>
              <w:bottom w:val="nil"/>
              <w:right w:val="nil"/>
            </w:tcBorders>
            <w:shd w:val="clear" w:color="auto" w:fill="auto"/>
            <w:noWrap/>
            <w:vAlign w:val="bottom"/>
            <w:hideMark/>
          </w:tcPr>
          <w:p w14:paraId="1674091B"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62844618,88</w:t>
            </w:r>
          </w:p>
        </w:tc>
        <w:tc>
          <w:tcPr>
            <w:tcW w:w="308" w:type="pct"/>
            <w:tcBorders>
              <w:top w:val="nil"/>
              <w:left w:val="nil"/>
              <w:bottom w:val="nil"/>
              <w:right w:val="nil"/>
            </w:tcBorders>
            <w:shd w:val="clear" w:color="auto" w:fill="auto"/>
            <w:noWrap/>
            <w:vAlign w:val="bottom"/>
            <w:hideMark/>
          </w:tcPr>
          <w:p w14:paraId="7C8E1703"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60408623,8</w:t>
            </w:r>
          </w:p>
        </w:tc>
        <w:tc>
          <w:tcPr>
            <w:tcW w:w="305" w:type="pct"/>
            <w:tcBorders>
              <w:top w:val="nil"/>
              <w:left w:val="nil"/>
              <w:bottom w:val="nil"/>
              <w:right w:val="nil"/>
            </w:tcBorders>
            <w:shd w:val="clear" w:color="auto" w:fill="auto"/>
            <w:noWrap/>
            <w:vAlign w:val="bottom"/>
            <w:hideMark/>
          </w:tcPr>
          <w:p w14:paraId="7215D5DB"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36654080</w:t>
            </w:r>
          </w:p>
        </w:tc>
        <w:tc>
          <w:tcPr>
            <w:tcW w:w="316" w:type="pct"/>
            <w:tcBorders>
              <w:top w:val="nil"/>
              <w:left w:val="nil"/>
              <w:bottom w:val="nil"/>
              <w:right w:val="nil"/>
            </w:tcBorders>
            <w:shd w:val="clear" w:color="auto" w:fill="auto"/>
            <w:noWrap/>
            <w:vAlign w:val="bottom"/>
            <w:hideMark/>
          </w:tcPr>
          <w:p w14:paraId="4ABA37DB"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38481489</w:t>
            </w:r>
          </w:p>
        </w:tc>
        <w:tc>
          <w:tcPr>
            <w:tcW w:w="307" w:type="pct"/>
            <w:tcBorders>
              <w:top w:val="nil"/>
              <w:left w:val="nil"/>
              <w:bottom w:val="nil"/>
              <w:right w:val="nil"/>
            </w:tcBorders>
            <w:shd w:val="clear" w:color="auto" w:fill="auto"/>
            <w:noWrap/>
            <w:vAlign w:val="bottom"/>
            <w:hideMark/>
          </w:tcPr>
          <w:p w14:paraId="64FDABCA"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48990833</w:t>
            </w:r>
          </w:p>
        </w:tc>
        <w:tc>
          <w:tcPr>
            <w:tcW w:w="309" w:type="pct"/>
            <w:tcBorders>
              <w:top w:val="nil"/>
              <w:left w:val="nil"/>
              <w:bottom w:val="nil"/>
              <w:right w:val="nil"/>
            </w:tcBorders>
            <w:shd w:val="clear" w:color="auto" w:fill="auto"/>
            <w:noWrap/>
            <w:vAlign w:val="bottom"/>
            <w:hideMark/>
          </w:tcPr>
          <w:p w14:paraId="72B45F6A"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33668530</w:t>
            </w:r>
          </w:p>
        </w:tc>
        <w:tc>
          <w:tcPr>
            <w:tcW w:w="312" w:type="pct"/>
            <w:tcBorders>
              <w:top w:val="nil"/>
              <w:left w:val="nil"/>
              <w:bottom w:val="nil"/>
              <w:right w:val="nil"/>
            </w:tcBorders>
            <w:shd w:val="clear" w:color="auto" w:fill="auto"/>
            <w:noWrap/>
            <w:vAlign w:val="bottom"/>
            <w:hideMark/>
          </w:tcPr>
          <w:p w14:paraId="0CBD4917"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41243952,2</w:t>
            </w:r>
          </w:p>
        </w:tc>
        <w:tc>
          <w:tcPr>
            <w:tcW w:w="306" w:type="pct"/>
            <w:tcBorders>
              <w:top w:val="nil"/>
              <w:left w:val="nil"/>
              <w:bottom w:val="nil"/>
              <w:right w:val="nil"/>
            </w:tcBorders>
            <w:shd w:val="clear" w:color="auto" w:fill="auto"/>
            <w:noWrap/>
            <w:vAlign w:val="bottom"/>
            <w:hideMark/>
          </w:tcPr>
          <w:p w14:paraId="54A9BA44"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41813145,5</w:t>
            </w:r>
          </w:p>
        </w:tc>
        <w:tc>
          <w:tcPr>
            <w:tcW w:w="304" w:type="pct"/>
            <w:tcBorders>
              <w:top w:val="nil"/>
              <w:left w:val="nil"/>
              <w:bottom w:val="nil"/>
              <w:right w:val="nil"/>
            </w:tcBorders>
            <w:shd w:val="clear" w:color="auto" w:fill="auto"/>
            <w:noWrap/>
            <w:vAlign w:val="bottom"/>
            <w:hideMark/>
          </w:tcPr>
          <w:p w14:paraId="0E5BA46A"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47602201,3</w:t>
            </w:r>
          </w:p>
        </w:tc>
        <w:tc>
          <w:tcPr>
            <w:tcW w:w="313" w:type="pct"/>
            <w:tcBorders>
              <w:top w:val="nil"/>
              <w:left w:val="nil"/>
              <w:bottom w:val="nil"/>
              <w:right w:val="nil"/>
            </w:tcBorders>
            <w:shd w:val="clear" w:color="auto" w:fill="auto"/>
            <w:noWrap/>
            <w:vAlign w:val="bottom"/>
            <w:hideMark/>
          </w:tcPr>
          <w:p w14:paraId="6CBF2496"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46257798</w:t>
            </w:r>
          </w:p>
        </w:tc>
        <w:tc>
          <w:tcPr>
            <w:tcW w:w="316" w:type="pct"/>
            <w:tcBorders>
              <w:top w:val="nil"/>
              <w:left w:val="nil"/>
              <w:bottom w:val="nil"/>
              <w:right w:val="nil"/>
            </w:tcBorders>
            <w:shd w:val="clear" w:color="auto" w:fill="auto"/>
            <w:noWrap/>
            <w:vAlign w:val="bottom"/>
            <w:hideMark/>
          </w:tcPr>
          <w:p w14:paraId="7BEB8387"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67466967,98</w:t>
            </w:r>
          </w:p>
        </w:tc>
        <w:tc>
          <w:tcPr>
            <w:tcW w:w="304" w:type="pct"/>
            <w:tcBorders>
              <w:top w:val="nil"/>
              <w:left w:val="nil"/>
              <w:bottom w:val="nil"/>
              <w:right w:val="nil"/>
            </w:tcBorders>
            <w:shd w:val="clear" w:color="auto" w:fill="auto"/>
            <w:noWrap/>
            <w:vAlign w:val="bottom"/>
            <w:hideMark/>
          </w:tcPr>
          <w:p w14:paraId="1521C7C2"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109682990</w:t>
            </w:r>
          </w:p>
        </w:tc>
        <w:tc>
          <w:tcPr>
            <w:tcW w:w="298" w:type="pct"/>
            <w:tcBorders>
              <w:top w:val="nil"/>
              <w:left w:val="nil"/>
              <w:bottom w:val="nil"/>
              <w:right w:val="nil"/>
            </w:tcBorders>
            <w:shd w:val="clear" w:color="auto" w:fill="auto"/>
            <w:noWrap/>
            <w:vAlign w:val="bottom"/>
            <w:hideMark/>
          </w:tcPr>
          <w:p w14:paraId="4BF91EBD"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52494603,2</w:t>
            </w:r>
          </w:p>
        </w:tc>
        <w:tc>
          <w:tcPr>
            <w:tcW w:w="327" w:type="pct"/>
            <w:tcBorders>
              <w:top w:val="nil"/>
              <w:left w:val="nil"/>
              <w:bottom w:val="nil"/>
              <w:right w:val="single" w:sz="4" w:space="0" w:color="auto"/>
            </w:tcBorders>
            <w:shd w:val="clear" w:color="auto" w:fill="auto"/>
            <w:noWrap/>
            <w:vAlign w:val="bottom"/>
            <w:hideMark/>
          </w:tcPr>
          <w:p w14:paraId="2F1D1A85"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738962441,1</w:t>
            </w:r>
          </w:p>
        </w:tc>
      </w:tr>
      <w:tr w:rsidR="009110B9" w:rsidRPr="009110B9" w14:paraId="0B0226B9" w14:textId="77777777" w:rsidTr="009110B9">
        <w:trPr>
          <w:trHeight w:val="285"/>
          <w:jc w:val="center"/>
        </w:trPr>
        <w:tc>
          <w:tcPr>
            <w:tcW w:w="342" w:type="pct"/>
            <w:tcBorders>
              <w:top w:val="nil"/>
              <w:left w:val="single" w:sz="4" w:space="0" w:color="auto"/>
              <w:bottom w:val="nil"/>
              <w:right w:val="nil"/>
            </w:tcBorders>
            <w:shd w:val="clear" w:color="auto" w:fill="auto"/>
            <w:noWrap/>
            <w:vAlign w:val="bottom"/>
            <w:hideMark/>
          </w:tcPr>
          <w:p w14:paraId="2F3ED5AD"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GASOLINA CORRIENTE</w:t>
            </w:r>
          </w:p>
        </w:tc>
        <w:tc>
          <w:tcPr>
            <w:tcW w:w="318" w:type="pct"/>
            <w:tcBorders>
              <w:top w:val="nil"/>
              <w:left w:val="nil"/>
              <w:bottom w:val="nil"/>
              <w:right w:val="nil"/>
            </w:tcBorders>
            <w:shd w:val="clear" w:color="auto" w:fill="auto"/>
            <w:noWrap/>
            <w:vAlign w:val="bottom"/>
            <w:hideMark/>
          </w:tcPr>
          <w:p w14:paraId="18981DCD"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1071779857</w:t>
            </w:r>
          </w:p>
        </w:tc>
        <w:tc>
          <w:tcPr>
            <w:tcW w:w="315" w:type="pct"/>
            <w:tcBorders>
              <w:top w:val="nil"/>
              <w:left w:val="nil"/>
              <w:bottom w:val="nil"/>
              <w:right w:val="nil"/>
            </w:tcBorders>
            <w:shd w:val="clear" w:color="auto" w:fill="auto"/>
            <w:noWrap/>
            <w:vAlign w:val="bottom"/>
            <w:hideMark/>
          </w:tcPr>
          <w:p w14:paraId="1EBBEDAF"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1193796349</w:t>
            </w:r>
          </w:p>
        </w:tc>
        <w:tc>
          <w:tcPr>
            <w:tcW w:w="308" w:type="pct"/>
            <w:tcBorders>
              <w:top w:val="nil"/>
              <w:left w:val="nil"/>
              <w:bottom w:val="nil"/>
              <w:right w:val="nil"/>
            </w:tcBorders>
            <w:shd w:val="clear" w:color="auto" w:fill="auto"/>
            <w:noWrap/>
            <w:vAlign w:val="bottom"/>
            <w:hideMark/>
          </w:tcPr>
          <w:p w14:paraId="2A9A0C7F"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1237881877</w:t>
            </w:r>
          </w:p>
        </w:tc>
        <w:tc>
          <w:tcPr>
            <w:tcW w:w="305" w:type="pct"/>
            <w:tcBorders>
              <w:top w:val="nil"/>
              <w:left w:val="nil"/>
              <w:bottom w:val="nil"/>
              <w:right w:val="nil"/>
            </w:tcBorders>
            <w:shd w:val="clear" w:color="auto" w:fill="auto"/>
            <w:noWrap/>
            <w:vAlign w:val="bottom"/>
            <w:hideMark/>
          </w:tcPr>
          <w:p w14:paraId="72DE2745"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1297245396</w:t>
            </w:r>
          </w:p>
        </w:tc>
        <w:tc>
          <w:tcPr>
            <w:tcW w:w="316" w:type="pct"/>
            <w:tcBorders>
              <w:top w:val="nil"/>
              <w:left w:val="nil"/>
              <w:bottom w:val="nil"/>
              <w:right w:val="nil"/>
            </w:tcBorders>
            <w:shd w:val="clear" w:color="auto" w:fill="auto"/>
            <w:noWrap/>
            <w:vAlign w:val="bottom"/>
            <w:hideMark/>
          </w:tcPr>
          <w:p w14:paraId="4F9578AD"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1387996119</w:t>
            </w:r>
          </w:p>
        </w:tc>
        <w:tc>
          <w:tcPr>
            <w:tcW w:w="307" w:type="pct"/>
            <w:tcBorders>
              <w:top w:val="nil"/>
              <w:left w:val="nil"/>
              <w:bottom w:val="nil"/>
              <w:right w:val="nil"/>
            </w:tcBorders>
            <w:shd w:val="clear" w:color="auto" w:fill="auto"/>
            <w:noWrap/>
            <w:vAlign w:val="bottom"/>
            <w:hideMark/>
          </w:tcPr>
          <w:p w14:paraId="3443735E"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1571932084</w:t>
            </w:r>
          </w:p>
        </w:tc>
        <w:tc>
          <w:tcPr>
            <w:tcW w:w="309" w:type="pct"/>
            <w:tcBorders>
              <w:top w:val="nil"/>
              <w:left w:val="nil"/>
              <w:bottom w:val="nil"/>
              <w:right w:val="nil"/>
            </w:tcBorders>
            <w:shd w:val="clear" w:color="auto" w:fill="auto"/>
            <w:noWrap/>
            <w:vAlign w:val="bottom"/>
            <w:hideMark/>
          </w:tcPr>
          <w:p w14:paraId="1AADB3EB"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1742959938</w:t>
            </w:r>
          </w:p>
        </w:tc>
        <w:tc>
          <w:tcPr>
            <w:tcW w:w="312" w:type="pct"/>
            <w:tcBorders>
              <w:top w:val="nil"/>
              <w:left w:val="nil"/>
              <w:bottom w:val="nil"/>
              <w:right w:val="nil"/>
            </w:tcBorders>
            <w:shd w:val="clear" w:color="auto" w:fill="auto"/>
            <w:noWrap/>
            <w:vAlign w:val="bottom"/>
            <w:hideMark/>
          </w:tcPr>
          <w:p w14:paraId="14DBFEE3"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1768534311</w:t>
            </w:r>
          </w:p>
        </w:tc>
        <w:tc>
          <w:tcPr>
            <w:tcW w:w="306" w:type="pct"/>
            <w:tcBorders>
              <w:top w:val="nil"/>
              <w:left w:val="nil"/>
              <w:bottom w:val="nil"/>
              <w:right w:val="nil"/>
            </w:tcBorders>
            <w:shd w:val="clear" w:color="auto" w:fill="auto"/>
            <w:noWrap/>
            <w:vAlign w:val="bottom"/>
            <w:hideMark/>
          </w:tcPr>
          <w:p w14:paraId="56CE0D00"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1838509497</w:t>
            </w:r>
          </w:p>
        </w:tc>
        <w:tc>
          <w:tcPr>
            <w:tcW w:w="304" w:type="pct"/>
            <w:tcBorders>
              <w:top w:val="nil"/>
              <w:left w:val="nil"/>
              <w:bottom w:val="nil"/>
              <w:right w:val="nil"/>
            </w:tcBorders>
            <w:shd w:val="clear" w:color="auto" w:fill="auto"/>
            <w:noWrap/>
            <w:vAlign w:val="bottom"/>
            <w:hideMark/>
          </w:tcPr>
          <w:p w14:paraId="39D59E3B"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1947566442</w:t>
            </w:r>
          </w:p>
        </w:tc>
        <w:tc>
          <w:tcPr>
            <w:tcW w:w="313" w:type="pct"/>
            <w:tcBorders>
              <w:top w:val="nil"/>
              <w:left w:val="nil"/>
              <w:bottom w:val="nil"/>
              <w:right w:val="nil"/>
            </w:tcBorders>
            <w:shd w:val="clear" w:color="auto" w:fill="auto"/>
            <w:noWrap/>
            <w:vAlign w:val="bottom"/>
            <w:hideMark/>
          </w:tcPr>
          <w:p w14:paraId="5324001E"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1670246430</w:t>
            </w:r>
          </w:p>
        </w:tc>
        <w:tc>
          <w:tcPr>
            <w:tcW w:w="316" w:type="pct"/>
            <w:tcBorders>
              <w:top w:val="nil"/>
              <w:left w:val="nil"/>
              <w:bottom w:val="nil"/>
              <w:right w:val="nil"/>
            </w:tcBorders>
            <w:shd w:val="clear" w:color="auto" w:fill="auto"/>
            <w:noWrap/>
            <w:vAlign w:val="bottom"/>
            <w:hideMark/>
          </w:tcPr>
          <w:p w14:paraId="27257211"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2152672910</w:t>
            </w:r>
          </w:p>
        </w:tc>
        <w:tc>
          <w:tcPr>
            <w:tcW w:w="304" w:type="pct"/>
            <w:tcBorders>
              <w:top w:val="nil"/>
              <w:left w:val="nil"/>
              <w:bottom w:val="nil"/>
              <w:right w:val="nil"/>
            </w:tcBorders>
            <w:shd w:val="clear" w:color="auto" w:fill="auto"/>
            <w:noWrap/>
            <w:vAlign w:val="bottom"/>
            <w:hideMark/>
          </w:tcPr>
          <w:p w14:paraId="6295B09E"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2402478978</w:t>
            </w:r>
          </w:p>
        </w:tc>
        <w:tc>
          <w:tcPr>
            <w:tcW w:w="298" w:type="pct"/>
            <w:tcBorders>
              <w:top w:val="nil"/>
              <w:left w:val="nil"/>
              <w:bottom w:val="nil"/>
              <w:right w:val="nil"/>
            </w:tcBorders>
            <w:shd w:val="clear" w:color="auto" w:fill="auto"/>
            <w:noWrap/>
            <w:vAlign w:val="bottom"/>
            <w:hideMark/>
          </w:tcPr>
          <w:p w14:paraId="23A59151"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1005287120</w:t>
            </w:r>
          </w:p>
        </w:tc>
        <w:tc>
          <w:tcPr>
            <w:tcW w:w="327" w:type="pct"/>
            <w:tcBorders>
              <w:top w:val="nil"/>
              <w:left w:val="nil"/>
              <w:bottom w:val="nil"/>
              <w:right w:val="single" w:sz="4" w:space="0" w:color="auto"/>
            </w:tcBorders>
            <w:shd w:val="clear" w:color="auto" w:fill="auto"/>
            <w:noWrap/>
            <w:vAlign w:val="bottom"/>
            <w:hideMark/>
          </w:tcPr>
          <w:p w14:paraId="21C483D4"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22288887311</w:t>
            </w:r>
          </w:p>
        </w:tc>
      </w:tr>
      <w:tr w:rsidR="009110B9" w:rsidRPr="009110B9" w14:paraId="7E97A97C" w14:textId="77777777" w:rsidTr="009110B9">
        <w:trPr>
          <w:trHeight w:val="285"/>
          <w:jc w:val="center"/>
        </w:trPr>
        <w:tc>
          <w:tcPr>
            <w:tcW w:w="342" w:type="pct"/>
            <w:tcBorders>
              <w:top w:val="nil"/>
              <w:left w:val="single" w:sz="4" w:space="0" w:color="auto"/>
              <w:bottom w:val="nil"/>
              <w:right w:val="nil"/>
            </w:tcBorders>
            <w:shd w:val="clear" w:color="auto" w:fill="auto"/>
            <w:noWrap/>
            <w:vAlign w:val="bottom"/>
            <w:hideMark/>
          </w:tcPr>
          <w:p w14:paraId="6C943E5A"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GASOLINA EXTRA</w:t>
            </w:r>
          </w:p>
        </w:tc>
        <w:tc>
          <w:tcPr>
            <w:tcW w:w="318" w:type="pct"/>
            <w:tcBorders>
              <w:top w:val="nil"/>
              <w:left w:val="nil"/>
              <w:bottom w:val="nil"/>
              <w:right w:val="nil"/>
            </w:tcBorders>
            <w:shd w:val="clear" w:color="auto" w:fill="auto"/>
            <w:noWrap/>
            <w:vAlign w:val="bottom"/>
            <w:hideMark/>
          </w:tcPr>
          <w:p w14:paraId="0E28F6EA"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49624638,66</w:t>
            </w:r>
          </w:p>
        </w:tc>
        <w:tc>
          <w:tcPr>
            <w:tcW w:w="315" w:type="pct"/>
            <w:tcBorders>
              <w:top w:val="nil"/>
              <w:left w:val="nil"/>
              <w:bottom w:val="nil"/>
              <w:right w:val="nil"/>
            </w:tcBorders>
            <w:shd w:val="clear" w:color="auto" w:fill="auto"/>
            <w:noWrap/>
            <w:vAlign w:val="bottom"/>
            <w:hideMark/>
          </w:tcPr>
          <w:p w14:paraId="549517FE"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52549105,03</w:t>
            </w:r>
          </w:p>
        </w:tc>
        <w:tc>
          <w:tcPr>
            <w:tcW w:w="308" w:type="pct"/>
            <w:tcBorders>
              <w:top w:val="nil"/>
              <w:left w:val="nil"/>
              <w:bottom w:val="nil"/>
              <w:right w:val="nil"/>
            </w:tcBorders>
            <w:shd w:val="clear" w:color="auto" w:fill="auto"/>
            <w:noWrap/>
            <w:vAlign w:val="bottom"/>
            <w:hideMark/>
          </w:tcPr>
          <w:p w14:paraId="76C652D2"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54159038</w:t>
            </w:r>
          </w:p>
        </w:tc>
        <w:tc>
          <w:tcPr>
            <w:tcW w:w="305" w:type="pct"/>
            <w:tcBorders>
              <w:top w:val="nil"/>
              <w:left w:val="nil"/>
              <w:bottom w:val="nil"/>
              <w:right w:val="nil"/>
            </w:tcBorders>
            <w:shd w:val="clear" w:color="auto" w:fill="auto"/>
            <w:noWrap/>
            <w:vAlign w:val="bottom"/>
            <w:hideMark/>
          </w:tcPr>
          <w:p w14:paraId="3164438B"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56393713,94</w:t>
            </w:r>
          </w:p>
        </w:tc>
        <w:tc>
          <w:tcPr>
            <w:tcW w:w="316" w:type="pct"/>
            <w:tcBorders>
              <w:top w:val="nil"/>
              <w:left w:val="nil"/>
              <w:bottom w:val="nil"/>
              <w:right w:val="nil"/>
            </w:tcBorders>
            <w:shd w:val="clear" w:color="auto" w:fill="auto"/>
            <w:noWrap/>
            <w:vAlign w:val="bottom"/>
            <w:hideMark/>
          </w:tcPr>
          <w:p w14:paraId="6E7FEBB5"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58567295,1</w:t>
            </w:r>
          </w:p>
        </w:tc>
        <w:tc>
          <w:tcPr>
            <w:tcW w:w="307" w:type="pct"/>
            <w:tcBorders>
              <w:top w:val="nil"/>
              <w:left w:val="nil"/>
              <w:bottom w:val="nil"/>
              <w:right w:val="nil"/>
            </w:tcBorders>
            <w:shd w:val="clear" w:color="auto" w:fill="auto"/>
            <w:noWrap/>
            <w:vAlign w:val="bottom"/>
            <w:hideMark/>
          </w:tcPr>
          <w:p w14:paraId="3C827225"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60698300</w:t>
            </w:r>
          </w:p>
        </w:tc>
        <w:tc>
          <w:tcPr>
            <w:tcW w:w="309" w:type="pct"/>
            <w:tcBorders>
              <w:top w:val="nil"/>
              <w:left w:val="nil"/>
              <w:bottom w:val="nil"/>
              <w:right w:val="nil"/>
            </w:tcBorders>
            <w:shd w:val="clear" w:color="auto" w:fill="auto"/>
            <w:noWrap/>
            <w:vAlign w:val="bottom"/>
            <w:hideMark/>
          </w:tcPr>
          <w:p w14:paraId="7361C4CA"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62724173,7</w:t>
            </w:r>
          </w:p>
        </w:tc>
        <w:tc>
          <w:tcPr>
            <w:tcW w:w="312" w:type="pct"/>
            <w:tcBorders>
              <w:top w:val="nil"/>
              <w:left w:val="nil"/>
              <w:bottom w:val="nil"/>
              <w:right w:val="nil"/>
            </w:tcBorders>
            <w:shd w:val="clear" w:color="auto" w:fill="auto"/>
            <w:noWrap/>
            <w:vAlign w:val="bottom"/>
            <w:hideMark/>
          </w:tcPr>
          <w:p w14:paraId="08C760F0"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59996990,4</w:t>
            </w:r>
          </w:p>
        </w:tc>
        <w:tc>
          <w:tcPr>
            <w:tcW w:w="306" w:type="pct"/>
            <w:tcBorders>
              <w:top w:val="nil"/>
              <w:left w:val="nil"/>
              <w:bottom w:val="nil"/>
              <w:right w:val="nil"/>
            </w:tcBorders>
            <w:shd w:val="clear" w:color="auto" w:fill="auto"/>
            <w:noWrap/>
            <w:vAlign w:val="bottom"/>
            <w:hideMark/>
          </w:tcPr>
          <w:p w14:paraId="63DE8BDC"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58677110,5</w:t>
            </w:r>
          </w:p>
        </w:tc>
        <w:tc>
          <w:tcPr>
            <w:tcW w:w="304" w:type="pct"/>
            <w:tcBorders>
              <w:top w:val="nil"/>
              <w:left w:val="nil"/>
              <w:bottom w:val="nil"/>
              <w:right w:val="nil"/>
            </w:tcBorders>
            <w:shd w:val="clear" w:color="auto" w:fill="auto"/>
            <w:noWrap/>
            <w:vAlign w:val="bottom"/>
            <w:hideMark/>
          </w:tcPr>
          <w:p w14:paraId="6BA86B5C"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57779056,2</w:t>
            </w:r>
          </w:p>
        </w:tc>
        <w:tc>
          <w:tcPr>
            <w:tcW w:w="313" w:type="pct"/>
            <w:tcBorders>
              <w:top w:val="nil"/>
              <w:left w:val="nil"/>
              <w:bottom w:val="nil"/>
              <w:right w:val="nil"/>
            </w:tcBorders>
            <w:shd w:val="clear" w:color="auto" w:fill="auto"/>
            <w:noWrap/>
            <w:vAlign w:val="bottom"/>
            <w:hideMark/>
          </w:tcPr>
          <w:p w14:paraId="372B8C9A"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46662258,8</w:t>
            </w:r>
          </w:p>
        </w:tc>
        <w:tc>
          <w:tcPr>
            <w:tcW w:w="316" w:type="pct"/>
            <w:tcBorders>
              <w:top w:val="nil"/>
              <w:left w:val="nil"/>
              <w:bottom w:val="nil"/>
              <w:right w:val="nil"/>
            </w:tcBorders>
            <w:shd w:val="clear" w:color="auto" w:fill="auto"/>
            <w:noWrap/>
            <w:vAlign w:val="bottom"/>
            <w:hideMark/>
          </w:tcPr>
          <w:p w14:paraId="1CBDC43E"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65444923,15</w:t>
            </w:r>
          </w:p>
        </w:tc>
        <w:tc>
          <w:tcPr>
            <w:tcW w:w="304" w:type="pct"/>
            <w:tcBorders>
              <w:top w:val="nil"/>
              <w:left w:val="nil"/>
              <w:bottom w:val="nil"/>
              <w:right w:val="nil"/>
            </w:tcBorders>
            <w:shd w:val="clear" w:color="auto" w:fill="auto"/>
            <w:noWrap/>
            <w:vAlign w:val="bottom"/>
            <w:hideMark/>
          </w:tcPr>
          <w:p w14:paraId="371E3F43"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50235878,3</w:t>
            </w:r>
          </w:p>
        </w:tc>
        <w:tc>
          <w:tcPr>
            <w:tcW w:w="298" w:type="pct"/>
            <w:tcBorders>
              <w:top w:val="nil"/>
              <w:left w:val="nil"/>
              <w:bottom w:val="nil"/>
              <w:right w:val="nil"/>
            </w:tcBorders>
            <w:shd w:val="clear" w:color="auto" w:fill="auto"/>
            <w:noWrap/>
            <w:vAlign w:val="bottom"/>
            <w:hideMark/>
          </w:tcPr>
          <w:p w14:paraId="1E6DC4C9"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17344402,3</w:t>
            </w:r>
          </w:p>
        </w:tc>
        <w:tc>
          <w:tcPr>
            <w:tcW w:w="327" w:type="pct"/>
            <w:tcBorders>
              <w:top w:val="nil"/>
              <w:left w:val="nil"/>
              <w:bottom w:val="nil"/>
              <w:right w:val="single" w:sz="4" w:space="0" w:color="auto"/>
            </w:tcBorders>
            <w:shd w:val="clear" w:color="auto" w:fill="auto"/>
            <w:noWrap/>
            <w:vAlign w:val="bottom"/>
            <w:hideMark/>
          </w:tcPr>
          <w:p w14:paraId="74230585"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750856884</w:t>
            </w:r>
          </w:p>
        </w:tc>
      </w:tr>
      <w:tr w:rsidR="009110B9" w:rsidRPr="009110B9" w14:paraId="32F43EB3" w14:textId="77777777" w:rsidTr="009110B9">
        <w:trPr>
          <w:trHeight w:val="285"/>
          <w:jc w:val="center"/>
        </w:trPr>
        <w:tc>
          <w:tcPr>
            <w:tcW w:w="342" w:type="pct"/>
            <w:tcBorders>
              <w:top w:val="nil"/>
              <w:left w:val="single" w:sz="4" w:space="0" w:color="auto"/>
              <w:bottom w:val="single" w:sz="4" w:space="0" w:color="auto"/>
              <w:right w:val="nil"/>
            </w:tcBorders>
            <w:shd w:val="clear" w:color="auto" w:fill="auto"/>
            <w:noWrap/>
            <w:vAlign w:val="bottom"/>
            <w:hideMark/>
          </w:tcPr>
          <w:p w14:paraId="1B4E0916"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JP- 1A</w:t>
            </w:r>
          </w:p>
        </w:tc>
        <w:tc>
          <w:tcPr>
            <w:tcW w:w="318" w:type="pct"/>
            <w:tcBorders>
              <w:top w:val="nil"/>
              <w:left w:val="nil"/>
              <w:bottom w:val="single" w:sz="4" w:space="0" w:color="auto"/>
              <w:right w:val="nil"/>
            </w:tcBorders>
            <w:shd w:val="clear" w:color="auto" w:fill="auto"/>
            <w:noWrap/>
            <w:vAlign w:val="bottom"/>
            <w:hideMark/>
          </w:tcPr>
          <w:p w14:paraId="1BBF6165"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265998539,2</w:t>
            </w:r>
          </w:p>
        </w:tc>
        <w:tc>
          <w:tcPr>
            <w:tcW w:w="315" w:type="pct"/>
            <w:tcBorders>
              <w:top w:val="nil"/>
              <w:left w:val="nil"/>
              <w:bottom w:val="single" w:sz="4" w:space="0" w:color="auto"/>
              <w:right w:val="nil"/>
            </w:tcBorders>
            <w:shd w:val="clear" w:color="auto" w:fill="auto"/>
            <w:noWrap/>
            <w:vAlign w:val="bottom"/>
            <w:hideMark/>
          </w:tcPr>
          <w:p w14:paraId="18080F59"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302453865,4</w:t>
            </w:r>
          </w:p>
        </w:tc>
        <w:tc>
          <w:tcPr>
            <w:tcW w:w="308" w:type="pct"/>
            <w:tcBorders>
              <w:top w:val="nil"/>
              <w:left w:val="nil"/>
              <w:bottom w:val="single" w:sz="4" w:space="0" w:color="auto"/>
              <w:right w:val="nil"/>
            </w:tcBorders>
            <w:shd w:val="clear" w:color="auto" w:fill="auto"/>
            <w:noWrap/>
            <w:vAlign w:val="bottom"/>
            <w:hideMark/>
          </w:tcPr>
          <w:p w14:paraId="084190E4"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326877052</w:t>
            </w:r>
          </w:p>
        </w:tc>
        <w:tc>
          <w:tcPr>
            <w:tcW w:w="305" w:type="pct"/>
            <w:tcBorders>
              <w:top w:val="nil"/>
              <w:left w:val="nil"/>
              <w:bottom w:val="single" w:sz="4" w:space="0" w:color="auto"/>
              <w:right w:val="nil"/>
            </w:tcBorders>
            <w:shd w:val="clear" w:color="auto" w:fill="auto"/>
            <w:noWrap/>
            <w:vAlign w:val="bottom"/>
            <w:hideMark/>
          </w:tcPr>
          <w:p w14:paraId="56604036"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333131447</w:t>
            </w:r>
          </w:p>
        </w:tc>
        <w:tc>
          <w:tcPr>
            <w:tcW w:w="316" w:type="pct"/>
            <w:tcBorders>
              <w:top w:val="nil"/>
              <w:left w:val="nil"/>
              <w:bottom w:val="single" w:sz="4" w:space="0" w:color="auto"/>
              <w:right w:val="nil"/>
            </w:tcBorders>
            <w:shd w:val="clear" w:color="auto" w:fill="auto"/>
            <w:noWrap/>
            <w:vAlign w:val="bottom"/>
            <w:hideMark/>
          </w:tcPr>
          <w:p w14:paraId="458C3919"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349595948,5</w:t>
            </w:r>
          </w:p>
        </w:tc>
        <w:tc>
          <w:tcPr>
            <w:tcW w:w="307" w:type="pct"/>
            <w:tcBorders>
              <w:top w:val="nil"/>
              <w:left w:val="nil"/>
              <w:bottom w:val="single" w:sz="4" w:space="0" w:color="auto"/>
              <w:right w:val="nil"/>
            </w:tcBorders>
            <w:shd w:val="clear" w:color="auto" w:fill="auto"/>
            <w:noWrap/>
            <w:vAlign w:val="bottom"/>
            <w:hideMark/>
          </w:tcPr>
          <w:p w14:paraId="2F7759FC"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380978678,1</w:t>
            </w:r>
          </w:p>
        </w:tc>
        <w:tc>
          <w:tcPr>
            <w:tcW w:w="309" w:type="pct"/>
            <w:tcBorders>
              <w:top w:val="nil"/>
              <w:left w:val="nil"/>
              <w:bottom w:val="single" w:sz="4" w:space="0" w:color="auto"/>
              <w:right w:val="nil"/>
            </w:tcBorders>
            <w:shd w:val="clear" w:color="auto" w:fill="auto"/>
            <w:noWrap/>
            <w:vAlign w:val="bottom"/>
            <w:hideMark/>
          </w:tcPr>
          <w:p w14:paraId="10C3F397"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401588543,8</w:t>
            </w:r>
          </w:p>
        </w:tc>
        <w:tc>
          <w:tcPr>
            <w:tcW w:w="312" w:type="pct"/>
            <w:tcBorders>
              <w:top w:val="nil"/>
              <w:left w:val="nil"/>
              <w:bottom w:val="single" w:sz="4" w:space="0" w:color="auto"/>
              <w:right w:val="nil"/>
            </w:tcBorders>
            <w:shd w:val="clear" w:color="auto" w:fill="auto"/>
            <w:noWrap/>
            <w:vAlign w:val="bottom"/>
            <w:hideMark/>
          </w:tcPr>
          <w:p w14:paraId="48648F91"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388022544</w:t>
            </w:r>
          </w:p>
        </w:tc>
        <w:tc>
          <w:tcPr>
            <w:tcW w:w="306" w:type="pct"/>
            <w:tcBorders>
              <w:top w:val="nil"/>
              <w:left w:val="nil"/>
              <w:bottom w:val="single" w:sz="4" w:space="0" w:color="auto"/>
              <w:right w:val="nil"/>
            </w:tcBorders>
            <w:shd w:val="clear" w:color="auto" w:fill="auto"/>
            <w:noWrap/>
            <w:vAlign w:val="bottom"/>
            <w:hideMark/>
          </w:tcPr>
          <w:p w14:paraId="54E491DB"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446243079</w:t>
            </w:r>
          </w:p>
        </w:tc>
        <w:tc>
          <w:tcPr>
            <w:tcW w:w="304" w:type="pct"/>
            <w:tcBorders>
              <w:top w:val="nil"/>
              <w:left w:val="nil"/>
              <w:bottom w:val="single" w:sz="4" w:space="0" w:color="auto"/>
              <w:right w:val="nil"/>
            </w:tcBorders>
            <w:shd w:val="clear" w:color="auto" w:fill="auto"/>
            <w:noWrap/>
            <w:vAlign w:val="bottom"/>
            <w:hideMark/>
          </w:tcPr>
          <w:p w14:paraId="5FBC52C7"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475125790</w:t>
            </w:r>
          </w:p>
        </w:tc>
        <w:tc>
          <w:tcPr>
            <w:tcW w:w="313" w:type="pct"/>
            <w:tcBorders>
              <w:top w:val="nil"/>
              <w:left w:val="nil"/>
              <w:bottom w:val="single" w:sz="4" w:space="0" w:color="auto"/>
              <w:right w:val="nil"/>
            </w:tcBorders>
            <w:shd w:val="clear" w:color="auto" w:fill="auto"/>
            <w:noWrap/>
            <w:vAlign w:val="bottom"/>
            <w:hideMark/>
          </w:tcPr>
          <w:p w14:paraId="56C07C6D"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215884301</w:t>
            </w:r>
          </w:p>
        </w:tc>
        <w:tc>
          <w:tcPr>
            <w:tcW w:w="316" w:type="pct"/>
            <w:tcBorders>
              <w:top w:val="nil"/>
              <w:left w:val="nil"/>
              <w:bottom w:val="single" w:sz="4" w:space="0" w:color="auto"/>
              <w:right w:val="nil"/>
            </w:tcBorders>
            <w:shd w:val="clear" w:color="auto" w:fill="auto"/>
            <w:noWrap/>
            <w:vAlign w:val="bottom"/>
            <w:hideMark/>
          </w:tcPr>
          <w:p w14:paraId="31723D29"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437317714,9</w:t>
            </w:r>
          </w:p>
        </w:tc>
        <w:tc>
          <w:tcPr>
            <w:tcW w:w="304" w:type="pct"/>
            <w:tcBorders>
              <w:top w:val="nil"/>
              <w:left w:val="nil"/>
              <w:bottom w:val="single" w:sz="4" w:space="0" w:color="auto"/>
              <w:right w:val="nil"/>
            </w:tcBorders>
            <w:shd w:val="clear" w:color="auto" w:fill="auto"/>
            <w:noWrap/>
            <w:vAlign w:val="bottom"/>
            <w:hideMark/>
          </w:tcPr>
          <w:p w14:paraId="06A12663"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625039787</w:t>
            </w:r>
          </w:p>
        </w:tc>
        <w:tc>
          <w:tcPr>
            <w:tcW w:w="298" w:type="pct"/>
            <w:tcBorders>
              <w:top w:val="nil"/>
              <w:left w:val="nil"/>
              <w:bottom w:val="single" w:sz="4" w:space="0" w:color="auto"/>
              <w:right w:val="nil"/>
            </w:tcBorders>
            <w:shd w:val="clear" w:color="auto" w:fill="auto"/>
            <w:noWrap/>
            <w:vAlign w:val="bottom"/>
            <w:hideMark/>
          </w:tcPr>
          <w:p w14:paraId="6F4A6B4B"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216056077</w:t>
            </w:r>
          </w:p>
        </w:tc>
        <w:tc>
          <w:tcPr>
            <w:tcW w:w="327" w:type="pct"/>
            <w:tcBorders>
              <w:top w:val="nil"/>
              <w:left w:val="nil"/>
              <w:bottom w:val="single" w:sz="4" w:space="0" w:color="auto"/>
              <w:right w:val="single" w:sz="4" w:space="0" w:color="auto"/>
            </w:tcBorders>
            <w:shd w:val="clear" w:color="auto" w:fill="auto"/>
            <w:noWrap/>
            <w:vAlign w:val="bottom"/>
            <w:hideMark/>
          </w:tcPr>
          <w:p w14:paraId="15031974" w14:textId="77777777" w:rsidR="00D94988" w:rsidRPr="009110B9" w:rsidRDefault="00D94988" w:rsidP="00550E1B">
            <w:pPr>
              <w:spacing w:after="0" w:line="240" w:lineRule="auto"/>
              <w:jc w:val="both"/>
              <w:rPr>
                <w:rFonts w:ascii="Work Sans Regular Roman" w:eastAsia="Times New Roman" w:hAnsi="Work Sans Regular Roman" w:cs="Calibri"/>
                <w:sz w:val="16"/>
                <w:szCs w:val="16"/>
              </w:rPr>
            </w:pPr>
            <w:r w:rsidRPr="009110B9">
              <w:rPr>
                <w:rFonts w:ascii="Work Sans Regular Roman" w:eastAsia="Times New Roman" w:hAnsi="Work Sans Regular Roman" w:cs="Calibri"/>
                <w:sz w:val="16"/>
                <w:szCs w:val="16"/>
              </w:rPr>
              <w:t>5164313367</w:t>
            </w:r>
          </w:p>
        </w:tc>
      </w:tr>
      <w:tr w:rsidR="009110B9" w:rsidRPr="009110B9" w14:paraId="314788D8" w14:textId="77777777" w:rsidTr="009110B9">
        <w:trPr>
          <w:trHeight w:val="285"/>
          <w:jc w:val="center"/>
        </w:trPr>
        <w:tc>
          <w:tcPr>
            <w:tcW w:w="342" w:type="pct"/>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5F161E69"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TOTAL</w:t>
            </w:r>
          </w:p>
        </w:tc>
        <w:tc>
          <w:tcPr>
            <w:tcW w:w="318" w:type="pct"/>
            <w:tcBorders>
              <w:top w:val="single" w:sz="4" w:space="0" w:color="auto"/>
              <w:left w:val="nil"/>
              <w:bottom w:val="single" w:sz="4" w:space="0" w:color="auto"/>
              <w:right w:val="nil"/>
            </w:tcBorders>
            <w:shd w:val="clear" w:color="auto" w:fill="D9D9D9" w:themeFill="background1" w:themeFillShade="D9"/>
            <w:noWrap/>
            <w:vAlign w:val="center"/>
            <w:hideMark/>
          </w:tcPr>
          <w:p w14:paraId="6E9983A0"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3045301204</w:t>
            </w:r>
          </w:p>
        </w:tc>
        <w:tc>
          <w:tcPr>
            <w:tcW w:w="315" w:type="pct"/>
            <w:tcBorders>
              <w:top w:val="single" w:sz="4" w:space="0" w:color="auto"/>
              <w:left w:val="nil"/>
              <w:bottom w:val="single" w:sz="4" w:space="0" w:color="auto"/>
              <w:right w:val="nil"/>
            </w:tcBorders>
            <w:shd w:val="clear" w:color="auto" w:fill="D9D9D9" w:themeFill="background1" w:themeFillShade="D9"/>
            <w:noWrap/>
            <w:vAlign w:val="center"/>
            <w:hideMark/>
          </w:tcPr>
          <w:p w14:paraId="125B7708"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3491157167</w:t>
            </w:r>
          </w:p>
        </w:tc>
        <w:tc>
          <w:tcPr>
            <w:tcW w:w="308" w:type="pct"/>
            <w:tcBorders>
              <w:top w:val="single" w:sz="4" w:space="0" w:color="auto"/>
              <w:left w:val="nil"/>
              <w:bottom w:val="single" w:sz="4" w:space="0" w:color="auto"/>
              <w:right w:val="nil"/>
            </w:tcBorders>
            <w:shd w:val="clear" w:color="auto" w:fill="D9D9D9" w:themeFill="background1" w:themeFillShade="D9"/>
            <w:noWrap/>
            <w:vAlign w:val="center"/>
            <w:hideMark/>
          </w:tcPr>
          <w:p w14:paraId="59F22294"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3663956869</w:t>
            </w:r>
          </w:p>
        </w:tc>
        <w:tc>
          <w:tcPr>
            <w:tcW w:w="305" w:type="pct"/>
            <w:tcBorders>
              <w:top w:val="single" w:sz="4" w:space="0" w:color="auto"/>
              <w:left w:val="nil"/>
              <w:bottom w:val="single" w:sz="4" w:space="0" w:color="auto"/>
              <w:right w:val="nil"/>
            </w:tcBorders>
            <w:shd w:val="clear" w:color="auto" w:fill="D9D9D9" w:themeFill="background1" w:themeFillShade="D9"/>
            <w:noWrap/>
            <w:vAlign w:val="center"/>
            <w:hideMark/>
          </w:tcPr>
          <w:p w14:paraId="39257C34"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3728156582</w:t>
            </w:r>
          </w:p>
        </w:tc>
        <w:tc>
          <w:tcPr>
            <w:tcW w:w="316" w:type="pct"/>
            <w:tcBorders>
              <w:top w:val="single" w:sz="4" w:space="0" w:color="auto"/>
              <w:left w:val="nil"/>
              <w:bottom w:val="single" w:sz="4" w:space="0" w:color="auto"/>
              <w:right w:val="nil"/>
            </w:tcBorders>
            <w:shd w:val="clear" w:color="auto" w:fill="D9D9D9" w:themeFill="background1" w:themeFillShade="D9"/>
            <w:noWrap/>
            <w:vAlign w:val="center"/>
            <w:hideMark/>
          </w:tcPr>
          <w:p w14:paraId="6E1ABB11"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3862217878</w:t>
            </w:r>
          </w:p>
        </w:tc>
        <w:tc>
          <w:tcPr>
            <w:tcW w:w="307" w:type="pct"/>
            <w:tcBorders>
              <w:top w:val="single" w:sz="4" w:space="0" w:color="auto"/>
              <w:left w:val="nil"/>
              <w:bottom w:val="single" w:sz="4" w:space="0" w:color="auto"/>
              <w:right w:val="nil"/>
            </w:tcBorders>
            <w:shd w:val="clear" w:color="auto" w:fill="D9D9D9" w:themeFill="background1" w:themeFillShade="D9"/>
            <w:noWrap/>
            <w:vAlign w:val="center"/>
            <w:hideMark/>
          </w:tcPr>
          <w:p w14:paraId="128775C3"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4185473992</w:t>
            </w:r>
          </w:p>
        </w:tc>
        <w:tc>
          <w:tcPr>
            <w:tcW w:w="309" w:type="pct"/>
            <w:tcBorders>
              <w:top w:val="single" w:sz="4" w:space="0" w:color="auto"/>
              <w:left w:val="nil"/>
              <w:bottom w:val="single" w:sz="4" w:space="0" w:color="auto"/>
              <w:right w:val="nil"/>
            </w:tcBorders>
            <w:shd w:val="clear" w:color="auto" w:fill="D9D9D9" w:themeFill="background1" w:themeFillShade="D9"/>
            <w:noWrap/>
            <w:vAlign w:val="center"/>
            <w:hideMark/>
          </w:tcPr>
          <w:p w14:paraId="71BD739B"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4316902279</w:t>
            </w:r>
          </w:p>
        </w:tc>
        <w:tc>
          <w:tcPr>
            <w:tcW w:w="312" w:type="pct"/>
            <w:tcBorders>
              <w:top w:val="single" w:sz="4" w:space="0" w:color="auto"/>
              <w:left w:val="nil"/>
              <w:bottom w:val="single" w:sz="4" w:space="0" w:color="auto"/>
              <w:right w:val="nil"/>
            </w:tcBorders>
            <w:shd w:val="clear" w:color="auto" w:fill="D9D9D9" w:themeFill="background1" w:themeFillShade="D9"/>
            <w:noWrap/>
            <w:vAlign w:val="center"/>
            <w:hideMark/>
          </w:tcPr>
          <w:p w14:paraId="0C09033D"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4250078766</w:t>
            </w:r>
          </w:p>
        </w:tc>
        <w:tc>
          <w:tcPr>
            <w:tcW w:w="306" w:type="pct"/>
            <w:tcBorders>
              <w:top w:val="single" w:sz="4" w:space="0" w:color="auto"/>
              <w:left w:val="nil"/>
              <w:bottom w:val="single" w:sz="4" w:space="0" w:color="auto"/>
              <w:right w:val="nil"/>
            </w:tcBorders>
            <w:shd w:val="clear" w:color="auto" w:fill="D9D9D9" w:themeFill="background1" w:themeFillShade="D9"/>
            <w:noWrap/>
            <w:vAlign w:val="center"/>
            <w:hideMark/>
          </w:tcPr>
          <w:p w14:paraId="50CDED70"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4439213408</w:t>
            </w:r>
          </w:p>
        </w:tc>
        <w:tc>
          <w:tcPr>
            <w:tcW w:w="304" w:type="pct"/>
            <w:tcBorders>
              <w:top w:val="single" w:sz="4" w:space="0" w:color="auto"/>
              <w:left w:val="nil"/>
              <w:bottom w:val="single" w:sz="4" w:space="0" w:color="auto"/>
              <w:right w:val="nil"/>
            </w:tcBorders>
            <w:shd w:val="clear" w:color="auto" w:fill="D9D9D9" w:themeFill="background1" w:themeFillShade="D9"/>
            <w:noWrap/>
            <w:vAlign w:val="center"/>
            <w:hideMark/>
          </w:tcPr>
          <w:p w14:paraId="071AB6F6"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4621379708</w:t>
            </w:r>
          </w:p>
        </w:tc>
        <w:tc>
          <w:tcPr>
            <w:tcW w:w="313" w:type="pct"/>
            <w:tcBorders>
              <w:top w:val="single" w:sz="4" w:space="0" w:color="auto"/>
              <w:left w:val="nil"/>
              <w:bottom w:val="single" w:sz="4" w:space="0" w:color="auto"/>
              <w:right w:val="nil"/>
            </w:tcBorders>
            <w:shd w:val="clear" w:color="auto" w:fill="D9D9D9" w:themeFill="background1" w:themeFillShade="D9"/>
            <w:noWrap/>
            <w:vAlign w:val="center"/>
            <w:hideMark/>
          </w:tcPr>
          <w:p w14:paraId="26E9A39B"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3709309980</w:t>
            </w:r>
          </w:p>
        </w:tc>
        <w:tc>
          <w:tcPr>
            <w:tcW w:w="316" w:type="pct"/>
            <w:tcBorders>
              <w:top w:val="single" w:sz="4" w:space="0" w:color="auto"/>
              <w:left w:val="nil"/>
              <w:bottom w:val="single" w:sz="4" w:space="0" w:color="auto"/>
              <w:right w:val="nil"/>
            </w:tcBorders>
            <w:shd w:val="clear" w:color="auto" w:fill="D9D9D9" w:themeFill="background1" w:themeFillShade="D9"/>
            <w:noWrap/>
            <w:vAlign w:val="center"/>
            <w:hideMark/>
          </w:tcPr>
          <w:p w14:paraId="6C363989"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4749496782</w:t>
            </w:r>
          </w:p>
        </w:tc>
        <w:tc>
          <w:tcPr>
            <w:tcW w:w="304" w:type="pct"/>
            <w:tcBorders>
              <w:top w:val="single" w:sz="4" w:space="0" w:color="auto"/>
              <w:left w:val="nil"/>
              <w:bottom w:val="single" w:sz="4" w:space="0" w:color="auto"/>
              <w:right w:val="nil"/>
            </w:tcBorders>
            <w:shd w:val="clear" w:color="auto" w:fill="D9D9D9" w:themeFill="background1" w:themeFillShade="D9"/>
            <w:noWrap/>
            <w:vAlign w:val="center"/>
            <w:hideMark/>
          </w:tcPr>
          <w:p w14:paraId="774A40DD"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5408156966</w:t>
            </w:r>
          </w:p>
        </w:tc>
        <w:tc>
          <w:tcPr>
            <w:tcW w:w="298" w:type="pct"/>
            <w:tcBorders>
              <w:top w:val="single" w:sz="4" w:space="0" w:color="auto"/>
              <w:left w:val="nil"/>
              <w:bottom w:val="single" w:sz="4" w:space="0" w:color="auto"/>
              <w:right w:val="nil"/>
            </w:tcBorders>
            <w:shd w:val="clear" w:color="auto" w:fill="D9D9D9" w:themeFill="background1" w:themeFillShade="D9"/>
            <w:noWrap/>
            <w:vAlign w:val="center"/>
            <w:hideMark/>
          </w:tcPr>
          <w:p w14:paraId="76A7677A"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2231389259</w:t>
            </w:r>
          </w:p>
        </w:tc>
        <w:tc>
          <w:tcPr>
            <w:tcW w:w="327"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F39A3A4" w14:textId="77777777" w:rsidR="00D94988" w:rsidRPr="009110B9" w:rsidRDefault="00D94988" w:rsidP="009110B9">
            <w:pPr>
              <w:spacing w:after="0" w:line="240" w:lineRule="auto"/>
              <w:jc w:val="center"/>
              <w:rPr>
                <w:rFonts w:ascii="Work Sans Regular Roman" w:eastAsia="Times New Roman" w:hAnsi="Work Sans Regular Roman" w:cs="Calibri"/>
                <w:b/>
                <w:bCs/>
                <w:sz w:val="16"/>
                <w:szCs w:val="16"/>
              </w:rPr>
            </w:pPr>
            <w:r w:rsidRPr="009110B9">
              <w:rPr>
                <w:rFonts w:ascii="Work Sans Regular Roman" w:eastAsia="Times New Roman" w:hAnsi="Work Sans Regular Roman" w:cs="Calibri"/>
                <w:b/>
                <w:bCs/>
                <w:sz w:val="16"/>
                <w:szCs w:val="16"/>
              </w:rPr>
              <w:t>55702190839</w:t>
            </w:r>
          </w:p>
        </w:tc>
      </w:tr>
    </w:tbl>
    <w:p w14:paraId="2FD662A5" w14:textId="77777777" w:rsidR="009110B9" w:rsidRDefault="009110B9">
      <w:pPr>
        <w:spacing w:after="0" w:line="240" w:lineRule="auto"/>
        <w:rPr>
          <w:rFonts w:ascii="Work Sans Regular Roman" w:hAnsi="Work Sans Regular Roman"/>
          <w:sz w:val="24"/>
          <w:szCs w:val="24"/>
        </w:rPr>
        <w:sectPr w:rsidR="009110B9" w:rsidSect="000A26BF">
          <w:pgSz w:w="15840" w:h="12240" w:orient="landscape"/>
          <w:pgMar w:top="1418" w:right="1991" w:bottom="1418" w:left="1588" w:header="573" w:footer="1531" w:gutter="0"/>
          <w:cols w:space="720"/>
          <w:formProt w:val="0"/>
          <w:docGrid w:linePitch="360" w:charSpace="16384"/>
        </w:sectPr>
      </w:pPr>
    </w:p>
    <w:p w14:paraId="386E0045" w14:textId="1A1A8EA1" w:rsidR="007C0C77" w:rsidRPr="00BF201B" w:rsidRDefault="007C0C77">
      <w:pPr>
        <w:pStyle w:val="Prrafodelista"/>
        <w:numPr>
          <w:ilvl w:val="0"/>
          <w:numId w:val="2"/>
        </w:numPr>
        <w:spacing w:after="0" w:line="240" w:lineRule="auto"/>
        <w:jc w:val="both"/>
        <w:rPr>
          <w:rFonts w:ascii="Work Sans Regular Roman" w:eastAsia="Work Sans Regular Roman" w:hAnsi="Work Sans Regular Roman" w:cstheme="minorHAnsi"/>
          <w:b/>
          <w:sz w:val="24"/>
          <w:szCs w:val="24"/>
        </w:rPr>
      </w:pPr>
      <w:r w:rsidRPr="00BF201B">
        <w:rPr>
          <w:rFonts w:ascii="Work Sans Regular Roman" w:eastAsia="Work Sans Regular Roman" w:hAnsi="Work Sans Regular Roman" w:cstheme="minorHAnsi"/>
          <w:b/>
          <w:bCs/>
          <w:sz w:val="24"/>
          <w:szCs w:val="24"/>
        </w:rPr>
        <w:lastRenderedPageBreak/>
        <w:t xml:space="preserve">Detallar para el año 2023 qué factores componen el costo del galón de la gasolina y </w:t>
      </w:r>
      <w:r w:rsidRPr="00BF201B">
        <w:rPr>
          <w:rFonts w:ascii="Work Sans Regular Roman" w:eastAsia="Work Sans Regular Roman" w:hAnsi="Work Sans Regular Roman" w:cstheme="minorHAnsi"/>
          <w:b/>
          <w:sz w:val="24"/>
          <w:szCs w:val="24"/>
        </w:rPr>
        <w:t>la proporción que representan sobre el precio final (ingreso al productor, impuestos, transporte, almacenamiento, distribución y otras).</w:t>
      </w:r>
    </w:p>
    <w:p w14:paraId="388E4AA4" w14:textId="77777777" w:rsidR="007C0C77" w:rsidRPr="00550E1B" w:rsidRDefault="007C0C77" w:rsidP="00550E1B">
      <w:pPr>
        <w:spacing w:after="0" w:line="240" w:lineRule="auto"/>
        <w:contextualSpacing/>
        <w:jc w:val="both"/>
        <w:rPr>
          <w:rFonts w:ascii="Work Sans Regular Roman" w:eastAsia="Work Sans Regular Roman" w:hAnsi="Work Sans Regular Roman" w:cstheme="minorHAnsi"/>
          <w:b/>
          <w:sz w:val="24"/>
          <w:szCs w:val="24"/>
        </w:rPr>
      </w:pPr>
    </w:p>
    <w:p w14:paraId="145B4F32" w14:textId="77777777" w:rsidR="007C0C77" w:rsidRPr="00550E1B" w:rsidRDefault="007C0C77" w:rsidP="00550E1B">
      <w:pPr>
        <w:spacing w:after="0" w:line="240" w:lineRule="auto"/>
        <w:ind w:right="51"/>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Actualmente, de acuerdo con lo definido en el artículo 35 de la Ley 1955 de 2019, modificado por el artículo 244 de la Ley 2294 de 2023, dispuso que corresponde a los Ministerios de Hacienda y Crédito Público y de Minas y Energía, o la entidad delegada, establecer la metodología de cálculo del valor del ingreso al productor de los combustibles líquidos y biocombustibles (rubro de la estructura de precio de venta de estos combustibles).</w:t>
      </w:r>
    </w:p>
    <w:p w14:paraId="0DF9EB03" w14:textId="77777777" w:rsidR="007C0C77" w:rsidRPr="00550E1B" w:rsidRDefault="007C0C77" w:rsidP="00550E1B">
      <w:pPr>
        <w:spacing w:after="0" w:line="240" w:lineRule="auto"/>
        <w:ind w:right="51"/>
        <w:jc w:val="both"/>
        <w:rPr>
          <w:rFonts w:ascii="Work Sans Regular Roman" w:eastAsia="Work Sans Regular Roman" w:hAnsi="Work Sans Regular Roman" w:cstheme="minorHAnsi"/>
          <w:sz w:val="24"/>
          <w:szCs w:val="24"/>
        </w:rPr>
      </w:pPr>
    </w:p>
    <w:p w14:paraId="47B98E42" w14:textId="25F2E833" w:rsidR="007C0C77" w:rsidRPr="00BF201B" w:rsidRDefault="007C0C77" w:rsidP="00550E1B">
      <w:pPr>
        <w:spacing w:after="0" w:line="240" w:lineRule="auto"/>
        <w:ind w:right="51"/>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 xml:space="preserve">Por su parte, de acuerdo con la </w:t>
      </w:r>
      <w:r w:rsidR="00BF201B">
        <w:rPr>
          <w:rFonts w:ascii="Work Sans Regular Roman" w:eastAsia="Work Sans Regular Roman" w:hAnsi="Work Sans Regular Roman" w:cstheme="minorHAnsi"/>
          <w:sz w:val="24"/>
          <w:szCs w:val="24"/>
        </w:rPr>
        <w:t>R</w:t>
      </w:r>
      <w:r w:rsidRPr="00550E1B">
        <w:rPr>
          <w:rFonts w:ascii="Work Sans Regular Roman" w:eastAsia="Work Sans Regular Roman" w:hAnsi="Work Sans Regular Roman" w:cstheme="minorHAnsi"/>
          <w:sz w:val="24"/>
          <w:szCs w:val="24"/>
        </w:rPr>
        <w:t xml:space="preserve">esolución </w:t>
      </w:r>
      <w:r w:rsidR="00BF201B">
        <w:rPr>
          <w:rFonts w:ascii="Work Sans Regular Roman" w:eastAsia="Work Sans Regular Roman" w:hAnsi="Work Sans Regular Roman" w:cstheme="minorHAnsi"/>
          <w:sz w:val="24"/>
          <w:szCs w:val="24"/>
        </w:rPr>
        <w:t xml:space="preserve">No. </w:t>
      </w:r>
      <w:r w:rsidRPr="00550E1B">
        <w:rPr>
          <w:rFonts w:ascii="Work Sans Regular Roman" w:eastAsia="Work Sans Regular Roman" w:hAnsi="Work Sans Regular Roman" w:cstheme="minorHAnsi"/>
          <w:sz w:val="24"/>
          <w:szCs w:val="24"/>
        </w:rPr>
        <w:t xml:space="preserve">40193 de 2021, </w:t>
      </w:r>
      <w:r w:rsidRPr="00550E1B">
        <w:rPr>
          <w:rFonts w:ascii="Work Sans Regular Roman" w:eastAsia="Work Sans Regular Roman" w:hAnsi="Work Sans Regular Roman" w:cstheme="minorHAnsi"/>
          <w:i/>
          <w:sz w:val="24"/>
          <w:szCs w:val="24"/>
        </w:rPr>
        <w:t>“Por la cual se delegan funciones de regulación del sector de combustibles líquidos en la Comisión de Regulación de Energía y Gas -CREG”</w:t>
      </w:r>
      <w:r w:rsidRPr="00550E1B">
        <w:rPr>
          <w:rFonts w:ascii="Work Sans Regular Roman" w:eastAsia="Work Sans Regular Roman" w:hAnsi="Work Sans Regular Roman" w:cstheme="minorHAnsi"/>
          <w:sz w:val="24"/>
          <w:szCs w:val="24"/>
        </w:rPr>
        <w:t xml:space="preserve">, la </w:t>
      </w:r>
      <w:r w:rsidR="00BF201B" w:rsidRPr="00BF201B">
        <w:rPr>
          <w:rFonts w:ascii="Work Sans Regular Roman" w:eastAsia="Work Sans Regular Roman" w:hAnsi="Work Sans Regular Roman" w:cstheme="minorHAnsi"/>
          <w:sz w:val="24"/>
          <w:szCs w:val="24"/>
        </w:rPr>
        <w:t xml:space="preserve">Comisión de Regulación de Energía y Gas – </w:t>
      </w:r>
      <w:r w:rsidRPr="00BF201B">
        <w:rPr>
          <w:rFonts w:ascii="Work Sans Regular Roman" w:eastAsia="Work Sans Regular Roman" w:hAnsi="Work Sans Regular Roman" w:cstheme="minorHAnsi"/>
          <w:sz w:val="24"/>
          <w:szCs w:val="24"/>
        </w:rPr>
        <w:t>CREG a partir de la entrada en vigencia del acto administrativo es la entidad encargada de la definición de tarifas y márgenes asociados a la remuneración de toda la cadena de transporte, logística, comercialización y distribución de dichos combustibles que hacen parte del mercado regulado.</w:t>
      </w:r>
    </w:p>
    <w:p w14:paraId="34934E59" w14:textId="77777777" w:rsidR="007C0C77" w:rsidRPr="00BF201B" w:rsidRDefault="007C0C77" w:rsidP="00550E1B">
      <w:pPr>
        <w:spacing w:after="0" w:line="240" w:lineRule="auto"/>
        <w:ind w:right="51"/>
        <w:jc w:val="both"/>
        <w:rPr>
          <w:rFonts w:ascii="Work Sans Regular Roman" w:eastAsia="Work Sans Regular Roman" w:hAnsi="Work Sans Regular Roman" w:cstheme="minorHAnsi"/>
          <w:sz w:val="24"/>
          <w:szCs w:val="24"/>
        </w:rPr>
      </w:pPr>
    </w:p>
    <w:p w14:paraId="1231740B" w14:textId="77777777" w:rsidR="007C0C77" w:rsidRPr="00550E1B" w:rsidRDefault="007C0C77" w:rsidP="00550E1B">
      <w:pPr>
        <w:spacing w:after="0" w:line="240" w:lineRule="auto"/>
        <w:ind w:right="51"/>
        <w:jc w:val="both"/>
        <w:rPr>
          <w:rFonts w:ascii="Work Sans Regular Roman" w:eastAsia="Work Sans Regular Roman" w:hAnsi="Work Sans Regular Roman" w:cstheme="minorHAnsi"/>
          <w:sz w:val="24"/>
          <w:szCs w:val="24"/>
        </w:rPr>
      </w:pPr>
      <w:r w:rsidRPr="00BF201B">
        <w:rPr>
          <w:rFonts w:ascii="Work Sans Regular Roman" w:eastAsia="Work Sans Regular Roman" w:hAnsi="Work Sans Regular Roman" w:cstheme="minorHAnsi"/>
          <w:sz w:val="24"/>
          <w:szCs w:val="24"/>
        </w:rPr>
        <w:t>Conforme al marco normativo los precios de los combustibles en Colombia, en particular de la gasolina corriente y del ACPM (Diésel), se encuentran regulados en cabeza</w:t>
      </w:r>
      <w:r w:rsidRPr="00550E1B">
        <w:rPr>
          <w:rFonts w:ascii="Work Sans Regular Roman" w:eastAsia="Work Sans Regular Roman" w:hAnsi="Work Sans Regular Roman" w:cstheme="minorHAnsi"/>
          <w:sz w:val="24"/>
          <w:szCs w:val="24"/>
        </w:rPr>
        <w:t xml:space="preserve"> de las disposiciones que establece el Ministerio de Minas y Energía y el Ministerio de Hacienda y Crédito Público. Así, mismo a lo largo del tiempo este Ministerio ha establecido regularmente los valores de los diferentes componentes que hacen parte de la estructura de precios de los combustibles.</w:t>
      </w:r>
    </w:p>
    <w:p w14:paraId="0E3D76F5" w14:textId="77777777" w:rsidR="007C0C77" w:rsidRPr="00550E1B" w:rsidRDefault="007C0C77"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p w14:paraId="670947E1" w14:textId="77777777" w:rsidR="007C0C77" w:rsidRPr="00550E1B" w:rsidRDefault="007C0C77"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Al estar regulados, la estructura de precios de estos combustibles debe ser acogida por todos los agentes de la cadena de distribución, incluidos los distribuidores minoristas.</w:t>
      </w:r>
    </w:p>
    <w:p w14:paraId="6A176963" w14:textId="77777777" w:rsidR="007C0C77" w:rsidRPr="00550E1B" w:rsidRDefault="007C0C77"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p w14:paraId="65F4CC7F" w14:textId="72FF6A65" w:rsidR="007C0C77" w:rsidRPr="00550E1B" w:rsidRDefault="007C0C77"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 xml:space="preserve">De manera ilustrativa e indicativa, a continuación, en la </w:t>
      </w:r>
      <w:r w:rsidR="00BF201B">
        <w:rPr>
          <w:rFonts w:ascii="Work Sans Regular Roman" w:eastAsia="Work Sans Regular Roman" w:hAnsi="Work Sans Regular Roman" w:cstheme="minorHAnsi"/>
          <w:sz w:val="24"/>
          <w:szCs w:val="24"/>
        </w:rPr>
        <w:t>t</w:t>
      </w:r>
      <w:r w:rsidRPr="00550E1B">
        <w:rPr>
          <w:rFonts w:ascii="Work Sans Regular Roman" w:eastAsia="Work Sans Regular Roman" w:hAnsi="Work Sans Regular Roman" w:cstheme="minorHAnsi"/>
          <w:sz w:val="24"/>
          <w:szCs w:val="24"/>
        </w:rPr>
        <w:t xml:space="preserve">abla se listan las variables más relevantes que definen la estructura de precios de referencia para la venta al público de los combustibles </w:t>
      </w:r>
      <w:r w:rsidR="00BF201B" w:rsidRPr="00550E1B">
        <w:rPr>
          <w:rFonts w:ascii="Work Sans Regular Roman" w:eastAsia="Work Sans Regular Roman" w:hAnsi="Work Sans Regular Roman" w:cstheme="minorHAnsi"/>
          <w:sz w:val="24"/>
          <w:szCs w:val="24"/>
        </w:rPr>
        <w:t xml:space="preserve">gasolina motor corriente oxigenada </w:t>
      </w:r>
      <w:r w:rsidRPr="00550E1B">
        <w:rPr>
          <w:rFonts w:ascii="Work Sans Regular Roman" w:eastAsia="Work Sans Regular Roman" w:hAnsi="Work Sans Regular Roman" w:cstheme="minorHAnsi"/>
          <w:sz w:val="24"/>
          <w:szCs w:val="24"/>
        </w:rPr>
        <w:t xml:space="preserve">y ACPM con mezcla de biocombustible, a nivel nacional. Esta estructura de precio se encuentra definida en la Resolución </w:t>
      </w:r>
      <w:r w:rsidR="00BF201B">
        <w:rPr>
          <w:rFonts w:ascii="Work Sans Regular Roman" w:eastAsia="Work Sans Regular Roman" w:hAnsi="Work Sans Regular Roman" w:cstheme="minorHAnsi"/>
          <w:sz w:val="24"/>
          <w:szCs w:val="24"/>
        </w:rPr>
        <w:t xml:space="preserve">No. </w:t>
      </w:r>
      <w:r w:rsidRPr="00550E1B">
        <w:rPr>
          <w:rFonts w:ascii="Work Sans Regular Roman" w:eastAsia="Work Sans Regular Roman" w:hAnsi="Work Sans Regular Roman" w:cstheme="minorHAnsi"/>
          <w:sz w:val="24"/>
          <w:szCs w:val="24"/>
        </w:rPr>
        <w:t>40112 de 2021 junto con su respectiva proporción</w:t>
      </w:r>
      <w:r w:rsidR="00BF201B">
        <w:rPr>
          <w:rFonts w:ascii="Work Sans Regular Roman" w:eastAsia="Work Sans Regular Roman" w:hAnsi="Work Sans Regular Roman" w:cstheme="minorHAnsi"/>
          <w:sz w:val="24"/>
          <w:szCs w:val="24"/>
        </w:rPr>
        <w:t>:</w:t>
      </w:r>
    </w:p>
    <w:p w14:paraId="2970CCAF" w14:textId="77777777" w:rsidR="007C0C77" w:rsidRPr="00550E1B" w:rsidRDefault="007C0C77"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p w14:paraId="47CCBAF7" w14:textId="2029C25C" w:rsidR="007C0C77" w:rsidRPr="00BF201B" w:rsidRDefault="007C0C77" w:rsidP="00BF201B">
      <w:pPr>
        <w:pBdr>
          <w:top w:val="nil"/>
          <w:left w:val="nil"/>
          <w:bottom w:val="nil"/>
          <w:right w:val="nil"/>
          <w:between w:val="nil"/>
        </w:pBdr>
        <w:spacing w:after="0" w:line="240" w:lineRule="auto"/>
        <w:jc w:val="center"/>
        <w:rPr>
          <w:rFonts w:ascii="Work Sans Regular Roman" w:eastAsia="Work Sans Regular Roman" w:hAnsi="Work Sans Regular Roman" w:cstheme="minorHAnsi"/>
          <w:b/>
          <w:sz w:val="20"/>
          <w:szCs w:val="20"/>
        </w:rPr>
      </w:pPr>
      <w:r w:rsidRPr="00BF201B">
        <w:rPr>
          <w:rFonts w:ascii="Work Sans Regular Roman" w:eastAsia="Work Sans Regular Roman" w:hAnsi="Work Sans Regular Roman" w:cstheme="minorHAnsi"/>
          <w:b/>
          <w:sz w:val="20"/>
          <w:szCs w:val="20"/>
        </w:rPr>
        <w:t>Relación de las variables que definen estructura de precios de los combustibles.</w:t>
      </w:r>
    </w:p>
    <w:p w14:paraId="2D798F24" w14:textId="77777777" w:rsidR="007C0C77" w:rsidRPr="00550E1B" w:rsidRDefault="007C0C77"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b/>
          <w:sz w:val="24"/>
          <w:szCs w:val="24"/>
        </w:rPr>
      </w:pPr>
    </w:p>
    <w:tbl>
      <w:tblPr>
        <w:tblW w:w="9110" w:type="dxa"/>
        <w:jc w:val="center"/>
        <w:tblLayout w:type="fixed"/>
        <w:tblLook w:val="0400" w:firstRow="0" w:lastRow="0" w:firstColumn="0" w:lastColumn="0" w:noHBand="0" w:noVBand="1"/>
      </w:tblPr>
      <w:tblGrid>
        <w:gridCol w:w="6169"/>
        <w:gridCol w:w="2941"/>
      </w:tblGrid>
      <w:tr w:rsidR="007C0C77" w:rsidRPr="00550E1B" w14:paraId="5ED09274" w14:textId="77777777" w:rsidTr="00BF201B">
        <w:trPr>
          <w:trHeight w:val="340"/>
          <w:tblHeader/>
          <w:jc w:val="center"/>
        </w:trPr>
        <w:tc>
          <w:tcPr>
            <w:tcW w:w="616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A13C13" w14:textId="5F6C3B2B" w:rsidR="007C0C77" w:rsidRPr="00BF201B" w:rsidRDefault="00BF201B" w:rsidP="00BF201B">
            <w:pPr>
              <w:spacing w:after="0" w:line="240" w:lineRule="auto"/>
              <w:jc w:val="center"/>
              <w:rPr>
                <w:rFonts w:ascii="Work Sans Regular Roman" w:eastAsia="Work Sans Regular Roman" w:hAnsi="Work Sans Regular Roman" w:cs="Work Sans Regular Roman"/>
                <w:b/>
                <w:sz w:val="20"/>
                <w:szCs w:val="20"/>
              </w:rPr>
            </w:pPr>
            <w:r w:rsidRPr="00BF201B">
              <w:rPr>
                <w:rFonts w:ascii="Work Sans Regular Roman" w:eastAsia="Work Sans Regular Roman" w:hAnsi="Work Sans Regular Roman" w:cs="Work Sans Regular Roman"/>
                <w:b/>
                <w:sz w:val="20"/>
                <w:szCs w:val="20"/>
              </w:rPr>
              <w:t>ESTRUCTURA PRECIO GASOLINA MC OXIGENADA</w:t>
            </w:r>
          </w:p>
        </w:tc>
        <w:tc>
          <w:tcPr>
            <w:tcW w:w="2941"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14:paraId="008A905B" w14:textId="29EB2E97" w:rsidR="007C0C77" w:rsidRPr="00BF201B" w:rsidRDefault="00BF201B" w:rsidP="00BF201B">
            <w:pPr>
              <w:spacing w:after="0" w:line="240" w:lineRule="auto"/>
              <w:jc w:val="center"/>
              <w:rPr>
                <w:rFonts w:ascii="Work Sans Regular Roman" w:eastAsia="Work Sans Regular Roman" w:hAnsi="Work Sans Regular Roman" w:cs="Work Sans Regular Roman"/>
                <w:b/>
                <w:sz w:val="20"/>
                <w:szCs w:val="20"/>
              </w:rPr>
            </w:pPr>
            <w:r w:rsidRPr="00BF201B">
              <w:rPr>
                <w:rFonts w:ascii="Work Sans Regular Roman" w:eastAsia="Work Sans Regular Roman" w:hAnsi="Work Sans Regular Roman" w:cs="Work Sans Regular Roman"/>
                <w:b/>
                <w:sz w:val="20"/>
                <w:szCs w:val="20"/>
              </w:rPr>
              <w:t>TIPO DE COMPONENTE</w:t>
            </w:r>
          </w:p>
        </w:tc>
      </w:tr>
      <w:tr w:rsidR="007C0C77" w:rsidRPr="00550E1B" w14:paraId="6F1A5A26"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028F4A1B" w14:textId="12BC284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 Proporción - Ingreso al Productor de la Gasolina Motor Corriente</w:t>
            </w:r>
          </w:p>
        </w:tc>
        <w:tc>
          <w:tcPr>
            <w:tcW w:w="2941" w:type="dxa"/>
            <w:tcBorders>
              <w:top w:val="nil"/>
              <w:left w:val="nil"/>
              <w:bottom w:val="single" w:sz="4" w:space="0" w:color="000000"/>
              <w:right w:val="single" w:sz="4" w:space="0" w:color="000000"/>
            </w:tcBorders>
            <w:shd w:val="clear" w:color="auto" w:fill="auto"/>
            <w:vAlign w:val="center"/>
          </w:tcPr>
          <w:p w14:paraId="4E1AA435" w14:textId="5955AA1C"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Ingreso al productor</w:t>
            </w:r>
          </w:p>
        </w:tc>
      </w:tr>
      <w:tr w:rsidR="007C0C77" w:rsidRPr="00550E1B" w14:paraId="018B05FF"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61014CED" w14:textId="6165E43C"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2. Proporción - Ingreso al Productor del Alcohol Carburante</w:t>
            </w:r>
          </w:p>
        </w:tc>
        <w:tc>
          <w:tcPr>
            <w:tcW w:w="2941" w:type="dxa"/>
            <w:tcBorders>
              <w:top w:val="nil"/>
              <w:left w:val="nil"/>
              <w:bottom w:val="single" w:sz="4" w:space="0" w:color="000000"/>
              <w:right w:val="single" w:sz="4" w:space="0" w:color="000000"/>
            </w:tcBorders>
            <w:shd w:val="clear" w:color="auto" w:fill="auto"/>
            <w:vAlign w:val="center"/>
          </w:tcPr>
          <w:p w14:paraId="09F11A4F" w14:textId="466BD85A"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Ingreso al productor</w:t>
            </w:r>
          </w:p>
        </w:tc>
      </w:tr>
      <w:tr w:rsidR="007C0C77" w:rsidRPr="00550E1B" w14:paraId="180B6682"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4D71AB14" w14:textId="02ADABB6"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3. Ingreso al productor de la Gasolina Motor Corriente Oxigenada</w:t>
            </w:r>
          </w:p>
        </w:tc>
        <w:tc>
          <w:tcPr>
            <w:tcW w:w="2941" w:type="dxa"/>
            <w:tcBorders>
              <w:top w:val="nil"/>
              <w:left w:val="nil"/>
              <w:bottom w:val="single" w:sz="4" w:space="0" w:color="000000"/>
              <w:right w:val="single" w:sz="4" w:space="0" w:color="000000"/>
            </w:tcBorders>
            <w:shd w:val="clear" w:color="auto" w:fill="auto"/>
            <w:vAlign w:val="center"/>
          </w:tcPr>
          <w:p w14:paraId="1CBCF4E3" w14:textId="6CC39923"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Subtotal</w:t>
            </w:r>
          </w:p>
        </w:tc>
      </w:tr>
      <w:tr w:rsidR="007C0C77" w:rsidRPr="00550E1B" w14:paraId="12E57BE6"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08684BFE" w14:textId="4FFF7C75"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4. Impuesto Nacional</w:t>
            </w:r>
          </w:p>
        </w:tc>
        <w:tc>
          <w:tcPr>
            <w:tcW w:w="2941" w:type="dxa"/>
            <w:tcBorders>
              <w:top w:val="nil"/>
              <w:left w:val="nil"/>
              <w:bottom w:val="single" w:sz="4" w:space="0" w:color="000000"/>
              <w:right w:val="single" w:sz="4" w:space="0" w:color="000000"/>
            </w:tcBorders>
            <w:shd w:val="clear" w:color="auto" w:fill="auto"/>
            <w:vAlign w:val="center"/>
          </w:tcPr>
          <w:p w14:paraId="2437FCAF" w14:textId="1ACECD39"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Impuesto</w:t>
            </w:r>
          </w:p>
        </w:tc>
      </w:tr>
      <w:tr w:rsidR="007C0C77" w:rsidRPr="00550E1B" w14:paraId="5A45A88F"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08CEF47C" w14:textId="6D5D6EE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5. IVA sobre IP Fósil</w:t>
            </w:r>
          </w:p>
        </w:tc>
        <w:tc>
          <w:tcPr>
            <w:tcW w:w="2941" w:type="dxa"/>
            <w:tcBorders>
              <w:top w:val="nil"/>
              <w:left w:val="nil"/>
              <w:bottom w:val="single" w:sz="4" w:space="0" w:color="000000"/>
              <w:right w:val="single" w:sz="4" w:space="0" w:color="000000"/>
            </w:tcBorders>
            <w:shd w:val="clear" w:color="auto" w:fill="auto"/>
            <w:vAlign w:val="center"/>
          </w:tcPr>
          <w:p w14:paraId="0685E8EE" w14:textId="4507FFA3"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Impuesto</w:t>
            </w:r>
          </w:p>
        </w:tc>
      </w:tr>
      <w:tr w:rsidR="007C0C77" w:rsidRPr="00550E1B" w14:paraId="7B6BF062"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3D605555" w14:textId="7280D330"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6. Impuesto al Carbono</w:t>
            </w:r>
          </w:p>
        </w:tc>
        <w:tc>
          <w:tcPr>
            <w:tcW w:w="2941" w:type="dxa"/>
            <w:tcBorders>
              <w:top w:val="nil"/>
              <w:left w:val="nil"/>
              <w:bottom w:val="single" w:sz="4" w:space="0" w:color="000000"/>
              <w:right w:val="single" w:sz="4" w:space="0" w:color="000000"/>
            </w:tcBorders>
            <w:shd w:val="clear" w:color="auto" w:fill="auto"/>
            <w:vAlign w:val="center"/>
          </w:tcPr>
          <w:p w14:paraId="33B6807C" w14:textId="590A6B26"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Impuesto</w:t>
            </w:r>
          </w:p>
        </w:tc>
      </w:tr>
      <w:tr w:rsidR="007C0C77" w:rsidRPr="00550E1B" w14:paraId="5CFF41E7"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76F1C98C" w14:textId="5F0D102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lastRenderedPageBreak/>
              <w:t>7. Tarifa de Marcación</w:t>
            </w:r>
          </w:p>
        </w:tc>
        <w:tc>
          <w:tcPr>
            <w:tcW w:w="2941" w:type="dxa"/>
            <w:tcBorders>
              <w:top w:val="nil"/>
              <w:left w:val="nil"/>
              <w:bottom w:val="single" w:sz="4" w:space="0" w:color="000000"/>
              <w:right w:val="single" w:sz="4" w:space="0" w:color="000000"/>
            </w:tcBorders>
            <w:shd w:val="clear" w:color="auto" w:fill="auto"/>
            <w:vAlign w:val="center"/>
          </w:tcPr>
          <w:p w14:paraId="34CDFA12" w14:textId="7FBD738E"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Logística</w:t>
            </w:r>
          </w:p>
        </w:tc>
      </w:tr>
      <w:tr w:rsidR="007C0C77" w:rsidRPr="00550E1B" w14:paraId="1991CE72"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4790320E" w14:textId="6CEAFD2E"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8. Tarifa de Transporte por poliductos de la GMC</w:t>
            </w:r>
          </w:p>
        </w:tc>
        <w:tc>
          <w:tcPr>
            <w:tcW w:w="2941" w:type="dxa"/>
            <w:tcBorders>
              <w:top w:val="nil"/>
              <w:left w:val="nil"/>
              <w:bottom w:val="single" w:sz="4" w:space="0" w:color="000000"/>
              <w:right w:val="single" w:sz="4" w:space="0" w:color="000000"/>
            </w:tcBorders>
            <w:shd w:val="clear" w:color="auto" w:fill="auto"/>
            <w:vAlign w:val="center"/>
          </w:tcPr>
          <w:p w14:paraId="01DD1596" w14:textId="22071E3A"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Transporte</w:t>
            </w:r>
          </w:p>
        </w:tc>
      </w:tr>
      <w:tr w:rsidR="007C0C77" w:rsidRPr="00550E1B" w14:paraId="627C4D52"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09A9B2AD" w14:textId="2954BE23"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9. Tarifa de Transporte del Alcohol Carburante</w:t>
            </w:r>
          </w:p>
        </w:tc>
        <w:tc>
          <w:tcPr>
            <w:tcW w:w="2941" w:type="dxa"/>
            <w:tcBorders>
              <w:top w:val="nil"/>
              <w:left w:val="nil"/>
              <w:bottom w:val="single" w:sz="4" w:space="0" w:color="000000"/>
              <w:right w:val="single" w:sz="4" w:space="0" w:color="000000"/>
            </w:tcBorders>
            <w:shd w:val="clear" w:color="auto" w:fill="auto"/>
            <w:vAlign w:val="center"/>
          </w:tcPr>
          <w:p w14:paraId="4E38575C" w14:textId="061F527E"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Transporte</w:t>
            </w:r>
          </w:p>
        </w:tc>
      </w:tr>
      <w:tr w:rsidR="007C0C77" w:rsidRPr="00550E1B" w14:paraId="5F62C3AA"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55AF2804" w14:textId="663F1D51"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10. Precio Máximo de Venta al Distribuidor Mayorista</w:t>
            </w:r>
          </w:p>
        </w:tc>
        <w:tc>
          <w:tcPr>
            <w:tcW w:w="2941" w:type="dxa"/>
            <w:tcBorders>
              <w:top w:val="nil"/>
              <w:left w:val="nil"/>
              <w:bottom w:val="single" w:sz="4" w:space="0" w:color="000000"/>
              <w:right w:val="single" w:sz="4" w:space="0" w:color="000000"/>
            </w:tcBorders>
            <w:shd w:val="clear" w:color="auto" w:fill="auto"/>
            <w:vAlign w:val="center"/>
          </w:tcPr>
          <w:p w14:paraId="3B9F0A81" w14:textId="420B4935"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Subtotal</w:t>
            </w:r>
          </w:p>
        </w:tc>
      </w:tr>
      <w:tr w:rsidR="007C0C77" w:rsidRPr="00550E1B" w14:paraId="1CA56BE9"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6AF93190" w14:textId="2DDA776B"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11. Sobretasa</w:t>
            </w:r>
          </w:p>
        </w:tc>
        <w:tc>
          <w:tcPr>
            <w:tcW w:w="2941" w:type="dxa"/>
            <w:tcBorders>
              <w:top w:val="nil"/>
              <w:left w:val="nil"/>
              <w:bottom w:val="single" w:sz="4" w:space="0" w:color="000000"/>
              <w:right w:val="single" w:sz="4" w:space="0" w:color="000000"/>
            </w:tcBorders>
            <w:shd w:val="clear" w:color="auto" w:fill="auto"/>
            <w:vAlign w:val="center"/>
          </w:tcPr>
          <w:p w14:paraId="74EF5539" w14:textId="2CFA8BFB"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Impuesto</w:t>
            </w:r>
          </w:p>
        </w:tc>
      </w:tr>
      <w:tr w:rsidR="007C0C77" w:rsidRPr="00550E1B" w14:paraId="6D07C90A"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11299B65" w14:textId="4D4D7210"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12. IVA sobre el margen del distribuidor mayorista</w:t>
            </w:r>
          </w:p>
        </w:tc>
        <w:tc>
          <w:tcPr>
            <w:tcW w:w="2941" w:type="dxa"/>
            <w:tcBorders>
              <w:top w:val="nil"/>
              <w:left w:val="nil"/>
              <w:bottom w:val="single" w:sz="4" w:space="0" w:color="000000"/>
              <w:right w:val="single" w:sz="4" w:space="0" w:color="000000"/>
            </w:tcBorders>
            <w:shd w:val="clear" w:color="auto" w:fill="auto"/>
            <w:vAlign w:val="center"/>
          </w:tcPr>
          <w:p w14:paraId="043B2BB1" w14:textId="7612F07D"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Impuesto</w:t>
            </w:r>
          </w:p>
        </w:tc>
      </w:tr>
      <w:tr w:rsidR="007C0C77" w:rsidRPr="00550E1B" w14:paraId="641B24E7"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5EB8771F" w14:textId="1F86A2E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13. Margen del distribuidor mayorista</w:t>
            </w:r>
          </w:p>
        </w:tc>
        <w:tc>
          <w:tcPr>
            <w:tcW w:w="2941" w:type="dxa"/>
            <w:tcBorders>
              <w:top w:val="nil"/>
              <w:left w:val="nil"/>
              <w:bottom w:val="single" w:sz="4" w:space="0" w:color="000000"/>
              <w:right w:val="single" w:sz="4" w:space="0" w:color="000000"/>
            </w:tcBorders>
            <w:shd w:val="clear" w:color="auto" w:fill="auto"/>
            <w:vAlign w:val="center"/>
          </w:tcPr>
          <w:p w14:paraId="65BECF14" w14:textId="4FA0F01C"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Margen de distribuidor</w:t>
            </w:r>
          </w:p>
        </w:tc>
      </w:tr>
      <w:tr w:rsidR="007C0C77" w:rsidRPr="00550E1B" w14:paraId="6E16433E"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0063AEAE" w14:textId="091F8B26"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14. Precio Máximo en Planta de Abastecimiento Mayorista</w:t>
            </w:r>
          </w:p>
        </w:tc>
        <w:tc>
          <w:tcPr>
            <w:tcW w:w="2941" w:type="dxa"/>
            <w:tcBorders>
              <w:top w:val="nil"/>
              <w:left w:val="nil"/>
              <w:bottom w:val="single" w:sz="4" w:space="0" w:color="000000"/>
              <w:right w:val="single" w:sz="4" w:space="0" w:color="000000"/>
            </w:tcBorders>
            <w:shd w:val="clear" w:color="auto" w:fill="auto"/>
            <w:vAlign w:val="center"/>
          </w:tcPr>
          <w:p w14:paraId="0B30E6E3" w14:textId="5CC72574"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Subtotal</w:t>
            </w:r>
          </w:p>
        </w:tc>
      </w:tr>
      <w:tr w:rsidR="007C0C77" w:rsidRPr="00550E1B" w14:paraId="0533E393"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671E9341" w14:textId="51BD6BA2"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15. Margen del distribuidor minorista</w:t>
            </w:r>
          </w:p>
        </w:tc>
        <w:tc>
          <w:tcPr>
            <w:tcW w:w="2941" w:type="dxa"/>
            <w:tcBorders>
              <w:top w:val="nil"/>
              <w:left w:val="nil"/>
              <w:bottom w:val="single" w:sz="4" w:space="0" w:color="000000"/>
              <w:right w:val="single" w:sz="4" w:space="0" w:color="000000"/>
            </w:tcBorders>
            <w:shd w:val="clear" w:color="auto" w:fill="auto"/>
            <w:vAlign w:val="center"/>
          </w:tcPr>
          <w:p w14:paraId="1B040B58" w14:textId="5EF4B3DF"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Margen de distribuidor</w:t>
            </w:r>
          </w:p>
        </w:tc>
      </w:tr>
      <w:tr w:rsidR="007C0C77" w:rsidRPr="00550E1B" w14:paraId="26886ADF"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32AE1F26" w14:textId="55979569"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16. Pérdida por evaporación</w:t>
            </w:r>
          </w:p>
        </w:tc>
        <w:tc>
          <w:tcPr>
            <w:tcW w:w="2941" w:type="dxa"/>
            <w:tcBorders>
              <w:top w:val="nil"/>
              <w:left w:val="nil"/>
              <w:bottom w:val="single" w:sz="4" w:space="0" w:color="000000"/>
              <w:right w:val="single" w:sz="4" w:space="0" w:color="000000"/>
            </w:tcBorders>
            <w:shd w:val="clear" w:color="auto" w:fill="auto"/>
            <w:vAlign w:val="center"/>
          </w:tcPr>
          <w:p w14:paraId="5CEDB6BD" w14:textId="6CA55EF4"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Logística</w:t>
            </w:r>
          </w:p>
        </w:tc>
      </w:tr>
      <w:tr w:rsidR="007C0C77" w:rsidRPr="00550E1B" w14:paraId="095207B3"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5A78AA4D" w14:textId="334BC539"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17. Transporte de la planta de abastecimiento mayorista a estación.</w:t>
            </w:r>
          </w:p>
        </w:tc>
        <w:tc>
          <w:tcPr>
            <w:tcW w:w="2941" w:type="dxa"/>
            <w:tcBorders>
              <w:top w:val="nil"/>
              <w:left w:val="nil"/>
              <w:bottom w:val="single" w:sz="4" w:space="0" w:color="000000"/>
              <w:right w:val="single" w:sz="4" w:space="0" w:color="000000"/>
            </w:tcBorders>
            <w:shd w:val="clear" w:color="auto" w:fill="auto"/>
            <w:vAlign w:val="center"/>
          </w:tcPr>
          <w:p w14:paraId="622A3C23" w14:textId="1F38BAE4" w:rsidR="007C0C77" w:rsidRPr="00BF201B" w:rsidRDefault="007C0C77" w:rsidP="00BF201B">
            <w:pPr>
              <w:spacing w:after="0" w:line="240" w:lineRule="auto"/>
              <w:rPr>
                <w:rFonts w:ascii="Work Sans Regular Roman" w:eastAsia="Work Sans Regular Roman" w:hAnsi="Work Sans Regular Roman" w:cs="Work Sans Regular Roman"/>
                <w:b/>
                <w:bCs/>
                <w:sz w:val="20"/>
                <w:szCs w:val="20"/>
                <w:u w:val="single"/>
              </w:rPr>
            </w:pPr>
            <w:r w:rsidRPr="00BF201B">
              <w:rPr>
                <w:rFonts w:ascii="Work Sans Regular Roman" w:eastAsia="Work Sans Regular Roman" w:hAnsi="Work Sans Regular Roman" w:cs="Work Sans Regular Roman"/>
                <w:sz w:val="20"/>
                <w:szCs w:val="20"/>
              </w:rPr>
              <w:t>Transporte</w:t>
            </w:r>
          </w:p>
        </w:tc>
      </w:tr>
      <w:tr w:rsidR="007C0C77" w:rsidRPr="00550E1B" w14:paraId="132E9179"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2AFE109B" w14:textId="7CD9DAA5"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18. Precio de Referencia de Venta por galón.   $/GAL</w:t>
            </w:r>
          </w:p>
        </w:tc>
        <w:tc>
          <w:tcPr>
            <w:tcW w:w="2941" w:type="dxa"/>
            <w:tcBorders>
              <w:top w:val="nil"/>
              <w:left w:val="nil"/>
              <w:bottom w:val="single" w:sz="4" w:space="0" w:color="000000"/>
              <w:right w:val="single" w:sz="4" w:space="0" w:color="000000"/>
            </w:tcBorders>
            <w:shd w:val="clear" w:color="auto" w:fill="auto"/>
            <w:vAlign w:val="center"/>
          </w:tcPr>
          <w:p w14:paraId="6FCFD516" w14:textId="1E5ECA70"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Total</w:t>
            </w:r>
          </w:p>
        </w:tc>
      </w:tr>
    </w:tbl>
    <w:p w14:paraId="767F5E87" w14:textId="11F43520" w:rsidR="007C0C77" w:rsidRPr="00BF201B" w:rsidRDefault="007C0C77" w:rsidP="00BF20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tbl>
      <w:tblPr>
        <w:tblW w:w="9110" w:type="dxa"/>
        <w:jc w:val="center"/>
        <w:tblLayout w:type="fixed"/>
        <w:tblLook w:val="0400" w:firstRow="0" w:lastRow="0" w:firstColumn="0" w:lastColumn="0" w:noHBand="0" w:noVBand="1"/>
      </w:tblPr>
      <w:tblGrid>
        <w:gridCol w:w="6169"/>
        <w:gridCol w:w="2941"/>
      </w:tblGrid>
      <w:tr w:rsidR="007C0C77" w:rsidRPr="00BF201B" w14:paraId="533B8A91" w14:textId="77777777" w:rsidTr="00BF201B">
        <w:trPr>
          <w:trHeight w:val="340"/>
          <w:tblHeader/>
          <w:jc w:val="center"/>
        </w:trPr>
        <w:tc>
          <w:tcPr>
            <w:tcW w:w="616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BE96756" w14:textId="2DDED8C6" w:rsidR="007C0C77" w:rsidRPr="00BF201B" w:rsidRDefault="00BF201B" w:rsidP="00BF201B">
            <w:pPr>
              <w:spacing w:after="0" w:line="240" w:lineRule="auto"/>
              <w:jc w:val="center"/>
              <w:rPr>
                <w:rFonts w:ascii="Work Sans Regular Roman" w:eastAsia="Work Sans Regular Roman" w:hAnsi="Work Sans Regular Roman" w:cs="Work Sans Regular Roman"/>
                <w:b/>
                <w:sz w:val="20"/>
                <w:szCs w:val="20"/>
              </w:rPr>
            </w:pPr>
            <w:r w:rsidRPr="00BF201B">
              <w:rPr>
                <w:rFonts w:ascii="Work Sans Regular Roman" w:eastAsia="Work Sans Regular Roman" w:hAnsi="Work Sans Regular Roman" w:cs="Work Sans Regular Roman"/>
                <w:b/>
                <w:sz w:val="20"/>
                <w:szCs w:val="20"/>
              </w:rPr>
              <w:t>ESTRUCTURA PRECIO ACPM CON MEZCLA DE BIOCOMBUSTIBLE</w:t>
            </w:r>
          </w:p>
        </w:tc>
        <w:tc>
          <w:tcPr>
            <w:tcW w:w="2941"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14:paraId="642DFC79" w14:textId="77AB2430" w:rsidR="007C0C77" w:rsidRPr="00BF201B" w:rsidRDefault="00BF201B" w:rsidP="00BF201B">
            <w:pPr>
              <w:spacing w:after="0" w:line="240" w:lineRule="auto"/>
              <w:jc w:val="center"/>
              <w:rPr>
                <w:rFonts w:ascii="Work Sans Regular Roman" w:eastAsia="Work Sans Regular Roman" w:hAnsi="Work Sans Regular Roman" w:cs="Work Sans Regular Roman"/>
                <w:b/>
                <w:sz w:val="20"/>
                <w:szCs w:val="20"/>
              </w:rPr>
            </w:pPr>
            <w:r w:rsidRPr="00BF201B">
              <w:rPr>
                <w:rFonts w:ascii="Work Sans Regular Roman" w:eastAsia="Work Sans Regular Roman" w:hAnsi="Work Sans Regular Roman" w:cs="Work Sans Regular Roman"/>
                <w:b/>
                <w:sz w:val="20"/>
                <w:szCs w:val="20"/>
              </w:rPr>
              <w:t>TIPO DE COMPONENTE</w:t>
            </w:r>
          </w:p>
        </w:tc>
      </w:tr>
      <w:tr w:rsidR="007C0C77" w:rsidRPr="00BF201B" w14:paraId="6F99DA16"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2E3FC9FF" w14:textId="7B983FF1"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 Proporción - Ingreso al Productor del ACPM</w:t>
            </w:r>
          </w:p>
        </w:tc>
        <w:tc>
          <w:tcPr>
            <w:tcW w:w="2941" w:type="dxa"/>
            <w:tcBorders>
              <w:top w:val="nil"/>
              <w:left w:val="nil"/>
              <w:bottom w:val="single" w:sz="4" w:space="0" w:color="000000"/>
              <w:right w:val="single" w:sz="4" w:space="0" w:color="000000"/>
            </w:tcBorders>
            <w:shd w:val="clear" w:color="auto" w:fill="auto"/>
            <w:vAlign w:val="center"/>
          </w:tcPr>
          <w:p w14:paraId="60351600" w14:textId="02E122D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Ingreso al productor</w:t>
            </w:r>
          </w:p>
        </w:tc>
      </w:tr>
      <w:tr w:rsidR="007C0C77" w:rsidRPr="00BF201B" w14:paraId="11F4D0F6"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7C5060E5" w14:textId="1ADA0028"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2. Proporción - Ingreso al Productor del Biocombustible</w:t>
            </w:r>
          </w:p>
        </w:tc>
        <w:tc>
          <w:tcPr>
            <w:tcW w:w="2941" w:type="dxa"/>
            <w:tcBorders>
              <w:top w:val="nil"/>
              <w:left w:val="nil"/>
              <w:bottom w:val="single" w:sz="4" w:space="0" w:color="000000"/>
              <w:right w:val="single" w:sz="4" w:space="0" w:color="000000"/>
            </w:tcBorders>
            <w:shd w:val="clear" w:color="auto" w:fill="auto"/>
            <w:vAlign w:val="center"/>
          </w:tcPr>
          <w:p w14:paraId="32A22867" w14:textId="1202497B"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Ingreso al productor</w:t>
            </w:r>
          </w:p>
        </w:tc>
      </w:tr>
      <w:tr w:rsidR="007C0C77" w:rsidRPr="00BF201B" w14:paraId="77A5A126"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7801232A" w14:textId="3844BEE5"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3. Ingreso al productor de la mezcla ACPM – biocombustible</w:t>
            </w:r>
          </w:p>
        </w:tc>
        <w:tc>
          <w:tcPr>
            <w:tcW w:w="2941" w:type="dxa"/>
            <w:tcBorders>
              <w:top w:val="nil"/>
              <w:left w:val="nil"/>
              <w:bottom w:val="single" w:sz="4" w:space="0" w:color="000000"/>
              <w:right w:val="single" w:sz="4" w:space="0" w:color="000000"/>
            </w:tcBorders>
            <w:shd w:val="clear" w:color="auto" w:fill="auto"/>
            <w:vAlign w:val="center"/>
          </w:tcPr>
          <w:p w14:paraId="5EAEEC21" w14:textId="6074C92E"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Subtotal</w:t>
            </w:r>
          </w:p>
        </w:tc>
      </w:tr>
      <w:tr w:rsidR="007C0C77" w:rsidRPr="00BF201B" w14:paraId="3D046747"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282435FA" w14:textId="405C3228"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4. Impuesto Nacional</w:t>
            </w:r>
          </w:p>
        </w:tc>
        <w:tc>
          <w:tcPr>
            <w:tcW w:w="2941" w:type="dxa"/>
            <w:tcBorders>
              <w:top w:val="nil"/>
              <w:left w:val="nil"/>
              <w:bottom w:val="single" w:sz="4" w:space="0" w:color="000000"/>
              <w:right w:val="single" w:sz="4" w:space="0" w:color="000000"/>
            </w:tcBorders>
            <w:shd w:val="clear" w:color="auto" w:fill="auto"/>
            <w:vAlign w:val="center"/>
          </w:tcPr>
          <w:p w14:paraId="10378560" w14:textId="4A6ACBF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Impuesto</w:t>
            </w:r>
          </w:p>
        </w:tc>
      </w:tr>
      <w:tr w:rsidR="007C0C77" w:rsidRPr="00BF201B" w14:paraId="5BE34027"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6CFAD97E" w14:textId="21822884"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5. IVA sobre IP Fósil</w:t>
            </w:r>
          </w:p>
        </w:tc>
        <w:tc>
          <w:tcPr>
            <w:tcW w:w="2941" w:type="dxa"/>
            <w:tcBorders>
              <w:top w:val="nil"/>
              <w:left w:val="nil"/>
              <w:bottom w:val="single" w:sz="4" w:space="0" w:color="000000"/>
              <w:right w:val="single" w:sz="4" w:space="0" w:color="000000"/>
            </w:tcBorders>
            <w:shd w:val="clear" w:color="auto" w:fill="auto"/>
            <w:vAlign w:val="center"/>
          </w:tcPr>
          <w:p w14:paraId="6E76BAA5" w14:textId="1C1CF1DB"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Impuesto</w:t>
            </w:r>
          </w:p>
        </w:tc>
      </w:tr>
      <w:tr w:rsidR="007C0C77" w:rsidRPr="00BF201B" w14:paraId="122DE9C6"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38210DE2" w14:textId="0BBF2CC4"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6. Impuesto al Carbono</w:t>
            </w:r>
          </w:p>
        </w:tc>
        <w:tc>
          <w:tcPr>
            <w:tcW w:w="2941" w:type="dxa"/>
            <w:tcBorders>
              <w:top w:val="nil"/>
              <w:left w:val="nil"/>
              <w:bottom w:val="single" w:sz="4" w:space="0" w:color="000000"/>
              <w:right w:val="single" w:sz="4" w:space="0" w:color="000000"/>
            </w:tcBorders>
            <w:shd w:val="clear" w:color="auto" w:fill="auto"/>
            <w:vAlign w:val="center"/>
          </w:tcPr>
          <w:p w14:paraId="671E584A" w14:textId="7B5ABC2E"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Impuesto</w:t>
            </w:r>
          </w:p>
        </w:tc>
      </w:tr>
      <w:tr w:rsidR="007C0C77" w:rsidRPr="00BF201B" w14:paraId="398AB20E"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066E1112" w14:textId="40252502"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7. Tarifa de Marcación</w:t>
            </w:r>
          </w:p>
        </w:tc>
        <w:tc>
          <w:tcPr>
            <w:tcW w:w="2941" w:type="dxa"/>
            <w:tcBorders>
              <w:top w:val="nil"/>
              <w:left w:val="nil"/>
              <w:bottom w:val="single" w:sz="4" w:space="0" w:color="000000"/>
              <w:right w:val="single" w:sz="4" w:space="0" w:color="000000"/>
            </w:tcBorders>
            <w:shd w:val="clear" w:color="auto" w:fill="auto"/>
            <w:vAlign w:val="center"/>
          </w:tcPr>
          <w:p w14:paraId="4791A599" w14:textId="62F23110"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Logística</w:t>
            </w:r>
          </w:p>
        </w:tc>
      </w:tr>
      <w:tr w:rsidR="007C0C77" w:rsidRPr="00BF201B" w14:paraId="4EA49479"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18DD83E7" w14:textId="6C09945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8. Tarifa de Transporte por poliductos</w:t>
            </w:r>
          </w:p>
        </w:tc>
        <w:tc>
          <w:tcPr>
            <w:tcW w:w="2941" w:type="dxa"/>
            <w:tcBorders>
              <w:top w:val="nil"/>
              <w:left w:val="nil"/>
              <w:bottom w:val="single" w:sz="4" w:space="0" w:color="000000"/>
              <w:right w:val="single" w:sz="4" w:space="0" w:color="000000"/>
            </w:tcBorders>
            <w:shd w:val="clear" w:color="auto" w:fill="auto"/>
            <w:vAlign w:val="center"/>
          </w:tcPr>
          <w:p w14:paraId="0519ECF8" w14:textId="413F6A41"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Transporte</w:t>
            </w:r>
          </w:p>
        </w:tc>
      </w:tr>
      <w:tr w:rsidR="007C0C77" w:rsidRPr="00BF201B" w14:paraId="026EFDAB"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1AE0D082" w14:textId="468CCCE9"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9. Tarifa de Transporte del biocombustible</w:t>
            </w:r>
          </w:p>
        </w:tc>
        <w:tc>
          <w:tcPr>
            <w:tcW w:w="2941" w:type="dxa"/>
            <w:tcBorders>
              <w:top w:val="nil"/>
              <w:left w:val="nil"/>
              <w:bottom w:val="single" w:sz="4" w:space="0" w:color="000000"/>
              <w:right w:val="single" w:sz="4" w:space="0" w:color="000000"/>
            </w:tcBorders>
            <w:shd w:val="clear" w:color="auto" w:fill="auto"/>
            <w:vAlign w:val="center"/>
          </w:tcPr>
          <w:p w14:paraId="3DABC9F1" w14:textId="38DC0A78"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Transporte</w:t>
            </w:r>
          </w:p>
        </w:tc>
      </w:tr>
      <w:tr w:rsidR="007C0C77" w:rsidRPr="00BF201B" w14:paraId="0603B415"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770637CC" w14:textId="77777777"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10. Precio Máximo de Venta al Distribuidor Mayorista</w:t>
            </w:r>
          </w:p>
        </w:tc>
        <w:tc>
          <w:tcPr>
            <w:tcW w:w="2941" w:type="dxa"/>
            <w:tcBorders>
              <w:top w:val="nil"/>
              <w:left w:val="nil"/>
              <w:bottom w:val="single" w:sz="4" w:space="0" w:color="000000"/>
              <w:right w:val="single" w:sz="4" w:space="0" w:color="000000"/>
            </w:tcBorders>
            <w:shd w:val="clear" w:color="auto" w:fill="auto"/>
            <w:vAlign w:val="center"/>
          </w:tcPr>
          <w:p w14:paraId="44979388" w14:textId="162059FE"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Subtotal</w:t>
            </w:r>
          </w:p>
        </w:tc>
      </w:tr>
      <w:tr w:rsidR="007C0C77" w:rsidRPr="00BF201B" w14:paraId="09E02F18"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57203DC7" w14:textId="7777777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11. IVA sobre el Margen del distribuidor mayorista</w:t>
            </w:r>
          </w:p>
        </w:tc>
        <w:tc>
          <w:tcPr>
            <w:tcW w:w="2941" w:type="dxa"/>
            <w:tcBorders>
              <w:top w:val="nil"/>
              <w:left w:val="nil"/>
              <w:bottom w:val="single" w:sz="4" w:space="0" w:color="000000"/>
              <w:right w:val="single" w:sz="4" w:space="0" w:color="000000"/>
            </w:tcBorders>
            <w:shd w:val="clear" w:color="auto" w:fill="auto"/>
            <w:vAlign w:val="center"/>
          </w:tcPr>
          <w:p w14:paraId="0AEEE552" w14:textId="2E598768"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Impuesto</w:t>
            </w:r>
          </w:p>
        </w:tc>
      </w:tr>
      <w:tr w:rsidR="007C0C77" w:rsidRPr="00BF201B" w14:paraId="2206B529"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787B56F3" w14:textId="7777777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12. Sobretasa</w:t>
            </w:r>
          </w:p>
        </w:tc>
        <w:tc>
          <w:tcPr>
            <w:tcW w:w="2941" w:type="dxa"/>
            <w:tcBorders>
              <w:top w:val="nil"/>
              <w:left w:val="nil"/>
              <w:bottom w:val="single" w:sz="4" w:space="0" w:color="000000"/>
              <w:right w:val="single" w:sz="4" w:space="0" w:color="000000"/>
            </w:tcBorders>
            <w:shd w:val="clear" w:color="auto" w:fill="auto"/>
            <w:vAlign w:val="center"/>
          </w:tcPr>
          <w:p w14:paraId="2EC3A110" w14:textId="5F0C23EC"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Impuesto</w:t>
            </w:r>
          </w:p>
        </w:tc>
      </w:tr>
      <w:tr w:rsidR="007C0C77" w:rsidRPr="00BF201B" w14:paraId="4B870EA9"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7660B145" w14:textId="7777777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13. Margen del distribuidor mayorista</w:t>
            </w:r>
          </w:p>
        </w:tc>
        <w:tc>
          <w:tcPr>
            <w:tcW w:w="2941" w:type="dxa"/>
            <w:tcBorders>
              <w:top w:val="nil"/>
              <w:left w:val="nil"/>
              <w:bottom w:val="single" w:sz="4" w:space="0" w:color="000000"/>
              <w:right w:val="single" w:sz="4" w:space="0" w:color="000000"/>
            </w:tcBorders>
            <w:shd w:val="clear" w:color="auto" w:fill="auto"/>
            <w:vAlign w:val="center"/>
          </w:tcPr>
          <w:p w14:paraId="767D99ED" w14:textId="6FCAEC53"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Margen de distribuidor</w:t>
            </w:r>
          </w:p>
        </w:tc>
      </w:tr>
      <w:tr w:rsidR="007C0C77" w:rsidRPr="00BF201B" w14:paraId="6BFDCF33"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174A4316" w14:textId="77777777"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14. Precio Máximo en Planta de Abastecimiento Mayorista</w:t>
            </w:r>
          </w:p>
        </w:tc>
        <w:tc>
          <w:tcPr>
            <w:tcW w:w="2941" w:type="dxa"/>
            <w:tcBorders>
              <w:top w:val="nil"/>
              <w:left w:val="nil"/>
              <w:bottom w:val="single" w:sz="4" w:space="0" w:color="000000"/>
              <w:right w:val="single" w:sz="4" w:space="0" w:color="000000"/>
            </w:tcBorders>
            <w:shd w:val="clear" w:color="auto" w:fill="auto"/>
            <w:vAlign w:val="center"/>
          </w:tcPr>
          <w:p w14:paraId="16FC66BB" w14:textId="60B8FC92"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Subtotal</w:t>
            </w:r>
          </w:p>
        </w:tc>
      </w:tr>
      <w:tr w:rsidR="007C0C77" w:rsidRPr="00BF201B" w14:paraId="547D7D7B"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0302CB5F" w14:textId="7777777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15. Margen del distribuidor minorista</w:t>
            </w:r>
          </w:p>
        </w:tc>
        <w:tc>
          <w:tcPr>
            <w:tcW w:w="2941" w:type="dxa"/>
            <w:tcBorders>
              <w:top w:val="nil"/>
              <w:left w:val="nil"/>
              <w:bottom w:val="single" w:sz="4" w:space="0" w:color="000000"/>
              <w:right w:val="single" w:sz="4" w:space="0" w:color="000000"/>
            </w:tcBorders>
            <w:shd w:val="clear" w:color="auto" w:fill="auto"/>
            <w:vAlign w:val="center"/>
          </w:tcPr>
          <w:p w14:paraId="1D40A819" w14:textId="7777777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Margen del distribuidor</w:t>
            </w:r>
          </w:p>
        </w:tc>
      </w:tr>
      <w:tr w:rsidR="007C0C77" w:rsidRPr="00BF201B" w14:paraId="7B4E8CCE"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6D43C394" w14:textId="77777777" w:rsidR="007C0C77" w:rsidRPr="00BF201B" w:rsidRDefault="007C0C77" w:rsidP="00BF201B">
            <w:pPr>
              <w:spacing w:after="0" w:line="240" w:lineRule="auto"/>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sz w:val="20"/>
                <w:szCs w:val="20"/>
              </w:rPr>
              <w:t>16. Transporte de la planta de abastecimiento mayorista a Estación.</w:t>
            </w:r>
          </w:p>
        </w:tc>
        <w:tc>
          <w:tcPr>
            <w:tcW w:w="2941" w:type="dxa"/>
            <w:tcBorders>
              <w:top w:val="nil"/>
              <w:left w:val="nil"/>
              <w:bottom w:val="single" w:sz="4" w:space="0" w:color="000000"/>
              <w:right w:val="single" w:sz="4" w:space="0" w:color="000000"/>
            </w:tcBorders>
            <w:shd w:val="clear" w:color="auto" w:fill="auto"/>
            <w:vAlign w:val="center"/>
          </w:tcPr>
          <w:p w14:paraId="5BB2F42F" w14:textId="33BE5664" w:rsidR="007C0C77" w:rsidRPr="00BF201B" w:rsidRDefault="007C0C77" w:rsidP="00BF201B">
            <w:pPr>
              <w:spacing w:after="0" w:line="240" w:lineRule="auto"/>
              <w:rPr>
                <w:rFonts w:ascii="Work Sans Regular Roman" w:eastAsia="Work Sans Regular Roman" w:hAnsi="Work Sans Regular Roman" w:cs="Work Sans Regular Roman"/>
                <w:b/>
                <w:bCs/>
                <w:sz w:val="20"/>
                <w:szCs w:val="20"/>
                <w:u w:val="single"/>
              </w:rPr>
            </w:pPr>
            <w:r w:rsidRPr="00BF201B">
              <w:rPr>
                <w:rFonts w:ascii="Work Sans Regular Roman" w:eastAsia="Work Sans Regular Roman" w:hAnsi="Work Sans Regular Roman" w:cs="Work Sans Regular Roman"/>
                <w:sz w:val="20"/>
                <w:szCs w:val="20"/>
              </w:rPr>
              <w:t>Transporte</w:t>
            </w:r>
          </w:p>
        </w:tc>
      </w:tr>
      <w:tr w:rsidR="007C0C77" w:rsidRPr="00BF201B" w14:paraId="1610C275" w14:textId="77777777" w:rsidTr="00BF201B">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0F7CC3F5" w14:textId="77777777"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17. Precio de Referencia de Venta por galón. $/GAL</w:t>
            </w:r>
          </w:p>
        </w:tc>
        <w:tc>
          <w:tcPr>
            <w:tcW w:w="2941" w:type="dxa"/>
            <w:tcBorders>
              <w:top w:val="nil"/>
              <w:left w:val="nil"/>
              <w:bottom w:val="single" w:sz="4" w:space="0" w:color="000000"/>
              <w:right w:val="single" w:sz="4" w:space="0" w:color="000000"/>
            </w:tcBorders>
            <w:shd w:val="clear" w:color="auto" w:fill="auto"/>
            <w:vAlign w:val="center"/>
          </w:tcPr>
          <w:p w14:paraId="40765111" w14:textId="625CEFE6" w:rsidR="007C0C77" w:rsidRPr="00BF201B" w:rsidRDefault="007C0C77" w:rsidP="00BF201B">
            <w:pPr>
              <w:spacing w:after="0" w:line="240" w:lineRule="auto"/>
              <w:rPr>
                <w:rFonts w:ascii="Work Sans Regular Roman" w:eastAsia="Work Sans Regular Roman" w:hAnsi="Work Sans Regular Roman" w:cs="Work Sans Regular Roman"/>
                <w:b/>
                <w:i/>
                <w:sz w:val="20"/>
                <w:szCs w:val="20"/>
              </w:rPr>
            </w:pPr>
            <w:r w:rsidRPr="00BF201B">
              <w:rPr>
                <w:rFonts w:ascii="Work Sans Regular Roman" w:eastAsia="Work Sans Regular Roman" w:hAnsi="Work Sans Regular Roman" w:cs="Work Sans Regular Roman"/>
                <w:b/>
                <w:i/>
                <w:sz w:val="20"/>
                <w:szCs w:val="20"/>
              </w:rPr>
              <w:t>Total</w:t>
            </w:r>
          </w:p>
        </w:tc>
      </w:tr>
    </w:tbl>
    <w:p w14:paraId="28623623" w14:textId="77777777" w:rsidR="00BF201B" w:rsidRDefault="00BF201B" w:rsidP="00BF201B">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b/>
          <w:bCs/>
          <w:sz w:val="20"/>
          <w:szCs w:val="20"/>
        </w:rPr>
      </w:pPr>
    </w:p>
    <w:p w14:paraId="1C00CEB5" w14:textId="1D38D579" w:rsidR="007C0C77" w:rsidRPr="00BF201B" w:rsidRDefault="007C0C77" w:rsidP="00BF201B">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b/>
          <w:bCs/>
          <w:sz w:val="20"/>
          <w:szCs w:val="20"/>
        </w:rPr>
        <w:t>Fuente:</w:t>
      </w:r>
      <w:r w:rsidRPr="00BF201B">
        <w:rPr>
          <w:rFonts w:ascii="Work Sans Regular Roman" w:eastAsia="Work Sans Regular Roman" w:hAnsi="Work Sans Regular Roman" w:cs="Work Sans Regular Roman"/>
          <w:sz w:val="20"/>
          <w:szCs w:val="20"/>
        </w:rPr>
        <w:t xml:space="preserve"> Dirección de Hidrocarburos Ministerio de Minas y Energía</w:t>
      </w:r>
    </w:p>
    <w:p w14:paraId="687601D0" w14:textId="77777777" w:rsidR="007C0C77" w:rsidRPr="00550E1B" w:rsidRDefault="007C0C77" w:rsidP="00550E1B">
      <w:pPr>
        <w:spacing w:after="0" w:line="240" w:lineRule="auto"/>
        <w:contextualSpacing/>
        <w:jc w:val="both"/>
        <w:rPr>
          <w:rFonts w:ascii="Work Sans Regular Roman" w:hAnsi="Work Sans Regular Roman"/>
          <w:b/>
          <w:bCs/>
          <w:i/>
          <w:iCs/>
          <w:sz w:val="24"/>
          <w:szCs w:val="24"/>
        </w:rPr>
      </w:pPr>
    </w:p>
    <w:p w14:paraId="445AF83C" w14:textId="22C30D19" w:rsidR="007C0C77" w:rsidRPr="00550E1B" w:rsidRDefault="007C0C77" w:rsidP="00BF201B">
      <w:pPr>
        <w:spacing w:after="0" w:line="240" w:lineRule="auto"/>
        <w:contextualSpacing/>
        <w:jc w:val="center"/>
        <w:rPr>
          <w:rFonts w:ascii="Work Sans Regular Roman" w:hAnsi="Work Sans Regular Roman"/>
          <w:b/>
          <w:bCs/>
          <w:i/>
          <w:iCs/>
          <w:sz w:val="24"/>
          <w:szCs w:val="24"/>
        </w:rPr>
      </w:pPr>
      <w:r w:rsidRPr="00550E1B">
        <w:rPr>
          <w:rFonts w:ascii="Work Sans Regular Roman" w:eastAsia="Work Sans Regular Roman" w:hAnsi="Work Sans Regular Roman" w:cs="Work Sans Regular Roman"/>
          <w:noProof/>
          <w:sz w:val="24"/>
          <w:szCs w:val="24"/>
          <w:lang w:eastAsia="es-CO"/>
        </w:rPr>
        <w:drawing>
          <wp:inline distT="0" distB="0" distL="0" distR="0" wp14:anchorId="2FDA30E1" wp14:editId="4B0C9097">
            <wp:extent cx="5296849" cy="3401704"/>
            <wp:effectExtent l="0" t="0" r="0" b="0"/>
            <wp:docPr id="2125824211" name="Gráfico 1">
              <a:extLst xmlns:a="http://schemas.openxmlformats.org/drawingml/2006/main">
                <a:ext uri="{FF2B5EF4-FFF2-40B4-BE49-F238E27FC236}">
                  <a16:creationId xmlns:a16="http://schemas.microsoft.com/office/drawing/2014/main" id="{E9C70496-8CB3-B34E-EC4C-68A436D7F7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93B5CB2" w14:textId="77777777" w:rsidR="007C0C77" w:rsidRPr="00550E1B" w:rsidRDefault="007C0C77" w:rsidP="00550E1B">
      <w:pPr>
        <w:spacing w:after="0" w:line="240" w:lineRule="auto"/>
        <w:contextualSpacing/>
        <w:jc w:val="both"/>
        <w:rPr>
          <w:rFonts w:ascii="Work Sans Regular Roman" w:hAnsi="Work Sans Regular Roman"/>
          <w:b/>
          <w:bCs/>
          <w:i/>
          <w:iCs/>
          <w:sz w:val="24"/>
          <w:szCs w:val="24"/>
        </w:rPr>
      </w:pPr>
    </w:p>
    <w:p w14:paraId="61B23676" w14:textId="77777777" w:rsidR="00BF201B" w:rsidRDefault="007C0C77" w:rsidP="00550E1B">
      <w:pPr>
        <w:pBdr>
          <w:top w:val="nil"/>
          <w:left w:val="nil"/>
          <w:bottom w:val="nil"/>
          <w:right w:val="nil"/>
          <w:between w:val="nil"/>
        </w:pBdr>
        <w:spacing w:after="0" w:line="240" w:lineRule="auto"/>
        <w:ind w:right="40"/>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En conclusión, los precios de los combustibles en Colombia, incluyendo la gasolina motor corriente, están regulados por el Ministerio de Minas y Energía y el Ministerio de Hacienda y Crédito Público. La metodología de cálculo del valor del ingreso al productor de los combustibles está definida por estos ministerios, y la Comisión de Regulación de Energía y Gas es responsable de establecer las tarifas y márgenes asociados a la remuneración de la cadena de distribución.</w:t>
      </w:r>
    </w:p>
    <w:p w14:paraId="0E78FC95" w14:textId="77777777" w:rsidR="00BF201B" w:rsidRDefault="00BF201B" w:rsidP="00550E1B">
      <w:pPr>
        <w:pBdr>
          <w:top w:val="nil"/>
          <w:left w:val="nil"/>
          <w:bottom w:val="nil"/>
          <w:right w:val="nil"/>
          <w:between w:val="nil"/>
        </w:pBdr>
        <w:spacing w:after="0" w:line="240" w:lineRule="auto"/>
        <w:ind w:right="40"/>
        <w:jc w:val="both"/>
        <w:rPr>
          <w:rFonts w:ascii="Work Sans Regular Roman" w:eastAsia="Work Sans Regular Roman" w:hAnsi="Work Sans Regular Roman" w:cstheme="minorHAnsi"/>
          <w:sz w:val="24"/>
          <w:szCs w:val="24"/>
        </w:rPr>
      </w:pPr>
    </w:p>
    <w:p w14:paraId="0A5BA29B" w14:textId="1354ED65" w:rsidR="007C0C77" w:rsidRPr="00550E1B" w:rsidRDefault="007C0C77" w:rsidP="00550E1B">
      <w:pPr>
        <w:pBdr>
          <w:top w:val="nil"/>
          <w:left w:val="nil"/>
          <w:bottom w:val="nil"/>
          <w:right w:val="nil"/>
          <w:between w:val="nil"/>
        </w:pBdr>
        <w:spacing w:after="0" w:line="240" w:lineRule="auto"/>
        <w:ind w:right="40"/>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 xml:space="preserve">La estructura de precios, que incluye componentes específicos, debe ser acatada por todos los actores de la cadena, incluidos los distribuidores minoristas, y está definida en la Resolución </w:t>
      </w:r>
      <w:r w:rsidR="00BF201B">
        <w:rPr>
          <w:rFonts w:ascii="Work Sans Regular Roman" w:eastAsia="Work Sans Regular Roman" w:hAnsi="Work Sans Regular Roman" w:cstheme="minorHAnsi"/>
          <w:sz w:val="24"/>
          <w:szCs w:val="24"/>
        </w:rPr>
        <w:t xml:space="preserve">No. </w:t>
      </w:r>
      <w:r w:rsidRPr="00550E1B">
        <w:rPr>
          <w:rFonts w:ascii="Work Sans Regular Roman" w:eastAsia="Work Sans Regular Roman" w:hAnsi="Work Sans Regular Roman" w:cstheme="minorHAnsi"/>
          <w:sz w:val="24"/>
          <w:szCs w:val="24"/>
        </w:rPr>
        <w:t xml:space="preserve">40112 del 2021. En resumen, los precios de los combustibles en Colombia son regulados y la estructura de precios es establecida y seguida por los agentes de distribución bajo la supervisión </w:t>
      </w:r>
      <w:r w:rsidR="00BF201B" w:rsidRPr="00550E1B">
        <w:rPr>
          <w:rFonts w:ascii="Work Sans Regular Roman" w:eastAsia="Work Sans Regular Roman" w:hAnsi="Work Sans Regular Roman" w:cstheme="minorHAnsi"/>
          <w:sz w:val="24"/>
          <w:szCs w:val="24"/>
        </w:rPr>
        <w:t>de</w:t>
      </w:r>
      <w:r w:rsidR="00BF201B">
        <w:rPr>
          <w:rFonts w:ascii="Work Sans Regular Roman" w:eastAsia="Work Sans Regular Roman" w:hAnsi="Work Sans Regular Roman" w:cstheme="minorHAnsi"/>
          <w:sz w:val="24"/>
          <w:szCs w:val="24"/>
        </w:rPr>
        <w:t xml:space="preserve">l MME, MHCP y </w:t>
      </w:r>
      <w:r w:rsidRPr="00550E1B">
        <w:rPr>
          <w:rFonts w:ascii="Work Sans Regular Roman" w:eastAsia="Work Sans Regular Roman" w:hAnsi="Work Sans Regular Roman" w:cstheme="minorHAnsi"/>
          <w:sz w:val="24"/>
          <w:szCs w:val="24"/>
        </w:rPr>
        <w:t>la CREG.</w:t>
      </w:r>
    </w:p>
    <w:p w14:paraId="47B41180" w14:textId="02BF73FF" w:rsidR="007C0C77" w:rsidRDefault="007C0C77" w:rsidP="00550E1B">
      <w:pPr>
        <w:pBdr>
          <w:top w:val="nil"/>
          <w:left w:val="nil"/>
          <w:bottom w:val="nil"/>
          <w:right w:val="nil"/>
          <w:between w:val="nil"/>
        </w:pBdr>
        <w:spacing w:after="0" w:line="240" w:lineRule="auto"/>
        <w:ind w:right="40"/>
        <w:jc w:val="both"/>
        <w:rPr>
          <w:rFonts w:ascii="Work Sans Regular Roman" w:eastAsia="Work Sans Regular Roman" w:hAnsi="Work Sans Regular Roman" w:cstheme="minorHAnsi"/>
          <w:sz w:val="24"/>
          <w:szCs w:val="24"/>
        </w:rPr>
      </w:pPr>
    </w:p>
    <w:p w14:paraId="05D1A7E6" w14:textId="77777777" w:rsidR="00BF201B" w:rsidRPr="00550E1B" w:rsidRDefault="00BF201B" w:rsidP="00550E1B">
      <w:pPr>
        <w:pBdr>
          <w:top w:val="nil"/>
          <w:left w:val="nil"/>
          <w:bottom w:val="nil"/>
          <w:right w:val="nil"/>
          <w:between w:val="nil"/>
        </w:pBdr>
        <w:spacing w:after="0" w:line="240" w:lineRule="auto"/>
        <w:ind w:right="40"/>
        <w:jc w:val="both"/>
        <w:rPr>
          <w:rFonts w:ascii="Work Sans Regular Roman" w:eastAsia="Work Sans Regular Roman" w:hAnsi="Work Sans Regular Roman" w:cstheme="minorHAnsi"/>
          <w:sz w:val="24"/>
          <w:szCs w:val="24"/>
        </w:rPr>
      </w:pPr>
    </w:p>
    <w:p w14:paraId="768E935A" w14:textId="3B4F7090" w:rsidR="007C0C77" w:rsidRPr="00BF201B" w:rsidRDefault="007C0C77">
      <w:pPr>
        <w:pStyle w:val="Prrafodelista"/>
        <w:numPr>
          <w:ilvl w:val="0"/>
          <w:numId w:val="3"/>
        </w:numPr>
        <w:spacing w:after="0" w:line="240" w:lineRule="auto"/>
        <w:ind w:right="51"/>
        <w:jc w:val="both"/>
        <w:rPr>
          <w:rFonts w:ascii="Work Sans Regular Roman" w:eastAsia="Calibri" w:hAnsi="Work Sans Regular Roman" w:cstheme="minorHAnsi"/>
          <w:b/>
          <w:bCs/>
          <w:sz w:val="24"/>
          <w:szCs w:val="24"/>
        </w:rPr>
      </w:pPr>
      <w:r w:rsidRPr="00BF201B">
        <w:rPr>
          <w:rFonts w:ascii="Work Sans Regular Roman" w:eastAsia="Calibri" w:hAnsi="Work Sans Regular Roman" w:cstheme="minorHAnsi"/>
          <w:b/>
          <w:bCs/>
          <w:sz w:val="24"/>
          <w:szCs w:val="24"/>
        </w:rPr>
        <w:t>Informar cuál ha sido el precio de la gasolina promedio anual para los años 2010 hasta 2023 y cuál debería haber sido el precio si correspondiera directamente si no se tuviera un precio estable con el FEPC. Detallar cuánto representa el ingreso del productor en ese diferencial de precios para cada año.</w:t>
      </w:r>
    </w:p>
    <w:p w14:paraId="56B7D9B5" w14:textId="77777777" w:rsidR="007C0C77" w:rsidRPr="00BF201B" w:rsidRDefault="007C0C77" w:rsidP="00550E1B">
      <w:pPr>
        <w:spacing w:after="0" w:line="240" w:lineRule="auto"/>
        <w:ind w:right="51"/>
        <w:contextualSpacing/>
        <w:jc w:val="both"/>
        <w:rPr>
          <w:rFonts w:ascii="Work Sans Regular Roman" w:eastAsia="Calibri" w:hAnsi="Work Sans Regular Roman" w:cstheme="minorHAnsi"/>
          <w:sz w:val="24"/>
          <w:szCs w:val="24"/>
        </w:rPr>
      </w:pPr>
    </w:p>
    <w:p w14:paraId="6627D1E3" w14:textId="7898138E" w:rsidR="007C0C77" w:rsidRPr="00550E1B" w:rsidRDefault="007C0C77"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 xml:space="preserve">Teniendo en cuenta el marco normativo, anteriormente mencionado, es importante destacar que la información disponible en el archivo histórico de la entidad se limita al período comprendido entre enero de 2016 y la fecha actual. Dicho esto, a continuación, compartimos una tabla que muestra </w:t>
      </w:r>
      <w:r w:rsidRPr="00550E1B">
        <w:rPr>
          <w:rFonts w:ascii="Work Sans Regular Roman" w:eastAsia="Work Sans Regular Roman" w:hAnsi="Work Sans Regular Roman" w:cstheme="minorHAnsi"/>
          <w:sz w:val="24"/>
          <w:szCs w:val="24"/>
        </w:rPr>
        <w:lastRenderedPageBreak/>
        <w:t xml:space="preserve">los valores promedio de venta de gasolina motor corriente y diésel, con y sin el funcionamiento del </w:t>
      </w:r>
      <w:r w:rsidR="00BF201B" w:rsidRPr="00550E1B">
        <w:rPr>
          <w:rFonts w:ascii="Work Sans Regular Roman" w:eastAsia="Times New Roman" w:hAnsi="Work Sans Regular Roman" w:cstheme="minorHAnsi"/>
          <w:sz w:val="24"/>
          <w:szCs w:val="24"/>
          <w:lang w:val="es-MX" w:eastAsia="es-MX"/>
        </w:rPr>
        <w:t xml:space="preserve">Fondo de Estabilización de Precios de los Combustibles </w:t>
      </w:r>
      <w:r w:rsidR="00BF201B">
        <w:rPr>
          <w:rFonts w:ascii="Work Sans Regular Roman" w:eastAsia="Times New Roman" w:hAnsi="Work Sans Regular Roman" w:cstheme="minorHAnsi"/>
          <w:sz w:val="24"/>
          <w:szCs w:val="24"/>
          <w:lang w:val="es-MX" w:eastAsia="es-MX"/>
        </w:rPr>
        <w:t xml:space="preserve">– </w:t>
      </w:r>
      <w:r w:rsidRPr="00550E1B">
        <w:rPr>
          <w:rFonts w:ascii="Work Sans Regular Roman" w:eastAsia="Work Sans Regular Roman" w:hAnsi="Work Sans Regular Roman" w:cstheme="minorHAnsi"/>
          <w:sz w:val="24"/>
          <w:szCs w:val="24"/>
        </w:rPr>
        <w:t>FEPC:</w:t>
      </w:r>
    </w:p>
    <w:p w14:paraId="20ABE934" w14:textId="77777777" w:rsidR="007C0C77" w:rsidRPr="00550E1B" w:rsidRDefault="007C0C77" w:rsidP="00550E1B">
      <w:pPr>
        <w:pBdr>
          <w:top w:val="nil"/>
          <w:left w:val="nil"/>
          <w:bottom w:val="nil"/>
          <w:right w:val="nil"/>
          <w:between w:val="nil"/>
        </w:pBdr>
        <w:spacing w:after="0" w:line="240" w:lineRule="auto"/>
        <w:jc w:val="both"/>
        <w:rPr>
          <w:rFonts w:ascii="Work Sans Regular Roman" w:eastAsia="Work Sans Regular Roman" w:hAnsi="Work Sans Regular Roman" w:cs="Work Sans Regular Roman"/>
          <w:sz w:val="24"/>
          <w:szCs w:val="24"/>
        </w:rPr>
      </w:pPr>
    </w:p>
    <w:p w14:paraId="2539A0FE" w14:textId="5A383FF2" w:rsidR="007C0C77" w:rsidRPr="00550E1B" w:rsidRDefault="00F87917" w:rsidP="00BF201B">
      <w:pPr>
        <w:pBdr>
          <w:top w:val="nil"/>
          <w:left w:val="nil"/>
          <w:bottom w:val="nil"/>
          <w:right w:val="nil"/>
          <w:between w:val="nil"/>
        </w:pBdr>
        <w:spacing w:after="0" w:line="240" w:lineRule="auto"/>
        <w:ind w:right="40"/>
        <w:jc w:val="center"/>
        <w:rPr>
          <w:rFonts w:ascii="Work Sans Regular Roman" w:eastAsia="Work Sans Regular Roman" w:hAnsi="Work Sans Regular Roman" w:cstheme="minorHAnsi"/>
          <w:sz w:val="24"/>
          <w:szCs w:val="24"/>
        </w:rPr>
      </w:pPr>
      <w:r w:rsidRPr="00550E1B">
        <w:rPr>
          <w:rFonts w:ascii="Work Sans Regular Roman" w:eastAsia="Calibri" w:hAnsi="Work Sans Regular Roman" w:cs="Calibri"/>
          <w:noProof/>
          <w:sz w:val="24"/>
          <w:szCs w:val="24"/>
          <w:lang w:eastAsia="es-CO"/>
        </w:rPr>
        <w:drawing>
          <wp:inline distT="0" distB="0" distL="0" distR="0" wp14:anchorId="3AFA18BB" wp14:editId="15EEFD5A">
            <wp:extent cx="4966447" cy="1931857"/>
            <wp:effectExtent l="0" t="0" r="0" b="0"/>
            <wp:docPr id="1502622759" name="Imagen 1502622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90929" cy="1941380"/>
                    </a:xfrm>
                    <a:prstGeom prst="rect">
                      <a:avLst/>
                    </a:prstGeom>
                    <a:noFill/>
                    <a:ln>
                      <a:noFill/>
                    </a:ln>
                  </pic:spPr>
                </pic:pic>
              </a:graphicData>
            </a:graphic>
          </wp:inline>
        </w:drawing>
      </w:r>
    </w:p>
    <w:p w14:paraId="460CFD29" w14:textId="77777777" w:rsidR="00BF201B" w:rsidRDefault="00BF201B" w:rsidP="00BF201B">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sz w:val="20"/>
          <w:szCs w:val="20"/>
        </w:rPr>
      </w:pPr>
    </w:p>
    <w:p w14:paraId="06D66529" w14:textId="0C7A2C95" w:rsidR="00F87917" w:rsidRPr="00BF201B" w:rsidRDefault="00F87917" w:rsidP="00BF201B">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b/>
          <w:bCs/>
          <w:sz w:val="20"/>
          <w:szCs w:val="20"/>
        </w:rPr>
        <w:t xml:space="preserve">Fuente: </w:t>
      </w:r>
      <w:r w:rsidRPr="00BF201B">
        <w:rPr>
          <w:rFonts w:ascii="Work Sans Regular Roman" w:eastAsia="Work Sans Regular Roman" w:hAnsi="Work Sans Regular Roman" w:cs="Work Sans Regular Roman"/>
          <w:sz w:val="20"/>
          <w:szCs w:val="20"/>
        </w:rPr>
        <w:t>Dirección de Hidrocarburos Ministerio de Minas y Energía</w:t>
      </w:r>
    </w:p>
    <w:p w14:paraId="2B7A4A2B" w14:textId="77777777" w:rsidR="00F87917" w:rsidRPr="00550E1B" w:rsidRDefault="00F87917" w:rsidP="00550E1B">
      <w:pPr>
        <w:pBdr>
          <w:top w:val="nil"/>
          <w:left w:val="nil"/>
          <w:bottom w:val="nil"/>
          <w:right w:val="nil"/>
          <w:between w:val="nil"/>
        </w:pBdr>
        <w:spacing w:after="0" w:line="240" w:lineRule="auto"/>
        <w:jc w:val="both"/>
        <w:rPr>
          <w:rFonts w:ascii="Work Sans Regular Roman" w:eastAsia="Work Sans Regular Roman" w:hAnsi="Work Sans Regular Roman" w:cs="Work Sans Regular Roman"/>
          <w:sz w:val="24"/>
          <w:szCs w:val="24"/>
        </w:rPr>
      </w:pPr>
    </w:p>
    <w:p w14:paraId="6FAC7C41" w14:textId="77777777" w:rsidR="00F87917" w:rsidRPr="00550E1B" w:rsidRDefault="00F87917" w:rsidP="00550E1B">
      <w:pPr>
        <w:pBdr>
          <w:top w:val="nil"/>
          <w:left w:val="nil"/>
          <w:bottom w:val="nil"/>
          <w:right w:val="nil"/>
          <w:between w:val="nil"/>
        </w:pBdr>
        <w:spacing w:after="0" w:line="240" w:lineRule="auto"/>
        <w:jc w:val="both"/>
        <w:rPr>
          <w:rFonts w:ascii="Work Sans Regular Roman" w:eastAsia="Work Sans Regular Roman" w:hAnsi="Work Sans Regular Roman" w:cs="Work Sans Regular Roman"/>
          <w:sz w:val="24"/>
          <w:szCs w:val="24"/>
        </w:rPr>
      </w:pPr>
    </w:p>
    <w:p w14:paraId="551F1C87" w14:textId="005D7445" w:rsidR="00F87917" w:rsidRPr="00BF201B" w:rsidRDefault="00F87917">
      <w:pPr>
        <w:pStyle w:val="Prrafodelista"/>
        <w:numPr>
          <w:ilvl w:val="0"/>
          <w:numId w:val="5"/>
        </w:numPr>
        <w:pBdr>
          <w:top w:val="nil"/>
          <w:left w:val="nil"/>
          <w:bottom w:val="nil"/>
          <w:right w:val="nil"/>
          <w:between w:val="nil"/>
        </w:pBdr>
        <w:spacing w:after="0" w:line="240" w:lineRule="auto"/>
        <w:jc w:val="both"/>
        <w:rPr>
          <w:rFonts w:ascii="Work Sans Regular Roman" w:eastAsia="Work Sans Regular Roman" w:hAnsi="Work Sans Regular Roman" w:cstheme="minorHAnsi"/>
          <w:b/>
          <w:bCs/>
          <w:sz w:val="24"/>
          <w:szCs w:val="24"/>
        </w:rPr>
      </w:pPr>
      <w:r w:rsidRPr="00BF201B">
        <w:rPr>
          <w:rFonts w:ascii="Work Sans Regular Roman" w:eastAsia="Work Sans Regular Roman" w:hAnsi="Work Sans Regular Roman" w:cstheme="minorHAnsi"/>
          <w:b/>
          <w:bCs/>
          <w:sz w:val="24"/>
          <w:szCs w:val="24"/>
        </w:rPr>
        <w:t>Informe cuánto es el costo de un galón de gasolina corriente, extra y ACPM en el distribuidor minorista.</w:t>
      </w:r>
    </w:p>
    <w:p w14:paraId="69E45128" w14:textId="77777777" w:rsidR="00F87917" w:rsidRPr="00550E1B" w:rsidRDefault="00F87917" w:rsidP="00550E1B">
      <w:pPr>
        <w:pStyle w:val="Prrafodelista"/>
        <w:pBdr>
          <w:top w:val="nil"/>
          <w:left w:val="nil"/>
          <w:bottom w:val="nil"/>
          <w:right w:val="nil"/>
          <w:between w:val="nil"/>
        </w:pBdr>
        <w:spacing w:after="0" w:line="240" w:lineRule="auto"/>
        <w:jc w:val="both"/>
        <w:rPr>
          <w:rFonts w:ascii="Work Sans Regular Roman" w:eastAsia="Work Sans Regular Roman" w:hAnsi="Work Sans Regular Roman" w:cstheme="minorHAnsi"/>
          <w:b/>
          <w:bCs/>
          <w:sz w:val="24"/>
          <w:szCs w:val="24"/>
        </w:rPr>
      </w:pPr>
    </w:p>
    <w:p w14:paraId="42183484" w14:textId="79DED0C7" w:rsidR="00F87917" w:rsidRPr="00550E1B" w:rsidRDefault="00F87917" w:rsidP="00550E1B">
      <w:pPr>
        <w:spacing w:after="0" w:line="240" w:lineRule="auto"/>
        <w:ind w:right="51"/>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 xml:space="preserve">La Resolución </w:t>
      </w:r>
      <w:r w:rsidR="00BF201B">
        <w:rPr>
          <w:rFonts w:ascii="Work Sans Regular Roman" w:eastAsia="Work Sans Regular Roman" w:hAnsi="Work Sans Regular Roman" w:cstheme="minorHAnsi"/>
          <w:sz w:val="24"/>
          <w:szCs w:val="24"/>
        </w:rPr>
        <w:t xml:space="preserve">No. </w:t>
      </w:r>
      <w:r w:rsidRPr="00550E1B">
        <w:rPr>
          <w:rFonts w:ascii="Work Sans Regular Roman" w:eastAsia="Work Sans Regular Roman" w:hAnsi="Work Sans Regular Roman" w:cstheme="minorHAnsi"/>
          <w:sz w:val="24"/>
          <w:szCs w:val="24"/>
        </w:rPr>
        <w:t>40222 de 2015, “</w:t>
      </w:r>
      <w:r w:rsidRPr="00550E1B">
        <w:rPr>
          <w:rFonts w:ascii="Work Sans Regular Roman" w:eastAsia="Work Sans Regular Roman" w:hAnsi="Work Sans Regular Roman" w:cstheme="minorHAnsi"/>
          <w:i/>
          <w:iCs/>
          <w:sz w:val="24"/>
          <w:szCs w:val="24"/>
        </w:rPr>
        <w:t>Por la cual se dictan disposiciones en relación con el margen de distribución minorista para la gasolina motor corriente, la gasolina motor corriente oxigenada, el ACPM y el ACPM mezclado con biocombustible para uso en motor diésel</w:t>
      </w:r>
      <w:r w:rsidRPr="00550E1B">
        <w:rPr>
          <w:rFonts w:ascii="Work Sans Regular Roman" w:eastAsia="Work Sans Regular Roman" w:hAnsi="Work Sans Regular Roman" w:cstheme="minorHAnsi"/>
          <w:sz w:val="24"/>
          <w:szCs w:val="24"/>
        </w:rPr>
        <w:t xml:space="preserve">”, donde establece, en el </w:t>
      </w:r>
      <w:r w:rsidR="00BF201B">
        <w:rPr>
          <w:rFonts w:ascii="Work Sans Regular Roman" w:eastAsia="Work Sans Regular Roman" w:hAnsi="Work Sans Regular Roman" w:cstheme="minorHAnsi"/>
          <w:sz w:val="24"/>
          <w:szCs w:val="24"/>
        </w:rPr>
        <w:t>a</w:t>
      </w:r>
      <w:r w:rsidR="00BF201B" w:rsidRPr="00550E1B">
        <w:rPr>
          <w:rFonts w:ascii="Work Sans Regular Roman" w:eastAsia="Work Sans Regular Roman" w:hAnsi="Work Sans Regular Roman" w:cstheme="minorHAnsi"/>
          <w:sz w:val="24"/>
          <w:szCs w:val="24"/>
        </w:rPr>
        <w:t>rtículo</w:t>
      </w:r>
      <w:r w:rsidRPr="00550E1B">
        <w:rPr>
          <w:rFonts w:ascii="Work Sans Regular Roman" w:eastAsia="Work Sans Regular Roman" w:hAnsi="Work Sans Regular Roman" w:cstheme="minorHAnsi"/>
          <w:sz w:val="24"/>
          <w:szCs w:val="24"/>
        </w:rPr>
        <w:t xml:space="preserve"> 1, que el margen de distribuidor minorista se actualizará cada 1 de febrero con respecto al </w:t>
      </w:r>
      <w:r w:rsidR="00BF201B">
        <w:rPr>
          <w:rFonts w:ascii="Work Sans Regular Roman" w:eastAsia="Work Sans Regular Roman" w:hAnsi="Work Sans Regular Roman" w:cstheme="minorHAnsi"/>
          <w:sz w:val="24"/>
          <w:szCs w:val="24"/>
        </w:rPr>
        <w:t xml:space="preserve">Índice de Precios al Consumidor – </w:t>
      </w:r>
      <w:r w:rsidRPr="00550E1B">
        <w:rPr>
          <w:rFonts w:ascii="Work Sans Regular Roman" w:eastAsia="Work Sans Regular Roman" w:hAnsi="Work Sans Regular Roman" w:cstheme="minorHAnsi"/>
          <w:sz w:val="24"/>
          <w:szCs w:val="24"/>
        </w:rPr>
        <w:t>IPC del año anterior.</w:t>
      </w:r>
    </w:p>
    <w:p w14:paraId="3D0BEFA6" w14:textId="77777777" w:rsidR="00F87917" w:rsidRPr="00550E1B" w:rsidRDefault="00F87917" w:rsidP="00550E1B">
      <w:pPr>
        <w:spacing w:after="0" w:line="240" w:lineRule="auto"/>
        <w:ind w:right="51"/>
        <w:jc w:val="both"/>
        <w:rPr>
          <w:rFonts w:ascii="Work Sans Regular Roman" w:eastAsia="Work Sans Regular Roman" w:hAnsi="Work Sans Regular Roman" w:cstheme="minorHAnsi"/>
          <w:sz w:val="24"/>
          <w:szCs w:val="24"/>
        </w:rPr>
      </w:pPr>
    </w:p>
    <w:p w14:paraId="21204B83" w14:textId="6EFD9AF5" w:rsidR="00F87917" w:rsidRPr="00550E1B" w:rsidRDefault="00F87917" w:rsidP="00BF201B">
      <w:pPr>
        <w:spacing w:after="0" w:line="240" w:lineRule="auto"/>
        <w:ind w:right="51"/>
        <w:jc w:val="center"/>
        <w:rPr>
          <w:rFonts w:ascii="Work Sans Regular Roman" w:eastAsia="Work Sans Regular Roman" w:hAnsi="Work Sans Regular Roman" w:cstheme="minorHAnsi"/>
          <w:sz w:val="24"/>
          <w:szCs w:val="24"/>
        </w:rPr>
      </w:pPr>
      <w:r w:rsidRPr="00550E1B">
        <w:rPr>
          <w:rFonts w:ascii="Work Sans Regular Roman" w:eastAsia="Calibri" w:hAnsi="Work Sans Regular Roman" w:cs="Calibri"/>
          <w:noProof/>
          <w:sz w:val="24"/>
          <w:szCs w:val="24"/>
          <w:lang w:eastAsia="es-CO"/>
        </w:rPr>
        <w:drawing>
          <wp:inline distT="0" distB="0" distL="0" distR="0" wp14:anchorId="122E95F4" wp14:editId="794873F5">
            <wp:extent cx="3173505" cy="1672855"/>
            <wp:effectExtent l="0" t="0" r="1905" b="3810"/>
            <wp:docPr id="1714121697" name="Imagen 1714121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88325" cy="1680667"/>
                    </a:xfrm>
                    <a:prstGeom prst="rect">
                      <a:avLst/>
                    </a:prstGeom>
                    <a:noFill/>
                    <a:ln>
                      <a:noFill/>
                    </a:ln>
                  </pic:spPr>
                </pic:pic>
              </a:graphicData>
            </a:graphic>
          </wp:inline>
        </w:drawing>
      </w:r>
    </w:p>
    <w:p w14:paraId="7C70DCDB" w14:textId="77777777" w:rsidR="00BF201B" w:rsidRDefault="00BF201B" w:rsidP="00BF201B">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sz w:val="20"/>
          <w:szCs w:val="20"/>
        </w:rPr>
      </w:pPr>
    </w:p>
    <w:p w14:paraId="66327F83" w14:textId="2D038E25" w:rsidR="00F87917" w:rsidRPr="00BF201B" w:rsidRDefault="00F87917" w:rsidP="00BF201B">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sz w:val="20"/>
          <w:szCs w:val="20"/>
        </w:rPr>
      </w:pPr>
      <w:r w:rsidRPr="00BF201B">
        <w:rPr>
          <w:rFonts w:ascii="Work Sans Regular Roman" w:eastAsia="Work Sans Regular Roman" w:hAnsi="Work Sans Regular Roman" w:cs="Work Sans Regular Roman"/>
          <w:b/>
          <w:bCs/>
          <w:sz w:val="20"/>
          <w:szCs w:val="20"/>
        </w:rPr>
        <w:t>Fuente:</w:t>
      </w:r>
      <w:r w:rsidRPr="00BF201B">
        <w:rPr>
          <w:rFonts w:ascii="Work Sans Regular Roman" w:eastAsia="Work Sans Regular Roman" w:hAnsi="Work Sans Regular Roman" w:cs="Work Sans Regular Roman"/>
          <w:sz w:val="20"/>
          <w:szCs w:val="20"/>
        </w:rPr>
        <w:t xml:space="preserve"> Dirección de Hidrocarburos Ministerio de Minas y Energía</w:t>
      </w:r>
    </w:p>
    <w:p w14:paraId="3A52B762" w14:textId="77777777" w:rsidR="00F87917" w:rsidRPr="00550E1B" w:rsidRDefault="00F87917" w:rsidP="00550E1B">
      <w:pPr>
        <w:pBdr>
          <w:top w:val="nil"/>
          <w:left w:val="nil"/>
          <w:bottom w:val="nil"/>
          <w:right w:val="nil"/>
          <w:between w:val="nil"/>
        </w:pBdr>
        <w:spacing w:after="0" w:line="240" w:lineRule="auto"/>
        <w:jc w:val="both"/>
        <w:rPr>
          <w:rFonts w:ascii="Work Sans Regular Roman" w:eastAsia="Work Sans Regular Roman" w:hAnsi="Work Sans Regular Roman" w:cs="Work Sans Regular Roman"/>
          <w:sz w:val="24"/>
          <w:szCs w:val="24"/>
        </w:rPr>
      </w:pPr>
    </w:p>
    <w:p w14:paraId="1251F409" w14:textId="1658659C" w:rsidR="00F87917" w:rsidRPr="00550E1B" w:rsidRDefault="00F87917" w:rsidP="00550E1B">
      <w:pPr>
        <w:tabs>
          <w:tab w:val="left" w:pos="4155"/>
        </w:tabs>
        <w:spacing w:after="0" w:line="240" w:lineRule="auto"/>
        <w:ind w:right="40"/>
        <w:jc w:val="both"/>
        <w:rPr>
          <w:rFonts w:ascii="Work Sans Regular Roman" w:eastAsia="Times New Roman" w:hAnsi="Work Sans Regular Roman" w:cstheme="minorHAnsi"/>
          <w:sz w:val="24"/>
          <w:szCs w:val="24"/>
          <w:lang w:eastAsia="es-ES"/>
        </w:rPr>
      </w:pPr>
      <w:bookmarkStart w:id="2" w:name="OLE_LINK1"/>
      <w:r w:rsidRPr="00550E1B">
        <w:rPr>
          <w:rFonts w:ascii="Work Sans Regular Roman" w:eastAsia="Times New Roman" w:hAnsi="Work Sans Regular Roman" w:cstheme="minorHAnsi"/>
          <w:sz w:val="24"/>
          <w:szCs w:val="24"/>
          <w:lang w:eastAsia="es-ES"/>
        </w:rPr>
        <w:t xml:space="preserve">Ahora bien, los diferentes componentes de la estructura de precios de la gasolina extra se encuentran excluidos del régimen de control de precios en virtud de lo dispuesto en la Resolución </w:t>
      </w:r>
      <w:r w:rsidR="00BF201B">
        <w:rPr>
          <w:rFonts w:ascii="Work Sans Regular Roman" w:eastAsia="Times New Roman" w:hAnsi="Work Sans Regular Roman" w:cstheme="minorHAnsi"/>
          <w:sz w:val="24"/>
          <w:szCs w:val="24"/>
          <w:lang w:eastAsia="es-ES"/>
        </w:rPr>
        <w:t xml:space="preserve">No. </w:t>
      </w:r>
      <w:r w:rsidRPr="00550E1B">
        <w:rPr>
          <w:rFonts w:ascii="Work Sans Regular Roman" w:eastAsia="Times New Roman" w:hAnsi="Work Sans Regular Roman" w:cstheme="minorHAnsi"/>
          <w:sz w:val="24"/>
          <w:szCs w:val="24"/>
          <w:lang w:eastAsia="es-ES"/>
        </w:rPr>
        <w:t xml:space="preserve">80278 de 1996. Sin perjuicio de lo anterior, el precio de venta de este combustible sí debe </w:t>
      </w:r>
      <w:r w:rsidRPr="00550E1B">
        <w:rPr>
          <w:rFonts w:ascii="Work Sans Regular Roman" w:eastAsia="Times New Roman" w:hAnsi="Work Sans Regular Roman" w:cstheme="minorHAnsi"/>
          <w:sz w:val="24"/>
          <w:szCs w:val="24"/>
          <w:lang w:eastAsia="es-ES"/>
        </w:rPr>
        <w:lastRenderedPageBreak/>
        <w:t>considerar los impuestos a que hay lugar según lo establecido en las normas que aplican a este respecto.</w:t>
      </w:r>
    </w:p>
    <w:p w14:paraId="487BE074" w14:textId="0BCCF0D2" w:rsidR="00F87917" w:rsidRDefault="00F87917" w:rsidP="00550E1B">
      <w:pPr>
        <w:tabs>
          <w:tab w:val="left" w:pos="4155"/>
        </w:tabs>
        <w:spacing w:after="0" w:line="240" w:lineRule="auto"/>
        <w:ind w:right="40"/>
        <w:jc w:val="both"/>
        <w:rPr>
          <w:rFonts w:ascii="Work Sans Regular Roman" w:eastAsia="Times New Roman" w:hAnsi="Work Sans Regular Roman" w:cstheme="minorHAnsi"/>
          <w:sz w:val="24"/>
          <w:szCs w:val="24"/>
          <w:lang w:eastAsia="es-ES"/>
        </w:rPr>
      </w:pPr>
    </w:p>
    <w:p w14:paraId="503F710B" w14:textId="77777777" w:rsidR="00BA76C7" w:rsidRPr="00550E1B" w:rsidRDefault="00BA76C7" w:rsidP="00550E1B">
      <w:pPr>
        <w:tabs>
          <w:tab w:val="left" w:pos="4155"/>
        </w:tabs>
        <w:spacing w:after="0" w:line="240" w:lineRule="auto"/>
        <w:ind w:right="40"/>
        <w:jc w:val="both"/>
        <w:rPr>
          <w:rFonts w:ascii="Work Sans Regular Roman" w:eastAsia="Times New Roman" w:hAnsi="Work Sans Regular Roman" w:cstheme="minorHAnsi"/>
          <w:sz w:val="24"/>
          <w:szCs w:val="24"/>
          <w:lang w:eastAsia="es-ES"/>
        </w:rPr>
      </w:pPr>
    </w:p>
    <w:p w14:paraId="55870C60" w14:textId="6FBB14C8" w:rsidR="00F87917" w:rsidRPr="00BA76C7" w:rsidRDefault="00F87917">
      <w:pPr>
        <w:pStyle w:val="Prrafodelista"/>
        <w:numPr>
          <w:ilvl w:val="0"/>
          <w:numId w:val="5"/>
        </w:numPr>
        <w:pBdr>
          <w:top w:val="nil"/>
          <w:left w:val="nil"/>
          <w:bottom w:val="nil"/>
          <w:right w:val="nil"/>
          <w:between w:val="nil"/>
        </w:pBdr>
        <w:spacing w:after="0" w:line="240" w:lineRule="auto"/>
        <w:jc w:val="both"/>
        <w:rPr>
          <w:rFonts w:ascii="Work Sans Regular Roman" w:eastAsia="Calibri" w:hAnsi="Work Sans Regular Roman" w:cstheme="minorHAnsi"/>
          <w:b/>
          <w:bCs/>
          <w:sz w:val="24"/>
          <w:szCs w:val="24"/>
        </w:rPr>
      </w:pPr>
      <w:r w:rsidRPr="00BA76C7">
        <w:rPr>
          <w:rFonts w:ascii="Work Sans Regular Roman" w:eastAsia="Calibri" w:hAnsi="Work Sans Regular Roman" w:cstheme="minorHAnsi"/>
          <w:b/>
          <w:bCs/>
          <w:sz w:val="24"/>
          <w:szCs w:val="24"/>
        </w:rPr>
        <w:t>Detallar las razones por las cuales el ingreso al productor debe atarse al costo de oportunidad de venta del combustible en el exterior, y no sobre el costo del productor. Detallar las normas colombianas que reglamentan el cálculo del ingreso del productor y cuáles son los documentos técnicos que soportan esa metodología.</w:t>
      </w:r>
    </w:p>
    <w:p w14:paraId="38F2AB72" w14:textId="77777777" w:rsidR="00F87917" w:rsidRPr="00550E1B" w:rsidRDefault="00F87917"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08618D8C" w14:textId="0F2AE9E7" w:rsidR="00F87917" w:rsidRPr="00550E1B" w:rsidRDefault="00F87917"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r w:rsidRPr="00550E1B">
        <w:rPr>
          <w:rFonts w:ascii="Work Sans Regular Roman" w:eastAsia="Calibri" w:hAnsi="Work Sans Regular Roman" w:cstheme="minorHAnsi"/>
          <w:sz w:val="24"/>
          <w:szCs w:val="24"/>
        </w:rPr>
        <w:t>A continuación, adjuntamos un recuento normativo respecto de la remuneración en el procedimiento de cálculo del Fondo de Estabilización de Precios de los Combustibles, basado en el concepto de costo de oportunidad.</w:t>
      </w:r>
    </w:p>
    <w:p w14:paraId="217FD940" w14:textId="77777777" w:rsidR="00F87917" w:rsidRPr="00550E1B" w:rsidRDefault="00F87917"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40BE383A" w14:textId="55D4DDB4" w:rsidR="00F87917" w:rsidRDefault="00F87917">
      <w:pPr>
        <w:numPr>
          <w:ilvl w:val="0"/>
          <w:numId w:val="1"/>
        </w:numPr>
        <w:pBdr>
          <w:top w:val="nil"/>
          <w:left w:val="nil"/>
          <w:bottom w:val="nil"/>
          <w:right w:val="nil"/>
          <w:between w:val="nil"/>
        </w:pBdr>
        <w:spacing w:after="0" w:line="240" w:lineRule="auto"/>
        <w:contextualSpacing/>
        <w:jc w:val="both"/>
        <w:rPr>
          <w:rFonts w:ascii="Work Sans Regular Roman" w:eastAsia="Calibri" w:hAnsi="Work Sans Regular Roman" w:cstheme="minorHAnsi"/>
          <w:sz w:val="24"/>
          <w:szCs w:val="24"/>
        </w:rPr>
      </w:pPr>
      <w:r w:rsidRPr="00550E1B">
        <w:rPr>
          <w:rFonts w:ascii="Work Sans Regular Roman" w:eastAsia="Calibri" w:hAnsi="Work Sans Regular Roman" w:cstheme="minorHAnsi"/>
          <w:sz w:val="24"/>
          <w:szCs w:val="24"/>
        </w:rPr>
        <w:t xml:space="preserve">Resoluciones </w:t>
      </w:r>
      <w:r w:rsidR="00BA76C7">
        <w:rPr>
          <w:rFonts w:ascii="Work Sans Regular Roman" w:eastAsia="Calibri" w:hAnsi="Work Sans Regular Roman" w:cstheme="minorHAnsi"/>
          <w:sz w:val="24"/>
          <w:szCs w:val="24"/>
        </w:rPr>
        <w:t xml:space="preserve">No. </w:t>
      </w:r>
      <w:r w:rsidRPr="00550E1B">
        <w:rPr>
          <w:rFonts w:ascii="Work Sans Regular Roman" w:eastAsia="Calibri" w:hAnsi="Work Sans Regular Roman" w:cstheme="minorHAnsi"/>
          <w:sz w:val="24"/>
          <w:szCs w:val="24"/>
        </w:rPr>
        <w:t>82438 y 82439 de 1998: Determinación de precios de gasolina regular y diésel considerando metodología de costo de oportunidad.</w:t>
      </w:r>
    </w:p>
    <w:p w14:paraId="624A28D1" w14:textId="77777777" w:rsidR="00BA76C7" w:rsidRPr="00550E1B" w:rsidRDefault="00BA76C7" w:rsidP="00BA76C7">
      <w:pPr>
        <w:pBdr>
          <w:top w:val="nil"/>
          <w:left w:val="nil"/>
          <w:bottom w:val="nil"/>
          <w:right w:val="nil"/>
          <w:between w:val="nil"/>
        </w:pBdr>
        <w:spacing w:after="0" w:line="240" w:lineRule="auto"/>
        <w:ind w:left="720"/>
        <w:contextualSpacing/>
        <w:jc w:val="both"/>
        <w:rPr>
          <w:rFonts w:ascii="Work Sans Regular Roman" w:eastAsia="Calibri" w:hAnsi="Work Sans Regular Roman" w:cstheme="minorHAnsi"/>
          <w:sz w:val="24"/>
          <w:szCs w:val="24"/>
        </w:rPr>
      </w:pPr>
    </w:p>
    <w:p w14:paraId="4E16C3D4" w14:textId="29619F1E" w:rsidR="00BA76C7" w:rsidRPr="00BA76C7" w:rsidRDefault="00F87917">
      <w:pPr>
        <w:numPr>
          <w:ilvl w:val="0"/>
          <w:numId w:val="1"/>
        </w:numPr>
        <w:pBdr>
          <w:top w:val="nil"/>
          <w:left w:val="nil"/>
          <w:bottom w:val="nil"/>
          <w:right w:val="nil"/>
          <w:between w:val="nil"/>
        </w:pBdr>
        <w:spacing w:after="0" w:line="240" w:lineRule="auto"/>
        <w:contextualSpacing/>
        <w:jc w:val="both"/>
        <w:rPr>
          <w:rFonts w:ascii="Work Sans Regular Roman" w:eastAsia="Calibri" w:hAnsi="Work Sans Regular Roman" w:cstheme="minorHAnsi"/>
          <w:sz w:val="24"/>
          <w:szCs w:val="24"/>
        </w:rPr>
      </w:pPr>
      <w:r w:rsidRPr="00550E1B">
        <w:rPr>
          <w:rFonts w:ascii="Work Sans Regular Roman" w:eastAsia="Calibri" w:hAnsi="Work Sans Regular Roman" w:cstheme="minorHAnsi"/>
          <w:sz w:val="24"/>
          <w:szCs w:val="24"/>
        </w:rPr>
        <w:t xml:space="preserve">Documento CONPES </w:t>
      </w:r>
      <w:r w:rsidR="00BA76C7">
        <w:rPr>
          <w:rFonts w:ascii="Work Sans Regular Roman" w:eastAsia="Calibri" w:hAnsi="Work Sans Regular Roman" w:cstheme="minorHAnsi"/>
          <w:sz w:val="24"/>
          <w:szCs w:val="24"/>
        </w:rPr>
        <w:t xml:space="preserve">No. </w:t>
      </w:r>
      <w:r w:rsidRPr="00550E1B">
        <w:rPr>
          <w:rFonts w:ascii="Work Sans Regular Roman" w:eastAsia="Calibri" w:hAnsi="Work Sans Regular Roman" w:cstheme="minorHAnsi"/>
          <w:sz w:val="24"/>
          <w:szCs w:val="24"/>
        </w:rPr>
        <w:t>3190 de 2002: Recomendación de que el precio de los combustibles sea establecido basándose en el concepto de oportunidad.</w:t>
      </w:r>
    </w:p>
    <w:p w14:paraId="2ABEB5AB" w14:textId="77777777" w:rsidR="00BA76C7" w:rsidRDefault="00BA76C7" w:rsidP="00BA76C7">
      <w:pPr>
        <w:pBdr>
          <w:top w:val="nil"/>
          <w:left w:val="nil"/>
          <w:bottom w:val="nil"/>
          <w:right w:val="nil"/>
          <w:between w:val="nil"/>
        </w:pBdr>
        <w:spacing w:after="0" w:line="240" w:lineRule="auto"/>
        <w:ind w:left="720"/>
        <w:contextualSpacing/>
        <w:jc w:val="both"/>
        <w:rPr>
          <w:rFonts w:ascii="Work Sans Regular Roman" w:eastAsia="Calibri" w:hAnsi="Work Sans Regular Roman" w:cstheme="minorHAnsi"/>
          <w:sz w:val="24"/>
          <w:szCs w:val="24"/>
        </w:rPr>
      </w:pPr>
    </w:p>
    <w:p w14:paraId="323F0A29" w14:textId="76620DF7" w:rsidR="00F87917" w:rsidRPr="00550E1B" w:rsidRDefault="00F87917">
      <w:pPr>
        <w:numPr>
          <w:ilvl w:val="0"/>
          <w:numId w:val="1"/>
        </w:numPr>
        <w:pBdr>
          <w:top w:val="nil"/>
          <w:left w:val="nil"/>
          <w:bottom w:val="nil"/>
          <w:right w:val="nil"/>
          <w:between w:val="nil"/>
        </w:pBdr>
        <w:spacing w:after="0" w:line="240" w:lineRule="auto"/>
        <w:contextualSpacing/>
        <w:jc w:val="both"/>
        <w:rPr>
          <w:rFonts w:ascii="Work Sans Regular Roman" w:eastAsia="Calibri" w:hAnsi="Work Sans Regular Roman" w:cstheme="minorHAnsi"/>
          <w:sz w:val="24"/>
          <w:szCs w:val="24"/>
        </w:rPr>
      </w:pPr>
      <w:r w:rsidRPr="00550E1B">
        <w:rPr>
          <w:rFonts w:ascii="Work Sans Regular Roman" w:eastAsia="Calibri" w:hAnsi="Work Sans Regular Roman" w:cstheme="minorHAnsi"/>
          <w:sz w:val="24"/>
          <w:szCs w:val="24"/>
        </w:rPr>
        <w:t>Plan Nacional de Desarrollo</w:t>
      </w:r>
      <w:r w:rsidR="00BA76C7">
        <w:rPr>
          <w:rFonts w:ascii="Work Sans Regular Roman" w:eastAsia="Calibri" w:hAnsi="Work Sans Regular Roman" w:cstheme="minorHAnsi"/>
          <w:sz w:val="24"/>
          <w:szCs w:val="24"/>
        </w:rPr>
        <w:t xml:space="preserve"> – PND</w:t>
      </w:r>
      <w:r w:rsidRPr="00550E1B">
        <w:rPr>
          <w:rFonts w:ascii="Work Sans Regular Roman" w:eastAsia="Calibri" w:hAnsi="Work Sans Regular Roman" w:cstheme="minorHAnsi"/>
          <w:sz w:val="24"/>
          <w:szCs w:val="24"/>
        </w:rPr>
        <w:t xml:space="preserve"> 2002</w:t>
      </w:r>
      <w:r w:rsidR="00BA76C7">
        <w:rPr>
          <w:rFonts w:ascii="Work Sans Regular Roman" w:eastAsia="Calibri" w:hAnsi="Work Sans Regular Roman" w:cstheme="minorHAnsi"/>
          <w:sz w:val="24"/>
          <w:szCs w:val="24"/>
        </w:rPr>
        <w:t xml:space="preserve"> – </w:t>
      </w:r>
      <w:r w:rsidRPr="00550E1B">
        <w:rPr>
          <w:rFonts w:ascii="Work Sans Regular Roman" w:eastAsia="Calibri" w:hAnsi="Work Sans Regular Roman" w:cstheme="minorHAnsi"/>
          <w:sz w:val="24"/>
          <w:szCs w:val="24"/>
        </w:rPr>
        <w:t>2006: Importancia de que la señal de remuneración sea basada en el concepto de costo de oportunidad.</w:t>
      </w:r>
    </w:p>
    <w:p w14:paraId="0FBBF7E0" w14:textId="77777777" w:rsidR="00BA76C7" w:rsidRDefault="00BA76C7" w:rsidP="00BA76C7">
      <w:pPr>
        <w:pBdr>
          <w:top w:val="nil"/>
          <w:left w:val="nil"/>
          <w:bottom w:val="nil"/>
          <w:right w:val="nil"/>
          <w:between w:val="nil"/>
        </w:pBdr>
        <w:spacing w:after="0" w:line="240" w:lineRule="auto"/>
        <w:ind w:left="720"/>
        <w:contextualSpacing/>
        <w:jc w:val="both"/>
        <w:rPr>
          <w:rFonts w:ascii="Work Sans Regular Roman" w:eastAsia="Calibri" w:hAnsi="Work Sans Regular Roman" w:cstheme="minorHAnsi"/>
          <w:sz w:val="24"/>
          <w:szCs w:val="24"/>
        </w:rPr>
      </w:pPr>
    </w:p>
    <w:p w14:paraId="37759C8A" w14:textId="714C1B30" w:rsidR="00F87917" w:rsidRPr="00550E1B" w:rsidRDefault="00F87917">
      <w:pPr>
        <w:numPr>
          <w:ilvl w:val="0"/>
          <w:numId w:val="1"/>
        </w:numPr>
        <w:pBdr>
          <w:top w:val="nil"/>
          <w:left w:val="nil"/>
          <w:bottom w:val="nil"/>
          <w:right w:val="nil"/>
          <w:between w:val="nil"/>
        </w:pBdr>
        <w:spacing w:after="0" w:line="240" w:lineRule="auto"/>
        <w:contextualSpacing/>
        <w:jc w:val="both"/>
        <w:rPr>
          <w:rFonts w:ascii="Work Sans Regular Roman" w:eastAsia="Calibri" w:hAnsi="Work Sans Regular Roman" w:cstheme="minorHAnsi"/>
          <w:sz w:val="24"/>
          <w:szCs w:val="24"/>
        </w:rPr>
      </w:pPr>
      <w:r w:rsidRPr="00550E1B">
        <w:rPr>
          <w:rFonts w:ascii="Work Sans Regular Roman" w:eastAsia="Calibri" w:hAnsi="Work Sans Regular Roman" w:cstheme="minorHAnsi"/>
          <w:sz w:val="24"/>
          <w:szCs w:val="24"/>
        </w:rPr>
        <w:t xml:space="preserve">Documento CONPES </w:t>
      </w:r>
      <w:r w:rsidR="00BA76C7">
        <w:rPr>
          <w:rFonts w:ascii="Work Sans Regular Roman" w:eastAsia="Calibri" w:hAnsi="Work Sans Regular Roman" w:cstheme="minorHAnsi"/>
          <w:sz w:val="24"/>
          <w:szCs w:val="24"/>
        </w:rPr>
        <w:t xml:space="preserve">No. </w:t>
      </w:r>
      <w:r w:rsidRPr="00550E1B">
        <w:rPr>
          <w:rFonts w:ascii="Work Sans Regular Roman" w:eastAsia="Calibri" w:hAnsi="Work Sans Regular Roman" w:cstheme="minorHAnsi"/>
          <w:sz w:val="24"/>
          <w:szCs w:val="24"/>
        </w:rPr>
        <w:t>3299 de 2004: El documento considera funciones de abastecimiento de mercado, y plantea condiciones de competencia que requieren remuneración basada en el costo de oportunidad.</w:t>
      </w:r>
    </w:p>
    <w:p w14:paraId="36032536" w14:textId="77777777" w:rsidR="00F87917" w:rsidRPr="00550E1B" w:rsidRDefault="00F87917"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31B7629B" w14:textId="509D5CBA" w:rsidR="00F87917" w:rsidRPr="00550E1B" w:rsidRDefault="00F87917" w:rsidP="00550E1B">
      <w:pPr>
        <w:shd w:val="clear" w:color="auto" w:fill="FFFFFF"/>
        <w:spacing w:after="0" w:line="240" w:lineRule="auto"/>
        <w:jc w:val="both"/>
        <w:textAlignment w:val="baseline"/>
        <w:rPr>
          <w:rFonts w:ascii="Work Sans Regular Roman" w:eastAsia="Work Sans Regular Roman" w:hAnsi="Work Sans Regular Roman" w:cstheme="minorHAnsi"/>
          <w:sz w:val="24"/>
          <w:szCs w:val="24"/>
          <w:lang w:eastAsia="es-MX"/>
        </w:rPr>
      </w:pPr>
      <w:r w:rsidRPr="00550E1B">
        <w:rPr>
          <w:rFonts w:ascii="Work Sans Regular Roman" w:eastAsia="Work Sans Regular Roman" w:hAnsi="Work Sans Regular Roman" w:cstheme="minorHAnsi"/>
          <w:sz w:val="24"/>
          <w:szCs w:val="24"/>
          <w:lang w:eastAsia="es-CO"/>
        </w:rPr>
        <w:t xml:space="preserve">A la fecha, la metodología de remuneración a considerar dentro del proceso de liquidación del FEPC se encuentra en las </w:t>
      </w:r>
      <w:r w:rsidRPr="00550E1B">
        <w:rPr>
          <w:rFonts w:ascii="Work Sans Regular Roman" w:eastAsia="Work Sans Regular Roman" w:hAnsi="Work Sans Regular Roman" w:cstheme="minorHAnsi"/>
          <w:sz w:val="24"/>
          <w:szCs w:val="24"/>
          <w:lang w:val="es-ES" w:eastAsia="es-MX"/>
        </w:rPr>
        <w:t>Resoluciones</w:t>
      </w:r>
      <w:r w:rsidR="00BA76C7">
        <w:rPr>
          <w:rFonts w:ascii="Work Sans Regular Roman" w:eastAsia="Work Sans Regular Roman" w:hAnsi="Work Sans Regular Roman" w:cstheme="minorHAnsi"/>
          <w:sz w:val="24"/>
          <w:szCs w:val="24"/>
          <w:lang w:val="es-ES" w:eastAsia="es-MX"/>
        </w:rPr>
        <w:t xml:space="preserve"> No.</w:t>
      </w:r>
      <w:r w:rsidRPr="00550E1B">
        <w:rPr>
          <w:rFonts w:ascii="Work Sans Regular Roman" w:eastAsia="Work Sans Regular Roman" w:hAnsi="Work Sans Regular Roman" w:cstheme="minorHAnsi"/>
          <w:sz w:val="24"/>
          <w:szCs w:val="24"/>
          <w:lang w:val="es-ES" w:eastAsia="es-MX"/>
        </w:rPr>
        <w:t xml:space="preserve"> 181496 de 2008 y 180522 de 2010 y 40736 de 2015.</w:t>
      </w:r>
    </w:p>
    <w:p w14:paraId="2CB2331E" w14:textId="3FFB2569" w:rsidR="00F87917" w:rsidRDefault="00F87917" w:rsidP="00550E1B">
      <w:pPr>
        <w:shd w:val="clear" w:color="auto" w:fill="FFFFFF"/>
        <w:spacing w:after="0" w:line="240" w:lineRule="auto"/>
        <w:jc w:val="both"/>
        <w:textAlignment w:val="baseline"/>
        <w:rPr>
          <w:rFonts w:ascii="Work Sans Regular Roman" w:eastAsia="Work Sans Regular Roman" w:hAnsi="Work Sans Regular Roman" w:cstheme="minorHAnsi"/>
          <w:sz w:val="24"/>
          <w:szCs w:val="24"/>
          <w:lang w:eastAsia="es-MX"/>
        </w:rPr>
      </w:pPr>
    </w:p>
    <w:p w14:paraId="20D6FED2" w14:textId="77777777" w:rsidR="00BA76C7" w:rsidRPr="00550E1B" w:rsidRDefault="00BA76C7" w:rsidP="00550E1B">
      <w:pPr>
        <w:shd w:val="clear" w:color="auto" w:fill="FFFFFF"/>
        <w:spacing w:after="0" w:line="240" w:lineRule="auto"/>
        <w:jc w:val="both"/>
        <w:textAlignment w:val="baseline"/>
        <w:rPr>
          <w:rFonts w:ascii="Work Sans Regular Roman" w:eastAsia="Work Sans Regular Roman" w:hAnsi="Work Sans Regular Roman" w:cstheme="minorHAnsi"/>
          <w:sz w:val="24"/>
          <w:szCs w:val="24"/>
          <w:lang w:eastAsia="es-MX"/>
        </w:rPr>
      </w:pPr>
    </w:p>
    <w:p w14:paraId="364E1BE5" w14:textId="596CBA81" w:rsidR="00F87917" w:rsidRPr="00550E1B" w:rsidRDefault="00F87917">
      <w:pPr>
        <w:pStyle w:val="Prrafodelista"/>
        <w:numPr>
          <w:ilvl w:val="0"/>
          <w:numId w:val="5"/>
        </w:numPr>
        <w:shd w:val="clear" w:color="auto" w:fill="FFFFFF"/>
        <w:spacing w:after="0" w:line="240" w:lineRule="auto"/>
        <w:jc w:val="both"/>
        <w:textAlignment w:val="baseline"/>
        <w:rPr>
          <w:rFonts w:ascii="Work Sans Regular Roman" w:eastAsia="Calibri" w:hAnsi="Work Sans Regular Roman" w:cstheme="minorHAnsi"/>
          <w:b/>
          <w:bCs/>
          <w:sz w:val="24"/>
          <w:szCs w:val="24"/>
        </w:rPr>
      </w:pPr>
      <w:r w:rsidRPr="00550E1B">
        <w:rPr>
          <w:rFonts w:ascii="Work Sans Regular Roman" w:eastAsia="Calibri" w:hAnsi="Work Sans Regular Roman" w:cstheme="minorHAnsi"/>
          <w:b/>
          <w:bCs/>
          <w:sz w:val="24"/>
          <w:szCs w:val="24"/>
        </w:rPr>
        <w:t>Cuáles son las implicaciones económicas y políticas de atar el precio de la gasolina a los precios de producción nacional y no al costo de oportunidad de exportación.</w:t>
      </w:r>
    </w:p>
    <w:p w14:paraId="60BEDDEB" w14:textId="77777777" w:rsidR="00F87917" w:rsidRPr="00550E1B" w:rsidRDefault="00F87917" w:rsidP="00550E1B">
      <w:pPr>
        <w:pStyle w:val="Prrafodelista"/>
        <w:shd w:val="clear" w:color="auto" w:fill="FFFFFF"/>
        <w:spacing w:after="0" w:line="240" w:lineRule="auto"/>
        <w:jc w:val="both"/>
        <w:textAlignment w:val="baseline"/>
        <w:rPr>
          <w:rFonts w:ascii="Work Sans Regular Roman" w:eastAsia="Work Sans Regular Roman" w:hAnsi="Work Sans Regular Roman" w:cstheme="minorHAnsi"/>
          <w:sz w:val="24"/>
          <w:szCs w:val="24"/>
          <w:lang w:eastAsia="es-MX"/>
        </w:rPr>
      </w:pPr>
    </w:p>
    <w:p w14:paraId="7ECFE605" w14:textId="1351A7EB" w:rsidR="00F87917" w:rsidRPr="00550E1B" w:rsidRDefault="00F87917"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r w:rsidRPr="00550E1B">
        <w:rPr>
          <w:rFonts w:ascii="Work Sans Regular Roman" w:eastAsia="Calibri" w:hAnsi="Work Sans Regular Roman" w:cstheme="minorHAnsi"/>
          <w:sz w:val="24"/>
          <w:szCs w:val="24"/>
        </w:rPr>
        <w:t xml:space="preserve">En línea con las facultades dadas al Ministerio de Minas y Energía descritas en el Decreto </w:t>
      </w:r>
      <w:r w:rsidR="00BA76C7">
        <w:rPr>
          <w:rFonts w:ascii="Work Sans Regular Roman" w:eastAsia="Calibri" w:hAnsi="Work Sans Regular Roman" w:cstheme="minorHAnsi"/>
          <w:sz w:val="24"/>
          <w:szCs w:val="24"/>
        </w:rPr>
        <w:t xml:space="preserve">No. </w:t>
      </w:r>
      <w:r w:rsidRPr="00550E1B">
        <w:rPr>
          <w:rFonts w:ascii="Work Sans Regular Roman" w:eastAsia="Calibri" w:hAnsi="Work Sans Regular Roman" w:cstheme="minorHAnsi"/>
          <w:sz w:val="24"/>
          <w:szCs w:val="24"/>
        </w:rPr>
        <w:t xml:space="preserve">381 de 2012, las modificaciones dentro de la metodología de remuneración dentro del </w:t>
      </w:r>
      <w:r w:rsidR="00BA76C7" w:rsidRPr="00550E1B">
        <w:rPr>
          <w:rFonts w:ascii="Work Sans Regular Roman" w:eastAsia="Calibri" w:hAnsi="Work Sans Regular Roman" w:cstheme="minorHAnsi"/>
          <w:sz w:val="24"/>
          <w:szCs w:val="24"/>
        </w:rPr>
        <w:t>Fondo de Estabilización de Precios de los Combustibles</w:t>
      </w:r>
      <w:r w:rsidRPr="00550E1B">
        <w:rPr>
          <w:rFonts w:ascii="Work Sans Regular Roman" w:eastAsia="Calibri" w:hAnsi="Work Sans Regular Roman" w:cstheme="minorHAnsi"/>
          <w:sz w:val="24"/>
          <w:szCs w:val="24"/>
        </w:rPr>
        <w:t>, deben considerar esquemas y necesidades de abastecimiento de combustibles, calidad de los mismos, metas de transición energética, entre otros. Cualquier modificación deberá considerar su impacto en las variables descritas.</w:t>
      </w:r>
    </w:p>
    <w:p w14:paraId="752C8D94" w14:textId="3EA38C8E" w:rsidR="00F87917" w:rsidRDefault="00F87917"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2354078B" w14:textId="77777777" w:rsidR="00BA76C7" w:rsidRPr="00550E1B" w:rsidRDefault="00BA76C7"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55CF4949" w14:textId="5EE3A21A" w:rsidR="00F87917" w:rsidRPr="00BA76C7" w:rsidRDefault="00F87917">
      <w:pPr>
        <w:pStyle w:val="Prrafodelista"/>
        <w:numPr>
          <w:ilvl w:val="0"/>
          <w:numId w:val="5"/>
        </w:numPr>
        <w:pBdr>
          <w:top w:val="nil"/>
          <w:left w:val="nil"/>
          <w:bottom w:val="nil"/>
          <w:right w:val="nil"/>
          <w:between w:val="nil"/>
        </w:pBdr>
        <w:spacing w:after="0" w:line="240" w:lineRule="auto"/>
        <w:jc w:val="both"/>
        <w:rPr>
          <w:rFonts w:ascii="Work Sans Regular Roman" w:eastAsia="Calibri" w:hAnsi="Work Sans Regular Roman" w:cstheme="minorHAnsi"/>
          <w:b/>
          <w:bCs/>
          <w:sz w:val="24"/>
          <w:szCs w:val="24"/>
        </w:rPr>
      </w:pPr>
      <w:r w:rsidRPr="00BA76C7">
        <w:rPr>
          <w:rFonts w:ascii="Work Sans Regular Roman" w:eastAsia="Calibri" w:hAnsi="Work Sans Regular Roman" w:cstheme="minorHAnsi"/>
          <w:b/>
          <w:bCs/>
          <w:sz w:val="24"/>
          <w:szCs w:val="24"/>
        </w:rPr>
        <w:t>¿Atar el ingreso al productor al costo de oportunidad es un compromiso del Gobierno Nacional con Ecopetrol?</w:t>
      </w:r>
    </w:p>
    <w:p w14:paraId="3DFC9409" w14:textId="77777777" w:rsidR="00BA76C7" w:rsidRPr="00BA76C7" w:rsidRDefault="00BA76C7" w:rsidP="00BA76C7">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18FDE84C" w14:textId="13730111" w:rsidR="00F87917" w:rsidRDefault="00F87917" w:rsidP="00BA76C7">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r w:rsidRPr="00550E1B">
        <w:rPr>
          <w:rFonts w:ascii="Work Sans Regular Roman" w:eastAsia="Calibri" w:hAnsi="Work Sans Regular Roman" w:cstheme="minorHAnsi"/>
          <w:sz w:val="24"/>
          <w:szCs w:val="24"/>
        </w:rPr>
        <w:t>Como se puede observar en el Plan Nacional de Desarrollo 2022</w:t>
      </w:r>
      <w:r w:rsidR="00BA76C7">
        <w:rPr>
          <w:rFonts w:ascii="Work Sans Regular Roman" w:eastAsia="Calibri" w:hAnsi="Work Sans Regular Roman" w:cstheme="minorHAnsi"/>
          <w:sz w:val="24"/>
          <w:szCs w:val="24"/>
        </w:rPr>
        <w:t xml:space="preserve"> – </w:t>
      </w:r>
      <w:r w:rsidRPr="00550E1B">
        <w:rPr>
          <w:rFonts w:ascii="Work Sans Regular Roman" w:eastAsia="Calibri" w:hAnsi="Work Sans Regular Roman" w:cstheme="minorHAnsi"/>
          <w:sz w:val="24"/>
          <w:szCs w:val="24"/>
        </w:rPr>
        <w:t xml:space="preserve">2024 (artículo 244), desde el Gobierno </w:t>
      </w:r>
      <w:r w:rsidR="00BA76C7">
        <w:rPr>
          <w:rFonts w:ascii="Work Sans Regular Roman" w:eastAsia="Calibri" w:hAnsi="Work Sans Regular Roman" w:cstheme="minorHAnsi"/>
          <w:sz w:val="24"/>
          <w:szCs w:val="24"/>
        </w:rPr>
        <w:t>n</w:t>
      </w:r>
      <w:r w:rsidRPr="00550E1B">
        <w:rPr>
          <w:rFonts w:ascii="Work Sans Regular Roman" w:eastAsia="Calibri" w:hAnsi="Work Sans Regular Roman" w:cstheme="minorHAnsi"/>
          <w:sz w:val="24"/>
          <w:szCs w:val="24"/>
        </w:rPr>
        <w:t xml:space="preserve">acional se están buscando las estrategias y medidas que permitan hacer sostenible fiscalmente el mecanismo del </w:t>
      </w:r>
      <w:r w:rsidR="00BA76C7" w:rsidRPr="00550E1B">
        <w:rPr>
          <w:rFonts w:ascii="Work Sans Regular Roman" w:eastAsia="Calibri" w:hAnsi="Work Sans Regular Roman" w:cstheme="minorHAnsi"/>
          <w:sz w:val="24"/>
          <w:szCs w:val="24"/>
        </w:rPr>
        <w:t xml:space="preserve">Fondo de Estabilización de Precios de los Combustibles </w:t>
      </w:r>
      <w:r w:rsidRPr="00550E1B">
        <w:rPr>
          <w:rFonts w:ascii="Work Sans Regular Roman" w:eastAsia="Calibri" w:hAnsi="Work Sans Regular Roman" w:cstheme="minorHAnsi"/>
          <w:sz w:val="24"/>
          <w:szCs w:val="24"/>
        </w:rPr>
        <w:t xml:space="preserve">considerando los principios de eficiencia y equidad. Como se puede leer a lo largo del documento, las herramientas brindadas a los ministerios competentes </w:t>
      </w:r>
      <w:r w:rsidR="00BA76C7">
        <w:rPr>
          <w:rFonts w:ascii="Work Sans Regular Roman" w:eastAsia="Calibri" w:hAnsi="Work Sans Regular Roman" w:cstheme="minorHAnsi"/>
          <w:sz w:val="24"/>
          <w:szCs w:val="24"/>
        </w:rPr>
        <w:t>no</w:t>
      </w:r>
      <w:r w:rsidRPr="00550E1B">
        <w:rPr>
          <w:rFonts w:ascii="Work Sans Regular Roman" w:eastAsia="Calibri" w:hAnsi="Work Sans Regular Roman" w:cstheme="minorHAnsi"/>
          <w:sz w:val="24"/>
          <w:szCs w:val="24"/>
        </w:rPr>
        <w:t xml:space="preserve"> generan compromisos con agentes específicos del sector. </w:t>
      </w:r>
    </w:p>
    <w:p w14:paraId="57874A96" w14:textId="7C455439" w:rsidR="00BA76C7" w:rsidRDefault="00BA76C7" w:rsidP="00BA76C7">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0ABD18F4" w14:textId="77777777" w:rsidR="00BA76C7" w:rsidRPr="00BA76C7" w:rsidRDefault="00BA76C7" w:rsidP="00BA76C7">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44178828" w14:textId="4BD69C8B" w:rsidR="00F87917" w:rsidRPr="00BA76C7" w:rsidRDefault="00E722A3">
      <w:pPr>
        <w:pStyle w:val="Prrafodelista"/>
        <w:numPr>
          <w:ilvl w:val="0"/>
          <w:numId w:val="5"/>
        </w:num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r w:rsidRPr="00BA76C7">
        <w:rPr>
          <w:rFonts w:ascii="Work Sans Regular Roman" w:eastAsia="Calibri" w:hAnsi="Work Sans Regular Roman" w:cstheme="minorHAnsi"/>
          <w:b/>
          <w:bCs/>
          <w:sz w:val="24"/>
          <w:szCs w:val="24"/>
        </w:rPr>
        <w:t>¿Su cartera consideraría que habría demandas por parte de accionistas de Ecopetrol contra el Estado por reglamentar que el ingreso al productor esté formulado sobre los precios de producción de Ecopetrol? ¿Ha recibido información relacionada con posibles acciones legales o arbitramentos por parte de los accionistas minoritarios?</w:t>
      </w:r>
    </w:p>
    <w:p w14:paraId="08B8390B" w14:textId="77777777" w:rsidR="00F87917" w:rsidRPr="00550E1B" w:rsidRDefault="00F87917"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2448944F" w14:textId="39B06098" w:rsidR="00E722A3" w:rsidRPr="00550E1B" w:rsidRDefault="00E722A3"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r w:rsidRPr="00550E1B">
        <w:rPr>
          <w:rFonts w:ascii="Work Sans Regular Roman" w:eastAsia="Calibri" w:hAnsi="Work Sans Regular Roman" w:cstheme="minorHAnsi"/>
          <w:sz w:val="24"/>
          <w:szCs w:val="24"/>
        </w:rPr>
        <w:t xml:space="preserve">En línea con las facultades dadas al Ministerio de Minas y Energía descritas en el Decreto </w:t>
      </w:r>
      <w:r w:rsidR="00BA76C7">
        <w:rPr>
          <w:rFonts w:ascii="Work Sans Regular Roman" w:eastAsia="Calibri" w:hAnsi="Work Sans Regular Roman" w:cstheme="minorHAnsi"/>
          <w:sz w:val="24"/>
          <w:szCs w:val="24"/>
        </w:rPr>
        <w:t xml:space="preserve">No. </w:t>
      </w:r>
      <w:r w:rsidRPr="00550E1B">
        <w:rPr>
          <w:rFonts w:ascii="Work Sans Regular Roman" w:eastAsia="Calibri" w:hAnsi="Work Sans Regular Roman" w:cstheme="minorHAnsi"/>
          <w:sz w:val="24"/>
          <w:szCs w:val="24"/>
        </w:rPr>
        <w:t xml:space="preserve">381 de 2012, las modificaciones dentro de la metodología de remuneración dentro del </w:t>
      </w:r>
      <w:r w:rsidR="00BA76C7" w:rsidRPr="00550E1B">
        <w:rPr>
          <w:rFonts w:ascii="Work Sans Regular Roman" w:eastAsia="Calibri" w:hAnsi="Work Sans Regular Roman" w:cstheme="minorHAnsi"/>
          <w:sz w:val="24"/>
          <w:szCs w:val="24"/>
        </w:rPr>
        <w:t>Fondo de Estabilización de Precios de los Combustibles</w:t>
      </w:r>
      <w:r w:rsidRPr="00550E1B">
        <w:rPr>
          <w:rFonts w:ascii="Work Sans Regular Roman" w:eastAsia="Calibri" w:hAnsi="Work Sans Regular Roman" w:cstheme="minorHAnsi"/>
          <w:sz w:val="24"/>
          <w:szCs w:val="24"/>
        </w:rPr>
        <w:t>, deben considerar esquemas y necesidades de abastecimiento de combustibles, calidad de estos, metas de transición energética, entre otros. Cualquier modificación deberá considerar su impacto en las variables descritas. Con esto presente, se reitera que, a la fecha, no hay estrategias de cambio de formulación en el esquema de remuneración en firme por parte de los ministerios involucrados.</w:t>
      </w:r>
    </w:p>
    <w:p w14:paraId="04D093EB" w14:textId="77777777" w:rsidR="00E722A3" w:rsidRPr="00550E1B" w:rsidRDefault="00E722A3"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09AA22DC" w14:textId="77777777" w:rsidR="00E722A3" w:rsidRPr="00550E1B" w:rsidRDefault="00E722A3"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4048E824" w14:textId="044B63B1" w:rsidR="00E722A3" w:rsidRPr="00BA76C7" w:rsidRDefault="00E722A3">
      <w:pPr>
        <w:pStyle w:val="Prrafodelista"/>
        <w:numPr>
          <w:ilvl w:val="0"/>
          <w:numId w:val="7"/>
        </w:numPr>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b/>
          <w:bCs/>
          <w:sz w:val="24"/>
          <w:szCs w:val="24"/>
        </w:rPr>
        <w:t>¿Cuál es el enfoque del gobierno nacional para equilibrar las necesidades de los consumidores con la necesidad de garantizar la sostenibilidad y seguridad energética del país?</w:t>
      </w:r>
    </w:p>
    <w:p w14:paraId="47FE91C8"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0B0FD304" w14:textId="77777777" w:rsidR="00BA76C7"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El Gobierno </w:t>
      </w:r>
      <w:r w:rsidR="00BA76C7">
        <w:rPr>
          <w:rFonts w:ascii="Work Sans Regular Roman" w:eastAsia="Calibri" w:hAnsi="Work Sans Regular Roman" w:cs="Times New Roman"/>
          <w:sz w:val="24"/>
          <w:szCs w:val="24"/>
        </w:rPr>
        <w:t>n</w:t>
      </w:r>
      <w:r w:rsidRPr="00550E1B">
        <w:rPr>
          <w:rFonts w:ascii="Work Sans Regular Roman" w:eastAsia="Calibri" w:hAnsi="Work Sans Regular Roman" w:cs="Times New Roman"/>
          <w:sz w:val="24"/>
          <w:szCs w:val="24"/>
        </w:rPr>
        <w:t>acional, consciente de la importancia de los recursos fiscales que genera la actividad de los hidrocarburos para el país, buscará estimular la exploración y producción en bloques actualmente licenciados de modo que se garantice el suministro y autosuficiencia energética al mediano y largo plazo.</w:t>
      </w:r>
      <w:r w:rsidR="00BA76C7">
        <w:rPr>
          <w:rFonts w:ascii="Work Sans Regular Roman" w:eastAsia="Calibri" w:hAnsi="Work Sans Regular Roman" w:cs="Times New Roman"/>
          <w:sz w:val="24"/>
          <w:szCs w:val="24"/>
        </w:rPr>
        <w:t xml:space="preserve"> </w:t>
      </w:r>
      <w:r w:rsidRPr="00550E1B">
        <w:rPr>
          <w:rFonts w:ascii="Work Sans Regular Roman" w:eastAsia="Calibri" w:hAnsi="Work Sans Regular Roman" w:cs="Times New Roman"/>
          <w:sz w:val="24"/>
          <w:szCs w:val="24"/>
        </w:rPr>
        <w:t xml:space="preserve">Para ello el </w:t>
      </w:r>
      <w:r w:rsidR="00BA76C7">
        <w:rPr>
          <w:rFonts w:ascii="Work Sans Regular Roman" w:eastAsia="Calibri" w:hAnsi="Work Sans Regular Roman" w:cs="Times New Roman"/>
          <w:sz w:val="24"/>
          <w:szCs w:val="24"/>
        </w:rPr>
        <w:t>G</w:t>
      </w:r>
      <w:r w:rsidRPr="00550E1B">
        <w:rPr>
          <w:rFonts w:ascii="Work Sans Regular Roman" w:eastAsia="Calibri" w:hAnsi="Work Sans Regular Roman" w:cs="Times New Roman"/>
          <w:sz w:val="24"/>
          <w:szCs w:val="24"/>
        </w:rPr>
        <w:t xml:space="preserve">obierno </w:t>
      </w:r>
      <w:r w:rsidR="00BA76C7">
        <w:rPr>
          <w:rFonts w:ascii="Work Sans Regular Roman" w:eastAsia="Calibri" w:hAnsi="Work Sans Regular Roman" w:cs="Times New Roman"/>
          <w:sz w:val="24"/>
          <w:szCs w:val="24"/>
        </w:rPr>
        <w:t xml:space="preserve">nacional </w:t>
      </w:r>
      <w:r w:rsidRPr="00550E1B">
        <w:rPr>
          <w:rFonts w:ascii="Work Sans Regular Roman" w:eastAsia="Calibri" w:hAnsi="Work Sans Regular Roman" w:cs="Times New Roman"/>
          <w:sz w:val="24"/>
          <w:szCs w:val="24"/>
        </w:rPr>
        <w:t xml:space="preserve">se enfoca en dos estrategias: se está trabajando en identificar los cuellos de botella en los bloques que tienen contratos de exploración y producción, y que han impedido el cumplimiento de los compromisos contractuales en dichos bloques. </w:t>
      </w:r>
    </w:p>
    <w:p w14:paraId="357AAC5F" w14:textId="77777777" w:rsidR="00BA76C7" w:rsidRDefault="00BA76C7" w:rsidP="00550E1B">
      <w:pPr>
        <w:spacing w:after="0" w:line="240" w:lineRule="auto"/>
        <w:jc w:val="both"/>
        <w:rPr>
          <w:rFonts w:ascii="Work Sans Regular Roman" w:eastAsia="Calibri" w:hAnsi="Work Sans Regular Roman" w:cs="Times New Roman"/>
          <w:sz w:val="24"/>
          <w:szCs w:val="24"/>
        </w:rPr>
      </w:pPr>
    </w:p>
    <w:p w14:paraId="0E1879D6" w14:textId="77777777" w:rsidR="00BA76C7"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Desde el Ministerio se busca apoyar el normal desarrollo de las actividades exploratorias en estas áreas, con una articulación interinstitucional desde el gobierno central, que destrabe y permita la ejecución de operaciones técnicas de evaluación del subsuelo. Estimamos que el normal desarrollo de los compromisos exploratorios en estos bloques permitiría el hallazgo de nuevos recursos para el país. En cuanto a los recursos contingentes de gas recientemente descubiertos de la región Caribe, el </w:t>
      </w:r>
      <w:r w:rsidR="00BA76C7">
        <w:rPr>
          <w:rFonts w:ascii="Work Sans Regular Roman" w:eastAsia="Calibri" w:hAnsi="Work Sans Regular Roman" w:cs="Times New Roman"/>
          <w:sz w:val="24"/>
          <w:szCs w:val="24"/>
        </w:rPr>
        <w:t>MME</w:t>
      </w:r>
      <w:r w:rsidRPr="00550E1B">
        <w:rPr>
          <w:rFonts w:ascii="Work Sans Regular Roman" w:eastAsia="Calibri" w:hAnsi="Work Sans Regular Roman" w:cs="Times New Roman"/>
          <w:sz w:val="24"/>
          <w:szCs w:val="24"/>
        </w:rPr>
        <w:t xml:space="preserve"> trabaja con las compañías operadoras para asegurar el desarrollo de estos recursos que asegurarían el suministro de este energético pro las próximas décadas, e incluso habría un excedente que se podría usar para generar productos con valor agregado e incluso exportar. </w:t>
      </w:r>
    </w:p>
    <w:p w14:paraId="07373E22" w14:textId="77777777" w:rsidR="00BA76C7" w:rsidRDefault="00BA76C7" w:rsidP="00550E1B">
      <w:pPr>
        <w:spacing w:after="0" w:line="240" w:lineRule="auto"/>
        <w:jc w:val="both"/>
        <w:rPr>
          <w:rFonts w:ascii="Work Sans Regular Roman" w:eastAsia="Calibri" w:hAnsi="Work Sans Regular Roman" w:cs="Times New Roman"/>
          <w:sz w:val="24"/>
          <w:szCs w:val="24"/>
        </w:rPr>
      </w:pPr>
    </w:p>
    <w:p w14:paraId="0C2B844B" w14:textId="54781770"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Por otra parte, también se está tratando de estimular los contratos de producción actuales en donde existe la posibilidad de que haya un mejor recobro, y así aumentar la producción de estos campos. En este momento, se está trabajando junto a la </w:t>
      </w:r>
      <w:r w:rsidR="00BA76C7">
        <w:rPr>
          <w:rFonts w:ascii="Work Sans Regular Roman" w:eastAsia="Calibri" w:hAnsi="Work Sans Regular Roman" w:cs="Times New Roman"/>
          <w:sz w:val="24"/>
          <w:szCs w:val="24"/>
        </w:rPr>
        <w:t xml:space="preserve">Agencia Nacional de Hidrocarburos – </w:t>
      </w:r>
      <w:r w:rsidRPr="00550E1B">
        <w:rPr>
          <w:rFonts w:ascii="Work Sans Regular Roman" w:eastAsia="Calibri" w:hAnsi="Work Sans Regular Roman" w:cs="Times New Roman"/>
          <w:sz w:val="24"/>
          <w:szCs w:val="24"/>
        </w:rPr>
        <w:t>ANH para entender cuáles son las necesidades.</w:t>
      </w:r>
    </w:p>
    <w:p w14:paraId="3DF72C67"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1B84C063"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7724EC3E" w14:textId="7D86597E" w:rsidR="00E722A3" w:rsidRPr="00BA76C7" w:rsidRDefault="00E722A3">
      <w:pPr>
        <w:pStyle w:val="Prrafodelista"/>
        <w:numPr>
          <w:ilvl w:val="0"/>
          <w:numId w:val="7"/>
        </w:numPr>
        <w:spacing w:after="0" w:line="240" w:lineRule="auto"/>
        <w:jc w:val="both"/>
        <w:rPr>
          <w:rFonts w:ascii="Work Sans Regular Roman" w:eastAsia="Calibri" w:hAnsi="Work Sans Regular Roman" w:cs="Times New Roman"/>
          <w:b/>
          <w:bCs/>
          <w:sz w:val="24"/>
          <w:szCs w:val="24"/>
        </w:rPr>
      </w:pPr>
      <w:r w:rsidRPr="00BA76C7">
        <w:rPr>
          <w:rFonts w:ascii="Work Sans Regular Roman" w:eastAsia="Calibri" w:hAnsi="Work Sans Regular Roman" w:cs="Times New Roman"/>
          <w:b/>
          <w:bCs/>
          <w:sz w:val="24"/>
          <w:szCs w:val="24"/>
        </w:rPr>
        <w:t>Nuestras reservas petroleras están más limitadas que nunca hoy en día gracias a la decisión de suspender la exploración de nuestros recursos petroleros, en ese sentido una dependencia de este recurso es inevitable, dejando gran parte de nuestra matriz productiva, en manos de otras naciones, lo que implicaría un costo mayor aún de este recurso. ¿Cómo planea el gobierno hacer frente a esta situación que ocasionaría un elevado costo de vida para los colombianos?</w:t>
      </w:r>
    </w:p>
    <w:p w14:paraId="5E87EC33" w14:textId="77777777" w:rsidR="00E722A3" w:rsidRPr="00550E1B" w:rsidRDefault="00E722A3" w:rsidP="00550E1B">
      <w:pPr>
        <w:spacing w:after="0" w:line="240" w:lineRule="auto"/>
        <w:jc w:val="both"/>
        <w:rPr>
          <w:rFonts w:ascii="Work Sans Regular Roman" w:eastAsia="Calibri" w:hAnsi="Work Sans Regular Roman" w:cs="Times New Roman"/>
          <w:b/>
          <w:bCs/>
          <w:sz w:val="24"/>
          <w:szCs w:val="24"/>
        </w:rPr>
      </w:pPr>
    </w:p>
    <w:p w14:paraId="1F7D4D1A" w14:textId="174B609C"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Dentro de los objetivos del </w:t>
      </w:r>
      <w:r w:rsidR="00BA76C7">
        <w:rPr>
          <w:rFonts w:ascii="Work Sans Regular Roman" w:eastAsia="Calibri" w:hAnsi="Work Sans Regular Roman" w:cs="Times New Roman"/>
          <w:sz w:val="24"/>
          <w:szCs w:val="24"/>
        </w:rPr>
        <w:t>G</w:t>
      </w:r>
      <w:r w:rsidRPr="00550E1B">
        <w:rPr>
          <w:rFonts w:ascii="Work Sans Regular Roman" w:eastAsia="Calibri" w:hAnsi="Work Sans Regular Roman" w:cs="Times New Roman"/>
          <w:sz w:val="24"/>
          <w:szCs w:val="24"/>
        </w:rPr>
        <w:t xml:space="preserve">obierno nacional, se plantea una </w:t>
      </w:r>
      <w:r w:rsidR="00BA76C7" w:rsidRPr="00550E1B">
        <w:rPr>
          <w:rFonts w:ascii="Work Sans Regular Roman" w:eastAsia="Calibri" w:hAnsi="Work Sans Regular Roman" w:cs="Times New Roman"/>
          <w:sz w:val="24"/>
          <w:szCs w:val="24"/>
        </w:rPr>
        <w:t>Transición Energética Justa</w:t>
      </w:r>
      <w:r w:rsidRPr="00550E1B">
        <w:rPr>
          <w:rFonts w:ascii="Work Sans Regular Roman" w:eastAsia="Calibri" w:hAnsi="Work Sans Regular Roman" w:cs="Times New Roman"/>
          <w:sz w:val="24"/>
          <w:szCs w:val="24"/>
        </w:rPr>
        <w:t xml:space="preserve"> y </w:t>
      </w:r>
      <w:r w:rsidR="00BA76C7">
        <w:rPr>
          <w:rFonts w:ascii="Work Sans Regular Roman" w:eastAsia="Calibri" w:hAnsi="Work Sans Regular Roman" w:cs="Times New Roman"/>
          <w:sz w:val="24"/>
          <w:szCs w:val="24"/>
        </w:rPr>
        <w:t>S</w:t>
      </w:r>
      <w:r w:rsidRPr="00550E1B">
        <w:rPr>
          <w:rFonts w:ascii="Work Sans Regular Roman" w:eastAsia="Calibri" w:hAnsi="Work Sans Regular Roman" w:cs="Times New Roman"/>
          <w:sz w:val="24"/>
          <w:szCs w:val="24"/>
        </w:rPr>
        <w:t>ostenible</w:t>
      </w:r>
      <w:r w:rsidR="00BA76C7">
        <w:rPr>
          <w:rFonts w:ascii="Work Sans Regular Roman" w:eastAsia="Calibri" w:hAnsi="Work Sans Regular Roman" w:cs="Times New Roman"/>
          <w:sz w:val="24"/>
          <w:szCs w:val="24"/>
        </w:rPr>
        <w:t xml:space="preserve"> – TEJ</w:t>
      </w:r>
      <w:r w:rsidRPr="00550E1B">
        <w:rPr>
          <w:rFonts w:ascii="Work Sans Regular Roman" w:eastAsia="Calibri" w:hAnsi="Work Sans Regular Roman" w:cs="Times New Roman"/>
          <w:sz w:val="24"/>
          <w:szCs w:val="24"/>
        </w:rPr>
        <w:t xml:space="preserve">, que busque entre otros, la soberanía energética del país, el acceso democrático a la energía y acciones claras para enfrentar el cambio climático. </w:t>
      </w:r>
    </w:p>
    <w:p w14:paraId="2503997E"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16242F59"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Esta transición será gradual y tendrá cinco ejes fundamentales:</w:t>
      </w:r>
    </w:p>
    <w:p w14:paraId="05392222"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71737AE1" w14:textId="77777777" w:rsidR="00BA76C7" w:rsidRDefault="00E722A3">
      <w:pPr>
        <w:pStyle w:val="Prrafodelista"/>
        <w:numPr>
          <w:ilvl w:val="0"/>
          <w:numId w:val="9"/>
        </w:numPr>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sz w:val="24"/>
          <w:szCs w:val="24"/>
        </w:rPr>
        <w:t>Mayores inversiones en energías limpias y descarbonización.</w:t>
      </w:r>
    </w:p>
    <w:p w14:paraId="2A7BBF98" w14:textId="77777777" w:rsidR="00BA76C7" w:rsidRDefault="00E722A3">
      <w:pPr>
        <w:pStyle w:val="Prrafodelista"/>
        <w:numPr>
          <w:ilvl w:val="0"/>
          <w:numId w:val="9"/>
        </w:numPr>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sz w:val="24"/>
          <w:szCs w:val="24"/>
        </w:rPr>
        <w:t>Sustitución progresiva de la demanda de combustibles fósiles.</w:t>
      </w:r>
    </w:p>
    <w:p w14:paraId="7BF4C98B" w14:textId="77777777" w:rsidR="00BA76C7" w:rsidRDefault="00E722A3">
      <w:pPr>
        <w:pStyle w:val="Prrafodelista"/>
        <w:numPr>
          <w:ilvl w:val="0"/>
          <w:numId w:val="9"/>
        </w:numPr>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sz w:val="24"/>
          <w:szCs w:val="24"/>
        </w:rPr>
        <w:t>Mayor eficiencia energética.</w:t>
      </w:r>
    </w:p>
    <w:p w14:paraId="16300932" w14:textId="77777777" w:rsidR="00BA76C7" w:rsidRDefault="00E722A3">
      <w:pPr>
        <w:pStyle w:val="Prrafodelista"/>
        <w:numPr>
          <w:ilvl w:val="0"/>
          <w:numId w:val="9"/>
        </w:numPr>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sz w:val="24"/>
          <w:szCs w:val="24"/>
        </w:rPr>
        <w:t>Revisión y eventual flexibilización de la regulación para acelerar la generación de energías limpias.</w:t>
      </w:r>
    </w:p>
    <w:p w14:paraId="5C723326" w14:textId="3B10FFBF" w:rsidR="00E722A3" w:rsidRPr="00BA76C7" w:rsidRDefault="00E722A3">
      <w:pPr>
        <w:pStyle w:val="Prrafodelista"/>
        <w:numPr>
          <w:ilvl w:val="0"/>
          <w:numId w:val="9"/>
        </w:numPr>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sz w:val="24"/>
          <w:szCs w:val="24"/>
        </w:rPr>
        <w:t>Reindustrialización de la economía colombiana.</w:t>
      </w:r>
    </w:p>
    <w:p w14:paraId="2421132C"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23E934B6"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Los tiempos de la transición energética dependerán de los resultados de esos ejes, de tal manera que se avance en conjunto con la transición exportadora, con una economía más diversificada, menos dependiente del petróleo y el carbón, y a la vez con sostenibilidad fiscal y macroeconómica.</w:t>
      </w:r>
    </w:p>
    <w:p w14:paraId="4497E6A9"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1278B23F" w14:textId="109A38FF"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Es claro que el principal avance con el que se cuenta es la alineación ministerial en la construcción de la Hoja de Ruta</w:t>
      </w:r>
      <w:r w:rsidR="00BA76C7">
        <w:rPr>
          <w:rFonts w:ascii="Work Sans Regular Roman" w:eastAsia="Calibri" w:hAnsi="Work Sans Regular Roman" w:cs="Times New Roman"/>
          <w:sz w:val="24"/>
          <w:szCs w:val="24"/>
        </w:rPr>
        <w:t xml:space="preserve"> – </w:t>
      </w:r>
      <w:proofErr w:type="spellStart"/>
      <w:r w:rsidR="00BA76C7">
        <w:rPr>
          <w:rFonts w:ascii="Work Sans Regular Roman" w:eastAsia="Calibri" w:hAnsi="Work Sans Regular Roman" w:cs="Times New Roman"/>
          <w:sz w:val="24"/>
          <w:szCs w:val="24"/>
        </w:rPr>
        <w:t>HdR</w:t>
      </w:r>
      <w:proofErr w:type="spellEnd"/>
      <w:r w:rsidRPr="00550E1B">
        <w:rPr>
          <w:rFonts w:ascii="Work Sans Regular Roman" w:eastAsia="Calibri" w:hAnsi="Work Sans Regular Roman" w:cs="Times New Roman"/>
          <w:sz w:val="24"/>
          <w:szCs w:val="24"/>
        </w:rPr>
        <w:t xml:space="preserve"> de la Transición Energética Justa, por lo que la meta fundamental es la descarbonización de la economía colombiana en el marco de un proceso de industrialización, pero para ello se está planteando diferentes escenarios y trayectorias, de tal forma que cada uno de estos tiene supuestos específicos (demanda y oferta global, entre otras condiciones.), acciones concretas y metas por sector.</w:t>
      </w:r>
    </w:p>
    <w:p w14:paraId="3B5ACDFD"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259D381B" w14:textId="2927815B"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El Ministerio de Minas y Energía avanza en la construcción de la Hoja de Ruta de la Transición Energética Justa, la cual está alineada con el Plan Nacional de Desarrollo y se fundamenta en 4 principios fundamentales: equidad, gradualidad, participación social vinculante y transición energética intensiva en conocimiento.</w:t>
      </w:r>
    </w:p>
    <w:p w14:paraId="1B7E2B71"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52555A67"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lastRenderedPageBreak/>
        <w:t>La gradualidad, soberanía y confiabilidad buscan sustituir progresivamente las fuentes energéticas fósiles por unas menos contaminantes como las renovables, con el fin de diversificar la matriz energética y asegurar la soberanía energética del país y la confiabilidad en el suministro de energía, ante las condiciones de una demanda nacional en crecimiento.</w:t>
      </w:r>
    </w:p>
    <w:p w14:paraId="2F79FEC8"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762FFE91" w14:textId="6B9A4F42"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Ante patrones climáticos extremos cada vez más intensos y frecuentes, magnificados por el cambio climático, se requiere propender por una matriz energética menos dependiente de las grandes hidroeléctricas, que a su vez cuide del agua. También hay que plantear trayectorias factibles, responsables y conscientes de los desarrollos globales para la transformación del modelo actual de exportaciones, centrado en energéticos fósiles (petróleo y carbón).</w:t>
      </w:r>
    </w:p>
    <w:p w14:paraId="2A45FE8F"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5A436D6B" w14:textId="5AD5AB2C"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Es primordial diversificar la demanda de combustibles fósiles promoviendo la electrificación y la descarbonización de la economía. De esta manera, la condición base de la TEJ es un auge en las inversiones y el despliegue de tecnologías para el aprovechamiento de energías limpias, la eficiencia energética y la descarbonización, lo que puede requerir una revisión y eventual flexibilización de la regulación para acelerar la entrada en operación de la generación con fuentes no convencionales de energía renovable </w:t>
      </w:r>
      <w:r w:rsidR="00BA76C7">
        <w:rPr>
          <w:rFonts w:ascii="Work Sans Regular Roman" w:eastAsia="Calibri" w:hAnsi="Work Sans Regular Roman" w:cs="Times New Roman"/>
          <w:sz w:val="24"/>
          <w:szCs w:val="24"/>
        </w:rPr>
        <w:t xml:space="preserve">– </w:t>
      </w:r>
      <w:r w:rsidRPr="00550E1B">
        <w:rPr>
          <w:rFonts w:ascii="Work Sans Regular Roman" w:eastAsia="Calibri" w:hAnsi="Work Sans Regular Roman" w:cs="Times New Roman"/>
          <w:sz w:val="24"/>
          <w:szCs w:val="24"/>
        </w:rPr>
        <w:t>FNCER, así como la subsecuente electrificación de distintos usos de consumo final. La gradualidad busca tener en cuenta los empleos y el impacto económico en las regiones dependientes de los energéticos fósiles para que nadie se quede atrás</w:t>
      </w:r>
    </w:p>
    <w:p w14:paraId="67C987EC"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397051B6" w14:textId="53D837FE"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En el momento se cuenta con un avance alto en la formulación de la Hoja de Ruta de la Transición Energética Justa, respecto del plan de trabajo interno. Actualmente</w:t>
      </w:r>
      <w:r w:rsidR="00BA76C7">
        <w:rPr>
          <w:rFonts w:ascii="Work Sans Regular Roman" w:eastAsia="Calibri" w:hAnsi="Work Sans Regular Roman" w:cs="Times New Roman"/>
          <w:sz w:val="24"/>
          <w:szCs w:val="24"/>
        </w:rPr>
        <w:t>,</w:t>
      </w:r>
      <w:r w:rsidRPr="00550E1B">
        <w:rPr>
          <w:rFonts w:ascii="Work Sans Regular Roman" w:eastAsia="Calibri" w:hAnsi="Work Sans Regular Roman" w:cs="Times New Roman"/>
          <w:sz w:val="24"/>
          <w:szCs w:val="24"/>
        </w:rPr>
        <w:t xml:space="preserve"> el equipo técnico avanza en las siguientes acciones:</w:t>
      </w:r>
    </w:p>
    <w:p w14:paraId="24FB78F4"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2C205937" w14:textId="77777777" w:rsidR="00BA76C7" w:rsidRDefault="00E722A3">
      <w:pPr>
        <w:pStyle w:val="Prrafodelista"/>
        <w:numPr>
          <w:ilvl w:val="0"/>
          <w:numId w:val="10"/>
        </w:numPr>
        <w:suppressAutoHyphens w:val="0"/>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sz w:val="24"/>
          <w:szCs w:val="24"/>
        </w:rPr>
        <w:t>Consolidación del diagnóstico.</w:t>
      </w:r>
    </w:p>
    <w:p w14:paraId="7BFFD70F" w14:textId="77777777" w:rsidR="00BA76C7" w:rsidRDefault="00E722A3">
      <w:pPr>
        <w:pStyle w:val="Prrafodelista"/>
        <w:numPr>
          <w:ilvl w:val="0"/>
          <w:numId w:val="10"/>
        </w:numPr>
        <w:suppressAutoHyphens w:val="0"/>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sz w:val="24"/>
          <w:szCs w:val="24"/>
        </w:rPr>
        <w:t>Diálogos nacionales vinculantes.</w:t>
      </w:r>
    </w:p>
    <w:p w14:paraId="584EDEDE" w14:textId="77777777" w:rsidR="00BA76C7" w:rsidRDefault="00E722A3">
      <w:pPr>
        <w:pStyle w:val="Prrafodelista"/>
        <w:numPr>
          <w:ilvl w:val="0"/>
          <w:numId w:val="10"/>
        </w:numPr>
        <w:suppressAutoHyphens w:val="0"/>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sz w:val="24"/>
          <w:szCs w:val="24"/>
        </w:rPr>
        <w:t>Avance en el diseño del modelo de Comunidades Energéticas.</w:t>
      </w:r>
    </w:p>
    <w:p w14:paraId="1C628119" w14:textId="77777777" w:rsidR="00BA76C7" w:rsidRDefault="00E722A3">
      <w:pPr>
        <w:pStyle w:val="Prrafodelista"/>
        <w:numPr>
          <w:ilvl w:val="0"/>
          <w:numId w:val="10"/>
        </w:numPr>
        <w:suppressAutoHyphens w:val="0"/>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sz w:val="24"/>
          <w:szCs w:val="24"/>
        </w:rPr>
        <w:t>Identificación de barreras y oportunidades que perciben las empresas del sector minero energético.</w:t>
      </w:r>
    </w:p>
    <w:p w14:paraId="0CAA1721" w14:textId="6F22FCC2" w:rsidR="00BA76C7" w:rsidRDefault="00E722A3">
      <w:pPr>
        <w:pStyle w:val="Prrafodelista"/>
        <w:numPr>
          <w:ilvl w:val="0"/>
          <w:numId w:val="10"/>
        </w:numPr>
        <w:suppressAutoHyphens w:val="0"/>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sz w:val="24"/>
          <w:szCs w:val="24"/>
        </w:rPr>
        <w:t xml:space="preserve">Construcción de los escenarios de TEJ, apoyados en herramientas matemáticas de simulación con el apoyo de la </w:t>
      </w:r>
      <w:r w:rsidR="00BA76C7">
        <w:rPr>
          <w:rFonts w:ascii="Work Sans Regular Roman" w:eastAsia="Calibri" w:hAnsi="Work Sans Regular Roman" w:cs="Times New Roman"/>
          <w:sz w:val="24"/>
          <w:szCs w:val="24"/>
        </w:rPr>
        <w:t xml:space="preserve">Unidad de Planeación Minero Energética – </w:t>
      </w:r>
      <w:r w:rsidRPr="00BA76C7">
        <w:rPr>
          <w:rFonts w:ascii="Work Sans Regular Roman" w:eastAsia="Calibri" w:hAnsi="Work Sans Regular Roman" w:cs="Times New Roman"/>
          <w:sz w:val="24"/>
          <w:szCs w:val="24"/>
        </w:rPr>
        <w:t>UPME.</w:t>
      </w:r>
    </w:p>
    <w:p w14:paraId="438F72EE" w14:textId="7D1E40D5" w:rsidR="00E722A3" w:rsidRPr="00BA76C7" w:rsidRDefault="00E722A3">
      <w:pPr>
        <w:pStyle w:val="Prrafodelista"/>
        <w:numPr>
          <w:ilvl w:val="0"/>
          <w:numId w:val="10"/>
        </w:numPr>
        <w:suppressAutoHyphens w:val="0"/>
        <w:spacing w:after="0" w:line="240" w:lineRule="auto"/>
        <w:jc w:val="both"/>
        <w:rPr>
          <w:rFonts w:ascii="Work Sans Regular Roman" w:eastAsia="Calibri" w:hAnsi="Work Sans Regular Roman" w:cs="Times New Roman"/>
          <w:sz w:val="24"/>
          <w:szCs w:val="24"/>
        </w:rPr>
      </w:pPr>
      <w:r w:rsidRPr="00BA76C7">
        <w:rPr>
          <w:rFonts w:ascii="Work Sans Regular Roman" w:eastAsia="Calibri" w:hAnsi="Work Sans Regular Roman" w:cs="Times New Roman"/>
          <w:sz w:val="24"/>
          <w:szCs w:val="24"/>
        </w:rPr>
        <w:t xml:space="preserve">Evaluación de alternativas para conformar un Instituto Nacional para la TEJ. </w:t>
      </w:r>
    </w:p>
    <w:p w14:paraId="7138FE08"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3276767D" w14:textId="4E85B8D0"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Se ha articulado el diagnóstico sobre la situación actual del sector minero-energético colombiano con iniciativas previstas en el </w:t>
      </w:r>
      <w:r w:rsidR="00BA76C7">
        <w:rPr>
          <w:rFonts w:ascii="Work Sans Regular Roman" w:eastAsia="Calibri" w:hAnsi="Work Sans Regular Roman" w:cs="Times New Roman"/>
          <w:sz w:val="24"/>
          <w:szCs w:val="24"/>
        </w:rPr>
        <w:t>P</w:t>
      </w:r>
      <w:r w:rsidRPr="00550E1B">
        <w:rPr>
          <w:rFonts w:ascii="Work Sans Regular Roman" w:eastAsia="Calibri" w:hAnsi="Work Sans Regular Roman" w:cs="Times New Roman"/>
          <w:sz w:val="24"/>
          <w:szCs w:val="24"/>
        </w:rPr>
        <w:t xml:space="preserve">lan de </w:t>
      </w:r>
      <w:r w:rsidR="00BA76C7">
        <w:rPr>
          <w:rFonts w:ascii="Work Sans Regular Roman" w:eastAsia="Calibri" w:hAnsi="Work Sans Regular Roman" w:cs="Times New Roman"/>
          <w:sz w:val="24"/>
          <w:szCs w:val="24"/>
        </w:rPr>
        <w:t>G</w:t>
      </w:r>
      <w:r w:rsidRPr="00550E1B">
        <w:rPr>
          <w:rFonts w:ascii="Work Sans Regular Roman" w:eastAsia="Calibri" w:hAnsi="Work Sans Regular Roman" w:cs="Times New Roman"/>
          <w:sz w:val="24"/>
          <w:szCs w:val="24"/>
        </w:rPr>
        <w:t>obierno como la creación de un grupo empresarial del sector eléctrico, con base en las empresas en las que la Nación ya posee una mayoría accionaria, así como el proceso de integración energética con América Latina y el Caribe.</w:t>
      </w:r>
    </w:p>
    <w:p w14:paraId="05AC5D60"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4086D5AF"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El documento de metodología para definir la hoja de ruta se puede encontrar en el siguiente en el siguiente enlace: </w:t>
      </w:r>
      <w:hyperlink r:id="rId13" w:history="1">
        <w:r w:rsidRPr="00550E1B">
          <w:rPr>
            <w:rFonts w:ascii="Work Sans Regular Roman" w:eastAsia="Calibri" w:hAnsi="Work Sans Regular Roman" w:cs="Times New Roman"/>
            <w:sz w:val="24"/>
            <w:szCs w:val="24"/>
            <w:u w:val="single"/>
          </w:rPr>
          <w:t>https://www.minenergia.gov.co/documents/10143/MetodologiaHojaRuta-TEJ-2023.pdf</w:t>
        </w:r>
      </w:hyperlink>
    </w:p>
    <w:p w14:paraId="0FC0820E"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674A00A4"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lastRenderedPageBreak/>
        <w:t>Adicionalmente se trabaja sobre planeación energética a largo plazo de oferta y demanda nacional (escenarios a 2050), que permitirán establecer las estrategias para desarrollar la TEJ incluyendo el pilar de gradualidad y soberanía.</w:t>
      </w:r>
    </w:p>
    <w:p w14:paraId="1D077E34"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43815693" w14:textId="6BD57FEA"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El análisis de escenarios constituye un ejercicio de planificación a largo plazo del sistema energético, y consiste en evaluar las posibles trayectorias que puede tomar tanto la oferta como la demanda de energía, y las implicaciones de estas trayectorias para el autoabastecimiento energético y los compromisos climáticos del país. Estos escenarios se están desarrollando en conjunto con la UPME, y de forma alineada con el Plan Energético Nacional </w:t>
      </w:r>
      <w:r w:rsidR="00BA76C7">
        <w:rPr>
          <w:rFonts w:ascii="Work Sans Regular Roman" w:eastAsia="Calibri" w:hAnsi="Work Sans Regular Roman" w:cs="Times New Roman"/>
          <w:sz w:val="24"/>
          <w:szCs w:val="24"/>
        </w:rPr>
        <w:t xml:space="preserve">– PEN </w:t>
      </w:r>
      <w:r w:rsidRPr="00550E1B">
        <w:rPr>
          <w:rFonts w:ascii="Work Sans Regular Roman" w:eastAsia="Calibri" w:hAnsi="Work Sans Regular Roman" w:cs="Times New Roman"/>
          <w:sz w:val="24"/>
          <w:szCs w:val="24"/>
        </w:rPr>
        <w:t>2022</w:t>
      </w:r>
      <w:r w:rsidR="00BA76C7">
        <w:rPr>
          <w:rFonts w:ascii="Work Sans Regular Roman" w:eastAsia="Calibri" w:hAnsi="Work Sans Regular Roman" w:cs="Times New Roman"/>
          <w:sz w:val="24"/>
          <w:szCs w:val="24"/>
        </w:rPr>
        <w:t xml:space="preserve"> – </w:t>
      </w:r>
      <w:r w:rsidRPr="00550E1B">
        <w:rPr>
          <w:rFonts w:ascii="Work Sans Regular Roman" w:eastAsia="Calibri" w:hAnsi="Work Sans Regular Roman" w:cs="Times New Roman"/>
          <w:sz w:val="24"/>
          <w:szCs w:val="24"/>
        </w:rPr>
        <w:t>2052.</w:t>
      </w:r>
    </w:p>
    <w:p w14:paraId="53E31C65"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4AC5241C" w14:textId="10F03ACE"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Estamos estimando la oferta de energéticos que tendrá el país disponible para la transición, tanto renovables como las FNCER, como no renovables, como los potenciales recursos off-shore de gas natural, con base en criterios de potencial técnico y económico. Para esto estamos tomando información de fuentes oficiales como la </w:t>
      </w:r>
      <w:r w:rsidR="00BA76C7">
        <w:rPr>
          <w:rFonts w:ascii="Work Sans Regular Roman" w:eastAsia="Calibri" w:hAnsi="Work Sans Regular Roman" w:cs="Times New Roman"/>
          <w:sz w:val="24"/>
          <w:szCs w:val="24"/>
        </w:rPr>
        <w:t>Agencia Nacional de Hidrocarburos</w:t>
      </w:r>
      <w:r w:rsidRPr="00550E1B">
        <w:rPr>
          <w:rFonts w:ascii="Work Sans Regular Roman" w:eastAsia="Calibri" w:hAnsi="Work Sans Regular Roman" w:cs="Times New Roman"/>
          <w:sz w:val="24"/>
          <w:szCs w:val="24"/>
        </w:rPr>
        <w:t xml:space="preserve">, </w:t>
      </w:r>
      <w:r w:rsidR="00BA76C7">
        <w:rPr>
          <w:rFonts w:ascii="Work Sans Regular Roman" w:eastAsia="Calibri" w:hAnsi="Work Sans Regular Roman" w:cs="Times New Roman"/>
          <w:sz w:val="24"/>
          <w:szCs w:val="24"/>
        </w:rPr>
        <w:t xml:space="preserve">Agencia Nacional de Minería – </w:t>
      </w:r>
      <w:r w:rsidRPr="00550E1B">
        <w:rPr>
          <w:rFonts w:ascii="Work Sans Regular Roman" w:eastAsia="Calibri" w:hAnsi="Work Sans Regular Roman" w:cs="Times New Roman"/>
          <w:sz w:val="24"/>
          <w:szCs w:val="24"/>
        </w:rPr>
        <w:t xml:space="preserve">ANM, </w:t>
      </w:r>
      <w:r w:rsidR="00BA76C7">
        <w:rPr>
          <w:rFonts w:ascii="Work Sans Regular Roman" w:eastAsia="Calibri" w:hAnsi="Work Sans Regular Roman" w:cs="Times New Roman"/>
          <w:sz w:val="24"/>
          <w:szCs w:val="24"/>
        </w:rPr>
        <w:t>Unidad de Planeación Minero Energética</w:t>
      </w:r>
      <w:r w:rsidRPr="00550E1B">
        <w:rPr>
          <w:rFonts w:ascii="Work Sans Regular Roman" w:eastAsia="Calibri" w:hAnsi="Work Sans Regular Roman" w:cs="Times New Roman"/>
          <w:sz w:val="24"/>
          <w:szCs w:val="24"/>
        </w:rPr>
        <w:t xml:space="preserve">, </w:t>
      </w:r>
      <w:r w:rsidR="00BA76C7">
        <w:rPr>
          <w:rFonts w:ascii="Work Sans Regular Roman" w:eastAsia="Calibri" w:hAnsi="Work Sans Regular Roman" w:cs="Times New Roman"/>
          <w:sz w:val="24"/>
          <w:szCs w:val="24"/>
        </w:rPr>
        <w:t xml:space="preserve">Servicio Geológico Colombiano – </w:t>
      </w:r>
      <w:r w:rsidRPr="00550E1B">
        <w:rPr>
          <w:rFonts w:ascii="Work Sans Regular Roman" w:eastAsia="Calibri" w:hAnsi="Work Sans Regular Roman" w:cs="Times New Roman"/>
          <w:sz w:val="24"/>
          <w:szCs w:val="24"/>
        </w:rPr>
        <w:t>SGC, Ecopetrol</w:t>
      </w:r>
      <w:r w:rsidR="00BA76C7">
        <w:rPr>
          <w:rFonts w:ascii="Work Sans Regular Roman" w:eastAsia="Calibri" w:hAnsi="Work Sans Regular Roman" w:cs="Times New Roman"/>
          <w:sz w:val="24"/>
          <w:szCs w:val="24"/>
        </w:rPr>
        <w:t xml:space="preserve"> S.A.</w:t>
      </w:r>
      <w:r w:rsidRPr="00550E1B">
        <w:rPr>
          <w:rFonts w:ascii="Work Sans Regular Roman" w:eastAsia="Calibri" w:hAnsi="Work Sans Regular Roman" w:cs="Times New Roman"/>
          <w:sz w:val="24"/>
          <w:szCs w:val="24"/>
        </w:rPr>
        <w:t xml:space="preserve">, etc., consultorías que se han realizado desde el ministerio, estudios recientes desde la academia y de estimaciones propias del equipo de transición energética justa para biomasa, </w:t>
      </w:r>
      <w:proofErr w:type="spellStart"/>
      <w:r w:rsidRPr="00550E1B">
        <w:rPr>
          <w:rFonts w:ascii="Work Sans Regular Roman" w:eastAsia="Calibri" w:hAnsi="Work Sans Regular Roman" w:cs="Times New Roman"/>
          <w:sz w:val="24"/>
          <w:szCs w:val="24"/>
        </w:rPr>
        <w:t>biogas</w:t>
      </w:r>
      <w:proofErr w:type="spellEnd"/>
      <w:r w:rsidRPr="00550E1B">
        <w:rPr>
          <w:rFonts w:ascii="Work Sans Regular Roman" w:eastAsia="Calibri" w:hAnsi="Work Sans Regular Roman" w:cs="Times New Roman"/>
          <w:sz w:val="24"/>
          <w:szCs w:val="24"/>
        </w:rPr>
        <w:t xml:space="preserve">, solar, eólica, como el potencial eólico off-shore y </w:t>
      </w:r>
      <w:proofErr w:type="spellStart"/>
      <w:r w:rsidRPr="00550E1B">
        <w:rPr>
          <w:rFonts w:ascii="Work Sans Regular Roman" w:eastAsia="Calibri" w:hAnsi="Work Sans Regular Roman" w:cs="Times New Roman"/>
          <w:sz w:val="24"/>
          <w:szCs w:val="24"/>
        </w:rPr>
        <w:t>hubs</w:t>
      </w:r>
      <w:proofErr w:type="spellEnd"/>
      <w:r w:rsidRPr="00550E1B">
        <w:rPr>
          <w:rFonts w:ascii="Work Sans Regular Roman" w:eastAsia="Calibri" w:hAnsi="Work Sans Regular Roman" w:cs="Times New Roman"/>
          <w:sz w:val="24"/>
          <w:szCs w:val="24"/>
        </w:rPr>
        <w:t xml:space="preserve"> de hidrógeno. </w:t>
      </w:r>
    </w:p>
    <w:p w14:paraId="080722B6"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14CB601C"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Para la oferta, partimos de los escenarios de demanda de energía base que estima la UPME y estamos considerando elementos de reindustrialización, abastecimiento de energéticos en regiones aisladas y población vulnerable, transición justa y consistente con la acción climática para sectores residencial, comercial y público, industria y transporte.</w:t>
      </w:r>
    </w:p>
    <w:p w14:paraId="5932CA4B"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0C877AF6"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De los distintos diálogos que hemos realizado, estamos contemplando los proyectos de transformación del sector minero energético que nos presentaron. </w:t>
      </w:r>
    </w:p>
    <w:p w14:paraId="4484EF6E"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3AE2346A" w14:textId="7D2C5961"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Ahora bien, con relación a los recursos naturales no renovables, con el </w:t>
      </w:r>
      <w:r w:rsidR="00BA76C7" w:rsidRPr="00550E1B">
        <w:rPr>
          <w:rFonts w:ascii="Work Sans Regular Roman" w:eastAsia="Calibri" w:hAnsi="Work Sans Regular Roman" w:cs="Times New Roman"/>
          <w:sz w:val="24"/>
          <w:szCs w:val="24"/>
        </w:rPr>
        <w:t>gas natural</w:t>
      </w:r>
      <w:r w:rsidRPr="00550E1B">
        <w:rPr>
          <w:rFonts w:ascii="Work Sans Regular Roman" w:eastAsia="Calibri" w:hAnsi="Work Sans Regular Roman" w:cs="Times New Roman"/>
          <w:sz w:val="24"/>
          <w:szCs w:val="24"/>
        </w:rPr>
        <w:t xml:space="preserve"> como actor relevante dentro del proceso de diversificación de la matriz energética se resalta la incorporación de recursos contingentes adicionales reportados para el 2022, volúmenes que se duplican con respecto al 2021, logrando obtener 5.8 Tera </w:t>
      </w:r>
      <w:r w:rsidR="00BA76C7">
        <w:rPr>
          <w:rFonts w:ascii="Work Sans Regular Roman" w:eastAsia="Calibri" w:hAnsi="Work Sans Regular Roman" w:cs="Times New Roman"/>
          <w:sz w:val="24"/>
          <w:szCs w:val="24"/>
        </w:rPr>
        <w:t>P</w:t>
      </w:r>
      <w:r w:rsidRPr="00550E1B">
        <w:rPr>
          <w:rFonts w:ascii="Work Sans Regular Roman" w:eastAsia="Calibri" w:hAnsi="Work Sans Regular Roman" w:cs="Times New Roman"/>
          <w:sz w:val="24"/>
          <w:szCs w:val="24"/>
        </w:rPr>
        <w:t xml:space="preserve">ies Cúbicos, por lo que las decisiones de política sectorial para el desarrollo de estos recursos se concentrarán en generar las condiciones adecuadas que permitan superar las contingencias y que con dichos recursos se logre brindar un acceso energético democrático. </w:t>
      </w:r>
    </w:p>
    <w:p w14:paraId="13019E1A"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401B0BE2"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Por otro lado, las decisiones de política pública referentes al desarrollo del petróleo están dirigidas al fortalecimiento de los proyectos de campos maduros, para lograr extender la vida útil de los yacimientos, incorporando mayores reservas con técnicas de recobro mejorado, que permitan extender la autosuficiencia energética. Para 2022 se logró una mayor incorporación de reservas de petróleo, aumentando en 2% el factor de recobro, logrando un 23%, lo que indica una efectividad en la implementación de la política enfocada a impulsar la incorporación de estas reservas y mantener los niveles de producción por esta técnica. </w:t>
      </w:r>
    </w:p>
    <w:p w14:paraId="68A3BF08"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6CE47F41" w14:textId="2DA72895" w:rsidR="00E722A3"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lastRenderedPageBreak/>
        <w:t xml:space="preserve">Así entonces las disposiciones del Gobierno </w:t>
      </w:r>
      <w:r w:rsidR="00CE6D70">
        <w:rPr>
          <w:rFonts w:ascii="Work Sans Regular Roman" w:eastAsia="Calibri" w:hAnsi="Work Sans Regular Roman" w:cs="Times New Roman"/>
          <w:sz w:val="24"/>
          <w:szCs w:val="24"/>
        </w:rPr>
        <w:t xml:space="preserve">nacional </w:t>
      </w:r>
      <w:r w:rsidRPr="00550E1B">
        <w:rPr>
          <w:rFonts w:ascii="Work Sans Regular Roman" w:eastAsia="Calibri" w:hAnsi="Work Sans Regular Roman" w:cs="Times New Roman"/>
          <w:sz w:val="24"/>
          <w:szCs w:val="24"/>
        </w:rPr>
        <w:t>se concentrarán en tener un desarrollo con mayor eficiencia para el cumplimiento de los compromisos exploratorios y de explotación de hidrocarburos derivados de los contratos vigentes, teniendo acciones concretas para la incorporación de los recursos contingentes actuales.</w:t>
      </w:r>
    </w:p>
    <w:p w14:paraId="00CC96E0" w14:textId="77777777" w:rsidR="00CE6D70" w:rsidRPr="00550E1B" w:rsidRDefault="00CE6D70" w:rsidP="00550E1B">
      <w:pPr>
        <w:spacing w:after="0" w:line="240" w:lineRule="auto"/>
        <w:jc w:val="both"/>
        <w:rPr>
          <w:rFonts w:ascii="Work Sans Regular Roman" w:eastAsia="Calibri" w:hAnsi="Work Sans Regular Roman" w:cs="Times New Roman"/>
          <w:sz w:val="24"/>
          <w:szCs w:val="24"/>
        </w:rPr>
      </w:pPr>
    </w:p>
    <w:p w14:paraId="5CDF20BF"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56C95C65" w14:textId="74192670" w:rsidR="00E722A3" w:rsidRPr="00CE6D70" w:rsidRDefault="00E722A3">
      <w:pPr>
        <w:pStyle w:val="Prrafodelista"/>
        <w:numPr>
          <w:ilvl w:val="0"/>
          <w:numId w:val="7"/>
        </w:numPr>
        <w:spacing w:after="0" w:line="240" w:lineRule="auto"/>
        <w:jc w:val="both"/>
        <w:rPr>
          <w:rFonts w:ascii="Work Sans Regular Roman" w:eastAsia="Calibri" w:hAnsi="Work Sans Regular Roman" w:cs="Times New Roman"/>
          <w:b/>
          <w:bCs/>
          <w:sz w:val="24"/>
          <w:szCs w:val="24"/>
        </w:rPr>
      </w:pPr>
      <w:r w:rsidRPr="00CE6D70">
        <w:rPr>
          <w:rFonts w:ascii="Work Sans Regular Roman" w:eastAsia="Calibri" w:hAnsi="Work Sans Regular Roman" w:cs="Times New Roman"/>
          <w:b/>
          <w:bCs/>
          <w:sz w:val="24"/>
          <w:szCs w:val="24"/>
        </w:rPr>
        <w:t>¿</w:t>
      </w:r>
      <w:r w:rsidR="00CE6D70" w:rsidRPr="00CE6D70">
        <w:rPr>
          <w:rFonts w:ascii="Work Sans Regular Roman" w:eastAsia="Calibri" w:hAnsi="Work Sans Regular Roman" w:cs="Times New Roman"/>
          <w:b/>
          <w:bCs/>
          <w:sz w:val="24"/>
          <w:szCs w:val="24"/>
        </w:rPr>
        <w:t>C</w:t>
      </w:r>
      <w:r w:rsidRPr="00CE6D70">
        <w:rPr>
          <w:rFonts w:ascii="Work Sans Regular Roman" w:eastAsia="Calibri" w:hAnsi="Work Sans Regular Roman" w:cs="Times New Roman"/>
          <w:b/>
          <w:bCs/>
          <w:sz w:val="24"/>
          <w:szCs w:val="24"/>
        </w:rPr>
        <w:t>ómo está preparado el Ministerio para atender el desabastecimiento que se presentaría en el Departamento de Amazonas teniendo en cuenta que está previsto este año el fenómeno del Niño?</w:t>
      </w:r>
    </w:p>
    <w:p w14:paraId="1C13B656" w14:textId="77777777" w:rsidR="00CE6D70" w:rsidRDefault="00CE6D70" w:rsidP="00550E1B">
      <w:pPr>
        <w:spacing w:after="0" w:line="240" w:lineRule="auto"/>
        <w:jc w:val="both"/>
        <w:rPr>
          <w:rFonts w:ascii="Work Sans Regular Roman" w:eastAsia="Calibri" w:hAnsi="Work Sans Regular Roman" w:cs="Times New Roman"/>
          <w:sz w:val="24"/>
          <w:szCs w:val="24"/>
        </w:rPr>
      </w:pPr>
    </w:p>
    <w:p w14:paraId="05EA6E9A" w14:textId="2F71066E" w:rsidR="00E722A3"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Desde el Ministerio de Minas y Energía venimos adelantando la revisión de la información, que es reportada por los agentes de la cadena de distribución de combustibles líquidos derivados de petróleo mediante el </w:t>
      </w:r>
      <w:r w:rsidR="00CE6D70">
        <w:rPr>
          <w:rFonts w:ascii="Work Sans Regular Roman" w:eastAsia="Calibri" w:hAnsi="Work Sans Regular Roman" w:cs="Times New Roman"/>
          <w:sz w:val="24"/>
          <w:szCs w:val="24"/>
        </w:rPr>
        <w:t>S</w:t>
      </w:r>
      <w:r w:rsidRPr="00550E1B">
        <w:rPr>
          <w:rFonts w:ascii="Work Sans Regular Roman" w:eastAsia="Calibri" w:hAnsi="Work Sans Regular Roman" w:cs="Times New Roman"/>
          <w:sz w:val="24"/>
          <w:szCs w:val="24"/>
        </w:rPr>
        <w:t xml:space="preserve">istema de </w:t>
      </w:r>
      <w:r w:rsidR="00CE6D70">
        <w:rPr>
          <w:rFonts w:ascii="Work Sans Regular Roman" w:eastAsia="Calibri" w:hAnsi="Work Sans Regular Roman" w:cs="Times New Roman"/>
          <w:sz w:val="24"/>
          <w:szCs w:val="24"/>
        </w:rPr>
        <w:t>I</w:t>
      </w:r>
      <w:r w:rsidRPr="00550E1B">
        <w:rPr>
          <w:rFonts w:ascii="Work Sans Regular Roman" w:eastAsia="Calibri" w:hAnsi="Work Sans Regular Roman" w:cs="Times New Roman"/>
          <w:sz w:val="24"/>
          <w:szCs w:val="24"/>
        </w:rPr>
        <w:t xml:space="preserve">nformación de </w:t>
      </w:r>
      <w:r w:rsidR="00CE6D70">
        <w:rPr>
          <w:rFonts w:ascii="Work Sans Regular Roman" w:eastAsia="Calibri" w:hAnsi="Work Sans Regular Roman" w:cs="Times New Roman"/>
          <w:sz w:val="24"/>
          <w:szCs w:val="24"/>
        </w:rPr>
        <w:t>C</w:t>
      </w:r>
      <w:r w:rsidRPr="00550E1B">
        <w:rPr>
          <w:rFonts w:ascii="Work Sans Regular Roman" w:eastAsia="Calibri" w:hAnsi="Work Sans Regular Roman" w:cs="Times New Roman"/>
          <w:sz w:val="24"/>
          <w:szCs w:val="24"/>
        </w:rPr>
        <w:t>ombustibles – SICOM, así como en el Comité de Abastecimiento de Combustibles que se realiza semanalmente, con el fin de reunir y evidenciar las necesidades que se evidencian de cara al previsto Fenómeno del Niño.</w:t>
      </w:r>
    </w:p>
    <w:p w14:paraId="1E10744B" w14:textId="77777777" w:rsidR="00CE6D70" w:rsidRPr="00550E1B" w:rsidRDefault="00CE6D70" w:rsidP="00550E1B">
      <w:pPr>
        <w:spacing w:after="0" w:line="240" w:lineRule="auto"/>
        <w:jc w:val="both"/>
        <w:rPr>
          <w:rFonts w:ascii="Work Sans Regular Roman" w:eastAsia="Calibri" w:hAnsi="Work Sans Regular Roman" w:cs="Times New Roman"/>
          <w:sz w:val="24"/>
          <w:szCs w:val="24"/>
        </w:rPr>
      </w:pPr>
    </w:p>
    <w:p w14:paraId="0DA1D09B" w14:textId="0CEEFE6C" w:rsidR="00E722A3" w:rsidRPr="00550E1B" w:rsidRDefault="00E722A3" w:rsidP="00550E1B">
      <w:pPr>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De igual forma, en articulación con la Oficina de Asuntos Regulatorios y Empresariales de este </w:t>
      </w:r>
      <w:r w:rsidR="00CE6D70">
        <w:rPr>
          <w:rFonts w:ascii="Work Sans Regular Roman" w:eastAsia="Calibri" w:hAnsi="Work Sans Regular Roman" w:cs="Times New Roman"/>
          <w:sz w:val="24"/>
          <w:szCs w:val="24"/>
        </w:rPr>
        <w:t>M</w:t>
      </w:r>
      <w:r w:rsidRPr="00550E1B">
        <w:rPr>
          <w:rFonts w:ascii="Work Sans Regular Roman" w:eastAsia="Calibri" w:hAnsi="Work Sans Regular Roman" w:cs="Times New Roman"/>
          <w:sz w:val="24"/>
          <w:szCs w:val="24"/>
        </w:rPr>
        <w:t xml:space="preserve">inisterio, la Dirección de Hidrocarburos viene revisando los requerimientos de combustibles que se necesitan para atender esta demanda adicional, así como los ajustes regulatorios para habilitar la entrega de este combustible adicional ante la situación de </w:t>
      </w:r>
      <w:r w:rsidR="00CE6D70">
        <w:rPr>
          <w:rFonts w:ascii="Work Sans Regular Roman" w:eastAsia="Calibri" w:hAnsi="Work Sans Regular Roman" w:cs="Times New Roman"/>
          <w:sz w:val="24"/>
          <w:szCs w:val="24"/>
        </w:rPr>
        <w:t>F</w:t>
      </w:r>
      <w:r w:rsidRPr="00550E1B">
        <w:rPr>
          <w:rFonts w:ascii="Work Sans Regular Roman" w:eastAsia="Calibri" w:hAnsi="Work Sans Regular Roman" w:cs="Times New Roman"/>
          <w:sz w:val="24"/>
          <w:szCs w:val="24"/>
        </w:rPr>
        <w:t>enómeno del Niño.</w:t>
      </w:r>
    </w:p>
    <w:p w14:paraId="5CD8B7B2" w14:textId="77777777" w:rsidR="00CE6D70" w:rsidRDefault="00CE6D70" w:rsidP="00550E1B">
      <w:pPr>
        <w:tabs>
          <w:tab w:val="left" w:pos="2970"/>
        </w:tabs>
        <w:spacing w:after="0" w:line="240" w:lineRule="auto"/>
        <w:jc w:val="both"/>
        <w:rPr>
          <w:rFonts w:ascii="Work Sans Regular Roman" w:eastAsia="Calibri" w:hAnsi="Work Sans Regular Roman" w:cs="Times New Roman"/>
          <w:sz w:val="24"/>
          <w:szCs w:val="24"/>
        </w:rPr>
      </w:pPr>
    </w:p>
    <w:p w14:paraId="13CC88CD" w14:textId="48965603" w:rsidR="00E722A3" w:rsidRPr="00550E1B" w:rsidRDefault="00E722A3" w:rsidP="00550E1B">
      <w:pPr>
        <w:tabs>
          <w:tab w:val="left" w:pos="2970"/>
        </w:tabs>
        <w:spacing w:after="0" w:line="240" w:lineRule="auto"/>
        <w:jc w:val="both"/>
        <w:rPr>
          <w:rFonts w:ascii="Work Sans Regular Roman" w:eastAsia="Calibri" w:hAnsi="Work Sans Regular Roman" w:cs="Times New Roman"/>
          <w:sz w:val="24"/>
          <w:szCs w:val="24"/>
        </w:rPr>
      </w:pPr>
      <w:r w:rsidRPr="00550E1B">
        <w:rPr>
          <w:rFonts w:ascii="Work Sans Regular Roman" w:eastAsia="Calibri" w:hAnsi="Work Sans Regular Roman" w:cs="Times New Roman"/>
          <w:sz w:val="24"/>
          <w:szCs w:val="24"/>
        </w:rPr>
        <w:t xml:space="preserve">Particularmente, para el </w:t>
      </w:r>
      <w:r w:rsidR="00CE6D70">
        <w:rPr>
          <w:rFonts w:ascii="Work Sans Regular Roman" w:eastAsia="Calibri" w:hAnsi="Work Sans Regular Roman" w:cs="Times New Roman"/>
          <w:sz w:val="24"/>
          <w:szCs w:val="24"/>
        </w:rPr>
        <w:t>d</w:t>
      </w:r>
      <w:r w:rsidRPr="00550E1B">
        <w:rPr>
          <w:rFonts w:ascii="Work Sans Regular Roman" w:eastAsia="Calibri" w:hAnsi="Work Sans Regular Roman" w:cs="Times New Roman"/>
          <w:sz w:val="24"/>
          <w:szCs w:val="24"/>
        </w:rPr>
        <w:t>epartamento de Amazonas, desde la Dirección de Hidrocarburos se viene adelantando un plan de trabajo articulado con los entes territoriales y con los agentes que distribuyen combustibles líquidos a este departamento, con el fin de revisar el plan de abastecimiento de combustibles establecido, así como un aumento de capacidad del distribuidor mayorista.</w:t>
      </w:r>
    </w:p>
    <w:p w14:paraId="28A8E6AF" w14:textId="4A6E91AC" w:rsidR="00E722A3" w:rsidRDefault="00E722A3"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0ED75DF6" w14:textId="77777777" w:rsidR="00CE6D70" w:rsidRPr="00550E1B" w:rsidRDefault="00CE6D70" w:rsidP="00550E1B">
      <w:pPr>
        <w:pBdr>
          <w:top w:val="nil"/>
          <w:left w:val="nil"/>
          <w:bottom w:val="nil"/>
          <w:right w:val="nil"/>
          <w:between w:val="nil"/>
        </w:pBdr>
        <w:spacing w:after="0" w:line="240" w:lineRule="auto"/>
        <w:jc w:val="both"/>
        <w:rPr>
          <w:rFonts w:ascii="Work Sans Regular Roman" w:eastAsia="Calibri" w:hAnsi="Work Sans Regular Roman" w:cstheme="minorHAnsi"/>
          <w:sz w:val="24"/>
          <w:szCs w:val="24"/>
        </w:rPr>
      </w:pPr>
    </w:p>
    <w:p w14:paraId="72A6829D" w14:textId="17182391" w:rsidR="00E722A3" w:rsidRPr="00550E1B" w:rsidRDefault="00E722A3">
      <w:pPr>
        <w:pStyle w:val="Prrafodelista"/>
        <w:numPr>
          <w:ilvl w:val="0"/>
          <w:numId w:val="7"/>
        </w:numPr>
        <w:spacing w:after="0" w:line="240" w:lineRule="auto"/>
        <w:ind w:hanging="436"/>
        <w:jc w:val="both"/>
        <w:rPr>
          <w:rFonts w:ascii="Work Sans Regular Roman" w:eastAsia="Work Sans Regular Roman" w:hAnsi="Work Sans Regular Roman" w:cstheme="minorHAnsi"/>
          <w:b/>
          <w:bCs/>
          <w:sz w:val="24"/>
          <w:szCs w:val="24"/>
        </w:rPr>
      </w:pPr>
      <w:r w:rsidRPr="00550E1B">
        <w:rPr>
          <w:rFonts w:ascii="Work Sans Regular Roman" w:eastAsia="Work Sans Regular Roman" w:hAnsi="Work Sans Regular Roman" w:cstheme="minorHAnsi"/>
          <w:b/>
          <w:bCs/>
          <w:sz w:val="24"/>
          <w:szCs w:val="24"/>
        </w:rPr>
        <w:t>El precio del combustible en el departamento del Amazonas, si bien es cierto este está subsidiado, sin embargo, los altos costos del flete para transportarlo desde Neiva hasta Leticia han significado que los consumidores en Leticia estén pagando uno de los combustibles más caros del país sin que se sienta el alivio que promete el subsidio en los bolsillos de los habitantes. ¿Qué medida tomará el gobierno con respecto a estas particularidades que afectan enormemente la región dada su ubicación geográfica y de difícil acceso?</w:t>
      </w:r>
    </w:p>
    <w:p w14:paraId="78EDC654" w14:textId="77777777" w:rsidR="00E722A3" w:rsidRPr="00550E1B" w:rsidRDefault="00E722A3"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p w14:paraId="54DE8A1D" w14:textId="546F3479" w:rsidR="00E722A3" w:rsidRPr="00550E1B" w:rsidRDefault="00E722A3" w:rsidP="00550E1B">
      <w:pPr>
        <w:spacing w:after="0" w:line="240" w:lineRule="auto"/>
        <w:ind w:right="51"/>
        <w:jc w:val="both"/>
        <w:rPr>
          <w:rFonts w:ascii="Work Sans Regular Roman" w:eastAsia="Work Sans Regular Roman" w:hAnsi="Work Sans Regular Roman" w:cstheme="minorHAnsi"/>
          <w:sz w:val="24"/>
          <w:szCs w:val="24"/>
        </w:rPr>
      </w:pPr>
      <w:r w:rsidRPr="00550E1B">
        <w:rPr>
          <w:rFonts w:ascii="Work Sans Regular Roman" w:eastAsia="Calibri" w:hAnsi="Work Sans Regular Roman" w:cstheme="minorHAnsi"/>
          <w:sz w:val="24"/>
          <w:szCs w:val="24"/>
        </w:rPr>
        <w:t xml:space="preserve">En relación con el marco normativo anteriormente mencionado, aclaramos que </w:t>
      </w:r>
      <w:r w:rsidRPr="00550E1B">
        <w:rPr>
          <w:rFonts w:ascii="Work Sans Regular Roman" w:eastAsia="Work Sans Regular Roman" w:hAnsi="Work Sans Regular Roman" w:cstheme="minorHAnsi"/>
          <w:sz w:val="24"/>
          <w:szCs w:val="24"/>
        </w:rPr>
        <w:t xml:space="preserve">dentro de las nuevas atribuciones otorgadas a la </w:t>
      </w:r>
      <w:r w:rsidR="00CE6D70">
        <w:rPr>
          <w:rFonts w:ascii="Work Sans Regular Roman" w:eastAsia="Work Sans Regular Roman" w:hAnsi="Work Sans Regular Roman" w:cstheme="minorHAnsi"/>
          <w:sz w:val="24"/>
          <w:szCs w:val="24"/>
        </w:rPr>
        <w:t>Comisión de Regulación de Energía y Gas</w:t>
      </w:r>
      <w:r w:rsidRPr="00550E1B">
        <w:rPr>
          <w:rFonts w:ascii="Work Sans Regular Roman" w:eastAsia="Work Sans Regular Roman" w:hAnsi="Work Sans Regular Roman" w:cstheme="minorHAnsi"/>
          <w:sz w:val="24"/>
          <w:szCs w:val="24"/>
        </w:rPr>
        <w:t xml:space="preserve">, de acuerdo con la </w:t>
      </w:r>
      <w:r w:rsidR="00CE6D70">
        <w:rPr>
          <w:rFonts w:ascii="Work Sans Regular Roman" w:eastAsia="Work Sans Regular Roman" w:hAnsi="Work Sans Regular Roman" w:cstheme="minorHAnsi"/>
          <w:sz w:val="24"/>
          <w:szCs w:val="24"/>
        </w:rPr>
        <w:t>R</w:t>
      </w:r>
      <w:r w:rsidRPr="00550E1B">
        <w:rPr>
          <w:rFonts w:ascii="Work Sans Regular Roman" w:eastAsia="Work Sans Regular Roman" w:hAnsi="Work Sans Regular Roman" w:cstheme="minorHAnsi"/>
          <w:sz w:val="24"/>
          <w:szCs w:val="24"/>
        </w:rPr>
        <w:t>esolución</w:t>
      </w:r>
      <w:r w:rsidR="00CE6D70">
        <w:rPr>
          <w:rFonts w:ascii="Work Sans Regular Roman" w:eastAsia="Work Sans Regular Roman" w:hAnsi="Work Sans Regular Roman" w:cstheme="minorHAnsi"/>
          <w:sz w:val="24"/>
          <w:szCs w:val="24"/>
        </w:rPr>
        <w:t xml:space="preserve"> No.</w:t>
      </w:r>
      <w:r w:rsidRPr="00550E1B">
        <w:rPr>
          <w:rFonts w:ascii="Work Sans Regular Roman" w:eastAsia="Work Sans Regular Roman" w:hAnsi="Work Sans Regular Roman" w:cstheme="minorHAnsi"/>
          <w:sz w:val="24"/>
          <w:szCs w:val="24"/>
        </w:rPr>
        <w:t xml:space="preserve"> 40193 del 2021, se encuentra la responsabilidad de revisar la estructura de precios y los costos de transporte relacionados con los combustibles líquidos. A partir de la entrada en vigor de este acto administrativo, la CREG se ha convertido en la entidad encargada de definir las tarifas y los márgenes asociados a la remuneración de toda la cadena de transporte, logística, comercialización y distribución de estos combustibles en el mercado regulado.</w:t>
      </w:r>
    </w:p>
    <w:p w14:paraId="78654F47" w14:textId="77777777" w:rsidR="00E722A3" w:rsidRPr="00550E1B" w:rsidRDefault="00E722A3" w:rsidP="00550E1B">
      <w:pPr>
        <w:spacing w:after="0" w:line="240" w:lineRule="auto"/>
        <w:ind w:right="51"/>
        <w:jc w:val="both"/>
        <w:rPr>
          <w:rFonts w:ascii="Work Sans Regular Roman" w:eastAsia="Work Sans Regular Roman" w:hAnsi="Work Sans Regular Roman" w:cstheme="minorHAnsi"/>
          <w:sz w:val="24"/>
          <w:szCs w:val="24"/>
        </w:rPr>
      </w:pPr>
    </w:p>
    <w:p w14:paraId="619F4157" w14:textId="0D18B34A" w:rsidR="00E722A3" w:rsidRPr="00550E1B" w:rsidRDefault="00E722A3" w:rsidP="00550E1B">
      <w:pPr>
        <w:spacing w:after="0" w:line="240" w:lineRule="auto"/>
        <w:jc w:val="both"/>
        <w:textAlignment w:val="baseline"/>
        <w:rPr>
          <w:rFonts w:ascii="Work Sans Regular Roman" w:eastAsia="Times New Roman" w:hAnsi="Work Sans Regular Roman" w:cstheme="minorHAnsi"/>
          <w:sz w:val="24"/>
          <w:szCs w:val="24"/>
          <w:lang w:eastAsia="es-MX"/>
        </w:rPr>
      </w:pPr>
      <w:r w:rsidRPr="00550E1B">
        <w:rPr>
          <w:rFonts w:ascii="Work Sans Regular Roman" w:eastAsia="Times New Roman" w:hAnsi="Work Sans Regular Roman" w:cstheme="minorHAnsi"/>
          <w:sz w:val="24"/>
          <w:szCs w:val="24"/>
          <w:lang w:val="es-MX" w:eastAsia="es-MX"/>
        </w:rPr>
        <w:t>Adicionalmente, actualmente, el Gobierno Nacional se encuentra en un proceso de ajuste de precios de los combustibles líquidos en el país con el propósito de reducir el efecto negativo en las finanzas públicas del Fondo de Estabilización de Precios de los Combustibles.</w:t>
      </w:r>
    </w:p>
    <w:p w14:paraId="359A8BD6" w14:textId="07A2C5E6" w:rsidR="00E722A3" w:rsidRPr="00550E1B" w:rsidRDefault="00E722A3" w:rsidP="00550E1B">
      <w:pPr>
        <w:spacing w:after="0" w:line="240" w:lineRule="auto"/>
        <w:jc w:val="both"/>
        <w:textAlignment w:val="baseline"/>
        <w:rPr>
          <w:rFonts w:ascii="Work Sans Regular Roman" w:eastAsia="Times New Roman" w:hAnsi="Work Sans Regular Roman" w:cstheme="minorHAnsi"/>
          <w:sz w:val="24"/>
          <w:szCs w:val="24"/>
          <w:lang w:eastAsia="es-MX"/>
        </w:rPr>
      </w:pPr>
    </w:p>
    <w:p w14:paraId="04F3536F" w14:textId="798CB836" w:rsidR="00E722A3" w:rsidRPr="00550E1B" w:rsidRDefault="00E722A3" w:rsidP="00550E1B">
      <w:pPr>
        <w:spacing w:after="0" w:line="240" w:lineRule="auto"/>
        <w:jc w:val="both"/>
        <w:textAlignment w:val="baseline"/>
        <w:rPr>
          <w:rFonts w:ascii="Work Sans Regular Roman" w:eastAsia="Times New Roman" w:hAnsi="Work Sans Regular Roman" w:cstheme="minorHAnsi"/>
          <w:sz w:val="24"/>
          <w:szCs w:val="24"/>
          <w:lang w:eastAsia="es-MX"/>
        </w:rPr>
      </w:pPr>
      <w:r w:rsidRPr="00550E1B">
        <w:rPr>
          <w:rFonts w:ascii="Work Sans Regular Roman" w:eastAsia="Times New Roman" w:hAnsi="Work Sans Regular Roman" w:cstheme="minorHAnsi"/>
          <w:sz w:val="24"/>
          <w:szCs w:val="24"/>
          <w:lang w:val="es-MX" w:eastAsia="es-MX"/>
        </w:rPr>
        <w:t>En general, el gasto público que se asigna al pago de menores precios de los combustibles fósiles en el mercado doméstico se distribuye en mayor medida a los hogares con mayores ingresos del país y por tanto es inequitativo. No hay duda de que la reducción del subsidio generalizado y regresivo contribuye a organizar mejor el gasto social que es prioridad en el Plan de Desarrollo 2022</w:t>
      </w:r>
      <w:r w:rsidR="00CE6D70">
        <w:rPr>
          <w:rFonts w:ascii="Work Sans Regular Roman" w:eastAsia="Times New Roman" w:hAnsi="Work Sans Regular Roman" w:cstheme="minorHAnsi"/>
          <w:sz w:val="24"/>
          <w:szCs w:val="24"/>
          <w:lang w:val="es-MX" w:eastAsia="es-MX"/>
        </w:rPr>
        <w:t xml:space="preserve"> – </w:t>
      </w:r>
      <w:r w:rsidRPr="00550E1B">
        <w:rPr>
          <w:rFonts w:ascii="Work Sans Regular Roman" w:eastAsia="Times New Roman" w:hAnsi="Work Sans Regular Roman" w:cstheme="minorHAnsi"/>
          <w:sz w:val="24"/>
          <w:szCs w:val="24"/>
          <w:lang w:val="es-MX" w:eastAsia="es-MX"/>
        </w:rPr>
        <w:t>2026 “</w:t>
      </w:r>
      <w:r w:rsidRPr="00CE6D70">
        <w:rPr>
          <w:rFonts w:ascii="Work Sans Regular Roman" w:eastAsia="Times New Roman" w:hAnsi="Work Sans Regular Roman" w:cstheme="minorHAnsi"/>
          <w:i/>
          <w:iCs/>
          <w:sz w:val="24"/>
          <w:szCs w:val="24"/>
          <w:lang w:val="es-MX" w:eastAsia="es-MX"/>
        </w:rPr>
        <w:t>Colombia Potencia Mundial de la Vida</w:t>
      </w:r>
      <w:r w:rsidRPr="00550E1B">
        <w:rPr>
          <w:rFonts w:ascii="Work Sans Regular Roman" w:eastAsia="Times New Roman" w:hAnsi="Work Sans Regular Roman" w:cstheme="minorHAnsi"/>
          <w:sz w:val="24"/>
          <w:szCs w:val="24"/>
          <w:lang w:val="es-MX" w:eastAsia="es-MX"/>
        </w:rPr>
        <w:t>” recientemente aprobado.</w:t>
      </w:r>
    </w:p>
    <w:p w14:paraId="05D46FC4" w14:textId="2683F9DD" w:rsidR="00E722A3" w:rsidRPr="00550E1B" w:rsidRDefault="00E722A3" w:rsidP="00550E1B">
      <w:pPr>
        <w:spacing w:after="0" w:line="240" w:lineRule="auto"/>
        <w:jc w:val="both"/>
        <w:textAlignment w:val="baseline"/>
        <w:rPr>
          <w:rFonts w:ascii="Work Sans Regular Roman" w:eastAsia="Times New Roman" w:hAnsi="Work Sans Regular Roman" w:cstheme="minorHAnsi"/>
          <w:sz w:val="24"/>
          <w:szCs w:val="24"/>
          <w:lang w:eastAsia="es-MX"/>
        </w:rPr>
      </w:pPr>
    </w:p>
    <w:p w14:paraId="41D06CA6" w14:textId="3C062FFA" w:rsidR="00E722A3" w:rsidRPr="00550E1B" w:rsidRDefault="00E722A3" w:rsidP="00550E1B">
      <w:pPr>
        <w:spacing w:after="0" w:line="240" w:lineRule="auto"/>
        <w:jc w:val="both"/>
        <w:textAlignment w:val="baseline"/>
        <w:rPr>
          <w:rFonts w:ascii="Work Sans Regular Roman" w:eastAsia="Times New Roman" w:hAnsi="Work Sans Regular Roman" w:cstheme="minorHAnsi"/>
          <w:sz w:val="24"/>
          <w:szCs w:val="24"/>
          <w:lang w:eastAsia="es-MX"/>
        </w:rPr>
      </w:pPr>
      <w:r w:rsidRPr="00550E1B">
        <w:rPr>
          <w:rFonts w:ascii="Work Sans Regular Roman" w:eastAsia="Times New Roman" w:hAnsi="Work Sans Regular Roman" w:cstheme="minorHAnsi"/>
          <w:sz w:val="24"/>
          <w:szCs w:val="24"/>
          <w:lang w:val="es-MX" w:eastAsia="es-MX"/>
        </w:rPr>
        <w:t>Además, los subsidios a los combustibles desincentivan la transición energética y la diversificación de la economía.</w:t>
      </w:r>
    </w:p>
    <w:p w14:paraId="73E4E9DA" w14:textId="546B5FC3" w:rsidR="00E722A3" w:rsidRPr="00550E1B" w:rsidRDefault="00E722A3" w:rsidP="00550E1B">
      <w:pPr>
        <w:spacing w:after="0" w:line="240" w:lineRule="auto"/>
        <w:jc w:val="both"/>
        <w:textAlignment w:val="baseline"/>
        <w:rPr>
          <w:rFonts w:ascii="Work Sans Regular Roman" w:eastAsia="Times New Roman" w:hAnsi="Work Sans Regular Roman" w:cstheme="minorHAnsi"/>
          <w:sz w:val="24"/>
          <w:szCs w:val="24"/>
          <w:lang w:eastAsia="es-MX"/>
        </w:rPr>
      </w:pPr>
    </w:p>
    <w:p w14:paraId="2FEC5053" w14:textId="28830F41" w:rsidR="00E722A3" w:rsidRPr="00550E1B" w:rsidRDefault="00E722A3" w:rsidP="00550E1B">
      <w:pPr>
        <w:spacing w:after="0" w:line="240" w:lineRule="auto"/>
        <w:jc w:val="both"/>
        <w:textAlignment w:val="baseline"/>
        <w:rPr>
          <w:rFonts w:ascii="Work Sans Regular Roman" w:eastAsia="Times New Roman" w:hAnsi="Work Sans Regular Roman" w:cstheme="minorHAnsi"/>
          <w:sz w:val="24"/>
          <w:szCs w:val="24"/>
          <w:lang w:val="es-MX" w:eastAsia="es-MX"/>
        </w:rPr>
      </w:pPr>
      <w:r w:rsidRPr="00550E1B">
        <w:rPr>
          <w:rFonts w:ascii="Work Sans Regular Roman" w:eastAsia="Times New Roman" w:hAnsi="Work Sans Regular Roman" w:cstheme="minorHAnsi"/>
          <w:sz w:val="24"/>
          <w:szCs w:val="24"/>
          <w:lang w:val="es-MX" w:eastAsia="es-MX"/>
        </w:rPr>
        <w:t xml:space="preserve">Con esto presente, en el marco de este proceso el Gobierno </w:t>
      </w:r>
      <w:r w:rsidR="00CE6D70">
        <w:rPr>
          <w:rFonts w:ascii="Work Sans Regular Roman" w:eastAsia="Times New Roman" w:hAnsi="Work Sans Regular Roman" w:cstheme="minorHAnsi"/>
          <w:sz w:val="24"/>
          <w:szCs w:val="24"/>
          <w:lang w:val="es-MX" w:eastAsia="es-MX"/>
        </w:rPr>
        <w:t>n</w:t>
      </w:r>
      <w:r w:rsidRPr="00550E1B">
        <w:rPr>
          <w:rFonts w:ascii="Work Sans Regular Roman" w:eastAsia="Times New Roman" w:hAnsi="Work Sans Regular Roman" w:cstheme="minorHAnsi"/>
          <w:sz w:val="24"/>
          <w:szCs w:val="24"/>
          <w:lang w:val="es-MX" w:eastAsia="es-MX"/>
        </w:rPr>
        <w:t>acional en cabeza del Ministerio de Minas y Energía, junto al Ministerio de Hacienda y Crédito Público y Ecopetrol, trabajan en mesas técnicas para revisar las variables y la formulación vigente, con el objetivo de focalizar el subsidio a los combustibles y contribuir de manera fiscalmente responsable a la gradualidad del proceso de la mano de una estrategia transparente en el manejo de precios de los subsidios de los combustibles. Se resalta, que todas estas propuestas se encuentran siendo evaluadas por los equipos de las entidades descritas.</w:t>
      </w:r>
    </w:p>
    <w:p w14:paraId="14BE4418" w14:textId="77777777" w:rsidR="00E722A3" w:rsidRPr="00550E1B" w:rsidRDefault="00E722A3" w:rsidP="00550E1B">
      <w:pPr>
        <w:spacing w:after="0" w:line="240" w:lineRule="auto"/>
        <w:jc w:val="both"/>
        <w:textAlignment w:val="baseline"/>
        <w:rPr>
          <w:rFonts w:ascii="Work Sans Regular Roman" w:eastAsia="Times New Roman" w:hAnsi="Work Sans Regular Roman" w:cstheme="minorHAnsi"/>
          <w:sz w:val="24"/>
          <w:szCs w:val="24"/>
          <w:lang w:val="es-MX" w:eastAsia="es-MX"/>
        </w:rPr>
      </w:pPr>
    </w:p>
    <w:p w14:paraId="5BBC4EDB" w14:textId="77777777" w:rsidR="00E722A3" w:rsidRPr="00550E1B" w:rsidRDefault="00E722A3" w:rsidP="00550E1B">
      <w:pPr>
        <w:spacing w:after="0" w:line="240" w:lineRule="auto"/>
        <w:jc w:val="both"/>
        <w:textAlignment w:val="baseline"/>
        <w:rPr>
          <w:rFonts w:ascii="Work Sans Regular Roman" w:eastAsia="Times New Roman" w:hAnsi="Work Sans Regular Roman" w:cstheme="minorHAnsi"/>
          <w:sz w:val="24"/>
          <w:szCs w:val="24"/>
          <w:lang w:val="es-MX" w:eastAsia="es-MX"/>
        </w:rPr>
      </w:pPr>
    </w:p>
    <w:p w14:paraId="14CA89A8" w14:textId="1DDF0BB8" w:rsidR="00E722A3" w:rsidRPr="00CE6D70" w:rsidRDefault="00E722A3">
      <w:pPr>
        <w:pStyle w:val="Prrafodelista"/>
        <w:numPr>
          <w:ilvl w:val="0"/>
          <w:numId w:val="7"/>
        </w:numPr>
        <w:spacing w:after="0" w:line="240" w:lineRule="auto"/>
        <w:ind w:hanging="436"/>
        <w:jc w:val="both"/>
        <w:rPr>
          <w:rFonts w:ascii="Work Sans Regular Roman" w:eastAsia="Work Sans Regular Roman" w:hAnsi="Work Sans Regular Roman" w:cstheme="minorHAnsi"/>
          <w:b/>
          <w:bCs/>
          <w:sz w:val="24"/>
          <w:szCs w:val="24"/>
        </w:rPr>
      </w:pPr>
      <w:r w:rsidRPr="00CE6D70">
        <w:rPr>
          <w:rFonts w:ascii="Work Sans Regular Roman" w:eastAsia="Work Sans Regular Roman" w:hAnsi="Work Sans Regular Roman" w:cstheme="minorHAnsi"/>
          <w:b/>
          <w:bCs/>
          <w:sz w:val="24"/>
          <w:szCs w:val="24"/>
        </w:rPr>
        <w:t>¿Cuál es la estructura de precios de la gasolina y el ACPM para la planta de Leticia actualmente?</w:t>
      </w:r>
    </w:p>
    <w:p w14:paraId="390FA98E" w14:textId="77777777" w:rsidR="00E722A3" w:rsidRPr="00550E1B" w:rsidRDefault="00E722A3" w:rsidP="00550E1B">
      <w:pPr>
        <w:spacing w:after="0" w:line="240" w:lineRule="auto"/>
        <w:ind w:right="51"/>
        <w:jc w:val="both"/>
        <w:rPr>
          <w:rFonts w:ascii="Work Sans Regular Roman" w:eastAsia="Work Sans Regular Roman" w:hAnsi="Work Sans Regular Roman" w:cstheme="minorHAnsi"/>
          <w:sz w:val="24"/>
          <w:szCs w:val="24"/>
        </w:rPr>
      </w:pPr>
    </w:p>
    <w:p w14:paraId="28E876EB" w14:textId="1ADBE3FC" w:rsidR="00E722A3" w:rsidRDefault="00E722A3"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Conforme al marco normativo, los precios de los combustibles en Colombia, en particular de la gasolina corriente y del ACPM (Diésel), se encuentran regulados en cabeza de las disposiciones que establece el Ministerio de Minas y Energía y el Ministerio de Hacienda y Crédito Público. Así, mismo a lo largo del tiempo este Ministerio ha establecido regularmente los valores de los diferentes componentes que hacen parte de la estructura de precios de los combustibles.</w:t>
      </w:r>
    </w:p>
    <w:p w14:paraId="00C5F332" w14:textId="77777777" w:rsidR="00CE6D70" w:rsidRPr="00550E1B" w:rsidRDefault="00CE6D70"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p w14:paraId="7926D009" w14:textId="77777777" w:rsidR="00E722A3" w:rsidRPr="00550E1B" w:rsidRDefault="00E722A3"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Al estar regulados, la estructura de precios de estos combustibles debe ser acogida por todos los agentes de la cadena de distribución, incluidos los distribuidores minoristas.</w:t>
      </w:r>
    </w:p>
    <w:p w14:paraId="6107F216" w14:textId="77777777" w:rsidR="00E722A3" w:rsidRPr="00550E1B" w:rsidRDefault="00E722A3"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p w14:paraId="08DF29E9" w14:textId="48DA21AC" w:rsidR="00E722A3" w:rsidRPr="00550E1B" w:rsidRDefault="00E722A3"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De manera ilustrativa e indicativa, a continuación, en la</w:t>
      </w:r>
      <w:r w:rsidR="00CE6D70">
        <w:rPr>
          <w:rFonts w:ascii="Work Sans Regular Roman" w:eastAsia="Work Sans Regular Roman" w:hAnsi="Work Sans Regular Roman" w:cstheme="minorHAnsi"/>
          <w:sz w:val="24"/>
          <w:szCs w:val="24"/>
        </w:rPr>
        <w:t>s</w:t>
      </w:r>
      <w:r w:rsidRPr="00550E1B">
        <w:rPr>
          <w:rFonts w:ascii="Work Sans Regular Roman" w:eastAsia="Work Sans Regular Roman" w:hAnsi="Work Sans Regular Roman" w:cstheme="minorHAnsi"/>
          <w:sz w:val="24"/>
          <w:szCs w:val="24"/>
        </w:rPr>
        <w:t xml:space="preserve"> </w:t>
      </w:r>
      <w:r w:rsidR="00CE6D70">
        <w:rPr>
          <w:rFonts w:ascii="Work Sans Regular Roman" w:eastAsia="Work Sans Regular Roman" w:hAnsi="Work Sans Regular Roman" w:cstheme="minorHAnsi"/>
          <w:sz w:val="24"/>
          <w:szCs w:val="24"/>
        </w:rPr>
        <w:t>t</w:t>
      </w:r>
      <w:r w:rsidRPr="00550E1B">
        <w:rPr>
          <w:rFonts w:ascii="Work Sans Regular Roman" w:eastAsia="Work Sans Regular Roman" w:hAnsi="Work Sans Regular Roman" w:cstheme="minorHAnsi"/>
          <w:sz w:val="24"/>
          <w:szCs w:val="24"/>
        </w:rPr>
        <w:t>abla</w:t>
      </w:r>
      <w:r w:rsidR="00CE6D70">
        <w:rPr>
          <w:rFonts w:ascii="Work Sans Regular Roman" w:eastAsia="Work Sans Regular Roman" w:hAnsi="Work Sans Regular Roman" w:cstheme="minorHAnsi"/>
          <w:sz w:val="24"/>
          <w:szCs w:val="24"/>
        </w:rPr>
        <w:t>s</w:t>
      </w:r>
      <w:r w:rsidRPr="00550E1B">
        <w:rPr>
          <w:rFonts w:ascii="Work Sans Regular Roman" w:eastAsia="Work Sans Regular Roman" w:hAnsi="Work Sans Regular Roman" w:cstheme="minorHAnsi"/>
          <w:sz w:val="24"/>
          <w:szCs w:val="24"/>
        </w:rPr>
        <w:t xml:space="preserve"> se listan las variables más relevantes que definen la estructura de precios de referencia para la venta al público de los </w:t>
      </w:r>
      <w:r w:rsidR="00CE6D70" w:rsidRPr="00550E1B">
        <w:rPr>
          <w:rFonts w:ascii="Work Sans Regular Roman" w:eastAsia="Work Sans Regular Roman" w:hAnsi="Work Sans Regular Roman" w:cstheme="minorHAnsi"/>
          <w:sz w:val="24"/>
          <w:szCs w:val="24"/>
        </w:rPr>
        <w:t xml:space="preserve">combustibles gasolina motor corriente oxigenada </w:t>
      </w:r>
      <w:r w:rsidRPr="00550E1B">
        <w:rPr>
          <w:rFonts w:ascii="Work Sans Regular Roman" w:eastAsia="Work Sans Regular Roman" w:hAnsi="Work Sans Regular Roman" w:cstheme="minorHAnsi"/>
          <w:sz w:val="24"/>
          <w:szCs w:val="24"/>
        </w:rPr>
        <w:t>y ACPM con mezcla de biocombustible, en Leticia.</w:t>
      </w:r>
    </w:p>
    <w:p w14:paraId="26DB5885" w14:textId="77777777" w:rsidR="00E722A3" w:rsidRPr="00550E1B" w:rsidRDefault="00E722A3" w:rsidP="00550E1B">
      <w:pPr>
        <w:spacing w:after="0" w:line="240" w:lineRule="auto"/>
        <w:jc w:val="both"/>
        <w:rPr>
          <w:rFonts w:ascii="Work Sans Regular Roman" w:eastAsia="Calibri" w:hAnsi="Work Sans Regular Roman" w:cs="Times New Roman"/>
          <w:sz w:val="24"/>
          <w:szCs w:val="24"/>
        </w:rPr>
      </w:pPr>
    </w:p>
    <w:p w14:paraId="045EA0DC" w14:textId="2CFA7576" w:rsidR="00CE6D70" w:rsidRPr="00CE6D70" w:rsidRDefault="00EE3A66" w:rsidP="00CE6D70">
      <w:pPr>
        <w:spacing w:after="0" w:line="240" w:lineRule="auto"/>
        <w:jc w:val="center"/>
        <w:rPr>
          <w:rFonts w:ascii="Work Sans Regular Roman" w:eastAsia="Calibri" w:hAnsi="Work Sans Regular Roman" w:cs="Times New Roman"/>
          <w:sz w:val="24"/>
          <w:szCs w:val="24"/>
        </w:rPr>
      </w:pPr>
      <w:r w:rsidRPr="00550E1B">
        <w:rPr>
          <w:rFonts w:ascii="Work Sans Regular Roman" w:eastAsia="Calibri" w:hAnsi="Work Sans Regular Roman" w:cs="Calibri"/>
          <w:noProof/>
          <w:sz w:val="24"/>
          <w:szCs w:val="24"/>
          <w:lang w:eastAsia="es-CO"/>
        </w:rPr>
        <w:lastRenderedPageBreak/>
        <w:drawing>
          <wp:inline distT="0" distB="0" distL="0" distR="0" wp14:anchorId="2B8E6D34" wp14:editId="5B98F519">
            <wp:extent cx="3249000" cy="3420000"/>
            <wp:effectExtent l="0" t="0" r="2540" b="0"/>
            <wp:docPr id="1989501034" name="Imagen 198950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9000" cy="3420000"/>
                    </a:xfrm>
                    <a:prstGeom prst="rect">
                      <a:avLst/>
                    </a:prstGeom>
                    <a:noFill/>
                    <a:ln>
                      <a:noFill/>
                    </a:ln>
                  </pic:spPr>
                </pic:pic>
              </a:graphicData>
            </a:graphic>
          </wp:inline>
        </w:drawing>
      </w:r>
    </w:p>
    <w:p w14:paraId="147AD1ED" w14:textId="6B952454" w:rsidR="00F87917" w:rsidRDefault="00EE3A66" w:rsidP="00CE6D70">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sz w:val="20"/>
          <w:szCs w:val="20"/>
        </w:rPr>
      </w:pPr>
      <w:r w:rsidRPr="00CE6D70">
        <w:rPr>
          <w:rFonts w:ascii="Work Sans Regular Roman" w:eastAsia="Work Sans Regular Roman" w:hAnsi="Work Sans Regular Roman" w:cs="Work Sans Regular Roman"/>
          <w:b/>
          <w:bCs/>
          <w:sz w:val="20"/>
          <w:szCs w:val="20"/>
        </w:rPr>
        <w:t xml:space="preserve">Fuente: </w:t>
      </w:r>
      <w:r w:rsidRPr="00CE6D70">
        <w:rPr>
          <w:rFonts w:ascii="Work Sans Regular Roman" w:eastAsia="Work Sans Regular Roman" w:hAnsi="Work Sans Regular Roman" w:cs="Work Sans Regular Roman"/>
          <w:sz w:val="20"/>
          <w:szCs w:val="20"/>
        </w:rPr>
        <w:t>Dirección de Hidrocarburos Ministerio de Minas y Energía</w:t>
      </w:r>
    </w:p>
    <w:p w14:paraId="539FA2ED" w14:textId="77777777" w:rsidR="00CE6D70" w:rsidRPr="00CE6D70" w:rsidRDefault="00CE6D70" w:rsidP="00CE6D70">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sz w:val="20"/>
          <w:szCs w:val="20"/>
        </w:rPr>
      </w:pPr>
    </w:p>
    <w:p w14:paraId="52984667" w14:textId="1F78FC26" w:rsidR="00CE6D70" w:rsidRPr="00CE6D70" w:rsidRDefault="00EE3A66" w:rsidP="00CE6D70">
      <w:pPr>
        <w:tabs>
          <w:tab w:val="left" w:pos="4155"/>
        </w:tabs>
        <w:spacing w:after="0" w:line="240" w:lineRule="auto"/>
        <w:ind w:right="40"/>
        <w:jc w:val="center"/>
        <w:rPr>
          <w:rFonts w:ascii="Work Sans Regular Roman" w:eastAsia="Times New Roman" w:hAnsi="Work Sans Regular Roman" w:cstheme="minorHAnsi"/>
          <w:sz w:val="24"/>
          <w:szCs w:val="24"/>
          <w:lang w:eastAsia="es-ES"/>
        </w:rPr>
      </w:pPr>
      <w:r w:rsidRPr="00550E1B">
        <w:rPr>
          <w:rFonts w:ascii="Work Sans Regular Roman" w:eastAsia="Calibri" w:hAnsi="Work Sans Regular Roman" w:cs="Calibri"/>
          <w:noProof/>
          <w:sz w:val="24"/>
          <w:szCs w:val="24"/>
          <w:lang w:eastAsia="es-CO"/>
        </w:rPr>
        <w:drawing>
          <wp:inline distT="0" distB="0" distL="0" distR="0" wp14:anchorId="620A57E6" wp14:editId="37B16EF5">
            <wp:extent cx="3240000" cy="3420000"/>
            <wp:effectExtent l="0" t="0" r="0" b="0"/>
            <wp:docPr id="24591848" name="Imagen 245918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40000" cy="3420000"/>
                    </a:xfrm>
                    <a:prstGeom prst="rect">
                      <a:avLst/>
                    </a:prstGeom>
                    <a:noFill/>
                    <a:ln>
                      <a:noFill/>
                    </a:ln>
                  </pic:spPr>
                </pic:pic>
              </a:graphicData>
            </a:graphic>
          </wp:inline>
        </w:drawing>
      </w:r>
      <w:bookmarkEnd w:id="2"/>
    </w:p>
    <w:p w14:paraId="410AC584" w14:textId="1424608A" w:rsidR="00EE3A66" w:rsidRPr="00CE6D70" w:rsidRDefault="00EE3A66" w:rsidP="00CE6D70">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sz w:val="20"/>
          <w:szCs w:val="20"/>
        </w:rPr>
      </w:pPr>
      <w:r w:rsidRPr="00CE6D70">
        <w:rPr>
          <w:rFonts w:ascii="Work Sans Regular Roman" w:eastAsia="Work Sans Regular Roman" w:hAnsi="Work Sans Regular Roman" w:cs="Work Sans Regular Roman"/>
          <w:b/>
          <w:bCs/>
          <w:sz w:val="20"/>
          <w:szCs w:val="20"/>
        </w:rPr>
        <w:t>Fuente:</w:t>
      </w:r>
      <w:r w:rsidRPr="00CE6D70">
        <w:rPr>
          <w:rFonts w:ascii="Work Sans Regular Roman" w:eastAsia="Work Sans Regular Roman" w:hAnsi="Work Sans Regular Roman" w:cs="Work Sans Regular Roman"/>
          <w:sz w:val="20"/>
          <w:szCs w:val="20"/>
        </w:rPr>
        <w:t xml:space="preserve"> Dirección de Hidrocarburos Ministerio de Minas y Energía</w:t>
      </w:r>
    </w:p>
    <w:p w14:paraId="55482AEC" w14:textId="77777777" w:rsidR="00EE3A66" w:rsidRPr="00550E1B" w:rsidRDefault="00EE3A66" w:rsidP="00CE6D70">
      <w:pPr>
        <w:spacing w:after="0" w:line="240" w:lineRule="auto"/>
        <w:jc w:val="center"/>
        <w:rPr>
          <w:rFonts w:ascii="Work Sans Regular Roman" w:eastAsia="Calibri" w:hAnsi="Work Sans Regular Roman" w:cs="Times New Roman"/>
          <w:sz w:val="24"/>
          <w:szCs w:val="24"/>
        </w:rPr>
      </w:pPr>
    </w:p>
    <w:p w14:paraId="423858B3" w14:textId="0F1AF802" w:rsidR="00EE3A66" w:rsidRPr="00550E1B" w:rsidRDefault="00EE3A66" w:rsidP="00550E1B">
      <w:pPr>
        <w:tabs>
          <w:tab w:val="left" w:pos="4155"/>
        </w:tabs>
        <w:spacing w:after="0" w:line="240" w:lineRule="auto"/>
        <w:ind w:right="40"/>
        <w:jc w:val="both"/>
        <w:rPr>
          <w:rFonts w:ascii="Work Sans Regular Roman" w:eastAsia="Times New Roman" w:hAnsi="Work Sans Regular Roman" w:cstheme="minorHAnsi"/>
          <w:bCs/>
          <w:sz w:val="24"/>
          <w:szCs w:val="24"/>
          <w:lang w:val="es-ES_tradnl" w:eastAsia="es-ES"/>
        </w:rPr>
      </w:pPr>
      <w:r w:rsidRPr="00550E1B">
        <w:rPr>
          <w:rFonts w:ascii="Work Sans Regular Roman" w:eastAsia="Times New Roman" w:hAnsi="Work Sans Regular Roman" w:cstheme="minorHAnsi"/>
          <w:bCs/>
          <w:sz w:val="24"/>
          <w:szCs w:val="24"/>
          <w:lang w:val="es-ES_tradnl" w:eastAsia="es-ES"/>
        </w:rPr>
        <w:lastRenderedPageBreak/>
        <w:t xml:space="preserve">De acuerdo con la </w:t>
      </w:r>
      <w:r w:rsidR="00CE6D70">
        <w:rPr>
          <w:rFonts w:ascii="Work Sans Regular Roman" w:eastAsia="Times New Roman" w:hAnsi="Work Sans Regular Roman" w:cstheme="minorHAnsi"/>
          <w:bCs/>
          <w:sz w:val="24"/>
          <w:szCs w:val="24"/>
          <w:lang w:val="es-ES_tradnl" w:eastAsia="es-ES"/>
        </w:rPr>
        <w:t>R</w:t>
      </w:r>
      <w:r w:rsidRPr="00550E1B">
        <w:rPr>
          <w:rFonts w:ascii="Work Sans Regular Roman" w:eastAsia="Times New Roman" w:hAnsi="Work Sans Regular Roman" w:cstheme="minorHAnsi"/>
          <w:bCs/>
          <w:sz w:val="24"/>
          <w:szCs w:val="24"/>
          <w:lang w:val="es-ES_tradnl" w:eastAsia="es-ES"/>
        </w:rPr>
        <w:t>esolución</w:t>
      </w:r>
      <w:r w:rsidR="00CE6D70">
        <w:rPr>
          <w:rFonts w:ascii="Work Sans Regular Roman" w:eastAsia="Times New Roman" w:hAnsi="Work Sans Regular Roman" w:cstheme="minorHAnsi"/>
          <w:bCs/>
          <w:sz w:val="24"/>
          <w:szCs w:val="24"/>
          <w:lang w:val="es-ES_tradnl" w:eastAsia="es-ES"/>
        </w:rPr>
        <w:t xml:space="preserve"> No.</w:t>
      </w:r>
      <w:r w:rsidRPr="00550E1B">
        <w:rPr>
          <w:rFonts w:ascii="Work Sans Regular Roman" w:eastAsia="Times New Roman" w:hAnsi="Work Sans Regular Roman" w:cstheme="minorHAnsi"/>
          <w:bCs/>
          <w:sz w:val="24"/>
          <w:szCs w:val="24"/>
          <w:lang w:val="es-ES_tradnl" w:eastAsia="es-ES"/>
        </w:rPr>
        <w:t xml:space="preserve"> 40193 </w:t>
      </w:r>
      <w:r w:rsidR="00CE6D70">
        <w:rPr>
          <w:rFonts w:ascii="Work Sans Regular Roman" w:eastAsia="Times New Roman" w:hAnsi="Work Sans Regular Roman" w:cstheme="minorHAnsi"/>
          <w:bCs/>
          <w:sz w:val="24"/>
          <w:szCs w:val="24"/>
          <w:lang w:val="es-ES_tradnl" w:eastAsia="es-ES"/>
        </w:rPr>
        <w:t>de</w:t>
      </w:r>
      <w:r w:rsidRPr="00550E1B">
        <w:rPr>
          <w:rFonts w:ascii="Work Sans Regular Roman" w:eastAsia="Times New Roman" w:hAnsi="Work Sans Regular Roman" w:cstheme="minorHAnsi"/>
          <w:bCs/>
          <w:sz w:val="24"/>
          <w:szCs w:val="24"/>
          <w:lang w:val="es-ES_tradnl" w:eastAsia="es-ES"/>
        </w:rPr>
        <w:t xml:space="preserve"> 2021, Actualmente, la CREG se encuentra trabajando en una nueva metodología para la definición de este valor del Transporte Plantas No Interconectadas. Esto implica que la entidad está desarrollando un nuevo enfoque o conjunto de criterios que se utilizarán para determinar el valor económico del transporte en estas plantas no interconectadas. Esta iniciativa busca mejorar la eficiencia y la transparencia en la regulación de este sector y asegurar que los agentes de la cadena involucrados en el transporte de combustibles líquidos estén debidamente remunerados.</w:t>
      </w:r>
    </w:p>
    <w:p w14:paraId="06AF925D" w14:textId="77777777" w:rsidR="00EE3A66" w:rsidRPr="00CE6D70" w:rsidRDefault="00EE3A66" w:rsidP="00CE6D70">
      <w:pPr>
        <w:spacing w:after="0" w:line="240" w:lineRule="auto"/>
        <w:ind w:right="48"/>
        <w:jc w:val="both"/>
        <w:rPr>
          <w:rFonts w:ascii="Work Sans Regular Roman" w:eastAsia="Times New Roman" w:hAnsi="Work Sans Regular Roman" w:cstheme="minorHAnsi"/>
          <w:sz w:val="24"/>
          <w:szCs w:val="24"/>
          <w:lang w:val="es-ES_tradnl" w:eastAsia="es-ES"/>
        </w:rPr>
      </w:pPr>
    </w:p>
    <w:p w14:paraId="4CC181DA" w14:textId="7CAB4A49" w:rsidR="00EE3A66" w:rsidRPr="00CE6D70" w:rsidRDefault="00EE3A66" w:rsidP="00550E1B">
      <w:pPr>
        <w:spacing w:after="0" w:line="240" w:lineRule="auto"/>
        <w:ind w:right="48"/>
        <w:jc w:val="both"/>
        <w:rPr>
          <w:rFonts w:ascii="Work Sans Regular Roman" w:eastAsia="Times New Roman" w:hAnsi="Work Sans Regular Roman" w:cstheme="minorHAnsi"/>
          <w:sz w:val="24"/>
          <w:szCs w:val="24"/>
          <w:lang w:val="es-ES_tradnl" w:eastAsia="es-ES"/>
        </w:rPr>
      </w:pPr>
      <w:r w:rsidRPr="00CE6D70">
        <w:rPr>
          <w:rFonts w:ascii="Work Sans Regular Roman" w:eastAsia="Times New Roman" w:hAnsi="Work Sans Regular Roman" w:cstheme="minorHAnsi"/>
          <w:sz w:val="24"/>
          <w:szCs w:val="24"/>
          <w:lang w:val="es-ES_tradnl" w:eastAsia="es-ES"/>
        </w:rPr>
        <w:t xml:space="preserve">Así mismo, mediante el siguiente link podrá consultar los precios de venta al público reportados por cada estación de servicio a nivel nacional, en el sistema de información de combustibles - SICOM, la información allí registrada puede ser consultada desde el año 2011. </w:t>
      </w:r>
      <w:hyperlink r:id="rId16" w:history="1">
        <w:r w:rsidRPr="00CE6D70">
          <w:rPr>
            <w:rFonts w:ascii="Work Sans Regular Roman" w:hAnsi="Work Sans Regular Roman"/>
            <w:sz w:val="24"/>
            <w:szCs w:val="24"/>
          </w:rPr>
          <w:t>https://www.sicom.gov.co/index.php/consulta-de-precios</w:t>
        </w:r>
      </w:hyperlink>
    </w:p>
    <w:p w14:paraId="18D0DFF9" w14:textId="18A926F7" w:rsidR="00EE3A66" w:rsidRPr="00CE6D70" w:rsidRDefault="00EE3A66" w:rsidP="00550E1B">
      <w:pPr>
        <w:spacing w:after="0" w:line="240" w:lineRule="auto"/>
        <w:ind w:right="48"/>
        <w:jc w:val="both"/>
        <w:rPr>
          <w:rFonts w:ascii="Work Sans Regular Roman" w:eastAsia="Times New Roman" w:hAnsi="Work Sans Regular Roman" w:cstheme="minorHAnsi"/>
          <w:sz w:val="24"/>
          <w:szCs w:val="24"/>
          <w:lang w:val="es-ES_tradnl" w:eastAsia="es-ES"/>
        </w:rPr>
      </w:pPr>
    </w:p>
    <w:p w14:paraId="2C489B16" w14:textId="77777777" w:rsidR="00CE6D70" w:rsidRPr="00CE6D70" w:rsidRDefault="00CE6D70" w:rsidP="00550E1B">
      <w:pPr>
        <w:spacing w:after="0" w:line="240" w:lineRule="auto"/>
        <w:ind w:right="48"/>
        <w:jc w:val="both"/>
        <w:rPr>
          <w:rFonts w:ascii="Work Sans Regular Roman" w:eastAsia="Times New Roman" w:hAnsi="Work Sans Regular Roman" w:cstheme="minorHAnsi"/>
          <w:sz w:val="24"/>
          <w:szCs w:val="24"/>
          <w:lang w:val="es-ES_tradnl" w:eastAsia="es-ES"/>
        </w:rPr>
      </w:pPr>
    </w:p>
    <w:p w14:paraId="2C47B41A" w14:textId="03FC3B7C" w:rsidR="00EE3A66" w:rsidRPr="00550E1B" w:rsidRDefault="00EE3A66">
      <w:pPr>
        <w:pStyle w:val="Prrafodelista"/>
        <w:numPr>
          <w:ilvl w:val="0"/>
          <w:numId w:val="7"/>
        </w:numPr>
        <w:spacing w:after="0" w:line="240" w:lineRule="auto"/>
        <w:ind w:hanging="436"/>
        <w:jc w:val="both"/>
        <w:rPr>
          <w:rFonts w:ascii="Work Sans Regular Roman" w:eastAsia="Work Sans Regular Roman" w:hAnsi="Work Sans Regular Roman" w:cstheme="minorHAnsi"/>
          <w:b/>
          <w:bCs/>
          <w:sz w:val="24"/>
          <w:szCs w:val="24"/>
        </w:rPr>
      </w:pPr>
      <w:r w:rsidRPr="00550E1B">
        <w:rPr>
          <w:rFonts w:ascii="Work Sans Regular Roman" w:eastAsia="Work Sans Regular Roman" w:hAnsi="Work Sans Regular Roman" w:cstheme="minorHAnsi"/>
          <w:b/>
          <w:bCs/>
          <w:sz w:val="24"/>
          <w:szCs w:val="24"/>
        </w:rPr>
        <w:t xml:space="preserve">Informar ¿Cuál es el sistema de costeo e impuestos con combustible nacional para fijar los precios? </w:t>
      </w:r>
    </w:p>
    <w:p w14:paraId="55D51054" w14:textId="77777777" w:rsidR="00EE3A66" w:rsidRPr="00550E1B" w:rsidRDefault="00EE3A66" w:rsidP="00550E1B">
      <w:pPr>
        <w:pBdr>
          <w:top w:val="nil"/>
          <w:left w:val="nil"/>
          <w:bottom w:val="nil"/>
          <w:right w:val="nil"/>
          <w:between w:val="nil"/>
        </w:pBdr>
        <w:spacing w:after="0" w:line="240" w:lineRule="auto"/>
        <w:jc w:val="both"/>
        <w:rPr>
          <w:rFonts w:ascii="Work Sans Regular Roman" w:eastAsia="Work Sans Regular Roman" w:hAnsi="Work Sans Regular Roman" w:cs="Work Sans Regular Roman"/>
          <w:b/>
          <w:bCs/>
          <w:sz w:val="24"/>
          <w:szCs w:val="24"/>
        </w:rPr>
      </w:pPr>
    </w:p>
    <w:p w14:paraId="69E039E9" w14:textId="77777777" w:rsidR="00EE3A66" w:rsidRPr="00550E1B" w:rsidRDefault="00EE3A66"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Como se ha explicado, los precios de los combustibles en Colombia, en particular de la gasolina corriente y del ACPM (Diésel), se encuentran regulados en cabeza de las disposiciones que establece el Ministerio de Minas y Energía y el Ministerio de Hacienda y Crédito Público. Así, mismo a lo largo del tiempo este Ministerio ha establecido regularmente los valores de los diferentes componentes que hacen parte de la estructura de precios de los combustibles.</w:t>
      </w:r>
    </w:p>
    <w:p w14:paraId="5A1A7FDA" w14:textId="77777777" w:rsidR="00EE3A66" w:rsidRPr="00550E1B" w:rsidRDefault="00EE3A66"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p w14:paraId="45A7B0BA" w14:textId="77777777" w:rsidR="00EE3A66" w:rsidRPr="00550E1B" w:rsidRDefault="00EE3A66"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Al estar regulados, la estructura de precios de estos combustibles debe ser acogida por todos los agentes de la cadena de distribución, incluidos los distribuidores minoristas.</w:t>
      </w:r>
    </w:p>
    <w:p w14:paraId="4D33A3F0" w14:textId="77777777" w:rsidR="00EE3A66" w:rsidRPr="00550E1B" w:rsidRDefault="00EE3A66"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p w14:paraId="51251C42" w14:textId="65AB4A0B" w:rsidR="00EE3A66" w:rsidRPr="00550E1B" w:rsidRDefault="00EE3A66"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 xml:space="preserve">A continuación, en la </w:t>
      </w:r>
      <w:r w:rsidR="00CE6D70">
        <w:rPr>
          <w:rFonts w:ascii="Work Sans Regular Roman" w:eastAsia="Work Sans Regular Roman" w:hAnsi="Work Sans Regular Roman" w:cstheme="minorHAnsi"/>
          <w:sz w:val="24"/>
          <w:szCs w:val="24"/>
        </w:rPr>
        <w:t>siguiente t</w:t>
      </w:r>
      <w:r w:rsidRPr="00550E1B">
        <w:rPr>
          <w:rFonts w:ascii="Work Sans Regular Roman" w:eastAsia="Work Sans Regular Roman" w:hAnsi="Work Sans Regular Roman" w:cstheme="minorHAnsi"/>
          <w:sz w:val="24"/>
          <w:szCs w:val="24"/>
        </w:rPr>
        <w:t xml:space="preserve">abla se indican las variables más relevantes que definen la estructura de precios de referencia para la venta al público de los combustibles </w:t>
      </w:r>
      <w:r w:rsidR="00CE6D70" w:rsidRPr="00550E1B">
        <w:rPr>
          <w:rFonts w:ascii="Work Sans Regular Roman" w:eastAsia="Work Sans Regular Roman" w:hAnsi="Work Sans Regular Roman" w:cstheme="minorHAnsi"/>
          <w:sz w:val="24"/>
          <w:szCs w:val="24"/>
        </w:rPr>
        <w:t xml:space="preserve">gasolina motor corriente oxigenada </w:t>
      </w:r>
      <w:r w:rsidRPr="00550E1B">
        <w:rPr>
          <w:rFonts w:ascii="Work Sans Regular Roman" w:eastAsia="Work Sans Regular Roman" w:hAnsi="Work Sans Regular Roman" w:cstheme="minorHAnsi"/>
          <w:sz w:val="24"/>
          <w:szCs w:val="24"/>
        </w:rPr>
        <w:t xml:space="preserve">y ACPM con mezcla de biocombustible, a nivel nacional. Esta estructura de precio se encuentra definida en la Resolución </w:t>
      </w:r>
      <w:r w:rsidR="005D6E40">
        <w:rPr>
          <w:rFonts w:ascii="Work Sans Regular Roman" w:eastAsia="Work Sans Regular Roman" w:hAnsi="Work Sans Regular Roman" w:cstheme="minorHAnsi"/>
          <w:sz w:val="24"/>
          <w:szCs w:val="24"/>
        </w:rPr>
        <w:t xml:space="preserve">No. </w:t>
      </w:r>
      <w:r w:rsidRPr="00550E1B">
        <w:rPr>
          <w:rFonts w:ascii="Work Sans Regular Roman" w:eastAsia="Work Sans Regular Roman" w:hAnsi="Work Sans Regular Roman" w:cstheme="minorHAnsi"/>
          <w:sz w:val="24"/>
          <w:szCs w:val="24"/>
        </w:rPr>
        <w:t>40112 del 2021.</w:t>
      </w:r>
    </w:p>
    <w:p w14:paraId="17B9E34D" w14:textId="77777777" w:rsidR="00EE3A66" w:rsidRPr="00550E1B" w:rsidRDefault="00EE3A66" w:rsidP="00550E1B">
      <w:pPr>
        <w:pBdr>
          <w:top w:val="nil"/>
          <w:left w:val="nil"/>
          <w:bottom w:val="nil"/>
          <w:right w:val="nil"/>
          <w:between w:val="nil"/>
        </w:pBdr>
        <w:spacing w:after="0" w:line="240" w:lineRule="auto"/>
        <w:jc w:val="both"/>
        <w:rPr>
          <w:rFonts w:ascii="Work Sans Regular Roman" w:eastAsia="Work Sans Regular Roman" w:hAnsi="Work Sans Regular Roman" w:cs="Work Sans Regular Roman"/>
          <w:sz w:val="24"/>
          <w:szCs w:val="24"/>
        </w:rPr>
      </w:pPr>
    </w:p>
    <w:p w14:paraId="7D60EE9C" w14:textId="7B71CAA3" w:rsidR="00EE3A66" w:rsidRPr="005D6E40" w:rsidRDefault="00EE3A66" w:rsidP="005D6E40">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b/>
          <w:sz w:val="20"/>
          <w:szCs w:val="20"/>
        </w:rPr>
      </w:pPr>
      <w:r w:rsidRPr="005D6E40">
        <w:rPr>
          <w:rFonts w:ascii="Work Sans Regular Roman" w:eastAsia="Work Sans Regular Roman" w:hAnsi="Work Sans Regular Roman" w:cs="Work Sans Regular Roman"/>
          <w:b/>
          <w:sz w:val="20"/>
          <w:szCs w:val="20"/>
        </w:rPr>
        <w:t>Relación de las variables que definen estructura de precios de los</w:t>
      </w:r>
      <w:r w:rsidR="005D6E40" w:rsidRPr="005D6E40">
        <w:rPr>
          <w:rFonts w:ascii="Work Sans Regular Roman" w:eastAsia="Work Sans Regular Roman" w:hAnsi="Work Sans Regular Roman" w:cs="Work Sans Regular Roman"/>
          <w:b/>
          <w:sz w:val="20"/>
          <w:szCs w:val="20"/>
        </w:rPr>
        <w:t xml:space="preserve"> c</w:t>
      </w:r>
      <w:r w:rsidRPr="005D6E40">
        <w:rPr>
          <w:rFonts w:ascii="Work Sans Regular Roman" w:eastAsia="Work Sans Regular Roman" w:hAnsi="Work Sans Regular Roman" w:cs="Work Sans Regular Roman"/>
          <w:b/>
          <w:sz w:val="20"/>
          <w:szCs w:val="20"/>
        </w:rPr>
        <w:t>ombustibles.</w:t>
      </w:r>
    </w:p>
    <w:p w14:paraId="518A42EA" w14:textId="77777777" w:rsidR="00EE3A66" w:rsidRPr="005D6E40" w:rsidRDefault="00EE3A66" w:rsidP="00550E1B">
      <w:pPr>
        <w:spacing w:after="0" w:line="240" w:lineRule="auto"/>
        <w:ind w:right="48"/>
        <w:jc w:val="both"/>
        <w:rPr>
          <w:rFonts w:ascii="Work Sans Regular Roman" w:eastAsia="Times New Roman" w:hAnsi="Work Sans Regular Roman" w:cstheme="minorHAnsi"/>
          <w:sz w:val="20"/>
          <w:szCs w:val="20"/>
          <w:lang w:val="es-ES_tradnl" w:eastAsia="es-ES"/>
        </w:rPr>
      </w:pPr>
    </w:p>
    <w:tbl>
      <w:tblPr>
        <w:tblW w:w="9110" w:type="dxa"/>
        <w:jc w:val="center"/>
        <w:tblLayout w:type="fixed"/>
        <w:tblLook w:val="0400" w:firstRow="0" w:lastRow="0" w:firstColumn="0" w:lastColumn="0" w:noHBand="0" w:noVBand="1"/>
      </w:tblPr>
      <w:tblGrid>
        <w:gridCol w:w="6169"/>
        <w:gridCol w:w="2941"/>
      </w:tblGrid>
      <w:tr w:rsidR="00EE3A66" w:rsidRPr="005D6E40" w14:paraId="46CC395B" w14:textId="77777777" w:rsidTr="005D6E40">
        <w:trPr>
          <w:trHeight w:val="340"/>
          <w:tblHeader/>
          <w:jc w:val="center"/>
        </w:trPr>
        <w:tc>
          <w:tcPr>
            <w:tcW w:w="616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9647474" w14:textId="0CA24A67" w:rsidR="00EE3A66" w:rsidRPr="005D6E40" w:rsidRDefault="005D6E40" w:rsidP="005D6E40">
            <w:pPr>
              <w:spacing w:after="0" w:line="240" w:lineRule="auto"/>
              <w:jc w:val="center"/>
              <w:rPr>
                <w:rFonts w:ascii="Work Sans Regular Roman" w:eastAsia="Work Sans Regular Roman" w:hAnsi="Work Sans Regular Roman" w:cs="Work Sans Regular Roman"/>
                <w:b/>
                <w:sz w:val="20"/>
                <w:szCs w:val="20"/>
              </w:rPr>
            </w:pPr>
            <w:r w:rsidRPr="005D6E40">
              <w:rPr>
                <w:rFonts w:ascii="Work Sans Regular Roman" w:eastAsia="Work Sans Regular Roman" w:hAnsi="Work Sans Regular Roman" w:cs="Work Sans Regular Roman"/>
                <w:b/>
                <w:sz w:val="20"/>
                <w:szCs w:val="20"/>
              </w:rPr>
              <w:t>ESTRUCTURA PRECIO GASOLINA MC OXIGENADA</w:t>
            </w:r>
          </w:p>
        </w:tc>
        <w:tc>
          <w:tcPr>
            <w:tcW w:w="2941"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14:paraId="2DD45BA3" w14:textId="1655F647" w:rsidR="00EE3A66" w:rsidRPr="005D6E40" w:rsidRDefault="005D6E40" w:rsidP="005D6E40">
            <w:pPr>
              <w:spacing w:after="0" w:line="240" w:lineRule="auto"/>
              <w:jc w:val="center"/>
              <w:rPr>
                <w:rFonts w:ascii="Work Sans Regular Roman" w:eastAsia="Work Sans Regular Roman" w:hAnsi="Work Sans Regular Roman" w:cs="Work Sans Regular Roman"/>
                <w:b/>
                <w:sz w:val="20"/>
                <w:szCs w:val="20"/>
              </w:rPr>
            </w:pPr>
            <w:r w:rsidRPr="005D6E40">
              <w:rPr>
                <w:rFonts w:ascii="Work Sans Regular Roman" w:eastAsia="Work Sans Regular Roman" w:hAnsi="Work Sans Regular Roman" w:cs="Work Sans Regular Roman"/>
                <w:b/>
                <w:sz w:val="20"/>
                <w:szCs w:val="20"/>
              </w:rPr>
              <w:t>TIPO DE COMPONENTE</w:t>
            </w:r>
          </w:p>
        </w:tc>
      </w:tr>
      <w:tr w:rsidR="00EE3A66" w:rsidRPr="005D6E40" w14:paraId="01C3DC38"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23C13A4B" w14:textId="731F2F2B"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 Proporción - Ingreso al Productor de la Gasolina Motor Corriente</w:t>
            </w:r>
          </w:p>
        </w:tc>
        <w:tc>
          <w:tcPr>
            <w:tcW w:w="2941" w:type="dxa"/>
            <w:tcBorders>
              <w:top w:val="nil"/>
              <w:left w:val="nil"/>
              <w:bottom w:val="single" w:sz="4" w:space="0" w:color="000000"/>
              <w:right w:val="single" w:sz="4" w:space="0" w:color="000000"/>
            </w:tcBorders>
            <w:shd w:val="clear" w:color="auto" w:fill="auto"/>
            <w:vAlign w:val="center"/>
          </w:tcPr>
          <w:p w14:paraId="46E607BE" w14:textId="430CBDA4"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Ingreso al productor</w:t>
            </w:r>
          </w:p>
        </w:tc>
      </w:tr>
      <w:tr w:rsidR="00EE3A66" w:rsidRPr="005D6E40" w14:paraId="54ED6B75"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51E3FBCD" w14:textId="4B518582"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2. Proporción - Ingreso al Productor del Alcohol Carburante</w:t>
            </w:r>
          </w:p>
        </w:tc>
        <w:tc>
          <w:tcPr>
            <w:tcW w:w="2941" w:type="dxa"/>
            <w:tcBorders>
              <w:top w:val="nil"/>
              <w:left w:val="nil"/>
              <w:bottom w:val="single" w:sz="4" w:space="0" w:color="000000"/>
              <w:right w:val="single" w:sz="4" w:space="0" w:color="000000"/>
            </w:tcBorders>
            <w:shd w:val="clear" w:color="auto" w:fill="auto"/>
            <w:vAlign w:val="center"/>
          </w:tcPr>
          <w:p w14:paraId="323FCECD" w14:textId="5AD416F1"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Ingreso al productor</w:t>
            </w:r>
          </w:p>
        </w:tc>
      </w:tr>
      <w:tr w:rsidR="00EE3A66" w:rsidRPr="005D6E40" w14:paraId="3CC3EDAE"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3340514E" w14:textId="4DB8E1B4" w:rsidR="00EE3A66" w:rsidRPr="005D6E40" w:rsidRDefault="00EE3A66" w:rsidP="005D6E40">
            <w:pPr>
              <w:spacing w:after="0" w:line="240" w:lineRule="auto"/>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3. Ingreso al productor de la Gasolina Motor Corriente Oxigenada</w:t>
            </w:r>
          </w:p>
        </w:tc>
        <w:tc>
          <w:tcPr>
            <w:tcW w:w="2941" w:type="dxa"/>
            <w:tcBorders>
              <w:top w:val="nil"/>
              <w:left w:val="nil"/>
              <w:bottom w:val="single" w:sz="4" w:space="0" w:color="000000"/>
              <w:right w:val="single" w:sz="4" w:space="0" w:color="000000"/>
            </w:tcBorders>
            <w:shd w:val="clear" w:color="auto" w:fill="auto"/>
            <w:vAlign w:val="center"/>
          </w:tcPr>
          <w:p w14:paraId="457BE318" w14:textId="0FA90B20" w:rsidR="00EE3A66" w:rsidRPr="005D6E40" w:rsidRDefault="00EE3A66" w:rsidP="005D6E40">
            <w:pPr>
              <w:spacing w:after="0" w:line="240" w:lineRule="auto"/>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Subtotal</w:t>
            </w:r>
          </w:p>
        </w:tc>
      </w:tr>
      <w:tr w:rsidR="00EE3A66" w:rsidRPr="005D6E40" w14:paraId="7EBABE8B"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FFE599"/>
            <w:vAlign w:val="center"/>
          </w:tcPr>
          <w:p w14:paraId="4381FD82" w14:textId="45F6CFAA"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4. Impuesto Nacional</w:t>
            </w:r>
          </w:p>
        </w:tc>
        <w:tc>
          <w:tcPr>
            <w:tcW w:w="2941" w:type="dxa"/>
            <w:tcBorders>
              <w:top w:val="nil"/>
              <w:left w:val="nil"/>
              <w:bottom w:val="single" w:sz="4" w:space="0" w:color="000000"/>
              <w:right w:val="single" w:sz="4" w:space="0" w:color="000000"/>
            </w:tcBorders>
            <w:shd w:val="clear" w:color="auto" w:fill="FFE599"/>
            <w:vAlign w:val="center"/>
          </w:tcPr>
          <w:p w14:paraId="6CE74123" w14:textId="55C58CA3"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Impuesto</w:t>
            </w:r>
          </w:p>
        </w:tc>
      </w:tr>
      <w:tr w:rsidR="00EE3A66" w:rsidRPr="005D6E40" w14:paraId="73C29977"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FFE599"/>
            <w:vAlign w:val="center"/>
          </w:tcPr>
          <w:p w14:paraId="5D2CCAD0" w14:textId="3FD5038E"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5. IVA sobre IP Fósil</w:t>
            </w:r>
          </w:p>
        </w:tc>
        <w:tc>
          <w:tcPr>
            <w:tcW w:w="2941" w:type="dxa"/>
            <w:tcBorders>
              <w:top w:val="nil"/>
              <w:left w:val="nil"/>
              <w:bottom w:val="single" w:sz="4" w:space="0" w:color="000000"/>
              <w:right w:val="single" w:sz="4" w:space="0" w:color="000000"/>
            </w:tcBorders>
            <w:shd w:val="clear" w:color="auto" w:fill="FFE599"/>
            <w:vAlign w:val="center"/>
          </w:tcPr>
          <w:p w14:paraId="1A6D7232" w14:textId="23E869C7"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Impuesto</w:t>
            </w:r>
          </w:p>
        </w:tc>
      </w:tr>
      <w:tr w:rsidR="00EE3A66" w:rsidRPr="005D6E40" w14:paraId="3B1C2FCB"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FFE599"/>
            <w:vAlign w:val="center"/>
          </w:tcPr>
          <w:p w14:paraId="0B865801" w14:textId="257AE3CC"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6. Impuesto al Carbono</w:t>
            </w:r>
          </w:p>
        </w:tc>
        <w:tc>
          <w:tcPr>
            <w:tcW w:w="2941" w:type="dxa"/>
            <w:tcBorders>
              <w:top w:val="nil"/>
              <w:left w:val="nil"/>
              <w:bottom w:val="single" w:sz="4" w:space="0" w:color="000000"/>
              <w:right w:val="single" w:sz="4" w:space="0" w:color="000000"/>
            </w:tcBorders>
            <w:shd w:val="clear" w:color="auto" w:fill="FFE599"/>
            <w:vAlign w:val="center"/>
          </w:tcPr>
          <w:p w14:paraId="3BEAD5E3" w14:textId="6B146E4D"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Impuesto</w:t>
            </w:r>
          </w:p>
        </w:tc>
      </w:tr>
      <w:tr w:rsidR="00EE3A66" w:rsidRPr="005D6E40" w14:paraId="39C48E27"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43625FC7" w14:textId="6E7986A1"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7. Tarifa de Marcación</w:t>
            </w:r>
          </w:p>
        </w:tc>
        <w:tc>
          <w:tcPr>
            <w:tcW w:w="2941" w:type="dxa"/>
            <w:tcBorders>
              <w:top w:val="nil"/>
              <w:left w:val="nil"/>
              <w:bottom w:val="single" w:sz="4" w:space="0" w:color="000000"/>
              <w:right w:val="single" w:sz="4" w:space="0" w:color="000000"/>
            </w:tcBorders>
            <w:shd w:val="clear" w:color="auto" w:fill="auto"/>
            <w:vAlign w:val="center"/>
          </w:tcPr>
          <w:p w14:paraId="300137C0" w14:textId="09D86641"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Logística</w:t>
            </w:r>
          </w:p>
        </w:tc>
      </w:tr>
      <w:tr w:rsidR="00EE3A66" w:rsidRPr="005D6E40" w14:paraId="6AC336E3"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448E39FF" w14:textId="68DBF822"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lastRenderedPageBreak/>
              <w:t>8. Tarifa de Transporte por poliductos de la GMC</w:t>
            </w:r>
          </w:p>
        </w:tc>
        <w:tc>
          <w:tcPr>
            <w:tcW w:w="2941" w:type="dxa"/>
            <w:tcBorders>
              <w:top w:val="nil"/>
              <w:left w:val="nil"/>
              <w:bottom w:val="single" w:sz="4" w:space="0" w:color="000000"/>
              <w:right w:val="single" w:sz="4" w:space="0" w:color="000000"/>
            </w:tcBorders>
            <w:shd w:val="clear" w:color="auto" w:fill="auto"/>
            <w:vAlign w:val="center"/>
          </w:tcPr>
          <w:p w14:paraId="1F53BE96" w14:textId="4DD77CD7"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Transporte</w:t>
            </w:r>
          </w:p>
        </w:tc>
      </w:tr>
      <w:tr w:rsidR="00EE3A66" w:rsidRPr="005D6E40" w14:paraId="629F375A"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5E1D9DB8" w14:textId="607A8721"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9. Tarifa de Transporte del Alcohol Carburante</w:t>
            </w:r>
          </w:p>
        </w:tc>
        <w:tc>
          <w:tcPr>
            <w:tcW w:w="2941" w:type="dxa"/>
            <w:tcBorders>
              <w:top w:val="nil"/>
              <w:left w:val="nil"/>
              <w:bottom w:val="single" w:sz="4" w:space="0" w:color="000000"/>
              <w:right w:val="single" w:sz="4" w:space="0" w:color="000000"/>
            </w:tcBorders>
            <w:shd w:val="clear" w:color="auto" w:fill="auto"/>
            <w:vAlign w:val="center"/>
          </w:tcPr>
          <w:p w14:paraId="31389454" w14:textId="5EDD2AE8"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Transporte</w:t>
            </w:r>
          </w:p>
        </w:tc>
      </w:tr>
      <w:tr w:rsidR="00EE3A66" w:rsidRPr="005D6E40" w14:paraId="131DE17E"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111B5390" w14:textId="0841BF8A" w:rsidR="00EE3A66" w:rsidRPr="005D6E40" w:rsidRDefault="00EE3A66" w:rsidP="005D6E40">
            <w:pPr>
              <w:spacing w:after="0" w:line="240" w:lineRule="auto"/>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10. Precio Máximo de Venta al Distribuidor Mayorista</w:t>
            </w:r>
          </w:p>
        </w:tc>
        <w:tc>
          <w:tcPr>
            <w:tcW w:w="2941" w:type="dxa"/>
            <w:tcBorders>
              <w:top w:val="nil"/>
              <w:left w:val="nil"/>
              <w:bottom w:val="single" w:sz="4" w:space="0" w:color="000000"/>
              <w:right w:val="single" w:sz="4" w:space="0" w:color="000000"/>
            </w:tcBorders>
            <w:shd w:val="clear" w:color="auto" w:fill="auto"/>
            <w:vAlign w:val="center"/>
          </w:tcPr>
          <w:p w14:paraId="606162F3" w14:textId="27B048F8" w:rsidR="00EE3A66" w:rsidRPr="005D6E40" w:rsidRDefault="00EE3A66" w:rsidP="005D6E40">
            <w:pPr>
              <w:spacing w:after="0" w:line="240" w:lineRule="auto"/>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Subtotal</w:t>
            </w:r>
          </w:p>
        </w:tc>
      </w:tr>
      <w:tr w:rsidR="00EE3A66" w:rsidRPr="005D6E40" w14:paraId="1A6E1B77"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FFE599"/>
            <w:vAlign w:val="center"/>
          </w:tcPr>
          <w:p w14:paraId="7C6050BF" w14:textId="705DD113"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11. Sobretasa</w:t>
            </w:r>
          </w:p>
        </w:tc>
        <w:tc>
          <w:tcPr>
            <w:tcW w:w="2941" w:type="dxa"/>
            <w:tcBorders>
              <w:top w:val="nil"/>
              <w:left w:val="nil"/>
              <w:bottom w:val="single" w:sz="4" w:space="0" w:color="000000"/>
              <w:right w:val="single" w:sz="4" w:space="0" w:color="000000"/>
            </w:tcBorders>
            <w:shd w:val="clear" w:color="auto" w:fill="FFE599"/>
            <w:vAlign w:val="center"/>
          </w:tcPr>
          <w:p w14:paraId="1606B583" w14:textId="6BD7AA1A"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Impuesto</w:t>
            </w:r>
          </w:p>
        </w:tc>
      </w:tr>
      <w:tr w:rsidR="00EE3A66" w:rsidRPr="005D6E40" w14:paraId="450A8088"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FFE599"/>
            <w:vAlign w:val="center"/>
          </w:tcPr>
          <w:p w14:paraId="0D20528A" w14:textId="3571F1F8"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12. IVA sobre el margen del distribuidor mayorista</w:t>
            </w:r>
          </w:p>
        </w:tc>
        <w:tc>
          <w:tcPr>
            <w:tcW w:w="2941" w:type="dxa"/>
            <w:tcBorders>
              <w:top w:val="nil"/>
              <w:left w:val="nil"/>
              <w:bottom w:val="single" w:sz="4" w:space="0" w:color="000000"/>
              <w:right w:val="single" w:sz="4" w:space="0" w:color="000000"/>
            </w:tcBorders>
            <w:shd w:val="clear" w:color="auto" w:fill="FFE599"/>
            <w:vAlign w:val="center"/>
          </w:tcPr>
          <w:p w14:paraId="2C0B355A" w14:textId="2B7F6FAD"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Impuesto</w:t>
            </w:r>
          </w:p>
        </w:tc>
      </w:tr>
      <w:tr w:rsidR="00EE3A66" w:rsidRPr="005D6E40" w14:paraId="532C0B07"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3EF1BC25" w14:textId="4AFAABF9"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13. Margen del distribuidor mayorista</w:t>
            </w:r>
          </w:p>
        </w:tc>
        <w:tc>
          <w:tcPr>
            <w:tcW w:w="2941" w:type="dxa"/>
            <w:tcBorders>
              <w:top w:val="nil"/>
              <w:left w:val="nil"/>
              <w:bottom w:val="single" w:sz="4" w:space="0" w:color="000000"/>
              <w:right w:val="single" w:sz="4" w:space="0" w:color="000000"/>
            </w:tcBorders>
            <w:shd w:val="clear" w:color="auto" w:fill="auto"/>
            <w:vAlign w:val="center"/>
          </w:tcPr>
          <w:p w14:paraId="5ACBB001" w14:textId="52EC0BD3"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Margen de distribuidor</w:t>
            </w:r>
          </w:p>
        </w:tc>
      </w:tr>
      <w:tr w:rsidR="00EE3A66" w:rsidRPr="005D6E40" w14:paraId="5145B535"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5BAFDE43" w14:textId="737CF031" w:rsidR="00EE3A66" w:rsidRPr="005D6E40" w:rsidRDefault="00EE3A66" w:rsidP="005D6E40">
            <w:pPr>
              <w:spacing w:after="0" w:line="240" w:lineRule="auto"/>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14. Precio Máximo en Planta de Abastecimiento Mayorista</w:t>
            </w:r>
          </w:p>
        </w:tc>
        <w:tc>
          <w:tcPr>
            <w:tcW w:w="2941" w:type="dxa"/>
            <w:tcBorders>
              <w:top w:val="nil"/>
              <w:left w:val="nil"/>
              <w:bottom w:val="single" w:sz="4" w:space="0" w:color="000000"/>
              <w:right w:val="single" w:sz="4" w:space="0" w:color="000000"/>
            </w:tcBorders>
            <w:shd w:val="clear" w:color="auto" w:fill="auto"/>
            <w:vAlign w:val="center"/>
          </w:tcPr>
          <w:p w14:paraId="04EE9E90" w14:textId="2999224A" w:rsidR="00EE3A66" w:rsidRPr="005D6E40" w:rsidRDefault="00EE3A66" w:rsidP="005D6E40">
            <w:pPr>
              <w:spacing w:after="0" w:line="240" w:lineRule="auto"/>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Subtotal</w:t>
            </w:r>
          </w:p>
        </w:tc>
      </w:tr>
      <w:tr w:rsidR="00EE3A66" w:rsidRPr="005D6E40" w14:paraId="5850749E"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7A458340" w14:textId="6E8A79F9"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15. Margen del distribuidor minorista</w:t>
            </w:r>
          </w:p>
        </w:tc>
        <w:tc>
          <w:tcPr>
            <w:tcW w:w="2941" w:type="dxa"/>
            <w:tcBorders>
              <w:top w:val="nil"/>
              <w:left w:val="nil"/>
              <w:bottom w:val="single" w:sz="4" w:space="0" w:color="000000"/>
              <w:right w:val="single" w:sz="4" w:space="0" w:color="000000"/>
            </w:tcBorders>
            <w:shd w:val="clear" w:color="auto" w:fill="auto"/>
            <w:vAlign w:val="center"/>
          </w:tcPr>
          <w:p w14:paraId="57C915A6" w14:textId="72C54686"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Margen de distribuidor</w:t>
            </w:r>
          </w:p>
        </w:tc>
      </w:tr>
      <w:tr w:rsidR="00EE3A66" w:rsidRPr="005D6E40" w14:paraId="13CD7044"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2196C025" w14:textId="3F5E6D1B"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16. Pérdida por evaporación</w:t>
            </w:r>
          </w:p>
        </w:tc>
        <w:tc>
          <w:tcPr>
            <w:tcW w:w="2941" w:type="dxa"/>
            <w:tcBorders>
              <w:top w:val="nil"/>
              <w:left w:val="nil"/>
              <w:bottom w:val="single" w:sz="4" w:space="0" w:color="000000"/>
              <w:right w:val="single" w:sz="4" w:space="0" w:color="000000"/>
            </w:tcBorders>
            <w:shd w:val="clear" w:color="auto" w:fill="auto"/>
            <w:vAlign w:val="center"/>
          </w:tcPr>
          <w:p w14:paraId="2F5610C0" w14:textId="152F7420"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Logística</w:t>
            </w:r>
          </w:p>
        </w:tc>
      </w:tr>
      <w:tr w:rsidR="00EE3A66" w:rsidRPr="005D6E40" w14:paraId="6382335F"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4B58A45D" w14:textId="248C8CA9" w:rsidR="00EE3A66" w:rsidRPr="005D6E40" w:rsidRDefault="00EE3A66" w:rsidP="005D6E40">
            <w:pPr>
              <w:spacing w:after="0" w:line="240" w:lineRule="auto"/>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17. Transporte de la planta de abastecimiento mayorista a estación.</w:t>
            </w:r>
          </w:p>
        </w:tc>
        <w:tc>
          <w:tcPr>
            <w:tcW w:w="2941" w:type="dxa"/>
            <w:tcBorders>
              <w:top w:val="nil"/>
              <w:left w:val="nil"/>
              <w:bottom w:val="single" w:sz="4" w:space="0" w:color="000000"/>
              <w:right w:val="single" w:sz="4" w:space="0" w:color="000000"/>
            </w:tcBorders>
            <w:shd w:val="clear" w:color="auto" w:fill="auto"/>
            <w:vAlign w:val="center"/>
          </w:tcPr>
          <w:p w14:paraId="22A65E73" w14:textId="5886A366" w:rsidR="00EE3A66" w:rsidRPr="005D6E40" w:rsidRDefault="00EE3A66" w:rsidP="005D6E40">
            <w:pPr>
              <w:spacing w:after="0" w:line="240" w:lineRule="auto"/>
              <w:rPr>
                <w:rFonts w:ascii="Work Sans Regular Roman" w:eastAsia="Work Sans Regular Roman" w:hAnsi="Work Sans Regular Roman" w:cs="Work Sans Regular Roman"/>
                <w:b/>
                <w:bCs/>
                <w:sz w:val="20"/>
                <w:szCs w:val="20"/>
                <w:u w:val="single"/>
              </w:rPr>
            </w:pPr>
            <w:r w:rsidRPr="005D6E40">
              <w:rPr>
                <w:rFonts w:ascii="Work Sans Regular Roman" w:eastAsia="Work Sans Regular Roman" w:hAnsi="Work Sans Regular Roman" w:cs="Work Sans Regular Roman"/>
                <w:sz w:val="20"/>
                <w:szCs w:val="20"/>
              </w:rPr>
              <w:t>Transporte</w:t>
            </w:r>
          </w:p>
        </w:tc>
      </w:tr>
      <w:tr w:rsidR="00EE3A66" w:rsidRPr="005D6E40" w14:paraId="26BB5F62"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14F9BC4D" w14:textId="3EFCFFCB" w:rsidR="00EE3A66" w:rsidRPr="005D6E40" w:rsidRDefault="00EE3A66" w:rsidP="005D6E40">
            <w:pPr>
              <w:spacing w:after="0" w:line="240" w:lineRule="auto"/>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18. Precio de Referencia de Venta por galón.   $/GAL</w:t>
            </w:r>
          </w:p>
        </w:tc>
        <w:tc>
          <w:tcPr>
            <w:tcW w:w="2941" w:type="dxa"/>
            <w:tcBorders>
              <w:top w:val="nil"/>
              <w:left w:val="nil"/>
              <w:bottom w:val="single" w:sz="4" w:space="0" w:color="000000"/>
              <w:right w:val="single" w:sz="4" w:space="0" w:color="000000"/>
            </w:tcBorders>
            <w:shd w:val="clear" w:color="auto" w:fill="auto"/>
            <w:vAlign w:val="center"/>
          </w:tcPr>
          <w:p w14:paraId="4BB981F5" w14:textId="297475DA" w:rsidR="00EE3A66" w:rsidRPr="005D6E40" w:rsidRDefault="00EE3A66" w:rsidP="005D6E40">
            <w:pPr>
              <w:spacing w:after="0" w:line="240" w:lineRule="auto"/>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Total</w:t>
            </w:r>
          </w:p>
        </w:tc>
      </w:tr>
    </w:tbl>
    <w:p w14:paraId="6D0BB10B" w14:textId="77777777" w:rsidR="00F87917" w:rsidRPr="005D6E40" w:rsidRDefault="00F87917" w:rsidP="00550E1B">
      <w:pPr>
        <w:pBdr>
          <w:top w:val="nil"/>
          <w:left w:val="nil"/>
          <w:bottom w:val="nil"/>
          <w:right w:val="nil"/>
          <w:between w:val="nil"/>
        </w:pBdr>
        <w:spacing w:after="0" w:line="240" w:lineRule="auto"/>
        <w:jc w:val="both"/>
        <w:rPr>
          <w:rFonts w:ascii="Work Sans Regular Roman" w:eastAsia="Calibri" w:hAnsi="Work Sans Regular Roman" w:cs="Arial"/>
          <w:sz w:val="24"/>
          <w:szCs w:val="24"/>
        </w:rPr>
      </w:pPr>
    </w:p>
    <w:tbl>
      <w:tblPr>
        <w:tblW w:w="9110" w:type="dxa"/>
        <w:jc w:val="center"/>
        <w:tblLayout w:type="fixed"/>
        <w:tblLook w:val="0400" w:firstRow="0" w:lastRow="0" w:firstColumn="0" w:lastColumn="0" w:noHBand="0" w:noVBand="1"/>
      </w:tblPr>
      <w:tblGrid>
        <w:gridCol w:w="6169"/>
        <w:gridCol w:w="2941"/>
      </w:tblGrid>
      <w:tr w:rsidR="00EE3A66" w:rsidRPr="005D6E40" w14:paraId="4D20F7BF" w14:textId="77777777" w:rsidTr="005D6E40">
        <w:trPr>
          <w:trHeight w:val="340"/>
          <w:tblHeader/>
          <w:jc w:val="center"/>
        </w:trPr>
        <w:tc>
          <w:tcPr>
            <w:tcW w:w="616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5BAEB33" w14:textId="636DFAC2" w:rsidR="00EE3A66" w:rsidRPr="005D6E40" w:rsidRDefault="005D6E40" w:rsidP="005D6E40">
            <w:pPr>
              <w:spacing w:after="0" w:line="240" w:lineRule="auto"/>
              <w:jc w:val="center"/>
              <w:rPr>
                <w:rFonts w:ascii="Work Sans Regular Roman" w:eastAsia="Work Sans Regular Roman" w:hAnsi="Work Sans Regular Roman" w:cs="Work Sans Regular Roman"/>
                <w:b/>
                <w:sz w:val="20"/>
                <w:szCs w:val="20"/>
              </w:rPr>
            </w:pPr>
            <w:r w:rsidRPr="005D6E40">
              <w:rPr>
                <w:rFonts w:ascii="Work Sans Regular Roman" w:eastAsia="Work Sans Regular Roman" w:hAnsi="Work Sans Regular Roman" w:cs="Work Sans Regular Roman"/>
                <w:b/>
                <w:sz w:val="20"/>
                <w:szCs w:val="20"/>
              </w:rPr>
              <w:t>ESTRUCTURA PRECIO ACPM CON MEZCLA DE BIOCOMBUSTIBLE</w:t>
            </w:r>
          </w:p>
        </w:tc>
        <w:tc>
          <w:tcPr>
            <w:tcW w:w="2941"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14:paraId="6EDDC6CF" w14:textId="71FF1BA4" w:rsidR="00EE3A66" w:rsidRPr="005D6E40" w:rsidRDefault="005D6E40" w:rsidP="005D6E40">
            <w:pPr>
              <w:spacing w:after="0" w:line="240" w:lineRule="auto"/>
              <w:jc w:val="center"/>
              <w:rPr>
                <w:rFonts w:ascii="Work Sans Regular Roman" w:eastAsia="Work Sans Regular Roman" w:hAnsi="Work Sans Regular Roman" w:cs="Work Sans Regular Roman"/>
                <w:b/>
                <w:sz w:val="20"/>
                <w:szCs w:val="20"/>
              </w:rPr>
            </w:pPr>
            <w:r w:rsidRPr="005D6E40">
              <w:rPr>
                <w:rFonts w:ascii="Work Sans Regular Roman" w:eastAsia="Work Sans Regular Roman" w:hAnsi="Work Sans Regular Roman" w:cs="Work Sans Regular Roman"/>
                <w:b/>
                <w:sz w:val="20"/>
                <w:szCs w:val="20"/>
              </w:rPr>
              <w:t>TIPO DE COMPONENTE</w:t>
            </w:r>
          </w:p>
        </w:tc>
      </w:tr>
      <w:tr w:rsidR="00EE3A66" w:rsidRPr="005D6E40" w14:paraId="35700A44"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04CD40AB" w14:textId="62D45704"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 Proporción - Ingreso al Productor del ACPM</w:t>
            </w:r>
          </w:p>
        </w:tc>
        <w:tc>
          <w:tcPr>
            <w:tcW w:w="2941" w:type="dxa"/>
            <w:tcBorders>
              <w:top w:val="nil"/>
              <w:left w:val="nil"/>
              <w:bottom w:val="single" w:sz="4" w:space="0" w:color="000000"/>
              <w:right w:val="single" w:sz="4" w:space="0" w:color="000000"/>
            </w:tcBorders>
            <w:shd w:val="clear" w:color="auto" w:fill="auto"/>
            <w:vAlign w:val="center"/>
          </w:tcPr>
          <w:p w14:paraId="51369146" w14:textId="6126A77F"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Ingreso al productor</w:t>
            </w:r>
          </w:p>
        </w:tc>
      </w:tr>
      <w:tr w:rsidR="00EE3A66" w:rsidRPr="005D6E40" w14:paraId="2D6B492C"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26469265" w14:textId="071B18C9"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2. Proporción - Ingreso al Productor del Biocombustible</w:t>
            </w:r>
          </w:p>
        </w:tc>
        <w:tc>
          <w:tcPr>
            <w:tcW w:w="2941" w:type="dxa"/>
            <w:tcBorders>
              <w:top w:val="nil"/>
              <w:left w:val="nil"/>
              <w:bottom w:val="single" w:sz="4" w:space="0" w:color="000000"/>
              <w:right w:val="single" w:sz="4" w:space="0" w:color="000000"/>
            </w:tcBorders>
            <w:shd w:val="clear" w:color="auto" w:fill="auto"/>
            <w:vAlign w:val="center"/>
          </w:tcPr>
          <w:p w14:paraId="7C6AEF4D" w14:textId="22F4A734"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Ingreso al productor</w:t>
            </w:r>
          </w:p>
        </w:tc>
      </w:tr>
      <w:tr w:rsidR="00EE3A66" w:rsidRPr="005D6E40" w14:paraId="11908F58"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07E2DB8E" w14:textId="359292D0" w:rsidR="00EE3A66" w:rsidRPr="005D6E40" w:rsidRDefault="00EE3A66" w:rsidP="00550E1B">
            <w:pPr>
              <w:spacing w:after="0" w:line="240" w:lineRule="auto"/>
              <w:jc w:val="both"/>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3. Ingreso al productor de la mezcla ACPM – biocombustible</w:t>
            </w:r>
          </w:p>
        </w:tc>
        <w:tc>
          <w:tcPr>
            <w:tcW w:w="2941" w:type="dxa"/>
            <w:tcBorders>
              <w:top w:val="nil"/>
              <w:left w:val="nil"/>
              <w:bottom w:val="single" w:sz="4" w:space="0" w:color="000000"/>
              <w:right w:val="single" w:sz="4" w:space="0" w:color="000000"/>
            </w:tcBorders>
            <w:shd w:val="clear" w:color="auto" w:fill="auto"/>
            <w:vAlign w:val="center"/>
          </w:tcPr>
          <w:p w14:paraId="250D7D67" w14:textId="28B694E6" w:rsidR="00EE3A66" w:rsidRPr="005D6E40" w:rsidRDefault="00EE3A66" w:rsidP="005D6E40">
            <w:pPr>
              <w:spacing w:after="0" w:line="240" w:lineRule="auto"/>
              <w:jc w:val="both"/>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Subtotal</w:t>
            </w:r>
          </w:p>
        </w:tc>
      </w:tr>
      <w:tr w:rsidR="00EE3A66" w:rsidRPr="005D6E40" w14:paraId="3CC0487A"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FFE599"/>
            <w:vAlign w:val="center"/>
          </w:tcPr>
          <w:p w14:paraId="71D7DBE9" w14:textId="53170D74"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4. Impuesto Nacional</w:t>
            </w:r>
          </w:p>
        </w:tc>
        <w:tc>
          <w:tcPr>
            <w:tcW w:w="2941" w:type="dxa"/>
            <w:tcBorders>
              <w:top w:val="nil"/>
              <w:left w:val="nil"/>
              <w:bottom w:val="single" w:sz="4" w:space="0" w:color="000000"/>
              <w:right w:val="single" w:sz="4" w:space="0" w:color="000000"/>
            </w:tcBorders>
            <w:shd w:val="clear" w:color="auto" w:fill="FFE599"/>
            <w:vAlign w:val="center"/>
          </w:tcPr>
          <w:p w14:paraId="011C7BA6" w14:textId="2ADA6FF3"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Impuesto</w:t>
            </w:r>
          </w:p>
        </w:tc>
      </w:tr>
      <w:tr w:rsidR="00EE3A66" w:rsidRPr="005D6E40" w14:paraId="21526522"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FFE599"/>
            <w:vAlign w:val="center"/>
          </w:tcPr>
          <w:p w14:paraId="37A93A80" w14:textId="6700EE96"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5. IVA sobre IP Fósil</w:t>
            </w:r>
          </w:p>
        </w:tc>
        <w:tc>
          <w:tcPr>
            <w:tcW w:w="2941" w:type="dxa"/>
            <w:tcBorders>
              <w:top w:val="nil"/>
              <w:left w:val="nil"/>
              <w:bottom w:val="single" w:sz="4" w:space="0" w:color="000000"/>
              <w:right w:val="single" w:sz="4" w:space="0" w:color="000000"/>
            </w:tcBorders>
            <w:shd w:val="clear" w:color="auto" w:fill="FFE599"/>
            <w:vAlign w:val="center"/>
          </w:tcPr>
          <w:p w14:paraId="72361F0F" w14:textId="04838298"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Impuesto</w:t>
            </w:r>
          </w:p>
        </w:tc>
      </w:tr>
      <w:tr w:rsidR="00EE3A66" w:rsidRPr="005D6E40" w14:paraId="51543ADD"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FFE599"/>
            <w:vAlign w:val="center"/>
          </w:tcPr>
          <w:p w14:paraId="70FE855E" w14:textId="59647331"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6. Impuesto al Carbono</w:t>
            </w:r>
          </w:p>
        </w:tc>
        <w:tc>
          <w:tcPr>
            <w:tcW w:w="2941" w:type="dxa"/>
            <w:tcBorders>
              <w:top w:val="nil"/>
              <w:left w:val="nil"/>
              <w:bottom w:val="single" w:sz="4" w:space="0" w:color="000000"/>
              <w:right w:val="single" w:sz="4" w:space="0" w:color="000000"/>
            </w:tcBorders>
            <w:shd w:val="clear" w:color="auto" w:fill="FFE599"/>
            <w:vAlign w:val="center"/>
          </w:tcPr>
          <w:p w14:paraId="6F4F53F1" w14:textId="5C02DB18"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Impuesto</w:t>
            </w:r>
          </w:p>
        </w:tc>
      </w:tr>
      <w:tr w:rsidR="00EE3A66" w:rsidRPr="005D6E40" w14:paraId="34896A7F"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276302EF" w14:textId="7DA40FCA"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7. Tarifa de Marcación</w:t>
            </w:r>
          </w:p>
        </w:tc>
        <w:tc>
          <w:tcPr>
            <w:tcW w:w="2941" w:type="dxa"/>
            <w:tcBorders>
              <w:top w:val="nil"/>
              <w:left w:val="nil"/>
              <w:bottom w:val="single" w:sz="4" w:space="0" w:color="000000"/>
              <w:right w:val="single" w:sz="4" w:space="0" w:color="000000"/>
            </w:tcBorders>
            <w:shd w:val="clear" w:color="auto" w:fill="auto"/>
            <w:vAlign w:val="center"/>
          </w:tcPr>
          <w:p w14:paraId="1C744BB7" w14:textId="749C0082"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Logística</w:t>
            </w:r>
          </w:p>
        </w:tc>
      </w:tr>
      <w:tr w:rsidR="00EE3A66" w:rsidRPr="005D6E40" w14:paraId="6AE2BD9C"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16C75AC3" w14:textId="19FEB54A"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 xml:space="preserve">8. Tarifa de Transporte por poliductos </w:t>
            </w:r>
          </w:p>
        </w:tc>
        <w:tc>
          <w:tcPr>
            <w:tcW w:w="2941" w:type="dxa"/>
            <w:tcBorders>
              <w:top w:val="nil"/>
              <w:left w:val="nil"/>
              <w:bottom w:val="single" w:sz="4" w:space="0" w:color="000000"/>
              <w:right w:val="single" w:sz="4" w:space="0" w:color="000000"/>
            </w:tcBorders>
            <w:shd w:val="clear" w:color="auto" w:fill="auto"/>
            <w:vAlign w:val="center"/>
          </w:tcPr>
          <w:p w14:paraId="78F1AF65" w14:textId="1FCC5E6F"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Transporte</w:t>
            </w:r>
          </w:p>
        </w:tc>
      </w:tr>
      <w:tr w:rsidR="00EE3A66" w:rsidRPr="005D6E40" w14:paraId="62B8A99C"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1790F6B2" w14:textId="5B7DA9EE"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9. Tarifa de Transporte del biocombustible</w:t>
            </w:r>
          </w:p>
        </w:tc>
        <w:tc>
          <w:tcPr>
            <w:tcW w:w="2941" w:type="dxa"/>
            <w:tcBorders>
              <w:top w:val="nil"/>
              <w:left w:val="nil"/>
              <w:bottom w:val="single" w:sz="4" w:space="0" w:color="000000"/>
              <w:right w:val="single" w:sz="4" w:space="0" w:color="000000"/>
            </w:tcBorders>
            <w:shd w:val="clear" w:color="auto" w:fill="auto"/>
            <w:vAlign w:val="center"/>
          </w:tcPr>
          <w:p w14:paraId="2F54C93B" w14:textId="7E4F8EAE"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Transporte</w:t>
            </w:r>
          </w:p>
        </w:tc>
      </w:tr>
      <w:tr w:rsidR="00EE3A66" w:rsidRPr="005D6E40" w14:paraId="688088B3"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614FA2F5" w14:textId="77777777" w:rsidR="00EE3A66" w:rsidRPr="005D6E40" w:rsidRDefault="00EE3A66" w:rsidP="00550E1B">
            <w:pPr>
              <w:spacing w:after="0" w:line="240" w:lineRule="auto"/>
              <w:jc w:val="both"/>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10. Precio Máximo de Venta al Distribuidor Mayorista</w:t>
            </w:r>
          </w:p>
        </w:tc>
        <w:tc>
          <w:tcPr>
            <w:tcW w:w="2941" w:type="dxa"/>
            <w:tcBorders>
              <w:top w:val="nil"/>
              <w:left w:val="nil"/>
              <w:bottom w:val="single" w:sz="4" w:space="0" w:color="000000"/>
              <w:right w:val="single" w:sz="4" w:space="0" w:color="000000"/>
            </w:tcBorders>
            <w:shd w:val="clear" w:color="auto" w:fill="auto"/>
            <w:vAlign w:val="center"/>
          </w:tcPr>
          <w:p w14:paraId="472B7050" w14:textId="1CE6566E" w:rsidR="00EE3A66" w:rsidRPr="005D6E40" w:rsidRDefault="00EE3A66" w:rsidP="005D6E40">
            <w:pPr>
              <w:spacing w:after="0" w:line="240" w:lineRule="auto"/>
              <w:jc w:val="both"/>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Subtotal</w:t>
            </w:r>
          </w:p>
        </w:tc>
      </w:tr>
      <w:tr w:rsidR="00EE3A66" w:rsidRPr="005D6E40" w14:paraId="1DA0DAFB"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FFE599"/>
            <w:vAlign w:val="center"/>
          </w:tcPr>
          <w:p w14:paraId="26091A7D" w14:textId="77777777"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11. IVA sobre el Margen del distribuidor mayorista</w:t>
            </w:r>
          </w:p>
        </w:tc>
        <w:tc>
          <w:tcPr>
            <w:tcW w:w="2941" w:type="dxa"/>
            <w:tcBorders>
              <w:top w:val="nil"/>
              <w:left w:val="nil"/>
              <w:bottom w:val="single" w:sz="4" w:space="0" w:color="000000"/>
              <w:right w:val="single" w:sz="4" w:space="0" w:color="000000"/>
            </w:tcBorders>
            <w:shd w:val="clear" w:color="auto" w:fill="FFE599"/>
            <w:vAlign w:val="center"/>
          </w:tcPr>
          <w:p w14:paraId="4649F09F" w14:textId="3508B0D5"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Impuesto</w:t>
            </w:r>
          </w:p>
        </w:tc>
      </w:tr>
      <w:tr w:rsidR="00EE3A66" w:rsidRPr="005D6E40" w14:paraId="01F0E884"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FFE599"/>
            <w:vAlign w:val="center"/>
          </w:tcPr>
          <w:p w14:paraId="3EFD9325" w14:textId="77777777"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12. Sobretasa</w:t>
            </w:r>
          </w:p>
        </w:tc>
        <w:tc>
          <w:tcPr>
            <w:tcW w:w="2941" w:type="dxa"/>
            <w:tcBorders>
              <w:top w:val="nil"/>
              <w:left w:val="nil"/>
              <w:bottom w:val="single" w:sz="4" w:space="0" w:color="000000"/>
              <w:right w:val="single" w:sz="4" w:space="0" w:color="000000"/>
            </w:tcBorders>
            <w:shd w:val="clear" w:color="auto" w:fill="FFE599"/>
            <w:vAlign w:val="center"/>
          </w:tcPr>
          <w:p w14:paraId="2102C29E" w14:textId="795C84EC"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Impuesto</w:t>
            </w:r>
          </w:p>
        </w:tc>
      </w:tr>
      <w:tr w:rsidR="00EE3A66" w:rsidRPr="005D6E40" w14:paraId="49C19DE2"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1214BD83" w14:textId="77777777"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13. Margen del distribuidor mayorista</w:t>
            </w:r>
          </w:p>
        </w:tc>
        <w:tc>
          <w:tcPr>
            <w:tcW w:w="2941" w:type="dxa"/>
            <w:tcBorders>
              <w:top w:val="nil"/>
              <w:left w:val="nil"/>
              <w:bottom w:val="single" w:sz="4" w:space="0" w:color="000000"/>
              <w:right w:val="single" w:sz="4" w:space="0" w:color="000000"/>
            </w:tcBorders>
            <w:shd w:val="clear" w:color="auto" w:fill="auto"/>
            <w:vAlign w:val="center"/>
          </w:tcPr>
          <w:p w14:paraId="40B70EDA" w14:textId="6D6456A8"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Margen de distribuidor</w:t>
            </w:r>
          </w:p>
        </w:tc>
      </w:tr>
      <w:tr w:rsidR="00EE3A66" w:rsidRPr="005D6E40" w14:paraId="39D3327B"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23D2B507" w14:textId="77777777" w:rsidR="00EE3A66" w:rsidRPr="005D6E40" w:rsidRDefault="00EE3A66" w:rsidP="00550E1B">
            <w:pPr>
              <w:spacing w:after="0" w:line="240" w:lineRule="auto"/>
              <w:jc w:val="both"/>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14. Precio Máximo en Planta de Abastecimiento Mayorista</w:t>
            </w:r>
          </w:p>
        </w:tc>
        <w:tc>
          <w:tcPr>
            <w:tcW w:w="2941" w:type="dxa"/>
            <w:tcBorders>
              <w:top w:val="nil"/>
              <w:left w:val="nil"/>
              <w:bottom w:val="single" w:sz="4" w:space="0" w:color="000000"/>
              <w:right w:val="single" w:sz="4" w:space="0" w:color="000000"/>
            </w:tcBorders>
            <w:shd w:val="clear" w:color="auto" w:fill="auto"/>
            <w:vAlign w:val="center"/>
          </w:tcPr>
          <w:p w14:paraId="6577A3C9" w14:textId="18A6CE2E" w:rsidR="00EE3A66" w:rsidRPr="005D6E40" w:rsidRDefault="00EE3A66" w:rsidP="005D6E40">
            <w:pPr>
              <w:spacing w:after="0" w:line="240" w:lineRule="auto"/>
              <w:jc w:val="both"/>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Subtotal</w:t>
            </w:r>
          </w:p>
        </w:tc>
      </w:tr>
      <w:tr w:rsidR="00EE3A66" w:rsidRPr="005D6E40" w14:paraId="2A7401FF"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76447810" w14:textId="77777777"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15. Margen del distribuidor minorista</w:t>
            </w:r>
          </w:p>
        </w:tc>
        <w:tc>
          <w:tcPr>
            <w:tcW w:w="2941" w:type="dxa"/>
            <w:tcBorders>
              <w:top w:val="nil"/>
              <w:left w:val="nil"/>
              <w:bottom w:val="single" w:sz="4" w:space="0" w:color="000000"/>
              <w:right w:val="single" w:sz="4" w:space="0" w:color="000000"/>
            </w:tcBorders>
            <w:shd w:val="clear" w:color="auto" w:fill="auto"/>
            <w:vAlign w:val="center"/>
          </w:tcPr>
          <w:p w14:paraId="3BBF06C8" w14:textId="77777777" w:rsidR="00EE3A66" w:rsidRPr="005D6E40" w:rsidRDefault="00EE3A66" w:rsidP="005D6E40">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Margen del distribuidor</w:t>
            </w:r>
          </w:p>
        </w:tc>
      </w:tr>
      <w:tr w:rsidR="00EE3A66" w:rsidRPr="005D6E40" w14:paraId="6977BA22"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3F7D5739" w14:textId="77777777" w:rsidR="00EE3A66" w:rsidRPr="005D6E40" w:rsidRDefault="00EE3A66" w:rsidP="00550E1B">
            <w:pPr>
              <w:spacing w:after="0" w:line="240" w:lineRule="auto"/>
              <w:jc w:val="both"/>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sz w:val="20"/>
                <w:szCs w:val="20"/>
              </w:rPr>
              <w:t>16. Transporte de la planta de abastecimiento mayorista a Estación.</w:t>
            </w:r>
          </w:p>
        </w:tc>
        <w:tc>
          <w:tcPr>
            <w:tcW w:w="2941" w:type="dxa"/>
            <w:tcBorders>
              <w:top w:val="nil"/>
              <w:left w:val="nil"/>
              <w:bottom w:val="single" w:sz="4" w:space="0" w:color="000000"/>
              <w:right w:val="single" w:sz="4" w:space="0" w:color="000000"/>
            </w:tcBorders>
            <w:shd w:val="clear" w:color="auto" w:fill="auto"/>
            <w:vAlign w:val="center"/>
          </w:tcPr>
          <w:p w14:paraId="4687F967" w14:textId="5240863D" w:rsidR="00EE3A66" w:rsidRPr="005D6E40" w:rsidRDefault="00EE3A66" w:rsidP="005D6E40">
            <w:pPr>
              <w:spacing w:after="0" w:line="240" w:lineRule="auto"/>
              <w:jc w:val="both"/>
              <w:rPr>
                <w:rFonts w:ascii="Work Sans Regular Roman" w:eastAsia="Work Sans Regular Roman" w:hAnsi="Work Sans Regular Roman" w:cs="Work Sans Regular Roman"/>
                <w:b/>
                <w:bCs/>
                <w:sz w:val="20"/>
                <w:szCs w:val="20"/>
                <w:u w:val="single"/>
              </w:rPr>
            </w:pPr>
            <w:r w:rsidRPr="005D6E40">
              <w:rPr>
                <w:rFonts w:ascii="Work Sans Regular Roman" w:eastAsia="Work Sans Regular Roman" w:hAnsi="Work Sans Regular Roman" w:cs="Work Sans Regular Roman"/>
                <w:sz w:val="20"/>
                <w:szCs w:val="20"/>
              </w:rPr>
              <w:t>Transporte</w:t>
            </w:r>
          </w:p>
        </w:tc>
      </w:tr>
      <w:tr w:rsidR="00EE3A66" w:rsidRPr="005D6E40" w14:paraId="252847BD" w14:textId="77777777" w:rsidTr="005D6E40">
        <w:trPr>
          <w:trHeight w:val="340"/>
          <w:jc w:val="center"/>
        </w:trPr>
        <w:tc>
          <w:tcPr>
            <w:tcW w:w="6169" w:type="dxa"/>
            <w:tcBorders>
              <w:top w:val="nil"/>
              <w:left w:val="single" w:sz="4" w:space="0" w:color="000000"/>
              <w:bottom w:val="single" w:sz="4" w:space="0" w:color="000000"/>
              <w:right w:val="single" w:sz="4" w:space="0" w:color="000000"/>
            </w:tcBorders>
            <w:shd w:val="clear" w:color="auto" w:fill="auto"/>
            <w:vAlign w:val="center"/>
          </w:tcPr>
          <w:p w14:paraId="312CA2C3" w14:textId="77777777" w:rsidR="00EE3A66" w:rsidRPr="005D6E40" w:rsidRDefault="00EE3A66" w:rsidP="00550E1B">
            <w:pPr>
              <w:spacing w:after="0" w:line="240" w:lineRule="auto"/>
              <w:jc w:val="both"/>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17. Precio de Referencia de Venta por galón. $/GAL</w:t>
            </w:r>
          </w:p>
        </w:tc>
        <w:tc>
          <w:tcPr>
            <w:tcW w:w="2941" w:type="dxa"/>
            <w:tcBorders>
              <w:top w:val="nil"/>
              <w:left w:val="nil"/>
              <w:bottom w:val="single" w:sz="4" w:space="0" w:color="000000"/>
              <w:right w:val="single" w:sz="4" w:space="0" w:color="000000"/>
            </w:tcBorders>
            <w:shd w:val="clear" w:color="auto" w:fill="auto"/>
            <w:vAlign w:val="center"/>
          </w:tcPr>
          <w:p w14:paraId="186CE8B6" w14:textId="67DF4776" w:rsidR="00EE3A66" w:rsidRPr="005D6E40" w:rsidRDefault="00EE3A66" w:rsidP="005D6E40">
            <w:pPr>
              <w:spacing w:after="0" w:line="240" w:lineRule="auto"/>
              <w:jc w:val="both"/>
              <w:rPr>
                <w:rFonts w:ascii="Work Sans Regular Roman" w:eastAsia="Work Sans Regular Roman" w:hAnsi="Work Sans Regular Roman" w:cs="Work Sans Regular Roman"/>
                <w:b/>
                <w:i/>
                <w:sz w:val="20"/>
                <w:szCs w:val="20"/>
              </w:rPr>
            </w:pPr>
            <w:r w:rsidRPr="005D6E40">
              <w:rPr>
                <w:rFonts w:ascii="Work Sans Regular Roman" w:eastAsia="Work Sans Regular Roman" w:hAnsi="Work Sans Regular Roman" w:cs="Work Sans Regular Roman"/>
                <w:b/>
                <w:i/>
                <w:sz w:val="20"/>
                <w:szCs w:val="20"/>
              </w:rPr>
              <w:t>Total</w:t>
            </w:r>
          </w:p>
        </w:tc>
      </w:tr>
    </w:tbl>
    <w:p w14:paraId="3F80E13D" w14:textId="77777777" w:rsidR="005D6E40" w:rsidRDefault="005D6E40" w:rsidP="005D6E40">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sz w:val="20"/>
          <w:szCs w:val="20"/>
        </w:rPr>
      </w:pPr>
    </w:p>
    <w:p w14:paraId="1554EB4A" w14:textId="3D5D4DDD" w:rsidR="00EE3A66" w:rsidRPr="005D6E40" w:rsidRDefault="00EE3A66" w:rsidP="005D6E40">
      <w:pPr>
        <w:pBdr>
          <w:top w:val="nil"/>
          <w:left w:val="nil"/>
          <w:bottom w:val="nil"/>
          <w:right w:val="nil"/>
          <w:between w:val="nil"/>
        </w:pBdr>
        <w:spacing w:after="0" w:line="240" w:lineRule="auto"/>
        <w:jc w:val="center"/>
        <w:rPr>
          <w:rFonts w:ascii="Work Sans Regular Roman" w:eastAsia="Work Sans Regular Roman" w:hAnsi="Work Sans Regular Roman" w:cs="Work Sans Regular Roman"/>
          <w:sz w:val="20"/>
          <w:szCs w:val="20"/>
        </w:rPr>
      </w:pPr>
      <w:r w:rsidRPr="005D6E40">
        <w:rPr>
          <w:rFonts w:ascii="Work Sans Regular Roman" w:eastAsia="Work Sans Regular Roman" w:hAnsi="Work Sans Regular Roman" w:cs="Work Sans Regular Roman"/>
          <w:b/>
          <w:bCs/>
          <w:sz w:val="20"/>
          <w:szCs w:val="20"/>
        </w:rPr>
        <w:t xml:space="preserve">Fuente: </w:t>
      </w:r>
      <w:r w:rsidRPr="005D6E40">
        <w:rPr>
          <w:rFonts w:ascii="Work Sans Regular Roman" w:eastAsia="Work Sans Regular Roman" w:hAnsi="Work Sans Regular Roman" w:cs="Work Sans Regular Roman"/>
          <w:sz w:val="20"/>
          <w:szCs w:val="20"/>
        </w:rPr>
        <w:t>Dirección de Hidrocarburos Ministerio de Minas y Energía</w:t>
      </w:r>
    </w:p>
    <w:p w14:paraId="47D17DB9" w14:textId="77777777" w:rsidR="00EE3A66" w:rsidRPr="00550E1B" w:rsidRDefault="00EE3A66" w:rsidP="00550E1B">
      <w:pPr>
        <w:pBdr>
          <w:top w:val="nil"/>
          <w:left w:val="nil"/>
          <w:bottom w:val="nil"/>
          <w:right w:val="nil"/>
          <w:between w:val="nil"/>
        </w:pBdr>
        <w:spacing w:after="0" w:line="240" w:lineRule="auto"/>
        <w:jc w:val="both"/>
        <w:rPr>
          <w:rFonts w:ascii="Work Sans Regular Roman" w:eastAsia="Work Sans Regular Roman" w:hAnsi="Work Sans Regular Roman" w:cs="Work Sans Regular Roman"/>
          <w:sz w:val="24"/>
          <w:szCs w:val="24"/>
        </w:rPr>
      </w:pPr>
    </w:p>
    <w:p w14:paraId="4F8A3CB6" w14:textId="77777777" w:rsidR="00EE3A66" w:rsidRPr="00550E1B" w:rsidRDefault="00EE3A66" w:rsidP="00550E1B">
      <w:pPr>
        <w:pBdr>
          <w:top w:val="nil"/>
          <w:left w:val="nil"/>
          <w:bottom w:val="nil"/>
          <w:right w:val="nil"/>
          <w:between w:val="nil"/>
        </w:pBdr>
        <w:spacing w:after="0" w:line="240" w:lineRule="auto"/>
        <w:jc w:val="both"/>
        <w:rPr>
          <w:rFonts w:ascii="Work Sans Regular Roman" w:eastAsia="Work Sans Regular Roman" w:hAnsi="Work Sans Regular Roman" w:cs="Work Sans Regular Roman"/>
          <w:sz w:val="24"/>
          <w:szCs w:val="24"/>
        </w:rPr>
      </w:pPr>
    </w:p>
    <w:p w14:paraId="5884016B" w14:textId="39F68D9C" w:rsidR="00EE3A66" w:rsidRPr="005D6E40" w:rsidRDefault="00EE3A66">
      <w:pPr>
        <w:pStyle w:val="Prrafodelista"/>
        <w:numPr>
          <w:ilvl w:val="0"/>
          <w:numId w:val="7"/>
        </w:numPr>
        <w:spacing w:after="0" w:line="240" w:lineRule="auto"/>
        <w:ind w:hanging="436"/>
        <w:jc w:val="both"/>
        <w:rPr>
          <w:rFonts w:ascii="Work Sans Regular Roman" w:eastAsia="Work Sans Regular Roman" w:hAnsi="Work Sans Regular Roman" w:cstheme="minorHAnsi"/>
          <w:b/>
          <w:bCs/>
          <w:sz w:val="24"/>
          <w:szCs w:val="24"/>
        </w:rPr>
      </w:pPr>
      <w:r w:rsidRPr="005D6E40">
        <w:rPr>
          <w:rFonts w:ascii="Work Sans Regular Roman" w:eastAsia="Work Sans Regular Roman" w:hAnsi="Work Sans Regular Roman" w:cstheme="minorHAnsi"/>
          <w:b/>
          <w:bCs/>
          <w:sz w:val="24"/>
          <w:szCs w:val="24"/>
        </w:rPr>
        <w:t>¿Informar cuál es el sistema costeo e impuestos al combustible importado para fijar los precios?</w:t>
      </w:r>
    </w:p>
    <w:p w14:paraId="5B3748DA" w14:textId="77777777" w:rsidR="00EE3A66" w:rsidRPr="00550E1B" w:rsidRDefault="00EE3A66" w:rsidP="00550E1B">
      <w:pPr>
        <w:spacing w:after="0" w:line="240" w:lineRule="auto"/>
        <w:jc w:val="both"/>
        <w:rPr>
          <w:rFonts w:ascii="Work Sans Regular Roman" w:eastAsia="Work Sans Regular Roman" w:hAnsi="Work Sans Regular Roman" w:cstheme="minorHAnsi"/>
          <w:sz w:val="24"/>
          <w:szCs w:val="24"/>
        </w:rPr>
      </w:pPr>
    </w:p>
    <w:p w14:paraId="1359BCDA" w14:textId="77777777" w:rsidR="005D6E40" w:rsidRDefault="00EE3A66"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 xml:space="preserve">Dentro de la estructura de precios de los combustibles en Colombia, no se observa una distinción de costos entre los productos nacionales e importados. Los Ministerios de Hacienda y Crédito Público y de Minas y Energía, o la entidad delegada, establecen la metodología de cálculo del valor del ingreso al productor de los combustibles líquidos y biocombustibles, sin hacer diferenciación en términos de origen. </w:t>
      </w:r>
    </w:p>
    <w:p w14:paraId="6C9F911A" w14:textId="77777777" w:rsidR="005D6E40" w:rsidRDefault="005D6E40" w:rsidP="00550E1B">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p w14:paraId="2B386BEB" w14:textId="518292BC" w:rsidR="007C0C77" w:rsidRDefault="00EE3A66" w:rsidP="005D6E40">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r w:rsidRPr="00550E1B">
        <w:rPr>
          <w:rFonts w:ascii="Work Sans Regular Roman" w:eastAsia="Work Sans Regular Roman" w:hAnsi="Work Sans Regular Roman" w:cstheme="minorHAnsi"/>
          <w:sz w:val="24"/>
          <w:szCs w:val="24"/>
        </w:rPr>
        <w:t>Asimismo, la Comisión de Regulación de Energía y Gas</w:t>
      </w:r>
      <w:r w:rsidR="005D6E40">
        <w:rPr>
          <w:rFonts w:ascii="Work Sans Regular Roman" w:eastAsia="Work Sans Regular Roman" w:hAnsi="Work Sans Regular Roman" w:cstheme="minorHAnsi"/>
          <w:sz w:val="24"/>
          <w:szCs w:val="24"/>
        </w:rPr>
        <w:t xml:space="preserve"> </w:t>
      </w:r>
      <w:r w:rsidRPr="00550E1B">
        <w:rPr>
          <w:rFonts w:ascii="Work Sans Regular Roman" w:eastAsia="Work Sans Regular Roman" w:hAnsi="Work Sans Regular Roman" w:cstheme="minorHAnsi"/>
          <w:sz w:val="24"/>
          <w:szCs w:val="24"/>
        </w:rPr>
        <w:t>define las tarifas y márgenes asociados a la remuneración de toda la cadena de distribución, sin hacer referencia específica a una diferenciación entre los productos nacionales e importados. En resumen, la estructura de precios no distingue entre el producto nacional e importado en Colombia.</w:t>
      </w:r>
    </w:p>
    <w:p w14:paraId="19442438" w14:textId="662E3DBA" w:rsidR="005D6E40" w:rsidRDefault="005D6E40" w:rsidP="005D6E40">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p w14:paraId="0FF1571F" w14:textId="27A34485" w:rsidR="005D6E40" w:rsidRPr="00223B50" w:rsidRDefault="005D6E40" w:rsidP="005D6E40">
      <w:pPr>
        <w:spacing w:after="0" w:line="240" w:lineRule="auto"/>
        <w:jc w:val="both"/>
        <w:rPr>
          <w:rFonts w:ascii="Work Sans Regular Roman" w:eastAsia="Times New Roman" w:hAnsi="Work Sans Regular Roman" w:cs="Calibri"/>
          <w:color w:val="000000"/>
          <w:sz w:val="24"/>
          <w:szCs w:val="24"/>
          <w:lang w:eastAsia="es-CO"/>
        </w:rPr>
      </w:pPr>
      <w:r w:rsidRPr="00066489">
        <w:rPr>
          <w:rFonts w:ascii="Work Sans Regular Roman" w:eastAsia="Times New Roman" w:hAnsi="Work Sans Regular Roman" w:cs="Calibri"/>
          <w:color w:val="000000"/>
          <w:sz w:val="24"/>
          <w:szCs w:val="24"/>
          <w:lang w:eastAsia="es-CO"/>
        </w:rPr>
        <w:t xml:space="preserve">Esperamos haber resuelto de manera satisfactoria </w:t>
      </w:r>
      <w:r>
        <w:rPr>
          <w:rFonts w:ascii="Work Sans Regular Roman" w:eastAsia="Times New Roman" w:hAnsi="Work Sans Regular Roman" w:cs="Calibri"/>
          <w:color w:val="000000"/>
          <w:sz w:val="24"/>
          <w:szCs w:val="24"/>
          <w:lang w:eastAsia="es-CO"/>
        </w:rPr>
        <w:t>el</w:t>
      </w:r>
      <w:r w:rsidRPr="00066489">
        <w:rPr>
          <w:rFonts w:ascii="Work Sans Regular Roman" w:eastAsia="Times New Roman" w:hAnsi="Work Sans Regular Roman" w:cs="Calibri"/>
          <w:color w:val="000000"/>
          <w:sz w:val="24"/>
          <w:szCs w:val="24"/>
          <w:lang w:eastAsia="es-CO"/>
        </w:rPr>
        <w:t xml:space="preserve"> presente </w:t>
      </w:r>
      <w:r>
        <w:rPr>
          <w:rFonts w:ascii="Work Sans Regular Roman" w:eastAsia="Times New Roman" w:hAnsi="Work Sans Regular Roman" w:cs="Calibri"/>
          <w:color w:val="000000"/>
          <w:sz w:val="24"/>
          <w:szCs w:val="24"/>
          <w:lang w:eastAsia="es-CO"/>
        </w:rPr>
        <w:t>cuestionario</w:t>
      </w:r>
      <w:r w:rsidRPr="00066489">
        <w:rPr>
          <w:rFonts w:ascii="Work Sans Regular Roman" w:eastAsia="Times New Roman" w:hAnsi="Work Sans Regular Roman" w:cs="Calibri"/>
          <w:color w:val="000000"/>
          <w:sz w:val="24"/>
          <w:szCs w:val="24"/>
          <w:lang w:eastAsia="es-CO"/>
        </w:rPr>
        <w:t>, señalando que de requerirse alguna información adicional con gusto será atendida.</w:t>
      </w:r>
    </w:p>
    <w:p w14:paraId="1702EA0E" w14:textId="77777777" w:rsidR="005D6E40" w:rsidRPr="005D6E40" w:rsidRDefault="005D6E40" w:rsidP="005D6E40">
      <w:pPr>
        <w:pBdr>
          <w:top w:val="nil"/>
          <w:left w:val="nil"/>
          <w:bottom w:val="nil"/>
          <w:right w:val="nil"/>
          <w:between w:val="nil"/>
        </w:pBdr>
        <w:spacing w:after="0" w:line="240" w:lineRule="auto"/>
        <w:jc w:val="both"/>
        <w:rPr>
          <w:rFonts w:ascii="Work Sans Regular Roman" w:eastAsia="Work Sans Regular Roman" w:hAnsi="Work Sans Regular Roman" w:cstheme="minorHAnsi"/>
          <w:sz w:val="24"/>
          <w:szCs w:val="24"/>
        </w:rPr>
      </w:pPr>
    </w:p>
    <w:sectPr w:rsidR="005D6E40" w:rsidRPr="005D6E40" w:rsidSect="009110B9">
      <w:pgSz w:w="12240" w:h="15840"/>
      <w:pgMar w:top="1991" w:right="1418" w:bottom="1588" w:left="1418" w:header="573" w:footer="1531" w:gutter="0"/>
      <w:cols w:space="720"/>
      <w:formProt w:val="0"/>
      <w:docGrid w:linePitch="360" w:charSpace="1638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0CEFF" w14:textId="77777777" w:rsidR="0089030E" w:rsidRDefault="0089030E">
      <w:pPr>
        <w:spacing w:after="0" w:line="240" w:lineRule="auto"/>
      </w:pPr>
      <w:r>
        <w:separator/>
      </w:r>
    </w:p>
  </w:endnote>
  <w:endnote w:type="continuationSeparator" w:id="0">
    <w:p w14:paraId="365CB36E" w14:textId="77777777" w:rsidR="0089030E" w:rsidRDefault="00890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Bitstream Vera Sans">
    <w:panose1 w:val="00000000000000000000"/>
    <w:charset w:val="00"/>
    <w:family w:val="roman"/>
    <w:notTrueType/>
    <w:pitch w:val="default"/>
  </w:font>
  <w:font w:name="FreeSans">
    <w:altName w:val="Times New Roman"/>
    <w:panose1 w:val="00000000000000000000"/>
    <w:charset w:val="00"/>
    <w:family w:val="roman"/>
    <w:notTrueType/>
    <w:pitch w:val="default"/>
  </w:font>
  <w:font w:name="Work Sans Regular Roman">
    <w:altName w:val="Times New Roman"/>
    <w:charset w:val="00"/>
    <w:family w:val="auto"/>
    <w:pitch w:val="variable"/>
    <w:sig w:usb0="00000001" w:usb1="5000E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25EFB" w14:textId="02C74B51" w:rsidR="00DE1913" w:rsidRDefault="005646C4">
    <w:pPr>
      <w:pStyle w:val="Piedepgina"/>
    </w:pPr>
    <w:r>
      <w:rPr>
        <w:noProof/>
        <w:lang w:eastAsia="es-CO"/>
      </w:rPr>
      <w:drawing>
        <wp:anchor distT="0" distB="0" distL="114300" distR="114300" simplePos="0" relativeHeight="251661312" behindDoc="0" locked="0" layoutInCell="1" allowOverlap="1" wp14:anchorId="32A11AEC" wp14:editId="0B665D61">
          <wp:simplePos x="0" y="0"/>
          <wp:positionH relativeFrom="margin">
            <wp:align>left</wp:align>
          </wp:positionH>
          <wp:positionV relativeFrom="paragraph">
            <wp:posOffset>167640</wp:posOffset>
          </wp:positionV>
          <wp:extent cx="4678680" cy="754380"/>
          <wp:effectExtent l="0" t="0" r="0" b="7620"/>
          <wp:wrapSquare wrapText="bothSides"/>
          <wp:docPr id="2078748698" name="Imagen 2078748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868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B2B73">
      <w:rPr>
        <w:noProof/>
        <w:lang w:eastAsia="es-CO"/>
      </w:rPr>
      <w:drawing>
        <wp:anchor distT="0" distB="0" distL="0" distR="0" simplePos="0" relativeHeight="2" behindDoc="1" locked="0" layoutInCell="0" allowOverlap="1" wp14:anchorId="4DACDF0C" wp14:editId="78656771">
          <wp:simplePos x="0" y="0"/>
          <wp:positionH relativeFrom="page">
            <wp:posOffset>6362700</wp:posOffset>
          </wp:positionH>
          <wp:positionV relativeFrom="paragraph">
            <wp:posOffset>213360</wp:posOffset>
          </wp:positionV>
          <wp:extent cx="1397000" cy="934720"/>
          <wp:effectExtent l="0" t="0" r="0" b="0"/>
          <wp:wrapNone/>
          <wp:docPr id="65432253" name="Imagen 6543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pic:cNvPicPr>
                </pic:nvPicPr>
                <pic:blipFill rotWithShape="1">
                  <a:blip r:embed="rId2"/>
                  <a:srcRect l="81979"/>
                  <a:stretch/>
                </pic:blipFill>
                <pic:spPr bwMode="auto">
                  <a:xfrm>
                    <a:off x="0" y="0"/>
                    <a:ext cx="1397000" cy="934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6A4BD" w14:textId="77777777" w:rsidR="0089030E" w:rsidRDefault="0089030E">
      <w:pPr>
        <w:spacing w:after="0" w:line="240" w:lineRule="auto"/>
      </w:pPr>
      <w:r>
        <w:separator/>
      </w:r>
    </w:p>
  </w:footnote>
  <w:footnote w:type="continuationSeparator" w:id="0">
    <w:p w14:paraId="7F9D75CE" w14:textId="77777777" w:rsidR="0089030E" w:rsidRDefault="00890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0614062"/>
      <w:docPartObj>
        <w:docPartGallery w:val="Page Numbers (Top of Page)"/>
        <w:docPartUnique/>
      </w:docPartObj>
    </w:sdtPr>
    <w:sdtEndPr/>
    <w:sdtContent>
      <w:p w14:paraId="4A7D4DE7" w14:textId="4BFDFAFE" w:rsidR="00892C0E" w:rsidRDefault="00892C0E">
        <w:pPr>
          <w:pStyle w:val="Encabezado"/>
          <w:jc w:val="right"/>
          <w:rPr>
            <w:noProof/>
          </w:rPr>
        </w:pPr>
        <w:r w:rsidRPr="00892C0E">
          <w:rPr>
            <w:noProof/>
            <w:lang w:eastAsia="es-CO"/>
          </w:rPr>
          <w:drawing>
            <wp:anchor distT="0" distB="0" distL="114300" distR="114300" simplePos="0" relativeHeight="251664384" behindDoc="0" locked="0" layoutInCell="1" allowOverlap="1" wp14:anchorId="3CB8430B" wp14:editId="31E137AA">
              <wp:simplePos x="0" y="0"/>
              <wp:positionH relativeFrom="margin">
                <wp:posOffset>-507076</wp:posOffset>
              </wp:positionH>
              <wp:positionV relativeFrom="paragraph">
                <wp:posOffset>190673</wp:posOffset>
              </wp:positionV>
              <wp:extent cx="2386330" cy="701040"/>
              <wp:effectExtent l="0" t="0" r="0" b="0"/>
              <wp:wrapSquare wrapText="bothSides"/>
              <wp:docPr id="1227220964" name="Imagen 1227220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6330" cy="701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62CB07" w14:textId="6992D12A" w:rsidR="00892C0E" w:rsidRDefault="00892C0E">
        <w:pPr>
          <w:pStyle w:val="Encabezado"/>
          <w:jc w:val="right"/>
          <w:rPr>
            <w:noProof/>
          </w:rPr>
        </w:pPr>
        <w:r w:rsidRPr="00892C0E">
          <w:rPr>
            <w:noProof/>
            <w:lang w:eastAsia="es-CO"/>
          </w:rPr>
          <w:drawing>
            <wp:anchor distT="0" distB="0" distL="114300" distR="114300" simplePos="0" relativeHeight="251663360" behindDoc="0" locked="0" layoutInCell="1" allowOverlap="1" wp14:anchorId="1FEE9544" wp14:editId="2B651B6F">
              <wp:simplePos x="0" y="0"/>
              <wp:positionH relativeFrom="margin">
                <wp:posOffset>4624359</wp:posOffset>
              </wp:positionH>
              <wp:positionV relativeFrom="paragraph">
                <wp:posOffset>127808</wp:posOffset>
              </wp:positionV>
              <wp:extent cx="1634490" cy="480060"/>
              <wp:effectExtent l="0" t="0" r="0" b="0"/>
              <wp:wrapSquare wrapText="bothSides"/>
              <wp:docPr id="1892455345" name="Imagen 1892455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4490" cy="480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66BE6" w14:textId="77777777" w:rsidR="00892C0E" w:rsidRDefault="00892C0E">
        <w:pPr>
          <w:pStyle w:val="Encabezado"/>
          <w:jc w:val="right"/>
          <w:rPr>
            <w:noProof/>
          </w:rPr>
        </w:pPr>
      </w:p>
      <w:p w14:paraId="10EE52E8" w14:textId="77777777" w:rsidR="00892C0E" w:rsidRDefault="00892C0E">
        <w:pPr>
          <w:pStyle w:val="Encabezado"/>
          <w:jc w:val="right"/>
          <w:rPr>
            <w:noProof/>
          </w:rPr>
        </w:pPr>
      </w:p>
      <w:p w14:paraId="64ACE5FF" w14:textId="44ECD6ED" w:rsidR="00892C0E" w:rsidRDefault="0089030E">
        <w:pPr>
          <w:pStyle w:val="Encabezado"/>
          <w:jc w:val="right"/>
          <w:rPr>
            <w:noProof/>
          </w:rPr>
        </w:pPr>
      </w:p>
    </w:sdtContent>
  </w:sdt>
  <w:p w14:paraId="2E443FA2" w14:textId="77777777" w:rsidR="00DE1913" w:rsidRDefault="00DE1913">
    <w:pPr>
      <w:tabs>
        <w:tab w:val="left" w:pos="1485"/>
      </w:tabs>
      <w:snapToGrid w:val="0"/>
      <w:spacing w:after="0" w:line="240" w:lineRule="auto"/>
      <w:jc w:val="right"/>
      <w:textAlignment w:val="baseline"/>
      <w:rPr>
        <w:rFonts w:ascii="Arial" w:hAnsi="Arial"/>
        <w:lang w:val="es-E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0385C"/>
    <w:multiLevelType w:val="hybridMultilevel"/>
    <w:tmpl w:val="76983624"/>
    <w:lvl w:ilvl="0" w:tplc="8D520C4A">
      <w:start w:val="1"/>
      <w:numFmt w:val="lowerLetter"/>
      <w:lvlText w:val="%1."/>
      <w:lvlJc w:val="left"/>
      <w:pPr>
        <w:ind w:left="720" w:hanging="360"/>
      </w:pPr>
      <w:rPr>
        <w:rFonts w:hint="default"/>
        <w:b w:val="0"/>
        <w:bCs w:val="0"/>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6365389"/>
    <w:multiLevelType w:val="hybridMultilevel"/>
    <w:tmpl w:val="1B4C9406"/>
    <w:lvl w:ilvl="0" w:tplc="73EC93C6">
      <w:start w:val="2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6933580"/>
    <w:multiLevelType w:val="hybridMultilevel"/>
    <w:tmpl w:val="3D4023C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223B6292"/>
    <w:multiLevelType w:val="hybridMultilevel"/>
    <w:tmpl w:val="F460C11A"/>
    <w:lvl w:ilvl="0" w:tplc="4C1ADAA8">
      <w:start w:val="2"/>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12A22C3"/>
    <w:multiLevelType w:val="hybridMultilevel"/>
    <w:tmpl w:val="6B620002"/>
    <w:lvl w:ilvl="0" w:tplc="240A0019">
      <w:start w:val="1"/>
      <w:numFmt w:val="lowerLetter"/>
      <w:lvlText w:val="%1."/>
      <w:lvlJc w:val="left"/>
      <w:pPr>
        <w:ind w:left="720" w:hanging="360"/>
      </w:pPr>
      <w:rPr>
        <w:rFonts w:hint="default"/>
        <w:b/>
        <w:bCs/>
      </w:rPr>
    </w:lvl>
    <w:lvl w:ilvl="1" w:tplc="2498679E">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2AE4485"/>
    <w:multiLevelType w:val="hybridMultilevel"/>
    <w:tmpl w:val="EB884F8C"/>
    <w:lvl w:ilvl="0" w:tplc="92FAEEF2">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5537C3"/>
    <w:multiLevelType w:val="hybridMultilevel"/>
    <w:tmpl w:val="A802E950"/>
    <w:lvl w:ilvl="0" w:tplc="C4C0B16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E584E50"/>
    <w:multiLevelType w:val="multilevel"/>
    <w:tmpl w:val="EB884F8C"/>
    <w:styleLink w:val="Listaactual2"/>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EC75325"/>
    <w:multiLevelType w:val="multilevel"/>
    <w:tmpl w:val="A802E950"/>
    <w:styleLink w:val="Listaactual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D131C42"/>
    <w:multiLevelType w:val="multilevel"/>
    <w:tmpl w:val="D16255F6"/>
    <w:styleLink w:val="Listaactual3"/>
    <w:lvl w:ilvl="0">
      <w:start w:val="9"/>
      <w:numFmt w:val="decimal"/>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6"/>
  </w:num>
  <w:num w:numId="3">
    <w:abstractNumId w:val="5"/>
  </w:num>
  <w:num w:numId="4">
    <w:abstractNumId w:val="8"/>
  </w:num>
  <w:num w:numId="5">
    <w:abstractNumId w:val="4"/>
  </w:num>
  <w:num w:numId="6">
    <w:abstractNumId w:val="7"/>
  </w:num>
  <w:num w:numId="7">
    <w:abstractNumId w:val="1"/>
  </w:num>
  <w:num w:numId="8">
    <w:abstractNumId w:val="9"/>
  </w:num>
  <w:num w:numId="9">
    <w:abstractNumId w:val="0"/>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913"/>
    <w:rsid w:val="00012CF1"/>
    <w:rsid w:val="000A26BF"/>
    <w:rsid w:val="00135B25"/>
    <w:rsid w:val="001C0C3C"/>
    <w:rsid w:val="00342281"/>
    <w:rsid w:val="003B2B73"/>
    <w:rsid w:val="00404B1F"/>
    <w:rsid w:val="00406101"/>
    <w:rsid w:val="00420DEB"/>
    <w:rsid w:val="00550E1B"/>
    <w:rsid w:val="005646C4"/>
    <w:rsid w:val="005D6E40"/>
    <w:rsid w:val="0060771E"/>
    <w:rsid w:val="007A5A72"/>
    <w:rsid w:val="007C0C77"/>
    <w:rsid w:val="008319C2"/>
    <w:rsid w:val="0089030E"/>
    <w:rsid w:val="00892C0E"/>
    <w:rsid w:val="008F10A1"/>
    <w:rsid w:val="009110B9"/>
    <w:rsid w:val="009359F1"/>
    <w:rsid w:val="00961019"/>
    <w:rsid w:val="0099525B"/>
    <w:rsid w:val="009C4B09"/>
    <w:rsid w:val="009D0B9C"/>
    <w:rsid w:val="00B4250F"/>
    <w:rsid w:val="00BA76C7"/>
    <w:rsid w:val="00BF201B"/>
    <w:rsid w:val="00CD23AC"/>
    <w:rsid w:val="00CE6D70"/>
    <w:rsid w:val="00D7356F"/>
    <w:rsid w:val="00D94988"/>
    <w:rsid w:val="00DC7B37"/>
    <w:rsid w:val="00DE1913"/>
    <w:rsid w:val="00E260F9"/>
    <w:rsid w:val="00E37AC0"/>
    <w:rsid w:val="00E51D42"/>
    <w:rsid w:val="00E722A3"/>
    <w:rsid w:val="00E823F2"/>
    <w:rsid w:val="00EB3862"/>
    <w:rsid w:val="00EC6115"/>
    <w:rsid w:val="00EE3A66"/>
    <w:rsid w:val="00F87917"/>
    <w:rsid w:val="00FA439A"/>
  </w:rsids>
  <m:mathPr>
    <m:mathFont m:val="Cambria Math"/>
    <m:brkBin m:val="before"/>
    <m:brkBinSub m:val="--"/>
    <m:smallFrac m:val="0"/>
    <m:dispDef/>
    <m:lMargin m:val="0"/>
    <m:rMargin m:val="0"/>
    <m:defJc m:val="centerGroup"/>
    <m:wrapIndent m:val="1440"/>
    <m:intLim m:val="subSup"/>
    <m:naryLim m:val="undOvr"/>
  </m:mathPr>
  <w:themeFontLang w:val="es-CO"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83ACB"/>
  <w15:docId w15:val="{3D21B7EB-ACCF-459A-9F5C-376FD846E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EF3"/>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qFormat/>
    <w:rsid w:val="004B5EF3"/>
  </w:style>
  <w:style w:type="character" w:customStyle="1" w:styleId="PiedepginaCar">
    <w:name w:val="Pie de página Car"/>
    <w:basedOn w:val="Fuentedeprrafopredeter"/>
    <w:link w:val="Piedepgina"/>
    <w:uiPriority w:val="99"/>
    <w:qFormat/>
    <w:rsid w:val="004B5EF3"/>
  </w:style>
  <w:style w:type="character" w:customStyle="1" w:styleId="TextoindependienteCar">
    <w:name w:val="Texto independiente Car"/>
    <w:basedOn w:val="Fuentedeprrafopredeter"/>
    <w:link w:val="Textoindependiente"/>
    <w:qFormat/>
    <w:rsid w:val="004B5EF3"/>
    <w:rPr>
      <w:rFonts w:ascii="Arial" w:eastAsia="Times New Roman" w:hAnsi="Arial" w:cs="Times New Roman"/>
      <w:sz w:val="24"/>
      <w:szCs w:val="20"/>
      <w:lang w:val="es-ES_tradnl" w:eastAsia="es-ES"/>
    </w:rPr>
  </w:style>
  <w:style w:type="character" w:customStyle="1" w:styleId="TextoindependienteCar1">
    <w:name w:val="Texto independiente Car1"/>
    <w:basedOn w:val="Fuentedeprrafopredeter"/>
    <w:uiPriority w:val="99"/>
    <w:semiHidden/>
    <w:qFormat/>
    <w:rsid w:val="004B5EF3"/>
  </w:style>
  <w:style w:type="character" w:customStyle="1" w:styleId="EncabezadoCar1">
    <w:name w:val="Encabezado Car1"/>
    <w:basedOn w:val="Fuentedeprrafopredeter"/>
    <w:uiPriority w:val="99"/>
    <w:semiHidden/>
    <w:qFormat/>
    <w:rsid w:val="004B5EF3"/>
  </w:style>
  <w:style w:type="character" w:customStyle="1" w:styleId="PiedepginaCar1">
    <w:name w:val="Pie de página Car1"/>
    <w:basedOn w:val="Fuentedeprrafopredeter"/>
    <w:uiPriority w:val="99"/>
    <w:semiHidden/>
    <w:qFormat/>
    <w:rsid w:val="004B5EF3"/>
  </w:style>
  <w:style w:type="paragraph" w:customStyle="1" w:styleId="Ttulo1">
    <w:name w:val="Título1"/>
    <w:basedOn w:val="Normal"/>
    <w:next w:val="Textoindependiente"/>
    <w:qFormat/>
    <w:pPr>
      <w:keepNext/>
      <w:spacing w:before="240" w:after="120"/>
    </w:pPr>
    <w:rPr>
      <w:rFonts w:ascii="Liberation Sans" w:eastAsia="Bitstream Vera Sans" w:hAnsi="Liberation Sans" w:cs="FreeSans"/>
      <w:sz w:val="28"/>
      <w:szCs w:val="28"/>
    </w:rPr>
  </w:style>
  <w:style w:type="paragraph" w:styleId="Textoindependiente">
    <w:name w:val="Body Text"/>
    <w:basedOn w:val="Normal"/>
    <w:link w:val="TextoindependienteCar"/>
    <w:rsid w:val="004B5EF3"/>
    <w:pPr>
      <w:spacing w:after="0" w:line="240" w:lineRule="auto"/>
      <w:jc w:val="both"/>
    </w:pPr>
    <w:rPr>
      <w:rFonts w:ascii="Arial" w:eastAsia="Times New Roman" w:hAnsi="Arial" w:cs="Times New Roman"/>
      <w:sz w:val="24"/>
      <w:szCs w:val="20"/>
      <w:lang w:val="es-ES_tradnl" w:eastAsia="es-ES"/>
    </w:rPr>
  </w:style>
  <w:style w:type="paragraph" w:styleId="Lista">
    <w:name w:val="List"/>
    <w:basedOn w:val="Textoindependiente"/>
    <w:rPr>
      <w:rFonts w:cs="FreeSans"/>
    </w:rPr>
  </w:style>
  <w:style w:type="paragraph" w:styleId="Descripcin">
    <w:name w:val="caption"/>
    <w:basedOn w:val="Normal"/>
    <w:qFormat/>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Cabeceraypie">
    <w:name w:val="Cabecera y pie"/>
    <w:basedOn w:val="Normal"/>
    <w:qFormat/>
  </w:style>
  <w:style w:type="paragraph" w:styleId="Encabezado">
    <w:name w:val="header"/>
    <w:basedOn w:val="Normal"/>
    <w:link w:val="EncabezadoCar"/>
    <w:uiPriority w:val="99"/>
    <w:unhideWhenUsed/>
    <w:rsid w:val="004B5EF3"/>
    <w:pPr>
      <w:tabs>
        <w:tab w:val="center" w:pos="4419"/>
        <w:tab w:val="right" w:pos="8838"/>
      </w:tabs>
      <w:spacing w:after="0" w:line="240" w:lineRule="auto"/>
    </w:pPr>
  </w:style>
  <w:style w:type="paragraph" w:styleId="Piedepgina">
    <w:name w:val="footer"/>
    <w:basedOn w:val="Normal"/>
    <w:link w:val="PiedepginaCar"/>
    <w:uiPriority w:val="99"/>
    <w:unhideWhenUsed/>
    <w:rsid w:val="004B5EF3"/>
    <w:pPr>
      <w:tabs>
        <w:tab w:val="center" w:pos="4419"/>
        <w:tab w:val="right" w:pos="8838"/>
      </w:tabs>
      <w:spacing w:after="0" w:line="240" w:lineRule="auto"/>
    </w:p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paragraph" w:styleId="Prrafodelista">
    <w:name w:val="List Paragraph"/>
    <w:basedOn w:val="Normal"/>
    <w:uiPriority w:val="34"/>
    <w:qFormat/>
    <w:rsid w:val="00D94988"/>
    <w:pPr>
      <w:ind w:left="720"/>
      <w:contextualSpacing/>
    </w:pPr>
  </w:style>
  <w:style w:type="character" w:styleId="Hipervnculo">
    <w:name w:val="Hyperlink"/>
    <w:basedOn w:val="Fuentedeprrafopredeter"/>
    <w:uiPriority w:val="99"/>
    <w:unhideWhenUsed/>
    <w:rsid w:val="00EE3A66"/>
    <w:rPr>
      <w:color w:val="0563C1" w:themeColor="hyperlink"/>
      <w:u w:val="single"/>
    </w:rPr>
  </w:style>
  <w:style w:type="character" w:customStyle="1" w:styleId="UnresolvedMention">
    <w:name w:val="Unresolved Mention"/>
    <w:basedOn w:val="Fuentedeprrafopredeter"/>
    <w:uiPriority w:val="99"/>
    <w:semiHidden/>
    <w:unhideWhenUsed/>
    <w:rsid w:val="00EE3A66"/>
    <w:rPr>
      <w:color w:val="605E5C"/>
      <w:shd w:val="clear" w:color="auto" w:fill="E1DFDD"/>
    </w:rPr>
  </w:style>
  <w:style w:type="numbering" w:customStyle="1" w:styleId="Listaactual1">
    <w:name w:val="Lista actual1"/>
    <w:uiPriority w:val="99"/>
    <w:rsid w:val="00BF201B"/>
    <w:pPr>
      <w:numPr>
        <w:numId w:val="4"/>
      </w:numPr>
    </w:pPr>
  </w:style>
  <w:style w:type="numbering" w:customStyle="1" w:styleId="Listaactual2">
    <w:name w:val="Lista actual2"/>
    <w:uiPriority w:val="99"/>
    <w:rsid w:val="00BF201B"/>
    <w:pPr>
      <w:numPr>
        <w:numId w:val="6"/>
      </w:numPr>
    </w:pPr>
  </w:style>
  <w:style w:type="numbering" w:customStyle="1" w:styleId="Listaactual3">
    <w:name w:val="Lista actual3"/>
    <w:uiPriority w:val="99"/>
    <w:rsid w:val="00BA76C7"/>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158968">
      <w:bodyDiv w:val="1"/>
      <w:marLeft w:val="0"/>
      <w:marRight w:val="0"/>
      <w:marTop w:val="0"/>
      <w:marBottom w:val="0"/>
      <w:divBdr>
        <w:top w:val="none" w:sz="0" w:space="0" w:color="auto"/>
        <w:left w:val="none" w:sz="0" w:space="0" w:color="auto"/>
        <w:bottom w:val="none" w:sz="0" w:space="0" w:color="auto"/>
        <w:right w:val="none" w:sz="0" w:space="0" w:color="auto"/>
      </w:divBdr>
      <w:divsChild>
        <w:div w:id="180010929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inenergia.gov.co/documents/10143/MetodologiaHojaRuta-TEJ-2023.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icom.gov.co/index.php/consulta-de-precio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emf"/></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ysClr val="windowText" lastClr="000000"/>
                </a:solidFill>
                <a:latin typeface="WORK SANS REGULAR ROMAN" pitchFamily="2" charset="77"/>
                <a:ea typeface="+mn-ea"/>
                <a:cs typeface="+mn-cs"/>
              </a:defRPr>
            </a:pPr>
            <a:r>
              <a:rPr lang="es-CO" sz="1000" b="1"/>
              <a:t>Composición % P.V.P 13 ciudades principales</a:t>
            </a:r>
          </a:p>
          <a:p>
            <a:pPr>
              <a:defRPr/>
            </a:pPr>
            <a:r>
              <a:rPr lang="es-CO" sz="1000"/>
              <a:t>Corte mayo</a:t>
            </a:r>
            <a:r>
              <a:rPr lang="es-CO" sz="1000" baseline="0"/>
              <a:t> de </a:t>
            </a:r>
            <a:r>
              <a:rPr lang="es-CO" sz="1000"/>
              <a:t>2023</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WORK SANS REGULAR ROMAN" pitchFamily="2" charset="77"/>
              <a:ea typeface="+mn-ea"/>
              <a:cs typeface="+mn-cs"/>
            </a:defRPr>
          </a:pPr>
          <a:endParaRPr lang="es-CO"/>
        </a:p>
      </c:txPr>
    </c:title>
    <c:autoTitleDeleted val="0"/>
    <c:plotArea>
      <c:layout>
        <c:manualLayout>
          <c:layoutTarget val="inner"/>
          <c:xMode val="edge"/>
          <c:yMode val="edge"/>
          <c:x val="0.11051224998985186"/>
          <c:y val="0.22885943625163338"/>
          <c:w val="0.88948775001014813"/>
          <c:h val="0.63022816566447026"/>
        </c:manualLayout>
      </c:layout>
      <c:barChart>
        <c:barDir val="col"/>
        <c:grouping val="percentStacked"/>
        <c:varyColors val="0"/>
        <c:ser>
          <c:idx val="0"/>
          <c:order val="0"/>
          <c:tx>
            <c:strRef>
              <c:f>Hoja1!$I$28</c:f>
              <c:strCache>
                <c:ptCount val="1"/>
                <c:pt idx="0">
                  <c:v>Liquido</c:v>
                </c:pt>
              </c:strCache>
            </c:strRef>
          </c:tx>
          <c:spPr>
            <a:solidFill>
              <a:srgbClr val="C7C3DC"/>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WORK SANS REGULAR ROMAN" pitchFamily="2" charset="77"/>
                    <a:ea typeface="+mn-ea"/>
                    <a:cs typeface="+mn-cs"/>
                  </a:defRPr>
                </a:pPr>
                <a:endParaRPr lang="es-CO"/>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Hoja1!$J$26:$K$27</c:f>
              <c:strCache>
                <c:ptCount val="2"/>
                <c:pt idx="0">
                  <c:v>GMC</c:v>
                </c:pt>
                <c:pt idx="1">
                  <c:v>ACPM</c:v>
                </c:pt>
              </c:strCache>
            </c:strRef>
          </c:cat>
          <c:val>
            <c:numRef>
              <c:f>Hoja1!$J$28:$K$28</c:f>
              <c:numCache>
                <c:formatCode>0%</c:formatCode>
                <c:ptCount val="2"/>
                <c:pt idx="0">
                  <c:v>0.63772253917068356</c:v>
                </c:pt>
                <c:pt idx="1">
                  <c:v>0.64833394440090042</c:v>
                </c:pt>
              </c:numCache>
            </c:numRef>
          </c:val>
          <c:extLst>
            <c:ext xmlns:c16="http://schemas.microsoft.com/office/drawing/2014/chart" uri="{C3380CC4-5D6E-409C-BE32-E72D297353CC}">
              <c16:uniqueId val="{00000000-E923-409D-B220-6BF824E30C34}"/>
            </c:ext>
          </c:extLst>
        </c:ser>
        <c:ser>
          <c:idx val="1"/>
          <c:order val="1"/>
          <c:tx>
            <c:strRef>
              <c:f>Hoja1!$I$29</c:f>
              <c:strCache>
                <c:ptCount val="1"/>
                <c:pt idx="0">
                  <c:v>Logística + Margenes</c:v>
                </c:pt>
              </c:strCache>
            </c:strRef>
          </c:tx>
          <c:spPr>
            <a:solidFill>
              <a:srgbClr val="D2D2D2"/>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WORK SANS REGULAR ROMAN" pitchFamily="2" charset="77"/>
                    <a:ea typeface="+mn-ea"/>
                    <a:cs typeface="+mn-cs"/>
                  </a:defRPr>
                </a:pPr>
                <a:endParaRPr lang="es-CO"/>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Hoja1!$J$26:$K$27</c:f>
              <c:strCache>
                <c:ptCount val="2"/>
                <c:pt idx="0">
                  <c:v>GMC</c:v>
                </c:pt>
                <c:pt idx="1">
                  <c:v>ACPM</c:v>
                </c:pt>
              </c:strCache>
            </c:strRef>
          </c:cat>
          <c:val>
            <c:numRef>
              <c:f>Hoja1!$J$29:$K$29</c:f>
              <c:numCache>
                <c:formatCode>0%</c:formatCode>
                <c:ptCount val="2"/>
                <c:pt idx="0">
                  <c:v>0.16591336547681232</c:v>
                </c:pt>
                <c:pt idx="1">
                  <c:v>0.21646780070543395</c:v>
                </c:pt>
              </c:numCache>
            </c:numRef>
          </c:val>
          <c:extLst>
            <c:ext xmlns:c16="http://schemas.microsoft.com/office/drawing/2014/chart" uri="{C3380CC4-5D6E-409C-BE32-E72D297353CC}">
              <c16:uniqueId val="{00000001-E923-409D-B220-6BF824E30C34}"/>
            </c:ext>
          </c:extLst>
        </c:ser>
        <c:ser>
          <c:idx val="2"/>
          <c:order val="2"/>
          <c:tx>
            <c:strRef>
              <c:f>Hoja1!$I$30</c:f>
              <c:strCache>
                <c:ptCount val="1"/>
                <c:pt idx="0">
                  <c:v>Impuesto</c:v>
                </c:pt>
              </c:strCache>
            </c:strRef>
          </c:tx>
          <c:spPr>
            <a:solidFill>
              <a:srgbClr val="A3B8CB"/>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WORK SANS REGULAR ROMAN" pitchFamily="2" charset="77"/>
                    <a:ea typeface="+mn-ea"/>
                    <a:cs typeface="+mn-cs"/>
                  </a:defRPr>
                </a:pPr>
                <a:endParaRPr lang="es-CO"/>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Hoja1!$J$26:$K$27</c:f>
              <c:strCache>
                <c:ptCount val="2"/>
                <c:pt idx="0">
                  <c:v>GMC</c:v>
                </c:pt>
                <c:pt idx="1">
                  <c:v>ACPM</c:v>
                </c:pt>
              </c:strCache>
            </c:strRef>
          </c:cat>
          <c:val>
            <c:numRef>
              <c:f>Hoja1!$J$30:$K$30</c:f>
              <c:numCache>
                <c:formatCode>0%</c:formatCode>
                <c:ptCount val="2"/>
                <c:pt idx="0">
                  <c:v>0.19636409535250418</c:v>
                </c:pt>
                <c:pt idx="1">
                  <c:v>0.13519825489366569</c:v>
                </c:pt>
              </c:numCache>
            </c:numRef>
          </c:val>
          <c:extLst>
            <c:ext xmlns:c16="http://schemas.microsoft.com/office/drawing/2014/chart" uri="{C3380CC4-5D6E-409C-BE32-E72D297353CC}">
              <c16:uniqueId val="{00000002-E923-409D-B220-6BF824E30C34}"/>
            </c:ext>
          </c:extLst>
        </c:ser>
        <c:dLbls>
          <c:dLblPos val="ctr"/>
          <c:showLegendKey val="0"/>
          <c:showVal val="1"/>
          <c:showCatName val="0"/>
          <c:showSerName val="0"/>
          <c:showPercent val="0"/>
          <c:showBubbleSize val="0"/>
        </c:dLbls>
        <c:gapWidth val="202"/>
        <c:overlap val="100"/>
        <c:axId val="1155076480"/>
        <c:axId val="1155075040"/>
      </c:barChart>
      <c:catAx>
        <c:axId val="1155076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WORK SANS REGULAR ROMAN" pitchFamily="2" charset="77"/>
                <a:ea typeface="+mn-ea"/>
                <a:cs typeface="+mn-cs"/>
              </a:defRPr>
            </a:pPr>
            <a:endParaRPr lang="es-CO"/>
          </a:p>
        </c:txPr>
        <c:crossAx val="1155075040"/>
        <c:crosses val="autoZero"/>
        <c:auto val="1"/>
        <c:lblAlgn val="ctr"/>
        <c:lblOffset val="100"/>
        <c:noMultiLvlLbl val="0"/>
      </c:catAx>
      <c:valAx>
        <c:axId val="1155075040"/>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WORK SANS REGULAR ROMAN" pitchFamily="2" charset="77"/>
                <a:ea typeface="+mn-ea"/>
                <a:cs typeface="+mn-cs"/>
              </a:defRPr>
            </a:pPr>
            <a:endParaRPr lang="es-CO"/>
          </a:p>
        </c:txPr>
        <c:crossAx val="1155076480"/>
        <c:crosses val="autoZero"/>
        <c:crossBetween val="between"/>
        <c:majorUnit val="0.2"/>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WORK SANS REGULAR ROMAN" pitchFamily="2" charset="77"/>
              <a:ea typeface="+mn-ea"/>
              <a:cs typeface="+mn-cs"/>
            </a:defRPr>
          </a:pPr>
          <a:endParaRPr lang="es-CO"/>
        </a:p>
      </c:txPr>
    </c:legend>
    <c:plotVisOnly val="1"/>
    <c:dispBlanksAs val="gap"/>
    <c:showDLblsOverMax val="0"/>
  </c:chart>
  <c:spPr>
    <a:noFill/>
    <a:ln w="9525" cap="flat" cmpd="sng" algn="ctr">
      <a:noFill/>
      <a:round/>
    </a:ln>
    <a:effectLst/>
  </c:spPr>
  <c:txPr>
    <a:bodyPr/>
    <a:lstStyle/>
    <a:p>
      <a:pPr>
        <a:defRPr sz="1000">
          <a:solidFill>
            <a:sysClr val="windowText" lastClr="000000"/>
          </a:solidFill>
          <a:latin typeface="WORK SANS REGULAR ROMAN" pitchFamily="2" charset="77"/>
        </a:defRPr>
      </a:pPr>
      <a:endParaRPr lang="es-CO"/>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6E680-7C66-444B-BED0-C87379166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5499</Words>
  <Characters>30249</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Comunicación Oficial</vt:lpstr>
    </vt:vector>
  </TitlesOfParts>
  <Company>HP</Company>
  <LinksUpToDate>false</LinksUpToDate>
  <CharactersWithSpaces>35677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Comunicación Oficial</dc:title>
  <dc:subject>Comunicación Oficial</dc:subject>
  <dc:creator>Ministerio de Minas y Energía</dc:creator>
  <dc:description/>
  <cp:lastModifiedBy>Hector Hernan Salinas Soto</cp:lastModifiedBy>
  <cp:revision>2</cp:revision>
  <dcterms:created xsi:type="dcterms:W3CDTF">2023-06-14T23:02:00Z</dcterms:created>
  <dcterms:modified xsi:type="dcterms:W3CDTF">2023-06-14T23:02:00Z</dcterms:modified>
  <dc:language>es-CO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