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color w:val="222222"/>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Bogotá, D.C., abril de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Honorable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DAVID RICARDO RACERO MAYORCA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Presidente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708"/>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Bogotá DC.</w:t>
      </w: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REF:</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Radicación del Proyecto de Ley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“Mediante la cual se promueve el fortalecimiento institucional de los municipios PDET y se dictan otras disposiciones.”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ejercicio de la facultad prevista en el artículo 140 numeral 1º de la Ley 5ª de 1992, presentamos a consideración del Congreso de la República el proyecto de Ley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“Mediante la cual se promueve el fortalecimiento institucional de los municipios PDET y se dictan otras disposiciones.”,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con el fin de surtir el respectivo trámite legislativo. Por tal motivo, anexamos el original en formato PDF con firmas y dos copias, en formato PDF sin firmas, y formato Word sin firmas.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este sentido, se presenta a consideración el presente Proyecto de Ley, para iniciar el trámite correspondiente y cumplir con las exigencias dictadas por la Ley y la Constitución. Por tal motivo, adjuntamos vía correo electrónico en formato PDF y Word para que se dé cumplimiento a lo reglado en la Ley 5 de 1992.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Cordialmente: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Catatumbo</w:t>
      </w:r>
    </w:p>
    <w:p w:rsidR="00000000" w:rsidDel="00000000" w:rsidP="00000000" w:rsidRDefault="00000000" w:rsidRPr="00000000" w14:paraId="0000001A">
      <w:pPr>
        <w:rPr>
          <w:rFonts w:ascii="Arial Narrow" w:cs="Arial Narrow" w:eastAsia="Arial Narrow" w:hAnsi="Arial Narrow"/>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1C">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_____ de 2023</w:t>
      </w:r>
    </w:p>
    <w:p w:rsidR="00000000" w:rsidDel="00000000" w:rsidP="00000000" w:rsidRDefault="00000000" w:rsidRPr="00000000" w14:paraId="0000001D">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E">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F">
      <w:pPr>
        <w:jc w:val="center"/>
        <w:rPr>
          <w:rFonts w:ascii="Arial Narrow" w:cs="Arial Narrow" w:eastAsia="Arial Narrow" w:hAnsi="Arial Narrow"/>
          <w:i w:val="1"/>
          <w:sz w:val="24"/>
          <w:szCs w:val="24"/>
        </w:rPr>
      </w:pPr>
      <w:bookmarkStart w:colFirst="0" w:colLast="0" w:name="_30j0zll" w:id="1"/>
      <w:bookmarkEnd w:id="1"/>
      <w:r w:rsidDel="00000000" w:rsidR="00000000" w:rsidRPr="00000000">
        <w:rPr>
          <w:rFonts w:ascii="Arial Narrow" w:cs="Arial Narrow" w:eastAsia="Arial Narrow" w:hAnsi="Arial Narrow"/>
          <w:i w:val="1"/>
          <w:sz w:val="24"/>
          <w:szCs w:val="24"/>
          <w:rtl w:val="0"/>
        </w:rPr>
        <w:t xml:space="preserve">“Mediante la cual se promueve el fortalecimiento institucional de los municipios PDET y se dictan otras disposiciones.”</w:t>
      </w:r>
    </w:p>
    <w:p w:rsidR="00000000" w:rsidDel="00000000" w:rsidP="00000000" w:rsidRDefault="00000000" w:rsidRPr="00000000" w14:paraId="00000020">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Congreso de Colombia</w:t>
      </w:r>
    </w:p>
    <w:p w:rsidR="00000000" w:rsidDel="00000000" w:rsidP="00000000" w:rsidRDefault="00000000" w:rsidRPr="00000000" w14:paraId="00000023">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4">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DECRETA</w:t>
      </w:r>
    </w:p>
    <w:p w:rsidR="00000000" w:rsidDel="00000000" w:rsidP="00000000" w:rsidRDefault="00000000" w:rsidRPr="00000000" w14:paraId="0000002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7">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 1. OBJETO.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El objeto de la presente Ley es promover los procesos de descentralización en los municipios PDET generando instrumentos legales y administrativos que contribuyan a superar barreras de violencia, pobreza y debilidad institucional para garantizar la cobertura del Estado a áreas apartadas y lograr el fortalecimiento institucional en ellas.</w:t>
      </w:r>
    </w:p>
    <w:p w:rsidR="00000000" w:rsidDel="00000000" w:rsidP="00000000" w:rsidRDefault="00000000" w:rsidRPr="00000000" w14:paraId="00000028">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2. CATEGORÍA ESPECIAL DE PAZ.</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Establézcase, por el término de la duración del programa PDET, una categoría especial y transitoria de municipios denominada “Categoría Especial de Paz”, de la cual serán parte los municipios miembros del programa a la entrada en vigencia de la presente Ley.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categoría referida será empleada como método de focalización y priorización de políticas públicas y tendrá como objetivo principal dirigir los esfuerzos del aparato estatal para el fortalecimiento de la institucionalidad de los municipios más afectados por el conflicto armado. Los municipios clasificados en esta categoría podrán gozar de beneficios operativos, contables y administrativos del Gobierno Nacional y los gobiernos departamentales.</w:t>
      </w:r>
    </w:p>
    <w:p w:rsidR="00000000" w:rsidDel="00000000" w:rsidP="00000000" w:rsidRDefault="00000000" w:rsidRPr="00000000" w14:paraId="0000002B">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3. SANEAMIENTO DE MUNICIPIOS.</w:t>
      </w:r>
      <w:r w:rsidDel="00000000" w:rsidR="00000000" w:rsidRPr="00000000">
        <w:rPr>
          <w:rFonts w:ascii="Arial Narrow" w:cs="Arial Narrow" w:eastAsia="Arial Narrow" w:hAnsi="Arial Narrow"/>
          <w:color w:val="000000"/>
          <w:sz w:val="24"/>
          <w:szCs w:val="24"/>
          <w:rtl w:val="0"/>
        </w:rPr>
        <w:t xml:space="preserve"> El Departamento Nacional de Planeación diseñará un plan de normalización que contendrá las medidas administrativas pertinentes para sanear los municipios de la categoría de la que trata la presente Ley. El plan de normalización será de obligatorio cumplimiento para cada municipio y podrá modificarse a solicitud de los alcaldes atendiendo las particularidades de cada territorio.</w:t>
      </w:r>
    </w:p>
    <w:p w:rsidR="00000000" w:rsidDel="00000000" w:rsidP="00000000" w:rsidRDefault="00000000" w:rsidRPr="00000000" w14:paraId="0000002C">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D">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4. FORMULARIO ÚNICO TERRITORIAL.</w:t>
      </w:r>
      <w:r w:rsidDel="00000000" w:rsidR="00000000" w:rsidRPr="00000000">
        <w:rPr>
          <w:rFonts w:ascii="Arial Narrow" w:cs="Arial Narrow" w:eastAsia="Arial Narrow" w:hAnsi="Arial Narrow"/>
          <w:color w:val="000000"/>
          <w:sz w:val="24"/>
          <w:szCs w:val="24"/>
          <w:rtl w:val="0"/>
        </w:rPr>
        <w:t xml:space="preserve"> El Gobierno Nacional diseñará e implementará un formulario único territorial para los municipios de la Categoría Especial de Paz, donde se recopilará toda la información necesaria y funcionará como fuente de información válida para todas las Entidades del Estado</w:t>
      </w:r>
    </w:p>
    <w:p w:rsidR="00000000" w:rsidDel="00000000" w:rsidP="00000000" w:rsidRDefault="00000000" w:rsidRPr="00000000" w14:paraId="0000002E">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F">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5. CRÉDITOS.</w:t>
      </w:r>
      <w:r w:rsidDel="00000000" w:rsidR="00000000" w:rsidRPr="00000000">
        <w:rPr>
          <w:rFonts w:ascii="Arial Narrow" w:cs="Arial Narrow" w:eastAsia="Arial Narrow" w:hAnsi="Arial Narrow"/>
          <w:color w:val="000000"/>
          <w:sz w:val="24"/>
          <w:szCs w:val="24"/>
          <w:rtl w:val="0"/>
        </w:rPr>
        <w:t xml:space="preserve"> Para la implementación lo dispuesto en la presente Ley, los municipios de la Categoría Especial de Paz podrán, en cualquier momento, contratar créditos en condiciones blandas con entidades financieras de redescuento, quienes implementarán una línea de crédito para tal fin.</w:t>
      </w:r>
    </w:p>
    <w:p w:rsidR="00000000" w:rsidDel="00000000" w:rsidP="00000000" w:rsidRDefault="00000000" w:rsidRPr="00000000" w14:paraId="00000030">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1">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6. RECURSOS DEL SISTEMA GENERAL DE PARTICIPACIONES.</w:t>
      </w:r>
      <w:r w:rsidDel="00000000" w:rsidR="00000000" w:rsidRPr="00000000">
        <w:rPr>
          <w:rFonts w:ascii="Arial Narrow" w:cs="Arial Narrow" w:eastAsia="Arial Narrow" w:hAnsi="Arial Narrow"/>
          <w:color w:val="000000"/>
          <w:sz w:val="24"/>
          <w:szCs w:val="24"/>
          <w:rtl w:val="0"/>
        </w:rPr>
        <w:t xml:space="preserve"> Por el término de duración de la Categoría Especial de Paz, dispóngase una quinta parte de la “participación de propósito general” para sufragar las necesidades de los municipios clasificados en esta categoría. El Gobierno Nacional repartirá el monto proporcionalmente según la población de cada municipio y transferirá los recursos directamente.</w:t>
      </w:r>
    </w:p>
    <w:p w:rsidR="00000000" w:rsidDel="00000000" w:rsidP="00000000" w:rsidRDefault="00000000" w:rsidRPr="00000000" w14:paraId="00000032">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3">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7. VALOR MÁXIMO DE LOS GASTOS DE FUNCIONAMIENTO DE LOS MUNICIPIOS DE LA CATEGORÍA ESPECIAL DE PAZ.</w:t>
      </w:r>
      <w:r w:rsidDel="00000000" w:rsidR="00000000" w:rsidRPr="00000000">
        <w:rPr>
          <w:rFonts w:ascii="Arial Narrow" w:cs="Arial Narrow" w:eastAsia="Arial Narrow" w:hAnsi="Arial Narrow"/>
          <w:color w:val="000000"/>
          <w:sz w:val="24"/>
          <w:szCs w:val="24"/>
          <w:rtl w:val="0"/>
        </w:rPr>
        <w:t xml:space="preserve"> Los topes de financiación referidos en el artículo 6 de la Ley 617 de 2000 no le serán aplicables a los municipios incluidos en la “Categoría Especial de Paz” durante el término de vigencia de la presente Ley.</w:t>
      </w:r>
    </w:p>
    <w:p w:rsidR="00000000" w:rsidDel="00000000" w:rsidP="00000000" w:rsidRDefault="00000000" w:rsidRPr="00000000" w14:paraId="00000034">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5">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8. CREACIÓN DE NUEVOS MUNICIPIOS.</w:t>
      </w:r>
      <w:r w:rsidDel="00000000" w:rsidR="00000000" w:rsidRPr="00000000">
        <w:rPr>
          <w:rFonts w:ascii="Arial Narrow" w:cs="Arial Narrow" w:eastAsia="Arial Narrow" w:hAnsi="Arial Narrow"/>
          <w:color w:val="000000"/>
          <w:sz w:val="24"/>
          <w:szCs w:val="24"/>
          <w:rtl w:val="0"/>
        </w:rPr>
        <w:t xml:space="preserve"> Para fomentar la descentralización del Estado, las Asambleas Departamentales podrán crear municipios sin el lleno de los requisitos legales segregando partes del territorio de un municipio perteneciente a la Categoría Especial de Paz o reorganizando territorios aislados de un número plural de las entidades territoriales de su jurisdicción.</w:t>
      </w:r>
    </w:p>
    <w:p w:rsidR="00000000" w:rsidDel="00000000" w:rsidP="00000000" w:rsidRDefault="00000000" w:rsidRPr="00000000" w14:paraId="00000036">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municipio será creado mediante ordenanza donde se dispondrá lo pertinente para garantizar la sostenibilidad presupuestal y administrativa de la nueva entidad.</w:t>
      </w:r>
    </w:p>
    <w:p w:rsidR="00000000" w:rsidDel="00000000" w:rsidP="00000000" w:rsidRDefault="00000000" w:rsidRPr="00000000" w14:paraId="00000038">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9">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La iniciativa de ordenanza podrá ser presentada a la Asamblea por el Gobernador Departamental, cualquier miembro de la corporación o por iniciativa popular de la mayoría absoluta de los habitantes del territorio que quiera ser erigido en municipio.</w:t>
      </w:r>
    </w:p>
    <w:p w:rsidR="00000000" w:rsidDel="00000000" w:rsidP="00000000" w:rsidRDefault="00000000" w:rsidRPr="00000000" w14:paraId="0000003A">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B">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PARÁGRAFO 1. la iniciativa presentada por el gobernador o los diputados deberá ser sometida a consulta previa vinculante sobre ese territorio.</w:t>
      </w:r>
    </w:p>
    <w:p w:rsidR="00000000" w:rsidDel="00000000" w:rsidP="00000000" w:rsidRDefault="00000000" w:rsidRPr="00000000" w14:paraId="0000003C">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PARÁGRAFO 2. El Presidente de la República podrá erigir en municipio cualquier porción de los territorios de los municipios PDET atendiendo razones de seguridad, de defensa nacional o para el cabal cumplimiento del Acuerdo de Paz.</w:t>
      </w:r>
    </w:p>
    <w:p w:rsidR="00000000" w:rsidDel="00000000" w:rsidP="00000000" w:rsidRDefault="00000000" w:rsidRPr="00000000" w14:paraId="0000003E">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PARÁGRAFO TRANSITORIO. Los primeros alcaldes y concejales del nuevo municipio serán elegidos en la fecha siguiente de elecciones regionales nacionales que disponga la Registraduría Nacional del Estado Civil. Hasta la elección de las primeras autoridades locales, las funciones de alcalde y de concejo municipal serán suplidas a título de encargo por el corregidor y la Junta Administradora Local que estén en funciones.</w:t>
      </w:r>
    </w:p>
    <w:p w:rsidR="00000000" w:rsidDel="00000000" w:rsidP="00000000" w:rsidRDefault="00000000" w:rsidRPr="00000000" w14:paraId="00000040">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1">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9. PLAN DE ASISTENCIA Y ACOMPAÑAMIENTO A NUEVOS MUNICIPIOS.</w:t>
      </w:r>
      <w:r w:rsidDel="00000000" w:rsidR="00000000" w:rsidRPr="00000000">
        <w:rPr>
          <w:rFonts w:ascii="Arial Narrow" w:cs="Arial Narrow" w:eastAsia="Arial Narrow" w:hAnsi="Arial Narrow"/>
          <w:color w:val="000000"/>
          <w:sz w:val="24"/>
          <w:szCs w:val="24"/>
          <w:rtl w:val="0"/>
        </w:rPr>
        <w:t xml:space="preserve"> El Departamento Nacional de Planeación deberá diseñar y ejecutar un programa especial de asistencia técnica y acompañamiento al nuevo municipio, con énfasis particular en los aspectos de implementación de lo dispuesto en el Acuerdo Final para la Terminación del Conflicto y la Construcción de una Paz Estable y Duradera, fortalecimiento institucional, participación, organización administrativa y fiscal, presupuesto y planeación. </w:t>
      </w:r>
    </w:p>
    <w:p w:rsidR="00000000" w:rsidDel="00000000" w:rsidP="00000000" w:rsidRDefault="00000000" w:rsidRPr="00000000" w14:paraId="00000042">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3">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plan de asistencia y acompañamiento referido en el presente artículo deberá ser diseñado a diez (10) años y deberá comenzar con una tutela total en materia presupuestal y administrativa y desescalar hasta la total autonomía municipal.</w:t>
      </w:r>
    </w:p>
    <w:p w:rsidR="00000000" w:rsidDel="00000000" w:rsidP="00000000" w:rsidRDefault="00000000" w:rsidRPr="00000000" w14:paraId="00000044">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9. RECLASIFICACIÓN.</w:t>
      </w:r>
      <w:r w:rsidDel="00000000" w:rsidR="00000000" w:rsidRPr="00000000">
        <w:rPr>
          <w:rFonts w:ascii="Arial Narrow" w:cs="Arial Narrow" w:eastAsia="Arial Narrow" w:hAnsi="Arial Narrow"/>
          <w:color w:val="000000"/>
          <w:sz w:val="24"/>
          <w:szCs w:val="24"/>
          <w:rtl w:val="0"/>
        </w:rPr>
        <w:t xml:space="preserve"> Al término de la vigencia de la presente Ley, los municipios incluidos en la categorización especial aquí tratada serán reclasificados según los dispuesto en la Ley.</w:t>
      </w:r>
    </w:p>
    <w:p w:rsidR="00000000" w:rsidDel="00000000" w:rsidP="00000000" w:rsidRDefault="00000000" w:rsidRPr="00000000" w14:paraId="00000046">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7">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10. SEGUIMIENTO E IMPLEMENTACIÓN.</w:t>
      </w:r>
      <w:r w:rsidDel="00000000" w:rsidR="00000000" w:rsidRPr="00000000">
        <w:rPr>
          <w:rFonts w:ascii="Arial Narrow" w:cs="Arial Narrow" w:eastAsia="Arial Narrow" w:hAnsi="Arial Narrow"/>
          <w:color w:val="000000"/>
          <w:sz w:val="24"/>
          <w:szCs w:val="24"/>
          <w:rtl w:val="0"/>
        </w:rPr>
        <w:t xml:space="preserve"> El Departamento Nacional de Planeación Estructurará un plan de medidas para el cumplimiento de lo dispuesto en la presente Ley y presentará al Congreso un informe con las disposiciones tomadas desde el Gobierno Nacional y las necesidades legislativas adicionales para el cumplimiento de los objetivos aquí propuestos.</w:t>
      </w:r>
    </w:p>
    <w:p w:rsidR="00000000" w:rsidDel="00000000" w:rsidP="00000000" w:rsidRDefault="00000000" w:rsidRPr="00000000" w14:paraId="00000048">
      <w:pPr>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9">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11. VIGENCIA Y DEROGATORIAS.</w:t>
      </w:r>
      <w:r w:rsidDel="00000000" w:rsidR="00000000" w:rsidRPr="00000000">
        <w:rPr>
          <w:rFonts w:ascii="Arial Narrow" w:cs="Arial Narrow" w:eastAsia="Arial Narrow" w:hAnsi="Arial Narrow"/>
          <w:color w:val="000000"/>
          <w:sz w:val="24"/>
          <w:szCs w:val="24"/>
          <w:rtl w:val="0"/>
        </w:rPr>
        <w:t xml:space="preserve"> La presente Ley rige a partir de su promulgación y deroga todas las disposiciones que le sean expresamente contrarias.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4F">
      <w:pPr>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sz w:val="24"/>
          <w:szCs w:val="24"/>
          <w:rtl w:val="0"/>
        </w:rPr>
        <w:t xml:space="preserve">Catatumbo</w:t>
      </w:r>
      <w:r w:rsidDel="00000000" w:rsidR="00000000" w:rsidRPr="00000000">
        <w:rPr>
          <w:rFonts w:ascii="Arial Narrow" w:cs="Arial Narrow" w:eastAsia="Arial Narrow" w:hAnsi="Arial Narrow"/>
          <w:color w:val="222222"/>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0">
      <w:pPr>
        <w:jc w:val="center"/>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51">
      <w:pPr>
        <w:jc w:val="center"/>
        <w:rPr>
          <w:rFonts w:ascii="Arial Narrow" w:cs="Arial Narrow" w:eastAsia="Arial Narrow" w:hAnsi="Arial Narrow"/>
          <w:b w:val="1"/>
          <w:color w:val="222222"/>
          <w:sz w:val="24"/>
          <w:szCs w:val="24"/>
        </w:rPr>
      </w:pPr>
      <w:r w:rsidDel="00000000" w:rsidR="00000000" w:rsidRPr="00000000">
        <w:rPr>
          <w:rFonts w:ascii="Arial Narrow" w:cs="Arial Narrow" w:eastAsia="Arial Narrow" w:hAnsi="Arial Narrow"/>
          <w:b w:val="1"/>
          <w:color w:val="222222"/>
          <w:sz w:val="24"/>
          <w:szCs w:val="24"/>
          <w:rtl w:val="0"/>
        </w:rPr>
        <w:t xml:space="preserve">EXPOSICIÓN DE MOTIVOS</w:t>
      </w:r>
    </w:p>
    <w:p w:rsidR="00000000" w:rsidDel="00000000" w:rsidP="00000000" w:rsidRDefault="00000000" w:rsidRPr="00000000" w14:paraId="00000052">
      <w:pPr>
        <w:jc w:val="center"/>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53">
      <w:pPr>
        <w:rPr>
          <w:rFonts w:ascii="Arial Narrow" w:cs="Arial Narrow" w:eastAsia="Arial Narrow" w:hAnsi="Arial Narrow"/>
          <w:b w:val="1"/>
          <w:color w:val="222222"/>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222222"/>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222222"/>
          <w:sz w:val="24"/>
          <w:szCs w:val="24"/>
          <w:u w:val="none"/>
          <w:shd w:fill="auto" w:val="clear"/>
          <w:vertAlign w:val="baseline"/>
          <w:rtl w:val="0"/>
        </w:rPr>
        <w:t xml:space="preserve">HISTORIA Y CONCEPTO DE MUNICIPIO</w:t>
      </w:r>
    </w:p>
    <w:p w:rsidR="00000000" w:rsidDel="00000000" w:rsidP="00000000" w:rsidRDefault="00000000" w:rsidRPr="00000000" w14:paraId="00000055">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Hace cientos de miles de años en la tierra existió una la forma humana primitiva que entonces no contemplaba el molde de municipio o ciudad; ese homínido de baja estatura, que no conocía el fuego, que se alimentaba de raíces, frutas y algunos animales, avanzó a través de la historia y evolucionó, al cabo del tiempo, en el </w:t>
      </w:r>
      <w:r w:rsidDel="00000000" w:rsidR="00000000" w:rsidRPr="00000000">
        <w:rPr>
          <w:rFonts w:ascii="Arial Narrow" w:cs="Arial Narrow" w:eastAsia="Arial Narrow" w:hAnsi="Arial Narrow"/>
          <w:i w:val="1"/>
          <w:sz w:val="24"/>
          <w:szCs w:val="24"/>
          <w:rtl w:val="0"/>
        </w:rPr>
        <w:t xml:space="preserve">homo sapiens</w:t>
      </w:r>
      <w:r w:rsidDel="00000000" w:rsidR="00000000" w:rsidRPr="00000000">
        <w:rPr>
          <w:rFonts w:ascii="Arial Narrow" w:cs="Arial Narrow" w:eastAsia="Arial Narrow" w:hAnsi="Arial Narrow"/>
          <w:sz w:val="24"/>
          <w:szCs w:val="24"/>
          <w:rtl w:val="0"/>
        </w:rPr>
        <w:t xml:space="preserve"> actual. Tras milenos de crecimiento y desarrollo, el hombre ya no tiene estatura baja, crea artefactos que nadie podía siquiera pensar hace unos 100 años atrás, llega a otros planetas y vive en grandes ciudades; del hombre que vivía en chozas y cavernas hemos pasado, como especie, al hombre que maneja las mejores técnicas jamás imaginadas, hemos tenido un cambio enorme tanto cuantitativa como cualitativamente: de unos cuantos hombres con rocas a miles de millones con tecnología de punta. Todos estos cambios hicieron necesarias formas de organización que agruparan a los miembros del género humano para, al modo de otros animales, encontrar protección en los grupos y así sobrevivir a las dificultades del medio.</w:t>
      </w:r>
    </w:p>
    <w:p w:rsidR="00000000" w:rsidDel="00000000" w:rsidP="00000000" w:rsidRDefault="00000000" w:rsidRPr="00000000" w14:paraId="0000005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los albores de la historia humana, el recién evolucionado </w:t>
      </w:r>
      <w:r w:rsidDel="00000000" w:rsidR="00000000" w:rsidRPr="00000000">
        <w:rPr>
          <w:rFonts w:ascii="Arial Narrow" w:cs="Arial Narrow" w:eastAsia="Arial Narrow" w:hAnsi="Arial Narrow"/>
          <w:i w:val="1"/>
          <w:sz w:val="24"/>
          <w:szCs w:val="24"/>
          <w:rtl w:val="0"/>
        </w:rPr>
        <w:t xml:space="preserve">sapiens</w:t>
      </w:r>
      <w:r w:rsidDel="00000000" w:rsidR="00000000" w:rsidRPr="00000000">
        <w:rPr>
          <w:rFonts w:ascii="Arial Narrow" w:cs="Arial Narrow" w:eastAsia="Arial Narrow" w:hAnsi="Arial Narrow"/>
          <w:sz w:val="24"/>
          <w:szCs w:val="24"/>
          <w:rtl w:val="0"/>
        </w:rPr>
        <w:t xml:space="preserve"> supo que agruparse era una solución útil a los problemas de seguridad que planteaba el entorno natural, una respuesta que se puede ver presente en otras especies fue usada por la nuestra para los mismos fines. Sin embargo, es con el nacimiento de la agricultura que el humano – agrupado o no –, nómada hasta ese momento, comienza a asentarse y a formar comunidades arraigadas en un territorio con capacidad productiva en lo que posteriormente serían las civilizaciones fluviales: el primer germen de nuestras ciudades y de lo que hoy, en el Derecho, conocemos como municipios. Sobre el origen de la ciudad o municipio Galvis Gaitán expresa una idea de Aristóteles la cual dice que: </w:t>
      </w:r>
    </w:p>
    <w:p w:rsidR="00000000" w:rsidDel="00000000" w:rsidP="00000000" w:rsidRDefault="00000000" w:rsidRPr="00000000" w14:paraId="0000005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A">
      <w:pPr>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“Cuando se unen varios pueblos en una sola y completa comunidad, lo bastante numerosa para preocuparse por casi todo lo que requieren, se origina la ciudad, nacida a causa de las necesidades de la vida, subsistiendo [sic] debido al anhelo que sienten de vivir bien. Si las primitivas formas de sociedad son naturales, lo es también la ciudad, por ser ese el fin que se propone, pues la naturaleza de una cosa es su propio fin; llamando naturaleza a lo que es la cosa […] Además, la causa final y objeto de una cosa es lo mejor y el bastarse a sí mismo es el fin y lo mejor. De ello se evidencia que la ciudad es creación de la naturaleza y que el hombre es animal sociable por naturaleza. El que por naturaleza y no debido a mero accidente no pertenezca a ciudad alguna o es un mal hombre o superior a la humanidad” (Galvis Gaitán, 2007)</w:t>
      </w:r>
    </w:p>
    <w:p w:rsidR="00000000" w:rsidDel="00000000" w:rsidP="00000000" w:rsidRDefault="00000000" w:rsidRPr="00000000" w14:paraId="0000005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distintas formas de organizarnos dentro de un territorio se fueron originando de acuerdo a  circunstancias que casi nunca eran iguales, en la medida que bastaba saber que en la pluralidad cultural y social se originarían múltiples formas de organización; las hordas, los clanes, las fratrias, la tribu y la familia finalmente iba a constituir la célula de una sociedad, el inicio y el fin, entendiendo la familia como la forma de organizarse en un todo, en esa medida este concepto de familia como estructura organizativa de un conglomerado de personas tendría un impacto en la expansión de los territorios de las civilizaciones antiguas, las familias conformaron comunidades pequeñas, que afrontaban la necesidades de constituir un orden en el territorio, quien tuviese más territorio directamente tendría más poder, por tanto surgió la necesidad de reposar el poder en un líder que por lo general era la persona encargada de dirigir y doblegar las emociones, necesidades y pasiones de una manera autoritaria de todas las familias que conformaban la comunidad; tal y como es el caso de los Romanos.</w:t>
      </w:r>
    </w:p>
    <w:p w:rsidR="00000000" w:rsidDel="00000000" w:rsidP="00000000" w:rsidRDefault="00000000" w:rsidRPr="00000000" w14:paraId="0000005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Romanos atravesaron distintas etapas de gobierno; monarquía -753-509 a. C.-, república -509-27 a. C.- e imperio -27 a. C.-476 d. C.- sin embargo, la época de la república fue uno de los periodos que más significo en la historia de Roma, en la república se sentaron bases del derecho romano que trataban sobre derecho privado y divisiones de poderes, se crearon instituciones como el senado y se posicionaron como potencias en Europa, esto permitió que se categorizaran como imperio romano, extendiendo su capacidad política y administrativa por Europa oriental, entrañando en su palmarés la civilización con la mayor extensión territorial nunca antes vista. Esta condición importante dentro del territorio se debía a su sofisticada forma de organizarse, crearon instituciones locales en cada territorio conquistado que, eran los encargados de controlar el comercio, el armamento y los impuestos de los habitantes, estos antecedentes sirvieron para generar las bases del concepto de municipio romano </w:t>
      </w:r>
      <w:r w:rsidDel="00000000" w:rsidR="00000000" w:rsidRPr="00000000">
        <w:rPr>
          <w:rFonts w:ascii="Arial Narrow" w:cs="Arial Narrow" w:eastAsia="Arial Narrow" w:hAnsi="Arial Narrow"/>
          <w:i w:val="1"/>
          <w:sz w:val="24"/>
          <w:szCs w:val="24"/>
          <w:rtl w:val="0"/>
        </w:rPr>
        <w:t xml:space="preserve">“municipium” </w:t>
      </w:r>
      <w:r w:rsidDel="00000000" w:rsidR="00000000" w:rsidRPr="00000000">
        <w:rPr>
          <w:rFonts w:ascii="Arial Narrow" w:cs="Arial Narrow" w:eastAsia="Arial Narrow" w:hAnsi="Arial Narrow"/>
          <w:sz w:val="24"/>
          <w:szCs w:val="24"/>
          <w:rtl w:val="0"/>
        </w:rPr>
        <w:t xml:space="preserve">(Suing Nagua , 2017). el cual, para ellos, tenía un triple significado: 1. Equivale a población fortificada; 2. Se refiere al cargo de autoridad que se posee de dicha población; y 3. Equivale a los habitantes de las mismas poblaciones.</w:t>
      </w:r>
    </w:p>
    <w:p w:rsidR="00000000" w:rsidDel="00000000" w:rsidP="00000000" w:rsidRDefault="00000000" w:rsidRPr="00000000" w14:paraId="0000005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romanos siempre se caracterizaron por tener el deseo de extender sus conquistas, en esa experiencia de dominar gran parte de los territorios se encontraron con pueblos asentados dentro de sus propias fortificaciones, a estos pueblos los romanos los llamaron </w:t>
      </w:r>
      <w:r w:rsidDel="00000000" w:rsidR="00000000" w:rsidRPr="00000000">
        <w:rPr>
          <w:rFonts w:ascii="Arial Narrow" w:cs="Arial Narrow" w:eastAsia="Arial Narrow" w:hAnsi="Arial Narrow"/>
          <w:i w:val="1"/>
          <w:sz w:val="24"/>
          <w:szCs w:val="24"/>
          <w:rtl w:val="0"/>
        </w:rPr>
        <w:t xml:space="preserve">municipio</w:t>
      </w:r>
      <w:r w:rsidDel="00000000" w:rsidR="00000000" w:rsidRPr="00000000">
        <w:rPr>
          <w:rFonts w:ascii="Arial Narrow" w:cs="Arial Narrow" w:eastAsia="Arial Narrow" w:hAnsi="Arial Narrow"/>
          <w:sz w:val="24"/>
          <w:szCs w:val="24"/>
          <w:rtl w:val="0"/>
        </w:rPr>
        <w:t xml:space="preserve"> (Suing Nagua , 2017).</w:t>
      </w:r>
    </w:p>
    <w:p w:rsidR="00000000" w:rsidDel="00000000" w:rsidP="00000000" w:rsidRDefault="00000000" w:rsidRPr="00000000" w14:paraId="0000006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Menciona Suing (2017) que “Con la caída del imperio romano empezaron a perderse en la derrota todos los avances, las culturas y las maneras de gobernar fueron configuradas, el concepto municipal romano tergiverso a </w:t>
      </w:r>
      <w:r w:rsidDel="00000000" w:rsidR="00000000" w:rsidRPr="00000000">
        <w:rPr>
          <w:rFonts w:ascii="Arial Narrow" w:cs="Arial Narrow" w:eastAsia="Arial Narrow" w:hAnsi="Arial Narrow"/>
          <w:i w:val="1"/>
          <w:sz w:val="24"/>
          <w:szCs w:val="24"/>
          <w:rtl w:val="0"/>
        </w:rPr>
        <w:t xml:space="preserve">municipio medieval,</w:t>
      </w:r>
      <w:r w:rsidDel="00000000" w:rsidR="00000000" w:rsidRPr="00000000">
        <w:rPr>
          <w:rFonts w:ascii="Arial Narrow" w:cs="Arial Narrow" w:eastAsia="Arial Narrow" w:hAnsi="Arial Narrow"/>
          <w:sz w:val="24"/>
          <w:szCs w:val="24"/>
          <w:rtl w:val="0"/>
        </w:rPr>
        <w:t xml:space="preserve"> en plena edad media muchos años más tarde, se conservaba la estructura que los romanos habían logrado, el municipio medieval surge de las bases romanas y las bases germanas, el municipio se parecía tener más una infraestructura organizativa de gremios y asociaciones mercantiles”. Esta nueva forma de organizarse le da la categoría de </w:t>
      </w:r>
      <w:r w:rsidDel="00000000" w:rsidR="00000000" w:rsidRPr="00000000">
        <w:rPr>
          <w:rFonts w:ascii="Arial Narrow" w:cs="Arial Narrow" w:eastAsia="Arial Narrow" w:hAnsi="Arial Narrow"/>
          <w:i w:val="1"/>
          <w:sz w:val="24"/>
          <w:szCs w:val="24"/>
          <w:rtl w:val="0"/>
        </w:rPr>
        <w:t xml:space="preserve">municipio moderno</w:t>
      </w:r>
      <w:r w:rsidDel="00000000" w:rsidR="00000000" w:rsidRPr="00000000">
        <w:rPr>
          <w:rFonts w:ascii="Arial Narrow" w:cs="Arial Narrow" w:eastAsia="Arial Narrow" w:hAnsi="Arial Narrow"/>
          <w:sz w:val="24"/>
          <w:szCs w:val="24"/>
          <w:rtl w:val="0"/>
        </w:rPr>
        <w:t xml:space="preserve">, la ilustración aparece y con ella autores con pensamiento político y jurídico, quienes propondrían una manera distinta de ver la forma de organización estatal, se empieza a generar espacios de debates jurídicos con planteamientos diferentes de gobierno y administración, autores como Montesquieu, Hobbes y Rousseau, generaron espacios de discusión, cambiaron la forma de organización política, administrativa y jurídica del Estado por tanto lo empiezan adoptar los distintos reinos de Europa, la monarquía Española no fue la excepción.</w:t>
      </w:r>
    </w:p>
    <w:p w:rsidR="00000000" w:rsidDel="00000000" w:rsidP="00000000" w:rsidRDefault="00000000" w:rsidRPr="00000000" w14:paraId="0000006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españoles crearon su propio concepto de municipalidad, partiendo de las bases dejadas por los romanos y por la ilustración, el municipio, </w:t>
      </w:r>
      <w:r w:rsidDel="00000000" w:rsidR="00000000" w:rsidRPr="00000000">
        <w:rPr>
          <w:rFonts w:ascii="Arial Narrow" w:cs="Arial Narrow" w:eastAsia="Arial Narrow" w:hAnsi="Arial Narrow"/>
          <w:i w:val="1"/>
          <w:sz w:val="24"/>
          <w:szCs w:val="24"/>
          <w:rtl w:val="0"/>
        </w:rPr>
        <w:t xml:space="preserve">el cabildo o ayuntamientos</w:t>
      </w:r>
      <w:r w:rsidDel="00000000" w:rsidR="00000000" w:rsidRPr="00000000">
        <w:rPr>
          <w:rFonts w:ascii="Arial Narrow" w:cs="Arial Narrow" w:eastAsia="Arial Narrow" w:hAnsi="Arial Narrow"/>
          <w:sz w:val="24"/>
          <w:szCs w:val="24"/>
          <w:rtl w:val="0"/>
        </w:rPr>
        <w:t xml:space="preserve"> estuvo compuesto por nobles llamados </w:t>
      </w:r>
      <w:r w:rsidDel="00000000" w:rsidR="00000000" w:rsidRPr="00000000">
        <w:rPr>
          <w:rFonts w:ascii="Arial Narrow" w:cs="Arial Narrow" w:eastAsia="Arial Narrow" w:hAnsi="Arial Narrow"/>
          <w:i w:val="1"/>
          <w:sz w:val="24"/>
          <w:szCs w:val="24"/>
          <w:rtl w:val="0"/>
        </w:rPr>
        <w:t xml:space="preserve">regidores</w:t>
      </w:r>
      <w:r w:rsidDel="00000000" w:rsidR="00000000" w:rsidRPr="00000000">
        <w:rPr>
          <w:rFonts w:ascii="Arial Narrow" w:cs="Arial Narrow" w:eastAsia="Arial Narrow" w:hAnsi="Arial Narrow"/>
          <w:sz w:val="24"/>
          <w:szCs w:val="24"/>
          <w:rtl w:val="0"/>
        </w:rPr>
        <w:t xml:space="preserve"> designados por el rey con carácter vitalicio para introducirse en América junto a sus instituciones. De lo mencionado anteriormente, empieza a filtrarse el concepto de municipio como una institución que crea escenarios de organización y de responsabilidad, de y para la población, quienes asumen responsabilidad con la entidad organizada territorialmente; esperando seguridad y armonía social. El concepto de municipio español tenía una fuerte influencia por el sistema europeo bicameral, los órganos más importantes eran: los ayuntamientos (alcalde y concejales) y el </w:t>
      </w:r>
      <w:r w:rsidDel="00000000" w:rsidR="00000000" w:rsidRPr="00000000">
        <w:rPr>
          <w:rFonts w:ascii="Arial Narrow" w:cs="Arial Narrow" w:eastAsia="Arial Narrow" w:hAnsi="Arial Narrow"/>
          <w:i w:val="1"/>
          <w:sz w:val="24"/>
          <w:szCs w:val="24"/>
          <w:rtl w:val="0"/>
        </w:rPr>
        <w:t xml:space="preserve">pleno</w:t>
      </w:r>
      <w:r w:rsidDel="00000000" w:rsidR="00000000" w:rsidRPr="00000000">
        <w:rPr>
          <w:rFonts w:ascii="Arial Narrow" w:cs="Arial Narrow" w:eastAsia="Arial Narrow" w:hAnsi="Arial Narrow"/>
          <w:sz w:val="24"/>
          <w:szCs w:val="24"/>
          <w:rtl w:val="0"/>
        </w:rPr>
        <w:t xml:space="preserve">. El concepto de municipalidad se originó de un desarrollo histórico, indirectamente en su contenido está la necesidad de entregarle autonomía a una entidad, la cual históricamente ha luchado con tener posición frente a las formas de gobierno unitarias, donde el centro del poder es uno solo, como en un sistema monárquico o un régimen político absolutista. </w:t>
      </w:r>
    </w:p>
    <w:p w:rsidR="00000000" w:rsidDel="00000000" w:rsidP="00000000" w:rsidRDefault="00000000" w:rsidRPr="00000000" w14:paraId="0000006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las cosas, en el desarrollo de la municipalidad dependiendo intrínsecamente de las formas de gobierno, la conformación de estos gobiernos de desarrollo a lo largo de la historia del concepto de Municipio tuvo que atravesar por formas de gobierno monárquicos, centralistas y absolutistas para finalmente encontrarnos con gobiernos democráticos presidenciales o parlamentarios, gobiernos que desarrollaron derechos personales y las entidades empezaron a tener injerencia directa en las cuestiones que le atinen a su territorio. Este cambio se realiza con gran motivación por responder a necesidades sociales que necesitaban más atención y eficiencia; una solución enfocada al territorio y que se opusiera rotundamente a lo que se venía presentando en el pasado, ese concepto de municipalidad que solo respondía los caprichos de un monarca. Empoderar instituciones fuera del poder central para gobernar y administrar no se dio de manera inmediata, se entendía que se debía entregar autonomía a los territorios y aunque cueste creer se desconfiaba de estas maneras de gobernar, sin embargo, hubo algunos hechos históricos que ayudaron a determinar el establecimiento de esta autonomía local y territorial de la que hoy se beneficia el municipio: </w:t>
      </w:r>
    </w:p>
    <w:p w:rsidR="00000000" w:rsidDel="00000000" w:rsidP="00000000" w:rsidRDefault="00000000" w:rsidRPr="00000000" w14:paraId="0000006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primer escenario teórico, es el que hace referencia al </w:t>
      </w:r>
      <w:r w:rsidDel="00000000" w:rsidR="00000000" w:rsidRPr="00000000">
        <w:rPr>
          <w:rFonts w:ascii="Arial Narrow" w:cs="Arial Narrow" w:eastAsia="Arial Narrow" w:hAnsi="Arial Narrow"/>
          <w:i w:val="1"/>
          <w:sz w:val="24"/>
          <w:szCs w:val="24"/>
          <w:rtl w:val="0"/>
        </w:rPr>
        <w:t xml:space="preserve">Pouvoir</w:t>
      </w:r>
      <w:r w:rsidDel="00000000" w:rsidR="00000000" w:rsidRPr="00000000">
        <w:rPr>
          <w:rFonts w:ascii="Arial Narrow" w:cs="Arial Narrow" w:eastAsia="Arial Narrow" w:hAnsi="Arial Narrow"/>
          <w:sz w:val="24"/>
          <w:szCs w:val="24"/>
          <w:rtl w:val="0"/>
        </w:rPr>
        <w:t xml:space="preserve"> municipal en Francia, la cual tiene como origen la idea de Anne Robert Jacques Turgot de que existía una organización y forma de asociación natural entre las personas de cada uno de los municipios que componían en territorio francés y que en manos de esa comunidad debería estar la gestión de asuntos de carácter social y comunitario. (Rodriguez Ojeda, 2017)</w:t>
      </w:r>
    </w:p>
    <w:p w:rsidR="00000000" w:rsidDel="00000000" w:rsidP="00000000" w:rsidRDefault="00000000" w:rsidRPr="00000000" w14:paraId="0000006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otro lado, en Alemania se creo la teoría de </w:t>
      </w:r>
      <w:r w:rsidDel="00000000" w:rsidR="00000000" w:rsidRPr="00000000">
        <w:rPr>
          <w:rFonts w:ascii="Arial Narrow" w:cs="Arial Narrow" w:eastAsia="Arial Narrow" w:hAnsi="Arial Narrow"/>
          <w:i w:val="1"/>
          <w:sz w:val="24"/>
          <w:szCs w:val="24"/>
          <w:rtl w:val="0"/>
        </w:rPr>
        <w:t xml:space="preserve">“Selbstverwaltung”</w:t>
      </w:r>
      <w:r w:rsidDel="00000000" w:rsidR="00000000" w:rsidRPr="00000000">
        <w:rPr>
          <w:rFonts w:ascii="Arial Narrow" w:cs="Arial Narrow" w:eastAsia="Arial Narrow" w:hAnsi="Arial Narrow"/>
          <w:sz w:val="24"/>
          <w:szCs w:val="24"/>
          <w:rtl w:val="0"/>
        </w:rPr>
        <w:t xml:space="preserve"> que a la traducción al español se entiende como </w:t>
      </w:r>
      <w:r w:rsidDel="00000000" w:rsidR="00000000" w:rsidRPr="00000000">
        <w:rPr>
          <w:rFonts w:ascii="Arial Narrow" w:cs="Arial Narrow" w:eastAsia="Arial Narrow" w:hAnsi="Arial Narrow"/>
          <w:i w:val="1"/>
          <w:sz w:val="24"/>
          <w:szCs w:val="24"/>
          <w:rtl w:val="0"/>
        </w:rPr>
        <w:t xml:space="preserve">Autogobierno. </w:t>
      </w:r>
      <w:r w:rsidDel="00000000" w:rsidR="00000000" w:rsidRPr="00000000">
        <w:rPr>
          <w:rFonts w:ascii="Arial Narrow" w:cs="Arial Narrow" w:eastAsia="Arial Narrow" w:hAnsi="Arial Narrow"/>
          <w:sz w:val="24"/>
          <w:szCs w:val="24"/>
          <w:rtl w:val="0"/>
        </w:rPr>
        <w:t xml:space="preserve">“Hacia el siglo XIX el Rey de Prusia, con la perdida de la batalla contra el Ejercito de Napoleón, el Barón Heinrich Friedrich Karl Reichsfreiherr vom und zum Stein (1757 – 1831), quien se encontraba a la cabeza del gobierno, propuso reformar el sistema Estatal, por lo que en 1807 redactó la “Memoria Nassau”, en donde, aunque de una manera muy débil, le asignó una nueva estructura al Estado, dividiéndolo en Entes municipales, urbanos y rurales, y afirmó que cada uno de ellos podría autoadministrarse (Selbstverwaltung) asumiendo la responsabilidad absoluta de sus decisiones.” (CASTAÑEDA GÓMEZ, 2014).</w:t>
      </w:r>
    </w:p>
    <w:p w:rsidR="00000000" w:rsidDel="00000000" w:rsidP="00000000" w:rsidRDefault="00000000" w:rsidRPr="00000000" w14:paraId="0000006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claro entonces que, con la teoría alemana, el Estado para la época, se daba inicios a una forma de organización municipal, en donde encontramos autonomía para gestionar asuntos que solucionaran las necesidades de la sociedad en cada territorio, era precisamente en los municipios, en donde se podría llevar a cabo acciones para garantizar y prevalecer el desarrollo de un territorio.</w:t>
      </w:r>
    </w:p>
    <w:p w:rsidR="00000000" w:rsidDel="00000000" w:rsidP="00000000" w:rsidRDefault="00000000" w:rsidRPr="00000000" w14:paraId="0000006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MUNICIPALIDAD EN LA ÉPOCA PRECOLOMBINA</w:t>
      </w:r>
    </w:p>
    <w:p w:rsidR="00000000" w:rsidDel="00000000" w:rsidP="00000000" w:rsidRDefault="00000000" w:rsidRPr="00000000" w14:paraId="0000006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época precolombina contiene rasgos que pueden orientar mejor a la historia del municipio en Colombia, los cazadores y recolectores seleccionaron sitios en donde el agua y la tierra fueran más favorables así dándole origen a la agricultura en estas tierras; reuniendo a las familias para que se genere el arado, ayudando conformar las aldeas que con el tiempo se convertiría en lo que hoy conocemos como municipio. El germen de la municipalización no fue ajeno a las culturas prehispánicas y así ha sido indicado por la literatura especializada en la materia: </w:t>
      </w:r>
    </w:p>
    <w:p w:rsidR="00000000" w:rsidDel="00000000" w:rsidP="00000000" w:rsidRDefault="00000000" w:rsidRPr="00000000" w14:paraId="0000007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2">
      <w:pPr>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arqueólogos han descubierto que hace 12.500 años existían en la Sabana de Bogotá cazadores que por cortos periodos permanecían en los abrigos rocosos que los investigadores Correal y Van Der Hammen denominaron El Abra y Tequendama, en el municipio actual de Soacha, se trataba de cazadores que venían en grupos desde el Valle del Magdalena y que en los bosques cenagosos de la Sabana de Bogotá cazaban venados y roedores y de ellos se alimentaban. Hace 4.500 años los antepasados del hombre colombiano se sedentarizan, se organizaron en aldeas, cultivaron en forma intensiva el maíz y comenzaron a desarrollar la industria de la piedra, del hueso y la madera. Posteriormente hicieron cerámica, tejieron mantas y filigranas de oro y cobre.” (Galvis Gaitán, 2007). </w:t>
      </w:r>
    </w:p>
    <w:p w:rsidR="00000000" w:rsidDel="00000000" w:rsidP="00000000" w:rsidRDefault="00000000" w:rsidRPr="00000000" w14:paraId="0000007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estas llamadas aldeas primitivas ya se encontraban los elementos esenciales de lo que sería municipio, sin embargo, las instituciones no tenían gran cimiento y no fue sino hasta el asentamiento de las instituciones coloniales que pudieron darse los cambios necesarios para hacer pervivir esta forma de organización.</w:t>
      </w:r>
    </w:p>
    <w:p w:rsidR="00000000" w:rsidDel="00000000" w:rsidP="00000000" w:rsidRDefault="00000000" w:rsidRPr="00000000" w14:paraId="0000007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MUNICIPALIDAD EN LA COLONIA</w:t>
      </w:r>
    </w:p>
    <w:p w:rsidR="00000000" w:rsidDel="00000000" w:rsidP="00000000" w:rsidRDefault="00000000" w:rsidRPr="00000000" w14:paraId="00000077">
      <w:pPr>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plano histórico y colonial de “Las indias” encontramos que en el momento de la conquista convivían en España distintos regímenes jurídicos; el de Aragón, Castilla y Navarra “estas circunstancias, unidas al hecho de que fuera Isabel la que patrocinase los proyectos descubridores de Colón, explican históricamente que los territorios de las que se llamaron Indias Occidentales quedaran incorporadas políticamente a la Corona de Castilla y que fuera el derecho castellano y no los otros derechos españoles peninsulares el que se proyectase desde España sobre estas comarcas del Nuevo Mundo, modelando originariamente la vida de sus instituciones”. (Galvis Gaitán, 2007). El derecho de Castilla actuaba como derecho supletorio cuando en cualquier situación jurídica que no tenía previsto la legislación de “Las Indias”, es decir, en América se allegaron leyes e instituciones del régimen de castilla. Entendemos que España al introducirse en “Las Indias” trajo consigo un concepto municipal Medieval-Moderno, el cual no floreció con la misma fuerza que en España, causando decadencias y cambios que lo llevaron a punto de desaparecer, añadiendo la forma poco ética y en gran medida contaminada con la que España designaba los mandatarios municipales, “Ya en tiempos de Felipe II, para hacer frente a las apremiantes necesidades del Tesoro, se implantó en las colonias, como se había establecido en España, la práctica viciosa de enajenar en pública subasta y adjudicar al mejor postor los oficios públicos de más lucrativo desempeño, cuya provisión correspondía a la Corona como una de sus regalías” (Barrios Zuluaga,1998 citado en Fernández de Castro Del Castillo, 2005)</w:t>
      </w:r>
    </w:p>
    <w:p w:rsidR="00000000" w:rsidDel="00000000" w:rsidP="00000000" w:rsidRDefault="00000000" w:rsidRPr="00000000" w14:paraId="0000007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estatuto constitucional de Cundinamarca en 1811 establece que la elección de los alcaldes la debían realizar los “vecinos”, así lo enunciaba el artículo 1: “Los Alcaldes pedáneos se elegirán todos los años por los vecinos de cada lugar, en tiempo de nombrar apoderados para la elección de los individuos que deben componer los respectivos cabildos” (Fernández de Castro Del Castillo, 2005). Por otro lado, y referenciando a Barrios Zuluaga la Constitución del Estado de Cartagena de Indias de 1812 dispone: “El número de individuos del Ayuntamiento en la Capital, sin contar al Corregidor, será de seis, los cuales se renovarán cada dos años, eligiéndose la mitad en uno y la mitad en otro”.</w:t>
      </w:r>
    </w:p>
    <w:p w:rsidR="00000000" w:rsidDel="00000000" w:rsidP="00000000" w:rsidRDefault="00000000" w:rsidRPr="00000000" w14:paraId="0000007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1815 la Constitución del Estado de Mariquita, enuncia en el título XVl, Articulo 2: “El número de individuos de cada ayuntamiento será el de cinco: dos alcaldes ordinarios y tres regidores”. En ese mismo año, la Constitución de Pamplona, en su artículo 86, establecía: “Los alcaldes ordinarios de primera nominación, que se consideran particularmente como funcionarios del Poder Ejecutivo Provincial, serán los presidentes de las Municipalidades, y los ejecutores de las ordenanzas que establecieren sobre la materia de su resorte contenidas en el artículo precedente”.</w:t>
      </w:r>
    </w:p>
    <w:p w:rsidR="00000000" w:rsidDel="00000000" w:rsidP="00000000" w:rsidRDefault="00000000" w:rsidRPr="00000000" w14:paraId="0000007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año 1832, la Constitución, en su Artículo 150, dispuso: “El territorio de la República se divide en provincias, las provincias en cantones y los cantones en distritos parroquiales”</w:t>
      </w:r>
    </w:p>
    <w:p w:rsidR="00000000" w:rsidDel="00000000" w:rsidP="00000000" w:rsidRDefault="00000000" w:rsidRPr="00000000" w14:paraId="0000007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8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su parte, la Constitución de 1843, en su artículo 8º, consagró: “El territorio de la Nueva Granada se dividirá en provincias. Cada provincia se compondrá de uno o más cantones y cada cantón se dividirá en distritos parroquiales. La Ley arreglará la división por provincias y la de éstas por cantones y determinará la autoridad por quien y el modo en que deba arreglarse la de los cantones por distritos parroquiales”. (Constitución Política 1 de 1843 Congreso de la República) Esta forma de Organización Geopolítica se conservó y tuvo vigencia por diez años, en la reforma de 1853 se dividió el territorio de la Republica en las provincias y distritos parroquiales.</w:t>
      </w:r>
    </w:p>
    <w:p w:rsidR="00000000" w:rsidDel="00000000" w:rsidP="00000000" w:rsidRDefault="00000000" w:rsidRPr="00000000" w14:paraId="0000008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la llegada del gobierno de Mariano Ospina Rodríguez, se adopta una nueva Constitución y se crea la Confederación Granadina, compuesta y ordenada por Estados Soberanos. Los Estados creados se dividieron en provincias y distritos parroquiales (DANE, Reseña Historica), sin embargo, estas instituciones fueron suprimidas al redactarse un nuevo estatuto constitucional en 1886 que organizó al país en forma de Republica Unitaria.</w:t>
      </w:r>
    </w:p>
    <w:p w:rsidR="00000000" w:rsidDel="00000000" w:rsidP="00000000" w:rsidRDefault="00000000" w:rsidRPr="00000000" w14:paraId="0000008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MUNICIPALIDAD EN LA REPUBLICA UNITARIA </w:t>
      </w:r>
    </w:p>
    <w:p w:rsidR="00000000" w:rsidDel="00000000" w:rsidP="00000000" w:rsidRDefault="00000000" w:rsidRPr="00000000" w14:paraId="00000085">
      <w:pPr>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constitución de 1886 dispuso en el Artículo 198 que en cada distrito municipal hubiera una corporación popular que se denominara Concejo Municipal, se elegiría por medio de voto directo y secreto de los ciudadanos vecinos del mismo distrito, así mismo, en su artículo 200 la misma dispone que “la acción administrativa en el Distrito corresponde al alcalde, funcionario que tiene el doble carácter de agente del Gobernador y mandatario del pueblo”. En esa medida, el artículo 65, enuncia que en todo municipio haya un alcalde, que ejercerá las funciones de agente del Gobernador y que será jefe de la Administración Municipal.</w:t>
      </w:r>
    </w:p>
    <w:p w:rsidR="00000000" w:rsidDel="00000000" w:rsidP="00000000" w:rsidRDefault="00000000" w:rsidRPr="00000000" w14:paraId="0000008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1936, por medio de una reforma constitucional a cargo del presidente López Pumarejo, se expide un Acto Legislativo por medio del cual se crearon con rango constitucional las intendencias y comisarias y se dispuso la división de la Republica en departamentos, intendencias y comisarias, los departamentos los dividió en municipios o distritos municipales. Algo similar hizo Alberto Lleras Camargo en la gran reforma constitucional de 1945; divido las intendencias y comisarias en municipios o distritos municipales, se autorizó la clasificación de los municipios por categorías según la población, recursos fiscales e importancia económica.</w:t>
      </w:r>
    </w:p>
    <w:p w:rsidR="00000000" w:rsidDel="00000000" w:rsidP="00000000" w:rsidRDefault="00000000" w:rsidRPr="00000000" w14:paraId="0000008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la administración del presidente Carlos Lleras Restrepo, por medio de un acto legislativo se incorporaron como entidades territoriales de la Republica a los municipios o distritos municipales, situación que se mantuvo hasta 1991.</w:t>
      </w:r>
    </w:p>
    <w:p w:rsidR="00000000" w:rsidDel="00000000" w:rsidP="00000000" w:rsidRDefault="00000000" w:rsidRPr="00000000" w14:paraId="0000008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Uno de los propósitos fundamentales de la Reforma Constitucional de 1991, fue el de adecuar la organización del Estado a las nuevas realidades económicas y sociales del país. Los aspectos relativos a la descentralización administrativa y la modernización del Estado constituyeron los elementos claves para poner a tono las instituciones con los aconteceres nacional y regional y responder a las crecientes demandas de participación popular y autonomía territorial. En virtud de ello, la Constitución de 1991, en su Artículo 309, erigió en departamentos las intendencias y comisarías existentes y definió como entidades territoriales con autonomía para la gestión de sus intereses, según lo establecen los artículos 286 y 287 de la misma, a los departamentos, los distritos, los municipios y los territorios indígenas. Es de destacar el impulso que el constituyente del 91 le dio al municipio destacándolo como entidad fundamental de la división político-administrativa del Estado.</w:t>
      </w:r>
    </w:p>
    <w:p w:rsidR="00000000" w:rsidDel="00000000" w:rsidP="00000000" w:rsidRDefault="00000000" w:rsidRPr="00000000" w14:paraId="0000008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repaso histórico nos permite ver las distintas circunstancias, elementos, criterios y fundamentos que, en distintas épocas, han influido en la unidad político-administrativa del país. Aquellos pensamientos que debido a su contexto, tiempo y lugar fueron ejes centrales de influencias internas y externas, por ejemplo, si hablamos del concepto de municipio y la administración en la colonia obedecían a influencias europeas-españolas, a merced de la Corona; las que se presentaron años más tarde, en la Republica, son producto de las ideas que nacieron en materia de administración municipal y las necesidades sociales a las que la población se enfrentó.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MUNICIPALIDAD EN LA CONSTITUCIÓN POLÍTICA DE 1991</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la constitución política de 1991 se originaron por medio de la Constituyente cuatro entidades territoriales: los departamentos, los distritos, los municipios y los territorios indígenas; y se creó por medio del legislativo una más, la región. Dentro de la organización territorial colombiana, el municipio se constituye en la unidad fundamental de la división político-administrativa del Estado. Después de 105 años de una constitución centralista le apostó a una república unitaria, descentralizada, con autonomía de sus entes territoriales (Contitución Política de Colombia, 1991).</w:t>
      </w:r>
    </w:p>
    <w:p w:rsidR="00000000" w:rsidDel="00000000" w:rsidP="00000000" w:rsidRDefault="00000000" w:rsidRPr="00000000" w14:paraId="0000009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Uno de los cambios más importantes la vida política nacional ha sido la descentralización, apoyada por dos motivos que la motivaron en la estructuración y concreción, en el plano social, el estado se mostraba cada vez incapaz de enfrentar con éxito los grandes problemas del país, la pobreza y la desigualdades sociales y regionales. Por otro lado, la legitimidad estaba siendo cuestionada debido al centralismo en la toma de decisiones.</w:t>
      </w:r>
    </w:p>
    <w:p w:rsidR="00000000" w:rsidDel="00000000" w:rsidP="00000000" w:rsidRDefault="00000000" w:rsidRPr="00000000" w14:paraId="0000009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meta principal de la idea de descentralización que propuso el constituyente del 91 es la de dar mayor poder a los entes territoriales en la definición de políticas públicas, mejorar la prestación de los servicios públicos y democratizar las decisiones públicas a través de la participación ciudadana, y quedo claro que, el modelo de centralización que consiste en que todas las funciones reposen en el Gobierno Nacional Central había fracasado en la medida que era ineficaz en la prestación de bienes y servicios por parte del Estado, por tanto, el Estado mismo debía solucionar ese problema cediendo competencias para lograr abarcar todo el territorio.</w:t>
      </w:r>
    </w:p>
    <w:p w:rsidR="00000000" w:rsidDel="00000000" w:rsidP="00000000" w:rsidRDefault="00000000" w:rsidRPr="00000000" w14:paraId="0000009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municipio “es la entidad fundamental de la división político-administrativa del Estado” (artículo 311). Además de lo enunciado por este artículo, la ley 136 de 1994 precisa “autonomía política, fiscal y administrativa” (articulo1) de los municipios en Colombia. </w:t>
      </w:r>
    </w:p>
    <w:p w:rsidR="00000000" w:rsidDel="00000000" w:rsidP="00000000" w:rsidRDefault="00000000" w:rsidRPr="00000000" w14:paraId="0000009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Según Enrique Tamayo el municipio es: “Entidad administrativa, territorial, reconocida por la ley y constituida por el conjunto de familias que habitan en su territorio, por su patrimonio y bienes, con personería jurídica y autoridades propias que ejercen autonomía administrativa. El objeto es la satisfacción de las necesidades de la población, mediante la prestación de servicios públicos que proporcionan todos los medios necesarios para conseguir mejores condiciones de vida de sus habitantes”. Observando con gran atención logramos identificar 5 elementos que contiene un territorio para ser municipio según el autor: 1. </w:t>
      </w:r>
      <w:r w:rsidDel="00000000" w:rsidR="00000000" w:rsidRPr="00000000">
        <w:rPr>
          <w:rFonts w:ascii="Arial Narrow" w:cs="Arial Narrow" w:eastAsia="Arial Narrow" w:hAnsi="Arial Narrow"/>
          <w:b w:val="1"/>
          <w:sz w:val="24"/>
          <w:szCs w:val="24"/>
          <w:rtl w:val="0"/>
        </w:rPr>
        <w:t xml:space="preserve">Población</w:t>
      </w:r>
      <w:r w:rsidDel="00000000" w:rsidR="00000000" w:rsidRPr="00000000">
        <w:rPr>
          <w:rFonts w:ascii="Arial Narrow" w:cs="Arial Narrow" w:eastAsia="Arial Narrow" w:hAnsi="Arial Narrow"/>
          <w:sz w:val="24"/>
          <w:szCs w:val="24"/>
          <w:rtl w:val="0"/>
        </w:rPr>
        <w:t xml:space="preserve"> entendido como “el conjunto de familias que habitan en su territorio”; 2. </w:t>
      </w:r>
      <w:r w:rsidDel="00000000" w:rsidR="00000000" w:rsidRPr="00000000">
        <w:rPr>
          <w:rFonts w:ascii="Arial Narrow" w:cs="Arial Narrow" w:eastAsia="Arial Narrow" w:hAnsi="Arial Narrow"/>
          <w:b w:val="1"/>
          <w:sz w:val="24"/>
          <w:szCs w:val="24"/>
          <w:rtl w:val="0"/>
        </w:rPr>
        <w:t xml:space="preserve">Territorio</w:t>
      </w:r>
      <w:r w:rsidDel="00000000" w:rsidR="00000000" w:rsidRPr="00000000">
        <w:rPr>
          <w:rFonts w:ascii="Arial Narrow" w:cs="Arial Narrow" w:eastAsia="Arial Narrow" w:hAnsi="Arial Narrow"/>
          <w:sz w:val="24"/>
          <w:szCs w:val="24"/>
          <w:rtl w:val="0"/>
        </w:rPr>
        <w:t xml:space="preserve">, es decir el lugar donde se asienta la población; 3. </w:t>
      </w:r>
      <w:r w:rsidDel="00000000" w:rsidR="00000000" w:rsidRPr="00000000">
        <w:rPr>
          <w:rFonts w:ascii="Arial Narrow" w:cs="Arial Narrow" w:eastAsia="Arial Narrow" w:hAnsi="Arial Narrow"/>
          <w:b w:val="1"/>
          <w:sz w:val="24"/>
          <w:szCs w:val="24"/>
          <w:rtl w:val="0"/>
        </w:rPr>
        <w:t xml:space="preserve">Autoridades</w:t>
      </w:r>
      <w:r w:rsidDel="00000000" w:rsidR="00000000" w:rsidRPr="00000000">
        <w:rPr>
          <w:rFonts w:ascii="Arial Narrow" w:cs="Arial Narrow" w:eastAsia="Arial Narrow" w:hAnsi="Arial Narrow"/>
          <w:sz w:val="24"/>
          <w:szCs w:val="24"/>
          <w:rtl w:val="0"/>
        </w:rPr>
        <w:t xml:space="preserve">; 4. </w:t>
      </w:r>
      <w:r w:rsidDel="00000000" w:rsidR="00000000" w:rsidRPr="00000000">
        <w:rPr>
          <w:rFonts w:ascii="Arial Narrow" w:cs="Arial Narrow" w:eastAsia="Arial Narrow" w:hAnsi="Arial Narrow"/>
          <w:b w:val="1"/>
          <w:sz w:val="24"/>
          <w:szCs w:val="24"/>
          <w:rtl w:val="0"/>
        </w:rPr>
        <w:t xml:space="preserve">Subordinación</w:t>
      </w:r>
      <w:r w:rsidDel="00000000" w:rsidR="00000000" w:rsidRPr="00000000">
        <w:rPr>
          <w:rFonts w:ascii="Arial Narrow" w:cs="Arial Narrow" w:eastAsia="Arial Narrow" w:hAnsi="Arial Narrow"/>
          <w:sz w:val="24"/>
          <w:szCs w:val="24"/>
          <w:rtl w:val="0"/>
        </w:rPr>
        <w:t xml:space="preserve"> al Estado; y una 5. </w:t>
      </w:r>
      <w:r w:rsidDel="00000000" w:rsidR="00000000" w:rsidRPr="00000000">
        <w:rPr>
          <w:rFonts w:ascii="Arial Narrow" w:cs="Arial Narrow" w:eastAsia="Arial Narrow" w:hAnsi="Arial Narrow"/>
          <w:b w:val="1"/>
          <w:sz w:val="24"/>
          <w:szCs w:val="24"/>
          <w:rtl w:val="0"/>
        </w:rPr>
        <w:t xml:space="preserve">Finalidad</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9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establecieron tres principios que armonizan la prestación y el cumplimiento de los fines del Estado; la </w:t>
      </w:r>
      <w:r w:rsidDel="00000000" w:rsidR="00000000" w:rsidRPr="00000000">
        <w:rPr>
          <w:rFonts w:ascii="Arial Narrow" w:cs="Arial Narrow" w:eastAsia="Arial Narrow" w:hAnsi="Arial Narrow"/>
          <w:b w:val="1"/>
          <w:sz w:val="24"/>
          <w:szCs w:val="24"/>
          <w:rtl w:val="0"/>
        </w:rPr>
        <w:t xml:space="preserve">coordinación</w:t>
      </w:r>
      <w:r w:rsidDel="00000000" w:rsidR="00000000" w:rsidRPr="00000000">
        <w:rPr>
          <w:rFonts w:ascii="Arial Narrow" w:cs="Arial Narrow" w:eastAsia="Arial Narrow" w:hAnsi="Arial Narrow"/>
          <w:sz w:val="24"/>
          <w:szCs w:val="24"/>
          <w:rtl w:val="0"/>
        </w:rPr>
        <w:t xml:space="preserve">: “Las autoridades administrativas deben coordinar sus actuaciones para el cumplimiento de las funciones estatales. Debe ser arriba hacia abajo (nación con entes territoriales), de abajo hacia arriba (entes territoriales con nación) y horizontalmente (entre entidades territoriales).” (Sentencia C-1051, 2001); la </w:t>
      </w:r>
      <w:r w:rsidDel="00000000" w:rsidR="00000000" w:rsidRPr="00000000">
        <w:rPr>
          <w:rFonts w:ascii="Arial Narrow" w:cs="Arial Narrow" w:eastAsia="Arial Narrow" w:hAnsi="Arial Narrow"/>
          <w:b w:val="1"/>
          <w:sz w:val="24"/>
          <w:szCs w:val="24"/>
          <w:rtl w:val="0"/>
        </w:rPr>
        <w:t xml:space="preserve">concurrencia</w:t>
      </w:r>
      <w:r w:rsidDel="00000000" w:rsidR="00000000" w:rsidRPr="00000000">
        <w:rPr>
          <w:rFonts w:ascii="Arial Narrow" w:cs="Arial Narrow" w:eastAsia="Arial Narrow" w:hAnsi="Arial Narrow"/>
          <w:sz w:val="24"/>
          <w:szCs w:val="24"/>
          <w:rtl w:val="0"/>
        </w:rPr>
        <w:t xml:space="preserve">: Proceso de participación entre la nación y los entes territoriales de tal forma que intervengan en el “diseño y desarrollo de programas y proyectos dirigidos a garantizar el bienestar general y el mejoramiento de la calidad de vida, pues solo así será posible avanzar en la realización efectiva de principios también de rango constitucional, como por ejemplo el de descentralización y autonomía territorial” (Auto 383 de la Corte Constitucional, 2010); y la </w:t>
      </w:r>
      <w:r w:rsidDel="00000000" w:rsidR="00000000" w:rsidRPr="00000000">
        <w:rPr>
          <w:rFonts w:ascii="Arial Narrow" w:cs="Arial Narrow" w:eastAsia="Arial Narrow" w:hAnsi="Arial Narrow"/>
          <w:b w:val="1"/>
          <w:sz w:val="24"/>
          <w:szCs w:val="24"/>
          <w:rtl w:val="0"/>
        </w:rPr>
        <w:t xml:space="preserve">subsidiaridad</w:t>
      </w:r>
      <w:r w:rsidDel="00000000" w:rsidR="00000000" w:rsidRPr="00000000">
        <w:rPr>
          <w:rFonts w:ascii="Arial Narrow" w:cs="Arial Narrow" w:eastAsia="Arial Narrow" w:hAnsi="Arial Narrow"/>
          <w:sz w:val="24"/>
          <w:szCs w:val="24"/>
          <w:rtl w:val="0"/>
        </w:rPr>
        <w:t xml:space="preserve"> “Sólo cuando “la entidad territorial no pueda ejercer determinadas funciones en forma independiente, puede apelar a niveles superiores (el departamento o la nación), para que estos asuman el ejercicio de esas competencias” (Auto 383 de la Corte Constitucional, 2010).</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CREACION DE MUNCIPIOS</w:t>
      </w:r>
    </w:p>
    <w:p w:rsidR="00000000" w:rsidDel="00000000" w:rsidP="00000000" w:rsidRDefault="00000000" w:rsidRPr="00000000" w14:paraId="0000009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Colombia la entidad que tiene la facultad de crear y suprimir municipios desde la constitución política de 1886 son las </w:t>
      </w:r>
      <w:r w:rsidDel="00000000" w:rsidR="00000000" w:rsidRPr="00000000">
        <w:rPr>
          <w:rFonts w:ascii="Arial Narrow" w:cs="Arial Narrow" w:eastAsia="Arial Narrow" w:hAnsi="Arial Narrow"/>
          <w:b w:val="1"/>
          <w:sz w:val="24"/>
          <w:szCs w:val="24"/>
          <w:rtl w:val="0"/>
        </w:rPr>
        <w:t xml:space="preserve">ASAMBLEAS DEPARTAMENTALES, </w:t>
      </w:r>
      <w:r w:rsidDel="00000000" w:rsidR="00000000" w:rsidRPr="00000000">
        <w:rPr>
          <w:rFonts w:ascii="Arial Narrow" w:cs="Arial Narrow" w:eastAsia="Arial Narrow" w:hAnsi="Arial Narrow"/>
          <w:sz w:val="24"/>
          <w:szCs w:val="24"/>
          <w:rtl w:val="0"/>
        </w:rPr>
        <w:t xml:space="preserve">“corresponde a las Asambleas Departamentales, por medio de ordenanzas (…). Con sujeción a los requisitos que señale la ley, crear y suprimir municipios, segregar y agregar territorios municipales, y organizar provincias” (Contitución Política de Colombia, 1991). Posteriormente, la Ley 136 de 1994 en su artículo 8 reglamentó los requisitos para la creación de municipios, la cual, a su vez, fue reglamentada por la Ley 617 de 2000, quedando estipulados los siguientes requisitos: “1. Que el área del municipio propuesto tenga identidad, atendidas las características naturales, sociales, económicas y culturales.”; “2. (“Conceptos básicos”) Que cuente por lo menos con catorce mil (14.000) habitantes y que el municipio o municipios de los cuales se pretende segregar no disminuya su población por debajo de este límite señalado, según certificación del Departamento Administrativo Nacional de Estadística, DANE.; “3. Que el Municipio propuesto garantice, por lo menos, ingresos corrientes de libre destinación anuales equivalentes a cinco mil (5.000) salarios mínimos mensuales vigentes, durante un período no inferior a cuatro (4) años.”; “4. 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 (Ley 617, 2000)</w:t>
      </w:r>
    </w:p>
    <w:p w:rsidR="00000000" w:rsidDel="00000000" w:rsidP="00000000" w:rsidRDefault="00000000" w:rsidRPr="00000000" w14:paraId="000000A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iniciativa para crear municipios puede provenir de: i) los miembros de la asamblea departamental; ii) el gobernador; iii) iniciativa popular." (Chaparro, 2013) En caso de que una iniciativa sea archivada podrá presentarse nuevamente después de tres años.</w:t>
      </w:r>
    </w:p>
    <w:p w:rsidR="00000000" w:rsidDel="00000000" w:rsidP="00000000" w:rsidRDefault="00000000" w:rsidRPr="00000000" w14:paraId="000000A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Cuando se crean municipios se emiten actos administrativos, así las cosas, corresponde al tribunal administrativo examinar la legalidad de estos. La impugnación podrá realizarla cualquier ciudadano, en ella se evaluara la constitucionalidad de la iniciativa; el ministerio publico rinde concepto sobre esta, una vez agotada esta etapa  sobre la legalidad por el tribunal, se someterá a un referendo la iniciativa de creación del municipio; para la aprobación de la misma se deberá contar con la votación del referente que en consecuencia deberá arrojar un resultado favorable de la mitad más uno de los habitantes y sobrepase el umbral electoral, finalmente el gobernador sancionara la ordenanza de creación.</w:t>
      </w:r>
    </w:p>
    <w:p w:rsidR="00000000" w:rsidDel="00000000" w:rsidP="00000000" w:rsidRDefault="00000000" w:rsidRPr="00000000" w14:paraId="000000A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A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ley establece una excepción. Se podrán crear municipios por la asamblea departamental, sin el lleno de los requisitos mencionados, previo concepto del presidente de la república, en casos de defensa nacional o cuando se trate de corregimientos creados por el Gobierno antes de 1991 que sean de zona de frontera, siempre y cuando no hayan pertenecido a ningún municipio.” (Chaparro, 2013)</w:t>
      </w:r>
    </w:p>
    <w:p w:rsidR="00000000" w:rsidDel="00000000" w:rsidP="00000000" w:rsidRDefault="00000000" w:rsidRPr="00000000" w14:paraId="000000A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la Ley 136 de 1994 se puede aplaudir el gran paso que tuvo el Estado Colombiano de la mano de la descentralización y la autonomía territorial, Esta ley trajo la idea de que el país creyera que es posible que las necesidades tuviese solución oportuna por sus dirigentes, de forma que disminuyera la idea del abandono estatal, por tanto el legislador de la Ley 136 de 1994 estableció requisitos mínimos de forma en que se pudiese estimular la aparición de nuevos municipios que cumplieran la función político-administrativa, sin embargo, la ley no tuvo en cuenta el incremento en la población, por tanto el requisito </w:t>
      </w:r>
      <w:r w:rsidDel="00000000" w:rsidR="00000000" w:rsidRPr="00000000">
        <w:rPr>
          <w:rFonts w:ascii="Arial Narrow" w:cs="Arial Narrow" w:eastAsia="Arial Narrow" w:hAnsi="Arial Narrow"/>
          <w:b w:val="1"/>
          <w:i w:val="1"/>
          <w:sz w:val="24"/>
          <w:szCs w:val="24"/>
          <w:rtl w:val="0"/>
        </w:rPr>
        <w:t xml:space="preserve">población </w:t>
      </w:r>
      <w:r w:rsidDel="00000000" w:rsidR="00000000" w:rsidRPr="00000000">
        <w:rPr>
          <w:rFonts w:ascii="Arial Narrow" w:cs="Arial Narrow" w:eastAsia="Arial Narrow" w:hAnsi="Arial Narrow"/>
          <w:sz w:val="24"/>
          <w:szCs w:val="24"/>
          <w:rtl w:val="0"/>
        </w:rPr>
        <w:t xml:space="preserve">paso a ser una condición de fácil acceso. Ello, trajo como fortaleza que, en casi 4 años y medio, se crearan 38 municipios.</w:t>
      </w:r>
    </w:p>
    <w:p w:rsidR="00000000" w:rsidDel="00000000" w:rsidP="00000000" w:rsidRDefault="00000000" w:rsidRPr="00000000" w14:paraId="000000A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artículo 150 numeral 4o de la Constitución Política que corresponde al Congreso, por medio de leyes, “Definir la división general del territorio con arreglo a lo previsto en esta Constitución, fijar las bases y condiciones para crear, eliminar, modificar o fusionar entidades territoriales y establecer sus competencias.” (Contitución Política de Colombia, 1991) Por su parte el numeral 6 del artículo 300 de la Carta establece que corresponde a las Asambleas Departamentales, por medio de ordenanzas, “Con sujeción a los requisitos que señale la Ley, crear y suprimir municipios, segregar y agregar territorios municipales, y organizar provincias.” Así las cosas, en el congreso en pleno se expidió la Ley 1551 de 2012, una ley que llego con el fin de modernizar la organización de los municipios, de forma en que se les brinde a los entes territoriales un cuerpo normativo claro con relación a la administración y gestión pública, para fortalecer el desarrollo fiscal, con verdadera autonomía responsable.</w:t>
      </w:r>
    </w:p>
    <w:p w:rsidR="00000000" w:rsidDel="00000000" w:rsidP="00000000" w:rsidRDefault="00000000" w:rsidRPr="00000000" w14:paraId="000000A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excepciones que acompañan a la Ley de los entes territoriales desde 1994 son tan importante como los requisitos que cada una propone, en ese entendido, la Ley 136 de 1996 en su artículo 11 establece una excepción que se tendrán por validas la creación de municipios realizadas antes del 31 de diciembre de 1990, las realizadas entre el 31 de diciembre de 1990 y el 10 de diciembre de 1993 cuya nulidad no haya sido decretada. Una segunda excepción se encuentra en el artículo 9 de la misma, en el primer inciso, le confiere a las Asambleas Departamentales la facultad de crear municipios sin el cumplimiento de los requisitos legales, cuando así lo considere el presidente de la Republica en materia de defensa nacional. Una tercera excepción acompaña el artículo 9 de la Ley 136 de 1994, en su segundo inciso establece que la Asambleas Departamentales conviertan en municipios los corregimientos creados por el Gobierno Nacional antes del año 1991, respecta ubicación sea zona de frontera, para ello mencionada excepción se condiciono de dos maneras, por un lado, que el corregimiento no hiciera parte de ningún municipio y, por otro lado, el visto bueno del presidente de la República.  </w:t>
      </w:r>
    </w:p>
    <w:p w:rsidR="00000000" w:rsidDel="00000000" w:rsidP="00000000" w:rsidRDefault="00000000" w:rsidRPr="00000000" w14:paraId="000000A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creación de un municipio en Colombia traería consigo institucionalización y esto es importante porque acerca a todas las instituciones estatales a un territorio, permitiendo así la descentralización de funciones por parte del Gobierno Central, minimizando un poco esa dependencia y dar uso a esa autonomía que la Constitución Política le ha conferido a los municipios. La creación de ese nuevo municipio y llevar instituciones a ese territorio les permitirá fortalecer sus competencias y las habilidades de sus habitantes, dado que, será el municipio quien garantizará el desarrollo social de sus habitantes. En este punto, es importante hacer mención sobre la autonomía territorial, debido a que esta es definida como “la capacidad de manejar los asuntos propios, es decir, aquellos que le conciernen al ente territorial como tal, con una libertad que está limitada por lo que establezcan la Constitución y la Ley” (Ordoñez et al. 2011, p21). A su vez, hay que precisar que esta autonomía territorial en Colombia surge o es una consecuencia de la descentralización, esto, debido a que la descentralización siempre ha buscado que los departamentos y municipios puedan administrar sus recursos, innovar y ser más competitivos para garantizar el bienestar de su población, debido a que deben afianzar sus competencias en el ámbito de la prestación de servicios públicos domiciliarios, de educación, salud, medio ambiente, cultura y transporte. Entendiendo la autonomía como “la capacidad que tienen los entes locales, por mandato constitucional, par gestionar sus respectivos intereses a través de sus propios órganos y bajo su propia responsabilidad” (ROBLEDO SILVA, 2010). En el transcurso de la época centralista se presenciaron distintas formas de organización territorial  los regímenes constitucionales se caracterizaron por apostarle al Estado unitario, así las cosas las constituciones de 1821, 1830, 1832 y 1843 se basaron en la centralización y los deseos de la autonomía no se vieron materializados, por otro lado, las reformas constitucionales de 1945, 1968 y 1986 trajeron importantes aportes al municipio; “La primera de ellas significo un avance importante respecto de uniformidad y homogeneidad que caracterizaba al régimen municipal; así, se consagro la posibilidad de crear distintas categorías de municipios de acuerdo con su capacidad económica y sus recursos fiscales, con base en la idea de que no es posible gobernar y administrar bajo criterios, formulas y estructuras unificadas a todos los municipios sin tener en cuenta su población y nivel de desarrollo. Por otra parte, en 1968 también se obtuvieron algunas conquistas en materia municipal. En primer lugar, se crearon las áreas metropolitanas; en segundo término, surgieron las asociaciones de pequeños y medianos municipios para brindarse colaboración mutua en materia de prestación de servicios, además, continuando la labor iniciada en 1945, se habilito al legislador para la clasificación de municipios en diversas categorías; y por último, se otorgó a los concejos municipales de las grandes ciudades la potestad de crear Juntas Administradoras Locales, con el objetivo de fomentar mayor participación de los vecinos en el gobierno y la administración municipal. Finalmente, debe resaltarse la reforma constitucional introducida en 1986. Sin duda, esta reforma constituyó un gran paso hacia la democracia local, pues con ella se aprobó la elección directa de los alcaldes por los vecinos del respectivo municipio y se estableció la consulta popular como mecanismo de participación ciudadana.” (ROBLEDO SILVA, 2010)</w:t>
      </w:r>
    </w:p>
    <w:p w:rsidR="00000000" w:rsidDel="00000000" w:rsidP="00000000" w:rsidRDefault="00000000" w:rsidRPr="00000000" w14:paraId="000000A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Luego de más de 50 años de guerra con las FARC-EP, el Acuerdo de Paz pone fin a una época de violencia en el país,  trae consigo modernización, inclusión, perdón y reparación, el acuerdo trajo oportunidades para una Colombia que fue golpeada; el campesinado, la población rural, afro e indígena sufrieron la degradación de la guerra en sus propios territorios, los hechos que los marcaron como víctimas fueron el pan de cada día de una sociedad que, aun los padece, sin embargo, trajo consigo garantías que se empezaron a reconocer en el concepto de víctima, se firmó el 24 de noviembre de 2016 entre el Gobierno Nacional y las FARC-EP estipulando como eje central la paz, el impulsar la presencia y la acción eficaz del Estado en todo el territorio nacional, cargado de amplitud y de un organización inclusiva enfocado en destacar, garantizar y proteger los derechos de las víctimas del conflicto armado, es decir, el gobierno como parte fundamental en este proceso; es por eso que por medio del Acto Legislativo 01 de 2016 se le confirió al presidente de la república la facultad legislativa extraordinaria y excepcional para expedir decretos con fuerza de ley con el fin de dar cumplimiento a lo acordado. </w:t>
      </w:r>
    </w:p>
    <w:p w:rsidR="00000000" w:rsidDel="00000000" w:rsidP="00000000" w:rsidRDefault="00000000" w:rsidRPr="00000000" w14:paraId="000000B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Acuerdo final se desarrolló alrededor de 6 ejes temáticos: i) Reforma Rural Integral: hacia un nuevo campo colombiano; ii) Participación Política: Apertura democrática para construir la paz; iii) Fin del Conflicto; iv) Solución al Problema de las Drogas Ilícitas; v) Acuerdo sobre las Víctimas del Conflicto; y vi) Mecanismos de implementación y verificación del cumplimiento del Acuerdo. Para mayor precisión, el primer punto, la Reforma Rural Integral, estableció lineamientos para transformar el campo colombiano, creando bienestar con el fin de construir una paz más estable y duradera, así las cosas, para lograr alcanzar determinado objetivo, se priorizó los territorios más afectados por el conflicto, la miseria y el abandono, a través de Programas de Desarrollo con Enfoque Territorial (PDET) que se encargaran de generar un cambio de las condiciones sociales, económicas, políticas y culturales para darle apertura al cumplimiento de sus Derechos fundamentales, políticos, económicos, sociales y culturales.</w:t>
      </w:r>
    </w:p>
    <w:p w:rsidR="00000000" w:rsidDel="00000000" w:rsidP="00000000" w:rsidRDefault="00000000" w:rsidRPr="00000000" w14:paraId="000000B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hablar de cumplimiento de los objetivos de los PDET fue necesario elaborar políticas, normativas y acciones de forma que contribuyeran a las transformaciones municipales, que incluyó todos los niveles del ordenamiento territorial, poniendo de acuerdo autoridades locales y comunidades, de esa forma construyendo 170 municipios PDET en todo el territorio nacional dividido por 16 subregiones de 19 departamentos del país. Cada Municipio PDET en Colombia está compuesto de un territorio que se divide en cabecera municipal, corregimiento o caserío. </w:t>
      </w:r>
    </w:p>
    <w:p w:rsidR="00000000" w:rsidDel="00000000" w:rsidP="00000000" w:rsidRDefault="00000000" w:rsidRPr="00000000" w14:paraId="000000B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Hoy día según la Agencia de Renovación del Territorio los territorios PDET son más que 16 subregiones, 170 municipios y  11.000 veredas: los PDET son el 36% del territorio nacional con las zonas con más violencia, pobreza ausencia del Estado y cultivos ilícitos, tienen el 45 % de áreas de Parques Nacionales Naturales, en ellos viven acerca de 6,6 millones de colombianos, representan el 24% de la población rural del país, el analfabetismo en estos territorios es 3 veces el promedio nacional, menos de la tercera parte de la población tiene acceso a una fuente de agua, 3 de cada 4 habitantes no cuentan con una vivienda digna, el 77,5% de la red vial terciaria esta en mal estado, sin embargo, los PDET somos la planeación mas grande e incluyente del mundo en ella participaron más de 200.000 personas, 41% de ellas son mujeres y el 25% grupos étnicos, por tanto, es un territorio que necesita de la municipalización, “Municipalizar equivale a llevar la civilización a todos los rincones patrios; poner al alcance de los ciudadanos, donde estos se encuentren, los beneficios de pertenecer a la sociedad moderna; reconocerles su derecho a autoorganizarse para que asuman la gestión de sus propios intereses y se integren con personería de comunidad a los otros niveles de la organización territorial del Estado” (Hernández Becerra, 2013) ,sin embargo, la naturaleza de los territorios PDET es distinta a otros municipios en Colombia, los PDET tienen una gran necesidad de generar municipalidad, los aportes positivos que generaría en la región podrían cambiar la velocidad de desarrollo de sus territorios,  pero debido a su razón ontológica, es decir, a la razón de su existencia, originaria en la violencia y como por medio de este calificativo brindamos mejores circunstancias para los territorios seleccionados cabe la idea de generar una Categoría Municipal Especial distinta a la que hay en la Ley 136 de 1994 que se denomine “Categoría Especial de Paz” por determinado tiempo, en este caso, por el término de la duración del programa PDET, en ese entendido, se le podría dar un tratamiento especial al territorio en términos procedimentales a la hora de segregar un territorio; más acorde a las necesidades que históricamente han violentado a los territorios PDET, antecedentes de guerra, violaciones de derechos y degradación de una sociedad podrían versar de distintas manera, con tratos diferenciados pero certeros, “Crear municipios equivale a promover la legalidad y el respeto a las instituciones, redistribuir la riqueza nacional, proveer servicios públicos a la población, fomentar el empleo, crear nuevos polos de desarrollo equilibrado de las distintas regiones, arraigar las poblaciones en su lugares de asentamiento original” (Hernández Becerra, 2013). </w:t>
      </w:r>
    </w:p>
    <w:p w:rsidR="00000000" w:rsidDel="00000000" w:rsidP="00000000" w:rsidRDefault="00000000" w:rsidRPr="00000000" w14:paraId="000000B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esa medida, permitirles a estos territorios convertirse en municipios especiales desde su condición de corregimiento o vereda entrar a la “Categoría Especial de Paz” y darles facultades a las Asambleas Departamentales de forma que excepcionalmente, en el momento de segregar un corregimiento perteneciente a la categoría especial; lo pueda realizar por medio de Ordenanza y sin el lleno de los requisitos establecidos en los numerales 2, 3 y 4 del artículo 8 la Ley 136 de 1994. </w:t>
      </w:r>
    </w:p>
    <w:p w:rsidR="00000000" w:rsidDel="00000000" w:rsidP="00000000" w:rsidRDefault="00000000" w:rsidRPr="00000000" w14:paraId="000000B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CONCLUSIÓN</w:t>
      </w:r>
    </w:p>
    <w:p w:rsidR="00000000" w:rsidDel="00000000" w:rsidP="00000000" w:rsidRDefault="00000000" w:rsidRPr="00000000" w14:paraId="000000B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municipalización como proceso social y político es connatural a nuestra esencia humana. A lo largo de nuestra evolución, hemos pasado por muchos cambios, sin embargo, el hecho de agruparnos para procurar por nuestros intereses comunes mientras defendemos los propios ha sido una constante que sigue dando pie a Estados y a unidades territoriales cada vez más pequeñas y eficientes.</w:t>
      </w:r>
    </w:p>
    <w:p w:rsidR="00000000" w:rsidDel="00000000" w:rsidP="00000000" w:rsidRDefault="00000000" w:rsidRPr="00000000" w14:paraId="000000B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municipalización propuesta en el presente Proyecto de Ley no es solo un anhelo del legislador; ha de ser una verdadera llamada de civilización y desarrollo para territorios tradicionalmente olvidados por un aparato estatal aún centralista y deficiente que no alcanza a solventar las necesidades de las poblaciones de difícil acceso. Es por ello por lo que se hace necesario conceder las facultades esbozadas aquí para crear nuevas entidades municipales y desarrollar las existentes, permitiendo la autogestión de los intereses de los colombianos en los territorios y defendiendo su libre determinación a organizarse de la forma que estimen conveniente.</w:t>
      </w:r>
    </w:p>
    <w:p w:rsidR="00000000" w:rsidDel="00000000" w:rsidP="00000000" w:rsidRDefault="00000000" w:rsidRPr="00000000" w14:paraId="000000B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Municipalizar no es crear burocracia, es empoderar a las poblaciones y reconocerlas como verdaderos dueños de sus destinos; municipalizar debe ser sinónimo de civilizar y no solo en el sentido de urbanizar en desmedro del campo, debe ser una concepción nueva que comprenda las dinámicas poblacionales de las zonas del país con sus diferencias y particularidades y, a partir de eso, generar posibilidades administrativas para la cabal garantía de los derechos de todos los colombianos.</w:t>
      </w:r>
    </w:p>
    <w:p w:rsidR="00000000" w:rsidDel="00000000" w:rsidP="00000000" w:rsidRDefault="00000000" w:rsidRPr="00000000" w14:paraId="000000C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4">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6">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C9">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Catatumbo</w:t>
      </w:r>
    </w:p>
    <w:p w:rsidR="00000000" w:rsidDel="00000000" w:rsidP="00000000" w:rsidRDefault="00000000" w:rsidRPr="00000000" w14:paraId="000000CA">
      <w:pPr>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C">
      <w:pPr>
        <w:pStyle w:val="Heading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Bibliografía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 383 de la Corte Constitucional (Corte Constitucional de Colombia 2010).</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CASTAÑEDA GÓMEZ, L. A. (2014).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Ordenamiento Territorial: Elementos para su desarrollo.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Obtenido de Repositorio Universidad Catolica de Colombia : https://repository.ucatolica.edu.co/server/api/core/bitstreams/f5aba161-d324-4c0b-8bd4-a6b86ef789ae/content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Chaparro, L. A. (2013). La creación de municipios en Colombia después de la Constitución de 1991. Un primer acercamiento.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Administración&amp;Desarrollo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73-91.</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Contitución Política de Colombia. (1991).</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DANE, Reseña Historica.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(s.f.). Obtenido de Reseña Histórica: https://www.dane.gov.co/files/inf_geo/2Ge_Resena.pdf</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Fernández de Castro Del Castillo, J. A. (2005).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Una nueva concepción del municipio colombiano.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Obtenido de Repositorio Pontificia Universidad Javeriana: https://repository.javeriana.edu.co/bitstream/handle/10554/55411/TESIS%2016.pdf?sequence=1</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Galvis Gaitán, F. (2007).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municipio Colombiano.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Bogota DC.: TEMIS.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Hernández Becerra, A. (2013).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Ordenamiento y desarreglo territorial de Colombia.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Bogota DC.: Universidad Externado de Colombia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617 (2000).</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ROBLEDO SILVA, P. (2010).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autonomía municipal en Colombia.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Bogota DC.: Universidad Externado de Colombia.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Rodriguez Ojeda, J. A.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Importancia de los municipios en Colombia y las dificultades de no serlo.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Obtenido de Repositorio Universidad Santo Tomas de Aquino: https://repository.usta.edu.co/handle/11634/9558#:~:text=Resumen-,El%20Municipio%20es%20la%20entidad%20fundamental%20del%20ordenamiento%20jur%C3%ADdico%20Colombiano,participaci%C3%B3n%20comunitaria%2C%20el%20mejoramiento%20social</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Sentencia C-1051, C-1051 (Corte Constitucional de Colombia 2001).</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Suing Nagua , J.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Derecho municipal.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Quito: Corporación de Estudios y Publicaciones.</w:t>
      </w:r>
    </w:p>
    <w:p w:rsidR="00000000" w:rsidDel="00000000" w:rsidP="00000000" w:rsidRDefault="00000000" w:rsidRPr="00000000" w14:paraId="000000DA">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B">
      <w:pPr>
        <w:jc w:val="both"/>
        <w:rPr>
          <w:rFonts w:ascii="Arial Narrow" w:cs="Arial Narrow" w:eastAsia="Arial Narrow" w:hAnsi="Arial Narrow"/>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54200" cy="8763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4200" cy="876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jc w:val="center"/>
      <w:rPr/>
    </w:pPr>
    <w:r w:rsidDel="00000000" w:rsidR="00000000" w:rsidRPr="00000000">
      <w:rPr/>
      <w:drawing>
        <wp:inline distB="0" distT="0" distL="0" distR="0">
          <wp:extent cx="3719195" cy="7499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19195" cy="7499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