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59C8C" w14:textId="79EF59EA" w:rsidR="004F271A" w:rsidRDefault="004F271A" w:rsidP="004F271A">
      <w:pPr>
        <w:pStyle w:val="Ttulo1"/>
        <w:numPr>
          <w:ilvl w:val="0"/>
          <w:numId w:val="0"/>
        </w:numPr>
        <w:ind w:left="431" w:hanging="431"/>
        <w:jc w:val="both"/>
        <w:rPr>
          <w:rFonts w:ascii="Times New Roman" w:hAnsi="Times New Roman" w:cs="Times New Roman"/>
          <w:b w:val="0"/>
          <w:bCs/>
          <w:color w:val="auto"/>
          <w:sz w:val="24"/>
          <w:szCs w:val="24"/>
        </w:rPr>
      </w:pPr>
      <w:bookmarkStart w:id="0" w:name="_GoBack"/>
      <w:bookmarkEnd w:id="0"/>
      <w:r>
        <w:rPr>
          <w:rFonts w:ascii="Times New Roman" w:hAnsi="Times New Roman" w:cs="Times New Roman"/>
          <w:b w:val="0"/>
          <w:bCs/>
          <w:color w:val="auto"/>
          <w:sz w:val="24"/>
          <w:szCs w:val="24"/>
        </w:rPr>
        <w:t>Bogotá D.C., 31 de marzo de 2023</w:t>
      </w:r>
    </w:p>
    <w:p w14:paraId="6E59641C" w14:textId="76627AFB" w:rsidR="004F271A" w:rsidRDefault="004F271A" w:rsidP="004F271A"/>
    <w:p w14:paraId="3B14F648" w14:textId="2E38EED1" w:rsidR="004F271A" w:rsidRDefault="004F271A" w:rsidP="004F271A"/>
    <w:p w14:paraId="592E866A" w14:textId="57EE4C4F" w:rsidR="004F271A" w:rsidRDefault="004F271A" w:rsidP="004F271A">
      <w:r>
        <w:t>Señor</w:t>
      </w:r>
    </w:p>
    <w:p w14:paraId="6BF254EE" w14:textId="6E71991D" w:rsidR="004F271A" w:rsidRDefault="004F271A" w:rsidP="004F271A">
      <w:pPr>
        <w:rPr>
          <w:b/>
          <w:bCs/>
        </w:rPr>
      </w:pPr>
      <w:r w:rsidRPr="004F271A">
        <w:rPr>
          <w:b/>
          <w:bCs/>
        </w:rPr>
        <w:t>DAVID RICARDO RACERO MAYORCA</w:t>
      </w:r>
    </w:p>
    <w:p w14:paraId="170BE460" w14:textId="6B21FBB5" w:rsidR="004F271A" w:rsidRDefault="004F271A" w:rsidP="004F271A">
      <w:r>
        <w:t>Presidente</w:t>
      </w:r>
    </w:p>
    <w:p w14:paraId="11C233FC" w14:textId="77410232" w:rsidR="004F271A" w:rsidRDefault="004F271A" w:rsidP="004F271A">
      <w:r>
        <w:t>Cámara de Representantes</w:t>
      </w:r>
    </w:p>
    <w:p w14:paraId="13FE2EC7" w14:textId="1303B315" w:rsidR="004F271A" w:rsidRDefault="004F271A" w:rsidP="004F271A">
      <w:r>
        <w:t>Ciudad</w:t>
      </w:r>
    </w:p>
    <w:p w14:paraId="0FF9DFCF" w14:textId="000BBE01" w:rsidR="004F271A" w:rsidRDefault="004F271A" w:rsidP="004F271A"/>
    <w:p w14:paraId="4393DF3A" w14:textId="77777777" w:rsidR="00BB4A7B" w:rsidRDefault="00BB4A7B" w:rsidP="004F271A">
      <w:pPr>
        <w:rPr>
          <w:b/>
          <w:bCs/>
        </w:rPr>
      </w:pPr>
    </w:p>
    <w:p w14:paraId="5D84C982" w14:textId="23EFDA3B" w:rsidR="004F271A" w:rsidRPr="004F271A" w:rsidRDefault="004F271A" w:rsidP="004F271A">
      <w:pPr>
        <w:rPr>
          <w:b/>
          <w:bCs/>
        </w:rPr>
      </w:pPr>
      <w:r w:rsidRPr="004F271A">
        <w:rPr>
          <w:b/>
          <w:bCs/>
        </w:rPr>
        <w:t xml:space="preserve">REF: Radicación proyecto de ley “Por la cual se crea el fondo </w:t>
      </w:r>
      <w:r>
        <w:rPr>
          <w:b/>
          <w:bCs/>
        </w:rPr>
        <w:t>M</w:t>
      </w:r>
      <w:r w:rsidRPr="004F271A">
        <w:rPr>
          <w:b/>
          <w:bCs/>
        </w:rPr>
        <w:t>anizales ciudad eje del conocimiento y se dictan otras disposiciones”.</w:t>
      </w:r>
    </w:p>
    <w:p w14:paraId="42CC347A" w14:textId="2F060FE7" w:rsidR="004F271A" w:rsidRDefault="004F271A" w:rsidP="004F271A"/>
    <w:p w14:paraId="52EA91BE" w14:textId="77777777" w:rsidR="00BB4A7B" w:rsidRDefault="00BB4A7B" w:rsidP="004F271A"/>
    <w:p w14:paraId="21AC8F44" w14:textId="022EA7DE" w:rsidR="004F271A" w:rsidRDefault="004F271A" w:rsidP="004F271A">
      <w:r>
        <w:t>Respetado Presidente,</w:t>
      </w:r>
    </w:p>
    <w:p w14:paraId="025496ED" w14:textId="77777777" w:rsidR="00BB4A7B" w:rsidRDefault="00BB4A7B" w:rsidP="004F271A"/>
    <w:p w14:paraId="12FF94A9" w14:textId="77777777" w:rsidR="00BB4A7B" w:rsidRDefault="00BB4A7B" w:rsidP="004F271A"/>
    <w:p w14:paraId="7400E0D7" w14:textId="435E17FA" w:rsidR="004F271A" w:rsidRDefault="004F271A" w:rsidP="004F271A">
      <w:r>
        <w:t>En uso de las facultades que me confiere la Constitución Política y la ley 5 de 1992, presento a consideración de</w:t>
      </w:r>
      <w:r w:rsidR="00BB4A7B">
        <w:t xml:space="preserve"> </w:t>
      </w:r>
      <w:r>
        <w:t>l</w:t>
      </w:r>
      <w:r w:rsidR="00BB4A7B">
        <w:t>a</w:t>
      </w:r>
      <w:r>
        <w:t xml:space="preserve"> Honorable </w:t>
      </w:r>
      <w:r w:rsidR="00BB4A7B">
        <w:t>Cámara de Representantes</w:t>
      </w:r>
      <w:r>
        <w:t xml:space="preserve"> el proyecto de ley “</w:t>
      </w:r>
      <w:r w:rsidR="00BB4A7B" w:rsidRPr="00BB4A7B">
        <w:t>Por la cual se crea el fondo Manizales ciudad eje del conocimiento y se dictan otras disposiciones</w:t>
      </w:r>
      <w:r>
        <w:t>”.</w:t>
      </w:r>
    </w:p>
    <w:p w14:paraId="1EFBD60F" w14:textId="77777777" w:rsidR="004F271A" w:rsidRDefault="004F271A" w:rsidP="004F271A"/>
    <w:p w14:paraId="79F73AC0" w14:textId="77777777" w:rsidR="00BB4A7B" w:rsidRDefault="00BB4A7B" w:rsidP="004F271A"/>
    <w:p w14:paraId="60BEA0B3" w14:textId="7C3E5E62" w:rsidR="004F271A" w:rsidRDefault="004F271A" w:rsidP="004F271A">
      <w:r>
        <w:t>Firma,</w:t>
      </w:r>
    </w:p>
    <w:p w14:paraId="79DAFAA4" w14:textId="78D20012" w:rsidR="00362F88" w:rsidRDefault="00362F88" w:rsidP="004F271A"/>
    <w:p w14:paraId="66913917" w14:textId="416E912A" w:rsidR="00362F88" w:rsidRDefault="00362F88" w:rsidP="004F271A"/>
    <w:p w14:paraId="153743C2" w14:textId="0D0FFC59" w:rsidR="004F271A" w:rsidRDefault="004F271A" w:rsidP="004F271A"/>
    <w:p w14:paraId="22B23D8F" w14:textId="77777777" w:rsidR="004F271A" w:rsidRDefault="004F271A" w:rsidP="004F271A"/>
    <w:p w14:paraId="0C27D1F7" w14:textId="042F3934" w:rsidR="004F271A" w:rsidRPr="004F271A" w:rsidRDefault="004F271A" w:rsidP="004F271A">
      <w:pPr>
        <w:rPr>
          <w:b/>
          <w:bCs/>
        </w:rPr>
      </w:pPr>
      <w:r w:rsidRPr="004F271A">
        <w:rPr>
          <w:b/>
          <w:bCs/>
        </w:rPr>
        <w:t>GUIDO ECHEVERRI PIEDRAHITA</w:t>
      </w:r>
    </w:p>
    <w:p w14:paraId="169CD3C2" w14:textId="7EF4379D" w:rsidR="004F271A" w:rsidRDefault="004F271A" w:rsidP="004F271A">
      <w:r>
        <w:t>Senador de la República</w:t>
      </w:r>
    </w:p>
    <w:p w14:paraId="7A067712" w14:textId="6512E340" w:rsidR="00BB4A7B" w:rsidRDefault="00BB4A7B" w:rsidP="004F271A"/>
    <w:p w14:paraId="20A4F5E1" w14:textId="7379743B" w:rsidR="00BB4A7B" w:rsidRDefault="00BB4A7B" w:rsidP="004F271A"/>
    <w:p w14:paraId="156CDDD1" w14:textId="0C866170" w:rsidR="00BB4A7B" w:rsidRDefault="00BB4A7B" w:rsidP="004F271A"/>
    <w:p w14:paraId="07A3FC01" w14:textId="71373883" w:rsidR="00BB4A7B" w:rsidRPr="00BB4A7B" w:rsidRDefault="00BB4A7B" w:rsidP="00BB4A7B">
      <w:pPr>
        <w:jc w:val="center"/>
        <w:rPr>
          <w:rFonts w:ascii="Times New Roman" w:hAnsi="Times New Roman" w:cs="Times New Roman"/>
          <w:b/>
          <w:bCs/>
          <w:sz w:val="24"/>
        </w:rPr>
      </w:pPr>
      <w:r w:rsidRPr="00BB4A7B">
        <w:rPr>
          <w:rFonts w:ascii="Times New Roman" w:hAnsi="Times New Roman" w:cs="Times New Roman"/>
          <w:b/>
          <w:bCs/>
          <w:sz w:val="24"/>
        </w:rPr>
        <w:t>Proyecto de ley Nº _____ de 2023</w:t>
      </w:r>
    </w:p>
    <w:p w14:paraId="3A464478" w14:textId="77777777" w:rsidR="00BB4A7B" w:rsidRPr="00BB4A7B" w:rsidRDefault="00BB4A7B" w:rsidP="00BB4A7B">
      <w:pPr>
        <w:jc w:val="center"/>
        <w:rPr>
          <w:rFonts w:ascii="Times New Roman" w:hAnsi="Times New Roman" w:cs="Times New Roman"/>
          <w:b/>
          <w:bCs/>
          <w:sz w:val="24"/>
        </w:rPr>
      </w:pPr>
    </w:p>
    <w:p w14:paraId="1F7B7184" w14:textId="3DCB9F92" w:rsidR="00BB4A7B" w:rsidRPr="00BB4A7B" w:rsidRDefault="00BB4A7B" w:rsidP="00BB4A7B">
      <w:pPr>
        <w:jc w:val="center"/>
        <w:rPr>
          <w:rFonts w:ascii="Times New Roman" w:hAnsi="Times New Roman" w:cs="Times New Roman"/>
          <w:b/>
          <w:bCs/>
          <w:sz w:val="24"/>
        </w:rPr>
      </w:pPr>
      <w:r w:rsidRPr="00BB4A7B">
        <w:rPr>
          <w:rFonts w:ascii="Times New Roman" w:hAnsi="Times New Roman" w:cs="Times New Roman"/>
          <w:b/>
          <w:bCs/>
          <w:sz w:val="24"/>
        </w:rPr>
        <w:t>“Por la cual se crea el fondo Manizales ciudad eje del conocimiento y se dictan otras disposiciones”</w:t>
      </w:r>
    </w:p>
    <w:p w14:paraId="1A54B63E" w14:textId="34BD78A6" w:rsidR="00BB4A7B" w:rsidRPr="00BB4A7B" w:rsidRDefault="00BB4A7B" w:rsidP="00BB4A7B">
      <w:pPr>
        <w:jc w:val="center"/>
        <w:rPr>
          <w:rFonts w:ascii="Times New Roman" w:hAnsi="Times New Roman" w:cs="Times New Roman"/>
          <w:sz w:val="24"/>
        </w:rPr>
      </w:pPr>
    </w:p>
    <w:p w14:paraId="63CA55F7" w14:textId="51BE1D39" w:rsidR="00BB4A7B" w:rsidRPr="00BB4A7B" w:rsidRDefault="00BB4A7B" w:rsidP="00BB4A7B">
      <w:pPr>
        <w:jc w:val="center"/>
        <w:rPr>
          <w:rFonts w:ascii="Times New Roman" w:hAnsi="Times New Roman" w:cs="Times New Roman"/>
          <w:sz w:val="24"/>
        </w:rPr>
      </w:pPr>
      <w:r w:rsidRPr="00BB4A7B">
        <w:rPr>
          <w:rFonts w:ascii="Times New Roman" w:hAnsi="Times New Roman" w:cs="Times New Roman"/>
          <w:sz w:val="24"/>
        </w:rPr>
        <w:t>EL CONGRESO DE COLOMBIA</w:t>
      </w:r>
    </w:p>
    <w:p w14:paraId="0573EC34" w14:textId="4B3927DC" w:rsidR="00BB4A7B" w:rsidRPr="00BB4A7B" w:rsidRDefault="00BB4A7B" w:rsidP="00BB4A7B">
      <w:pPr>
        <w:jc w:val="center"/>
        <w:rPr>
          <w:rFonts w:ascii="Times New Roman" w:hAnsi="Times New Roman" w:cs="Times New Roman"/>
          <w:sz w:val="24"/>
        </w:rPr>
      </w:pPr>
    </w:p>
    <w:p w14:paraId="6ABAF9C3" w14:textId="04816B2C" w:rsidR="00BB4A7B" w:rsidRPr="00BB4A7B" w:rsidRDefault="00BB4A7B" w:rsidP="00BB4A7B">
      <w:pPr>
        <w:jc w:val="center"/>
        <w:rPr>
          <w:rFonts w:ascii="Times New Roman" w:hAnsi="Times New Roman" w:cs="Times New Roman"/>
          <w:sz w:val="24"/>
        </w:rPr>
      </w:pPr>
      <w:r w:rsidRPr="00BB4A7B">
        <w:rPr>
          <w:rFonts w:ascii="Times New Roman" w:hAnsi="Times New Roman" w:cs="Times New Roman"/>
          <w:sz w:val="24"/>
        </w:rPr>
        <w:t>DECRETA</w:t>
      </w:r>
    </w:p>
    <w:p w14:paraId="73F91FE4" w14:textId="374974C6" w:rsidR="00BB4A7B" w:rsidRPr="00BB4A7B" w:rsidRDefault="00BB4A7B" w:rsidP="00BB4A7B">
      <w:pPr>
        <w:jc w:val="center"/>
        <w:rPr>
          <w:rFonts w:ascii="Times New Roman" w:hAnsi="Times New Roman" w:cs="Times New Roman"/>
          <w:sz w:val="24"/>
        </w:rPr>
      </w:pPr>
    </w:p>
    <w:p w14:paraId="1811AF04" w14:textId="6CD75B40" w:rsidR="00BB4A7B" w:rsidRDefault="00BB4A7B" w:rsidP="00BB4A7B">
      <w:pPr>
        <w:rPr>
          <w:rFonts w:ascii="Times New Roman" w:hAnsi="Times New Roman" w:cs="Times New Roman"/>
          <w:sz w:val="24"/>
        </w:rPr>
      </w:pPr>
    </w:p>
    <w:p w14:paraId="274A9684" w14:textId="3870C95E" w:rsidR="00BB4A7B" w:rsidRPr="00BB4A7B" w:rsidRDefault="00BB4A7B" w:rsidP="00BB4A7B">
      <w:pPr>
        <w:rPr>
          <w:rFonts w:ascii="Times New Roman" w:hAnsi="Times New Roman" w:cs="Times New Roman"/>
          <w:sz w:val="24"/>
        </w:rPr>
      </w:pPr>
      <w:r w:rsidRPr="00BB4A7B">
        <w:rPr>
          <w:rFonts w:ascii="Times New Roman" w:hAnsi="Times New Roman" w:cs="Times New Roman"/>
          <w:b/>
          <w:bCs/>
          <w:sz w:val="24"/>
        </w:rPr>
        <w:t>Artículo 1. Objeto.</w:t>
      </w:r>
      <w:r w:rsidRPr="00BB4A7B">
        <w:rPr>
          <w:rFonts w:ascii="Times New Roman" w:hAnsi="Times New Roman" w:cs="Times New Roman"/>
          <w:sz w:val="24"/>
        </w:rPr>
        <w:t xml:space="preserve"> </w:t>
      </w:r>
      <w:r>
        <w:rPr>
          <w:rFonts w:ascii="Times New Roman" w:hAnsi="Times New Roman" w:cs="Times New Roman"/>
          <w:sz w:val="24"/>
        </w:rPr>
        <w:t>La presente ley crea</w:t>
      </w:r>
      <w:r w:rsidRPr="00BB4A7B">
        <w:rPr>
          <w:rFonts w:ascii="Times New Roman" w:hAnsi="Times New Roman" w:cs="Times New Roman"/>
          <w:sz w:val="24"/>
        </w:rPr>
        <w:t xml:space="preserve"> el fondo Manizales Ciudad Eje del Conocimiento, </w:t>
      </w:r>
      <w:r w:rsidR="0078450D">
        <w:rPr>
          <w:rFonts w:ascii="Times New Roman" w:hAnsi="Times New Roman" w:cs="Times New Roman"/>
          <w:sz w:val="24"/>
        </w:rPr>
        <w:t>cuyo</w:t>
      </w:r>
      <w:r w:rsidRPr="00BB4A7B">
        <w:rPr>
          <w:rFonts w:ascii="Times New Roman" w:hAnsi="Times New Roman" w:cs="Times New Roman"/>
          <w:sz w:val="24"/>
        </w:rPr>
        <w:t xml:space="preserve"> fin </w:t>
      </w:r>
      <w:r w:rsidR="0078450D">
        <w:rPr>
          <w:rFonts w:ascii="Times New Roman" w:hAnsi="Times New Roman" w:cs="Times New Roman"/>
          <w:sz w:val="24"/>
        </w:rPr>
        <w:t>será</w:t>
      </w:r>
      <w:r w:rsidRPr="00BB4A7B">
        <w:rPr>
          <w:rFonts w:ascii="Times New Roman" w:hAnsi="Times New Roman" w:cs="Times New Roman"/>
          <w:sz w:val="24"/>
        </w:rPr>
        <w:t xml:space="preserve"> promover el acceso y la permanencia en el sistema de educación superior en los niveles de pregrado (tecnólogo, tecnológico y universitario) y posgrado (especialización, maestría y doctorado), así como también la </w:t>
      </w:r>
      <w:r>
        <w:rPr>
          <w:rFonts w:ascii="Times New Roman" w:hAnsi="Times New Roman" w:cs="Times New Roman"/>
          <w:sz w:val="24"/>
        </w:rPr>
        <w:t xml:space="preserve">promoción y </w:t>
      </w:r>
      <w:r w:rsidRPr="00BB4A7B">
        <w:rPr>
          <w:rFonts w:ascii="Times New Roman" w:hAnsi="Times New Roman" w:cs="Times New Roman"/>
          <w:sz w:val="24"/>
        </w:rPr>
        <w:t>ejecución de alianzas</w:t>
      </w:r>
      <w:r w:rsidR="0078450D">
        <w:rPr>
          <w:rFonts w:ascii="Times New Roman" w:hAnsi="Times New Roman" w:cs="Times New Roman"/>
          <w:sz w:val="24"/>
        </w:rPr>
        <w:t xml:space="preserve">, </w:t>
      </w:r>
      <w:r>
        <w:rPr>
          <w:rFonts w:ascii="Times New Roman" w:hAnsi="Times New Roman" w:cs="Times New Roman"/>
          <w:sz w:val="24"/>
        </w:rPr>
        <w:t>convenios</w:t>
      </w:r>
      <w:r w:rsidR="0078450D">
        <w:rPr>
          <w:rFonts w:ascii="Times New Roman" w:hAnsi="Times New Roman" w:cs="Times New Roman"/>
          <w:sz w:val="24"/>
        </w:rPr>
        <w:t xml:space="preserve"> y/</w:t>
      </w:r>
      <w:r w:rsidR="0078450D" w:rsidRPr="00BB4A7B">
        <w:rPr>
          <w:rFonts w:ascii="Times New Roman" w:hAnsi="Times New Roman" w:cs="Times New Roman"/>
          <w:sz w:val="24"/>
        </w:rPr>
        <w:t xml:space="preserve">o contratos con instituciones de educación superior y entidades </w:t>
      </w:r>
      <w:r w:rsidR="0078450D">
        <w:rPr>
          <w:rFonts w:ascii="Times New Roman" w:hAnsi="Times New Roman" w:cs="Times New Roman"/>
          <w:sz w:val="24"/>
        </w:rPr>
        <w:t xml:space="preserve">públicas </w:t>
      </w:r>
      <w:r w:rsidR="0078450D" w:rsidRPr="00BB4A7B">
        <w:rPr>
          <w:rFonts w:ascii="Times New Roman" w:hAnsi="Times New Roman" w:cs="Times New Roman"/>
          <w:sz w:val="24"/>
        </w:rPr>
        <w:t>o personas jurídicas con competencia en ciencia y tecnología</w:t>
      </w:r>
      <w:r w:rsidR="0078450D">
        <w:rPr>
          <w:rFonts w:ascii="Times New Roman" w:hAnsi="Times New Roman" w:cs="Times New Roman"/>
          <w:sz w:val="24"/>
        </w:rPr>
        <w:t>,</w:t>
      </w:r>
      <w:r w:rsidRPr="00BB4A7B">
        <w:rPr>
          <w:rFonts w:ascii="Times New Roman" w:hAnsi="Times New Roman" w:cs="Times New Roman"/>
          <w:sz w:val="24"/>
        </w:rPr>
        <w:t xml:space="preserve"> </w:t>
      </w:r>
      <w:r>
        <w:rPr>
          <w:rFonts w:ascii="Times New Roman" w:hAnsi="Times New Roman" w:cs="Times New Roman"/>
          <w:sz w:val="24"/>
        </w:rPr>
        <w:t>para la financiación de proyectos de investigación y desarrollo, la transferencia del conocimiento y el mejoramiento de la calidad de vida de la población</w:t>
      </w:r>
      <w:r w:rsidRPr="00BB4A7B">
        <w:rPr>
          <w:rFonts w:ascii="Times New Roman" w:hAnsi="Times New Roman" w:cs="Times New Roman"/>
          <w:sz w:val="24"/>
        </w:rPr>
        <w:t>.</w:t>
      </w:r>
    </w:p>
    <w:p w14:paraId="737D0617" w14:textId="77777777" w:rsidR="00BB4A7B" w:rsidRPr="00BB4A7B" w:rsidRDefault="00BB4A7B" w:rsidP="00BB4A7B">
      <w:pPr>
        <w:rPr>
          <w:rFonts w:ascii="Times New Roman" w:hAnsi="Times New Roman" w:cs="Times New Roman"/>
          <w:sz w:val="24"/>
        </w:rPr>
      </w:pPr>
    </w:p>
    <w:p w14:paraId="52A881D6" w14:textId="5E8ED87E" w:rsidR="00BB4A7B" w:rsidRPr="00BB4A7B" w:rsidRDefault="00BB4A7B" w:rsidP="00BB4A7B">
      <w:pPr>
        <w:rPr>
          <w:rFonts w:ascii="Times New Roman" w:hAnsi="Times New Roman" w:cs="Times New Roman"/>
          <w:sz w:val="24"/>
        </w:rPr>
      </w:pPr>
      <w:r w:rsidRPr="00BB4A7B">
        <w:rPr>
          <w:rFonts w:ascii="Times New Roman" w:hAnsi="Times New Roman" w:cs="Times New Roman"/>
          <w:b/>
          <w:bCs/>
          <w:sz w:val="24"/>
        </w:rPr>
        <w:t>Artículo 2. Creación del fondo.</w:t>
      </w:r>
      <w:r w:rsidRPr="00BB4A7B">
        <w:rPr>
          <w:rFonts w:ascii="Times New Roman" w:hAnsi="Times New Roman" w:cs="Times New Roman"/>
          <w:sz w:val="24"/>
        </w:rPr>
        <w:t xml:space="preserve"> Créese el fondo denominado "Fondo Manizales Ciudad Eje del Conocimiento” como una cuenta especial sin personería jurídica y con destinación específica bajo la responsabilidad del ordenador del gasto del ente territorial, para financiar las actividades objeto de esta ley, cuyos recursos serán administrados a través de un patrimonio autónomo.</w:t>
      </w:r>
    </w:p>
    <w:p w14:paraId="2589DCE4" w14:textId="77777777" w:rsidR="00BB4A7B" w:rsidRPr="00BB4A7B" w:rsidRDefault="00BB4A7B" w:rsidP="00BB4A7B">
      <w:pPr>
        <w:rPr>
          <w:rFonts w:ascii="Times New Roman" w:hAnsi="Times New Roman" w:cs="Times New Roman"/>
          <w:sz w:val="24"/>
        </w:rPr>
      </w:pPr>
    </w:p>
    <w:p w14:paraId="54CE233B" w14:textId="77777777" w:rsidR="00BB4A7B" w:rsidRPr="00BB4A7B" w:rsidRDefault="00BB4A7B" w:rsidP="00BB4A7B">
      <w:pPr>
        <w:rPr>
          <w:rFonts w:ascii="Times New Roman" w:hAnsi="Times New Roman" w:cs="Times New Roman"/>
          <w:sz w:val="24"/>
        </w:rPr>
      </w:pPr>
      <w:r w:rsidRPr="0078450D">
        <w:rPr>
          <w:rFonts w:ascii="Times New Roman" w:hAnsi="Times New Roman" w:cs="Times New Roman"/>
          <w:b/>
          <w:bCs/>
          <w:sz w:val="24"/>
        </w:rPr>
        <w:t>Artículo 3. Autorización.</w:t>
      </w:r>
      <w:r w:rsidRPr="00BB4A7B">
        <w:rPr>
          <w:rFonts w:ascii="Times New Roman" w:hAnsi="Times New Roman" w:cs="Times New Roman"/>
          <w:sz w:val="24"/>
        </w:rPr>
        <w:t xml:space="preserve"> Autorícese a la Asamblea departamental y al Concejo Municipal del municipio de Manizales para lo de su competencia. De igual forma, </w:t>
      </w:r>
      <w:r w:rsidRPr="00BB4A7B">
        <w:rPr>
          <w:rFonts w:ascii="Times New Roman" w:hAnsi="Times New Roman" w:cs="Times New Roman"/>
          <w:sz w:val="24"/>
        </w:rPr>
        <w:lastRenderedPageBreak/>
        <w:t>autorícese al gobierno del departamento de Caldas y al municipio de Manizales para suscribir convenios o contratos plan para las actividades contenidas en esta ley.</w:t>
      </w:r>
    </w:p>
    <w:p w14:paraId="0EE90058" w14:textId="77777777" w:rsidR="00BB4A7B" w:rsidRPr="00BB4A7B" w:rsidRDefault="00BB4A7B" w:rsidP="00BB4A7B">
      <w:pPr>
        <w:rPr>
          <w:rFonts w:ascii="Times New Roman" w:hAnsi="Times New Roman" w:cs="Times New Roman"/>
          <w:sz w:val="24"/>
        </w:rPr>
      </w:pPr>
    </w:p>
    <w:p w14:paraId="1BBEE699" w14:textId="500A37D6" w:rsidR="00BB4A7B" w:rsidRPr="00BB4A7B" w:rsidRDefault="00BB4A7B" w:rsidP="00BB4A7B">
      <w:pPr>
        <w:rPr>
          <w:rFonts w:ascii="Times New Roman" w:hAnsi="Times New Roman" w:cs="Times New Roman"/>
          <w:sz w:val="24"/>
        </w:rPr>
      </w:pPr>
      <w:r w:rsidRPr="0078450D">
        <w:rPr>
          <w:rFonts w:ascii="Times New Roman" w:hAnsi="Times New Roman" w:cs="Times New Roman"/>
          <w:b/>
          <w:bCs/>
          <w:sz w:val="24"/>
        </w:rPr>
        <w:t>Artículo 4. Beneficiarios.</w:t>
      </w:r>
      <w:r w:rsidRPr="00BB4A7B">
        <w:rPr>
          <w:rFonts w:ascii="Times New Roman" w:hAnsi="Times New Roman" w:cs="Times New Roman"/>
          <w:sz w:val="24"/>
        </w:rPr>
        <w:t xml:space="preserve"> Para ser beneficiario del fondo se debe acreditar la vinculación a cualquier programa de educación, proyecto de investigación, proyecto de ciencia y tecnología o de otra naturaleza que sea ofrecido por las instituciones de educación superior </w:t>
      </w:r>
      <w:r w:rsidR="0078450D">
        <w:rPr>
          <w:rFonts w:ascii="Times New Roman" w:hAnsi="Times New Roman" w:cs="Times New Roman"/>
          <w:sz w:val="24"/>
        </w:rPr>
        <w:t xml:space="preserve">e instituciones </w:t>
      </w:r>
      <w:r w:rsidRPr="00BB4A7B">
        <w:rPr>
          <w:rFonts w:ascii="Times New Roman" w:hAnsi="Times New Roman" w:cs="Times New Roman"/>
          <w:sz w:val="24"/>
        </w:rPr>
        <w:t>de ciencia y tecnología del orden municipal, departamental y</w:t>
      </w:r>
      <w:r w:rsidR="0078450D">
        <w:rPr>
          <w:rFonts w:ascii="Times New Roman" w:hAnsi="Times New Roman" w:cs="Times New Roman"/>
          <w:sz w:val="24"/>
        </w:rPr>
        <w:t>/o</w:t>
      </w:r>
      <w:r w:rsidRPr="00BB4A7B">
        <w:rPr>
          <w:rFonts w:ascii="Times New Roman" w:hAnsi="Times New Roman" w:cs="Times New Roman"/>
          <w:sz w:val="24"/>
        </w:rPr>
        <w:t xml:space="preserve"> nacional.</w:t>
      </w:r>
    </w:p>
    <w:p w14:paraId="05A12FA9" w14:textId="77777777" w:rsidR="00BB4A7B" w:rsidRPr="00BB4A7B" w:rsidRDefault="00BB4A7B" w:rsidP="00BB4A7B">
      <w:pPr>
        <w:rPr>
          <w:rFonts w:ascii="Times New Roman" w:hAnsi="Times New Roman" w:cs="Times New Roman"/>
          <w:sz w:val="24"/>
        </w:rPr>
      </w:pPr>
    </w:p>
    <w:p w14:paraId="1A84E1C7" w14:textId="77777777" w:rsidR="00BB4A7B" w:rsidRPr="00BB4A7B" w:rsidRDefault="00BB4A7B" w:rsidP="00BB4A7B">
      <w:pPr>
        <w:rPr>
          <w:rFonts w:ascii="Times New Roman" w:hAnsi="Times New Roman" w:cs="Times New Roman"/>
          <w:sz w:val="24"/>
        </w:rPr>
      </w:pPr>
      <w:r w:rsidRPr="0078450D">
        <w:rPr>
          <w:rFonts w:ascii="Times New Roman" w:hAnsi="Times New Roman" w:cs="Times New Roman"/>
          <w:b/>
          <w:bCs/>
          <w:sz w:val="24"/>
        </w:rPr>
        <w:t>Artículo 5. Administración del fondo.</w:t>
      </w:r>
      <w:r w:rsidRPr="00BB4A7B">
        <w:rPr>
          <w:rFonts w:ascii="Times New Roman" w:hAnsi="Times New Roman" w:cs="Times New Roman"/>
          <w:sz w:val="24"/>
        </w:rPr>
        <w:t xml:space="preserve"> Las operaciones presupuestales, financieras y contables de los recursos del "Fondo Manizales Eje del Conocimiento " estarán a cargo de la Secretaría de Hacienda de la entidad territorial autorizada por la Ordenanza o Acuerdo. La administración, distribución y asignación de estos recursos estará a cargo de la Secretaría de Educación, acorde con las Ordenanzas y Acuerdos que la reglamenten.</w:t>
      </w:r>
    </w:p>
    <w:p w14:paraId="76D66083" w14:textId="77777777" w:rsidR="00BB4A7B" w:rsidRPr="00BB4A7B" w:rsidRDefault="00BB4A7B" w:rsidP="00BB4A7B">
      <w:pPr>
        <w:rPr>
          <w:rFonts w:ascii="Times New Roman" w:hAnsi="Times New Roman" w:cs="Times New Roman"/>
          <w:sz w:val="24"/>
        </w:rPr>
      </w:pPr>
    </w:p>
    <w:p w14:paraId="19417DE6" w14:textId="77777777" w:rsidR="00BB4A7B" w:rsidRPr="00BB4A7B" w:rsidRDefault="00BB4A7B" w:rsidP="00BB4A7B">
      <w:pPr>
        <w:rPr>
          <w:rFonts w:ascii="Times New Roman" w:hAnsi="Times New Roman" w:cs="Times New Roman"/>
          <w:sz w:val="24"/>
        </w:rPr>
      </w:pPr>
      <w:r w:rsidRPr="0078450D">
        <w:rPr>
          <w:rFonts w:ascii="Times New Roman" w:hAnsi="Times New Roman" w:cs="Times New Roman"/>
          <w:b/>
          <w:bCs/>
          <w:sz w:val="24"/>
        </w:rPr>
        <w:t>Parágrafo.</w:t>
      </w:r>
      <w:r w:rsidRPr="00BB4A7B">
        <w:rPr>
          <w:rFonts w:ascii="Times New Roman" w:hAnsi="Times New Roman" w:cs="Times New Roman"/>
          <w:sz w:val="24"/>
        </w:rPr>
        <w:t xml:space="preserve"> Los recursos ingresados a este Fondo se deberán ejecutar mediante la suscripción de convenios, alianzas o contratos con instituciones de educación superior y entidades o personas jurídicas con competencia en ciencia y tecnología. En ningún caso los aportes económicos captados en este Fondo se entregarán de manera directa a los beneficiarios del mismo.</w:t>
      </w:r>
    </w:p>
    <w:p w14:paraId="0087A139" w14:textId="77777777" w:rsidR="00BB4A7B" w:rsidRPr="00BB4A7B" w:rsidRDefault="00BB4A7B" w:rsidP="00BB4A7B">
      <w:pPr>
        <w:rPr>
          <w:rFonts w:ascii="Times New Roman" w:hAnsi="Times New Roman" w:cs="Times New Roman"/>
          <w:sz w:val="24"/>
        </w:rPr>
      </w:pPr>
    </w:p>
    <w:p w14:paraId="42F27BEA" w14:textId="77777777" w:rsidR="00BB4A7B" w:rsidRPr="00BB4A7B" w:rsidRDefault="00BB4A7B" w:rsidP="00BB4A7B">
      <w:pPr>
        <w:rPr>
          <w:rFonts w:ascii="Times New Roman" w:hAnsi="Times New Roman" w:cs="Times New Roman"/>
          <w:sz w:val="24"/>
        </w:rPr>
      </w:pPr>
      <w:r w:rsidRPr="0078450D">
        <w:rPr>
          <w:rFonts w:ascii="Times New Roman" w:hAnsi="Times New Roman" w:cs="Times New Roman"/>
          <w:b/>
          <w:bCs/>
          <w:sz w:val="24"/>
        </w:rPr>
        <w:t>Artículo 6. Fuentes de financiación.</w:t>
      </w:r>
      <w:r w:rsidRPr="00BB4A7B">
        <w:rPr>
          <w:rFonts w:ascii="Times New Roman" w:hAnsi="Times New Roman" w:cs="Times New Roman"/>
          <w:sz w:val="24"/>
        </w:rPr>
        <w:t xml:space="preserve"> Los recursos del Fondo podrán provenir de las siguientes fuentes:</w:t>
      </w:r>
    </w:p>
    <w:p w14:paraId="6B888F0E" w14:textId="77777777" w:rsidR="00BB4A7B" w:rsidRPr="00BB4A7B" w:rsidRDefault="00BB4A7B" w:rsidP="00BB4A7B">
      <w:pPr>
        <w:rPr>
          <w:rFonts w:ascii="Times New Roman" w:hAnsi="Times New Roman" w:cs="Times New Roman"/>
          <w:sz w:val="24"/>
        </w:rPr>
      </w:pPr>
    </w:p>
    <w:p w14:paraId="70E4FE20" w14:textId="77777777" w:rsidR="00BB4A7B" w:rsidRPr="00BB4A7B" w:rsidRDefault="00BB4A7B" w:rsidP="00BB4A7B">
      <w:pPr>
        <w:rPr>
          <w:rFonts w:ascii="Times New Roman" w:hAnsi="Times New Roman" w:cs="Times New Roman"/>
          <w:sz w:val="24"/>
        </w:rPr>
      </w:pPr>
      <w:r w:rsidRPr="00BB4A7B">
        <w:rPr>
          <w:rFonts w:ascii="Times New Roman" w:hAnsi="Times New Roman" w:cs="Times New Roman"/>
          <w:sz w:val="24"/>
        </w:rPr>
        <w:t>1. Apropiaciones del Presupuesto General de la Nación dispuestas por cualquier órgano que lo conforme.</w:t>
      </w:r>
    </w:p>
    <w:p w14:paraId="1BF5FD26" w14:textId="77777777" w:rsidR="00BB4A7B" w:rsidRPr="00BB4A7B" w:rsidRDefault="00BB4A7B" w:rsidP="00BB4A7B">
      <w:pPr>
        <w:rPr>
          <w:rFonts w:ascii="Times New Roman" w:hAnsi="Times New Roman" w:cs="Times New Roman"/>
          <w:sz w:val="24"/>
        </w:rPr>
      </w:pPr>
      <w:r w:rsidRPr="00BB4A7B">
        <w:rPr>
          <w:rFonts w:ascii="Times New Roman" w:hAnsi="Times New Roman" w:cs="Times New Roman"/>
          <w:sz w:val="24"/>
        </w:rPr>
        <w:t>2. Los rendimientos financieros que genere el mismo Fondo, los cuales pueden utilizarse para sufragar los costos de administración de este. Los rendimientos de las inversiones temporales que se efectúen con los recursos del Fondo en títulos de deuda emitidos, aceptados, avalados o garantizados en cualquier otra forma por la Nación, o en valores de alta rentabilidad, seguridad y liquidez expedidos por el Banco de la República y otros establecimientos financieros.</w:t>
      </w:r>
    </w:p>
    <w:p w14:paraId="46FD6775" w14:textId="77777777" w:rsidR="00BB4A7B" w:rsidRPr="00BB4A7B" w:rsidRDefault="00BB4A7B" w:rsidP="00BB4A7B">
      <w:pPr>
        <w:rPr>
          <w:rFonts w:ascii="Times New Roman" w:hAnsi="Times New Roman" w:cs="Times New Roman"/>
          <w:sz w:val="24"/>
        </w:rPr>
      </w:pPr>
      <w:r w:rsidRPr="00BB4A7B">
        <w:rPr>
          <w:rFonts w:ascii="Times New Roman" w:hAnsi="Times New Roman" w:cs="Times New Roman"/>
          <w:sz w:val="24"/>
        </w:rPr>
        <w:t>2. Los reintegros económicos hechos por los beneficiarios del Fondo.</w:t>
      </w:r>
    </w:p>
    <w:p w14:paraId="0276C661" w14:textId="680C1841" w:rsidR="00BB4A7B" w:rsidRPr="00BB4A7B" w:rsidRDefault="00BB4A7B" w:rsidP="0007109A">
      <w:pPr>
        <w:rPr>
          <w:rFonts w:ascii="Times New Roman" w:hAnsi="Times New Roman" w:cs="Times New Roman"/>
          <w:sz w:val="24"/>
        </w:rPr>
      </w:pPr>
      <w:r w:rsidRPr="00BB4A7B">
        <w:rPr>
          <w:rFonts w:ascii="Times New Roman" w:hAnsi="Times New Roman" w:cs="Times New Roman"/>
          <w:sz w:val="24"/>
        </w:rPr>
        <w:t xml:space="preserve">3. </w:t>
      </w:r>
      <w:r w:rsidR="0007109A">
        <w:rPr>
          <w:rFonts w:ascii="Times New Roman" w:hAnsi="Times New Roman" w:cs="Times New Roman"/>
          <w:sz w:val="24"/>
        </w:rPr>
        <w:t>Los r</w:t>
      </w:r>
      <w:r w:rsidRPr="00BB4A7B">
        <w:rPr>
          <w:rFonts w:ascii="Times New Roman" w:hAnsi="Times New Roman" w:cs="Times New Roman"/>
          <w:sz w:val="24"/>
        </w:rPr>
        <w:t xml:space="preserve">ecursos que </w:t>
      </w:r>
      <w:r w:rsidR="0078450D">
        <w:rPr>
          <w:rFonts w:ascii="Times New Roman" w:hAnsi="Times New Roman" w:cs="Times New Roman"/>
          <w:sz w:val="24"/>
        </w:rPr>
        <w:t>sean aportados por</w:t>
      </w:r>
      <w:r w:rsidRPr="00BB4A7B">
        <w:rPr>
          <w:rFonts w:ascii="Times New Roman" w:hAnsi="Times New Roman" w:cs="Times New Roman"/>
          <w:sz w:val="24"/>
        </w:rPr>
        <w:t xml:space="preserve"> entidades públicas, inclusive del nivel territorial en el marco de sus competencias, de acuerdo con l</w:t>
      </w:r>
      <w:r w:rsidR="0007109A">
        <w:rPr>
          <w:rFonts w:ascii="Times New Roman" w:hAnsi="Times New Roman" w:cs="Times New Roman"/>
          <w:sz w:val="24"/>
        </w:rPr>
        <w:t>a</w:t>
      </w:r>
      <w:r w:rsidRPr="00BB4A7B">
        <w:rPr>
          <w:rFonts w:ascii="Times New Roman" w:hAnsi="Times New Roman" w:cs="Times New Roman"/>
          <w:sz w:val="24"/>
        </w:rPr>
        <w:t xml:space="preserve">s </w:t>
      </w:r>
      <w:r w:rsidR="0007109A" w:rsidRPr="00BB4A7B">
        <w:rPr>
          <w:rFonts w:ascii="Times New Roman" w:hAnsi="Times New Roman" w:cs="Times New Roman"/>
          <w:sz w:val="24"/>
        </w:rPr>
        <w:t>alianzas</w:t>
      </w:r>
      <w:r w:rsidR="0007109A">
        <w:rPr>
          <w:rFonts w:ascii="Times New Roman" w:hAnsi="Times New Roman" w:cs="Times New Roman"/>
          <w:sz w:val="24"/>
        </w:rPr>
        <w:t>, los convenios y/</w:t>
      </w:r>
      <w:r w:rsidR="0007109A" w:rsidRPr="00BB4A7B">
        <w:rPr>
          <w:rFonts w:ascii="Times New Roman" w:hAnsi="Times New Roman" w:cs="Times New Roman"/>
          <w:sz w:val="24"/>
        </w:rPr>
        <w:t xml:space="preserve">o </w:t>
      </w:r>
      <w:r w:rsidR="0007109A">
        <w:rPr>
          <w:rFonts w:ascii="Times New Roman" w:hAnsi="Times New Roman" w:cs="Times New Roman"/>
          <w:sz w:val="24"/>
        </w:rPr>
        <w:t xml:space="preserve">los </w:t>
      </w:r>
      <w:r w:rsidR="0007109A" w:rsidRPr="00BB4A7B">
        <w:rPr>
          <w:rFonts w:ascii="Times New Roman" w:hAnsi="Times New Roman" w:cs="Times New Roman"/>
          <w:sz w:val="24"/>
        </w:rPr>
        <w:t>contratos</w:t>
      </w:r>
      <w:r w:rsidR="0007109A">
        <w:rPr>
          <w:rFonts w:ascii="Times New Roman" w:hAnsi="Times New Roman" w:cs="Times New Roman"/>
          <w:sz w:val="24"/>
        </w:rPr>
        <w:t xml:space="preserve"> </w:t>
      </w:r>
      <w:r w:rsidRPr="00BB4A7B">
        <w:rPr>
          <w:rFonts w:ascii="Times New Roman" w:hAnsi="Times New Roman" w:cs="Times New Roman"/>
          <w:sz w:val="24"/>
        </w:rPr>
        <w:t>que se celebren al respecto.</w:t>
      </w:r>
    </w:p>
    <w:p w14:paraId="21A526AC" w14:textId="7195DD95" w:rsidR="00BB4A7B" w:rsidRPr="00BB4A7B" w:rsidRDefault="00BB4A7B" w:rsidP="00BB4A7B">
      <w:pPr>
        <w:rPr>
          <w:rFonts w:ascii="Times New Roman" w:hAnsi="Times New Roman" w:cs="Times New Roman"/>
          <w:sz w:val="24"/>
        </w:rPr>
      </w:pPr>
      <w:r w:rsidRPr="00BB4A7B">
        <w:rPr>
          <w:rFonts w:ascii="Times New Roman" w:hAnsi="Times New Roman" w:cs="Times New Roman"/>
          <w:sz w:val="24"/>
        </w:rPr>
        <w:t xml:space="preserve">4. Los aportes y/o </w:t>
      </w:r>
      <w:r w:rsidR="0007109A">
        <w:rPr>
          <w:rFonts w:ascii="Times New Roman" w:hAnsi="Times New Roman" w:cs="Times New Roman"/>
          <w:sz w:val="24"/>
        </w:rPr>
        <w:t xml:space="preserve">las </w:t>
      </w:r>
      <w:r w:rsidRPr="00BB4A7B">
        <w:rPr>
          <w:rFonts w:ascii="Times New Roman" w:hAnsi="Times New Roman" w:cs="Times New Roman"/>
          <w:sz w:val="24"/>
        </w:rPr>
        <w:t>donaciones que a cualquier título realicen personas jurídicas de derecho privado y/o naturales de origen nacional o extranjero, de acuerdo con la normatividad vigente.</w:t>
      </w:r>
    </w:p>
    <w:p w14:paraId="57C94723" w14:textId="77777777" w:rsidR="00BB4A7B" w:rsidRPr="00BB4A7B" w:rsidRDefault="00BB4A7B" w:rsidP="00BB4A7B">
      <w:pPr>
        <w:rPr>
          <w:rFonts w:ascii="Times New Roman" w:hAnsi="Times New Roman" w:cs="Times New Roman"/>
          <w:sz w:val="24"/>
        </w:rPr>
      </w:pPr>
    </w:p>
    <w:p w14:paraId="5FBAF277" w14:textId="7D079348" w:rsidR="00BB4A7B" w:rsidRPr="00BB4A7B" w:rsidRDefault="00BB4A7B" w:rsidP="00BB4A7B">
      <w:pPr>
        <w:rPr>
          <w:rFonts w:ascii="Times New Roman" w:hAnsi="Times New Roman" w:cs="Times New Roman"/>
          <w:sz w:val="24"/>
        </w:rPr>
      </w:pPr>
      <w:r w:rsidRPr="0007109A">
        <w:rPr>
          <w:rFonts w:ascii="Times New Roman" w:hAnsi="Times New Roman" w:cs="Times New Roman"/>
          <w:b/>
          <w:bCs/>
          <w:sz w:val="24"/>
        </w:rPr>
        <w:t>Parágrafo 1.</w:t>
      </w:r>
      <w:r w:rsidRPr="00BB4A7B">
        <w:rPr>
          <w:rFonts w:ascii="Times New Roman" w:hAnsi="Times New Roman" w:cs="Times New Roman"/>
          <w:sz w:val="24"/>
        </w:rPr>
        <w:t xml:space="preserve"> El Fondo Manizales Ciudad Eje del Conocimiento podrá recibir préstamos del Presupuesto Nacional o de instituciones de crédito nacionales o internacionales. La Nación podrá garantizar estos créditos de acuerdo con las normas </w:t>
      </w:r>
      <w:r w:rsidR="0007109A">
        <w:rPr>
          <w:rFonts w:ascii="Times New Roman" w:hAnsi="Times New Roman" w:cs="Times New Roman"/>
          <w:sz w:val="24"/>
        </w:rPr>
        <w:t xml:space="preserve">vigentes </w:t>
      </w:r>
      <w:r w:rsidRPr="00BB4A7B">
        <w:rPr>
          <w:rFonts w:ascii="Times New Roman" w:hAnsi="Times New Roman" w:cs="Times New Roman"/>
          <w:sz w:val="24"/>
        </w:rPr>
        <w:t>de crédito público.</w:t>
      </w:r>
    </w:p>
    <w:p w14:paraId="6AAA42CA" w14:textId="77777777" w:rsidR="0007109A" w:rsidRDefault="0007109A" w:rsidP="00BB4A7B">
      <w:pPr>
        <w:rPr>
          <w:rFonts w:ascii="Times New Roman" w:hAnsi="Times New Roman" w:cs="Times New Roman"/>
          <w:sz w:val="24"/>
        </w:rPr>
      </w:pPr>
    </w:p>
    <w:p w14:paraId="3F3F5D9C" w14:textId="0C963D00" w:rsidR="00BB4A7B" w:rsidRPr="00BB4A7B" w:rsidRDefault="00BB4A7B" w:rsidP="00BB4A7B">
      <w:pPr>
        <w:rPr>
          <w:rFonts w:ascii="Times New Roman" w:hAnsi="Times New Roman" w:cs="Times New Roman"/>
          <w:sz w:val="24"/>
        </w:rPr>
      </w:pPr>
      <w:r w:rsidRPr="0007109A">
        <w:rPr>
          <w:rFonts w:ascii="Times New Roman" w:hAnsi="Times New Roman" w:cs="Times New Roman"/>
          <w:b/>
          <w:bCs/>
          <w:sz w:val="24"/>
        </w:rPr>
        <w:t>Parágrafo 2.</w:t>
      </w:r>
      <w:r w:rsidRPr="00BB4A7B">
        <w:rPr>
          <w:rFonts w:ascii="Times New Roman" w:hAnsi="Times New Roman" w:cs="Times New Roman"/>
          <w:sz w:val="24"/>
        </w:rPr>
        <w:t xml:space="preserve"> </w:t>
      </w:r>
      <w:r w:rsidR="0007109A">
        <w:rPr>
          <w:rFonts w:ascii="Times New Roman" w:hAnsi="Times New Roman" w:cs="Times New Roman"/>
          <w:sz w:val="24"/>
        </w:rPr>
        <w:t>L</w:t>
      </w:r>
      <w:r w:rsidRPr="00BB4A7B">
        <w:rPr>
          <w:rFonts w:ascii="Times New Roman" w:hAnsi="Times New Roman" w:cs="Times New Roman"/>
          <w:sz w:val="24"/>
        </w:rPr>
        <w:t>os recursos que reciba el Fondo Manizales Ciudad Eje del Conocimiento por concepto de créditos con instituciones de crédito nacionales o internacionales</w:t>
      </w:r>
      <w:r w:rsidR="0007109A">
        <w:rPr>
          <w:rFonts w:ascii="Times New Roman" w:hAnsi="Times New Roman" w:cs="Times New Roman"/>
          <w:sz w:val="24"/>
        </w:rPr>
        <w:t>,</w:t>
      </w:r>
      <w:r w:rsidRPr="00BB4A7B">
        <w:rPr>
          <w:rFonts w:ascii="Times New Roman" w:hAnsi="Times New Roman" w:cs="Times New Roman"/>
          <w:sz w:val="24"/>
        </w:rPr>
        <w:t xml:space="preserve"> </w:t>
      </w:r>
      <w:r w:rsidR="0007109A">
        <w:rPr>
          <w:rFonts w:ascii="Times New Roman" w:hAnsi="Times New Roman" w:cs="Times New Roman"/>
          <w:sz w:val="24"/>
        </w:rPr>
        <w:t xml:space="preserve">no </w:t>
      </w:r>
      <w:r w:rsidRPr="00BB4A7B">
        <w:rPr>
          <w:rFonts w:ascii="Times New Roman" w:hAnsi="Times New Roman" w:cs="Times New Roman"/>
          <w:sz w:val="24"/>
        </w:rPr>
        <w:t>podrán ser utilizados para cubrir costos que no estén relacionados con el objeto de esta ley.</w:t>
      </w:r>
    </w:p>
    <w:p w14:paraId="7CF6F5B8" w14:textId="77777777" w:rsidR="00BB4A7B" w:rsidRPr="00BB4A7B" w:rsidRDefault="00BB4A7B" w:rsidP="00BB4A7B">
      <w:pPr>
        <w:rPr>
          <w:rFonts w:ascii="Times New Roman" w:hAnsi="Times New Roman" w:cs="Times New Roman"/>
          <w:sz w:val="24"/>
        </w:rPr>
      </w:pPr>
    </w:p>
    <w:p w14:paraId="3C7EE9FF" w14:textId="77777777" w:rsidR="00BB4A7B" w:rsidRPr="00BB4A7B" w:rsidRDefault="00BB4A7B" w:rsidP="00BB4A7B">
      <w:pPr>
        <w:rPr>
          <w:rFonts w:ascii="Times New Roman" w:hAnsi="Times New Roman" w:cs="Times New Roman"/>
          <w:sz w:val="24"/>
        </w:rPr>
      </w:pPr>
      <w:r w:rsidRPr="0007109A">
        <w:rPr>
          <w:rFonts w:ascii="Times New Roman" w:hAnsi="Times New Roman" w:cs="Times New Roman"/>
          <w:b/>
          <w:bCs/>
          <w:sz w:val="24"/>
        </w:rPr>
        <w:t>Artículo 7. Garantía de funcionamiento del Fondo.</w:t>
      </w:r>
      <w:r w:rsidRPr="00BB4A7B">
        <w:rPr>
          <w:rFonts w:ascii="Times New Roman" w:hAnsi="Times New Roman" w:cs="Times New Roman"/>
          <w:sz w:val="24"/>
        </w:rPr>
        <w:t xml:space="preserve"> Para garantizar su sostenibilidad, el Fondo Manizales Ciudad Eje del Conocimiento podrá celebrar operaciones de cobertura y seguros, que de acuerdo con las disposiciones vigentes y con la política de gestión del riesgo financiero diseñada e implementada por su comité directivo, garanticen su viabilidad financiera en el corto, mediano y largo plazo.</w:t>
      </w:r>
    </w:p>
    <w:p w14:paraId="6BE3BF97" w14:textId="77777777" w:rsidR="00BB4A7B" w:rsidRPr="00BB4A7B" w:rsidRDefault="00BB4A7B" w:rsidP="00BB4A7B">
      <w:pPr>
        <w:rPr>
          <w:rFonts w:ascii="Times New Roman" w:hAnsi="Times New Roman" w:cs="Times New Roman"/>
          <w:sz w:val="24"/>
        </w:rPr>
      </w:pPr>
    </w:p>
    <w:p w14:paraId="17C0F2FB" w14:textId="77777777" w:rsidR="00BB4A7B" w:rsidRPr="00BB4A7B" w:rsidRDefault="00BB4A7B" w:rsidP="00BB4A7B">
      <w:pPr>
        <w:rPr>
          <w:rFonts w:ascii="Times New Roman" w:hAnsi="Times New Roman" w:cs="Times New Roman"/>
          <w:sz w:val="24"/>
        </w:rPr>
      </w:pPr>
      <w:r w:rsidRPr="0007109A">
        <w:rPr>
          <w:rFonts w:ascii="Times New Roman" w:hAnsi="Times New Roman" w:cs="Times New Roman"/>
          <w:b/>
          <w:bCs/>
          <w:sz w:val="24"/>
        </w:rPr>
        <w:t>Artículo 8. Distribución de los recursos.</w:t>
      </w:r>
      <w:r w:rsidRPr="00BB4A7B">
        <w:rPr>
          <w:rFonts w:ascii="Times New Roman" w:hAnsi="Times New Roman" w:cs="Times New Roman"/>
          <w:sz w:val="24"/>
        </w:rPr>
        <w:t xml:space="preserve"> Los recursos depositados en el “Fondo Manizales Ciudad Eje del Conocimiento” se distribuirán de la siguiente manera:</w:t>
      </w:r>
    </w:p>
    <w:p w14:paraId="6036423A" w14:textId="77777777" w:rsidR="00BB4A7B" w:rsidRPr="00BB4A7B" w:rsidRDefault="00BB4A7B" w:rsidP="00BB4A7B">
      <w:pPr>
        <w:rPr>
          <w:rFonts w:ascii="Times New Roman" w:hAnsi="Times New Roman" w:cs="Times New Roman"/>
          <w:sz w:val="24"/>
        </w:rPr>
      </w:pPr>
    </w:p>
    <w:p w14:paraId="1C978A02" w14:textId="77777777" w:rsidR="00BB4A7B" w:rsidRPr="00BB4A7B" w:rsidRDefault="00BB4A7B" w:rsidP="00BB4A7B">
      <w:pPr>
        <w:rPr>
          <w:rFonts w:ascii="Times New Roman" w:hAnsi="Times New Roman" w:cs="Times New Roman"/>
          <w:sz w:val="24"/>
        </w:rPr>
      </w:pPr>
      <w:r w:rsidRPr="00BB4A7B">
        <w:rPr>
          <w:rFonts w:ascii="Times New Roman" w:hAnsi="Times New Roman" w:cs="Times New Roman"/>
          <w:sz w:val="24"/>
        </w:rPr>
        <w:t>a.</w:t>
      </w:r>
      <w:r w:rsidRPr="00BB4A7B">
        <w:rPr>
          <w:rFonts w:ascii="Times New Roman" w:hAnsi="Times New Roman" w:cs="Times New Roman"/>
          <w:sz w:val="24"/>
        </w:rPr>
        <w:tab/>
        <w:t>Mínimo el 30% para financiar proyectos de investigación, desarrollo e innovación.</w:t>
      </w:r>
    </w:p>
    <w:p w14:paraId="7C962785" w14:textId="77777777" w:rsidR="00BB4A7B" w:rsidRPr="00BB4A7B" w:rsidRDefault="00BB4A7B" w:rsidP="00BB4A7B">
      <w:pPr>
        <w:rPr>
          <w:rFonts w:ascii="Times New Roman" w:hAnsi="Times New Roman" w:cs="Times New Roman"/>
          <w:sz w:val="24"/>
        </w:rPr>
      </w:pPr>
      <w:r w:rsidRPr="00BB4A7B">
        <w:rPr>
          <w:rFonts w:ascii="Times New Roman" w:hAnsi="Times New Roman" w:cs="Times New Roman"/>
          <w:sz w:val="24"/>
        </w:rPr>
        <w:t>b.</w:t>
      </w:r>
      <w:r w:rsidRPr="00BB4A7B">
        <w:rPr>
          <w:rFonts w:ascii="Times New Roman" w:hAnsi="Times New Roman" w:cs="Times New Roman"/>
          <w:sz w:val="24"/>
        </w:rPr>
        <w:tab/>
        <w:t>Mínimo el 30% para subsidiar el pago de una parte o el total de la matrícula de las personas que hayan sido admitidas en instituciones de educación superior públicas, para cursar programas de pregrado o posgrado registrados en el Sistema Nacional de Información de la Educación Superior (SNIES).</w:t>
      </w:r>
    </w:p>
    <w:p w14:paraId="27770D62" w14:textId="1F251ED3" w:rsidR="00BB4A7B" w:rsidRPr="00BB4A7B" w:rsidRDefault="00BB4A7B" w:rsidP="00BB4A7B">
      <w:pPr>
        <w:rPr>
          <w:rFonts w:ascii="Times New Roman" w:hAnsi="Times New Roman" w:cs="Times New Roman"/>
          <w:sz w:val="24"/>
        </w:rPr>
      </w:pPr>
      <w:r w:rsidRPr="00BB4A7B">
        <w:rPr>
          <w:rFonts w:ascii="Times New Roman" w:hAnsi="Times New Roman" w:cs="Times New Roman"/>
          <w:sz w:val="24"/>
        </w:rPr>
        <w:t>c.</w:t>
      </w:r>
      <w:r w:rsidRPr="00BB4A7B">
        <w:rPr>
          <w:rFonts w:ascii="Times New Roman" w:hAnsi="Times New Roman" w:cs="Times New Roman"/>
          <w:sz w:val="24"/>
        </w:rPr>
        <w:tab/>
        <w:t>Mínimo el 30% para la construcción de infraestructura educativa y</w:t>
      </w:r>
      <w:r w:rsidR="0007109A">
        <w:rPr>
          <w:rFonts w:ascii="Times New Roman" w:hAnsi="Times New Roman" w:cs="Times New Roman"/>
          <w:sz w:val="24"/>
        </w:rPr>
        <w:t>/o</w:t>
      </w:r>
      <w:r w:rsidRPr="00BB4A7B">
        <w:rPr>
          <w:rFonts w:ascii="Times New Roman" w:hAnsi="Times New Roman" w:cs="Times New Roman"/>
          <w:sz w:val="24"/>
        </w:rPr>
        <w:t xml:space="preserve"> el posicionamiento de Manizales como ciudad eje del conocimiento.</w:t>
      </w:r>
    </w:p>
    <w:p w14:paraId="1D492A04" w14:textId="77777777" w:rsidR="00BB4A7B" w:rsidRPr="00BB4A7B" w:rsidRDefault="00BB4A7B" w:rsidP="00BB4A7B">
      <w:pPr>
        <w:rPr>
          <w:rFonts w:ascii="Times New Roman" w:hAnsi="Times New Roman" w:cs="Times New Roman"/>
          <w:sz w:val="24"/>
        </w:rPr>
      </w:pPr>
      <w:r w:rsidRPr="00BB4A7B">
        <w:rPr>
          <w:rFonts w:ascii="Times New Roman" w:hAnsi="Times New Roman" w:cs="Times New Roman"/>
          <w:sz w:val="24"/>
        </w:rPr>
        <w:t>d.</w:t>
      </w:r>
      <w:r w:rsidRPr="00BB4A7B">
        <w:rPr>
          <w:rFonts w:ascii="Times New Roman" w:hAnsi="Times New Roman" w:cs="Times New Roman"/>
          <w:sz w:val="24"/>
        </w:rPr>
        <w:tab/>
        <w:t xml:space="preserve">El porcentaje restante para los fines que determine el Comité Directivo. </w:t>
      </w:r>
    </w:p>
    <w:p w14:paraId="1ADDA4E3" w14:textId="77777777" w:rsidR="00BB4A7B" w:rsidRPr="00BB4A7B" w:rsidRDefault="00BB4A7B" w:rsidP="00BB4A7B">
      <w:pPr>
        <w:rPr>
          <w:rFonts w:ascii="Times New Roman" w:hAnsi="Times New Roman" w:cs="Times New Roman"/>
          <w:sz w:val="24"/>
        </w:rPr>
      </w:pPr>
    </w:p>
    <w:p w14:paraId="0078ADB6" w14:textId="77777777" w:rsidR="00BB4A7B" w:rsidRPr="00BB4A7B" w:rsidRDefault="00BB4A7B" w:rsidP="00BB4A7B">
      <w:pPr>
        <w:rPr>
          <w:rFonts w:ascii="Times New Roman" w:hAnsi="Times New Roman" w:cs="Times New Roman"/>
          <w:sz w:val="24"/>
        </w:rPr>
      </w:pPr>
      <w:r w:rsidRPr="0007109A">
        <w:rPr>
          <w:rFonts w:ascii="Times New Roman" w:hAnsi="Times New Roman" w:cs="Times New Roman"/>
          <w:b/>
          <w:bCs/>
          <w:sz w:val="24"/>
        </w:rPr>
        <w:t>Artículo 9. Comité Directivo del Fondo.</w:t>
      </w:r>
      <w:r w:rsidRPr="00BB4A7B">
        <w:rPr>
          <w:rFonts w:ascii="Times New Roman" w:hAnsi="Times New Roman" w:cs="Times New Roman"/>
          <w:sz w:val="24"/>
        </w:rPr>
        <w:t xml:space="preserve"> El “Fondo Manizales Ciudad Eje del Conocimiento” dispondrá de un Comité Directivo conformado por cinco (5) miembros, así:</w:t>
      </w:r>
    </w:p>
    <w:p w14:paraId="30ACC1A9" w14:textId="77777777" w:rsidR="00BB4A7B" w:rsidRPr="00BB4A7B" w:rsidRDefault="00BB4A7B" w:rsidP="00BB4A7B">
      <w:pPr>
        <w:rPr>
          <w:rFonts w:ascii="Times New Roman" w:hAnsi="Times New Roman" w:cs="Times New Roman"/>
          <w:sz w:val="24"/>
        </w:rPr>
      </w:pPr>
    </w:p>
    <w:p w14:paraId="6E8E401E" w14:textId="71836466" w:rsidR="00BB4A7B" w:rsidRPr="00BB4A7B" w:rsidRDefault="00BB4A7B" w:rsidP="00BB4A7B">
      <w:pPr>
        <w:rPr>
          <w:rFonts w:ascii="Times New Roman" w:hAnsi="Times New Roman" w:cs="Times New Roman"/>
          <w:sz w:val="24"/>
        </w:rPr>
      </w:pPr>
      <w:r w:rsidRPr="00BB4A7B">
        <w:rPr>
          <w:rFonts w:ascii="Times New Roman" w:hAnsi="Times New Roman" w:cs="Times New Roman"/>
          <w:sz w:val="24"/>
        </w:rPr>
        <w:t>1.</w:t>
      </w:r>
      <w:r w:rsidRPr="00BB4A7B">
        <w:rPr>
          <w:rFonts w:ascii="Times New Roman" w:hAnsi="Times New Roman" w:cs="Times New Roman"/>
          <w:sz w:val="24"/>
        </w:rPr>
        <w:tab/>
      </w:r>
      <w:r w:rsidR="0007109A">
        <w:rPr>
          <w:rFonts w:ascii="Times New Roman" w:hAnsi="Times New Roman" w:cs="Times New Roman"/>
          <w:sz w:val="24"/>
        </w:rPr>
        <w:t>El s</w:t>
      </w:r>
      <w:r w:rsidRPr="00BB4A7B">
        <w:rPr>
          <w:rFonts w:ascii="Times New Roman" w:hAnsi="Times New Roman" w:cs="Times New Roman"/>
          <w:sz w:val="24"/>
        </w:rPr>
        <w:t>ecretario del ente territorial autorizado por la Ordenanza o Acuerdo</w:t>
      </w:r>
      <w:r w:rsidR="0007109A">
        <w:rPr>
          <w:rFonts w:ascii="Times New Roman" w:hAnsi="Times New Roman" w:cs="Times New Roman"/>
          <w:sz w:val="24"/>
        </w:rPr>
        <w:t xml:space="preserve"> Municipal</w:t>
      </w:r>
      <w:r w:rsidRPr="00BB4A7B">
        <w:rPr>
          <w:rFonts w:ascii="Times New Roman" w:hAnsi="Times New Roman" w:cs="Times New Roman"/>
          <w:sz w:val="24"/>
        </w:rPr>
        <w:t>.</w:t>
      </w:r>
    </w:p>
    <w:p w14:paraId="623EAE6D" w14:textId="5C183C69" w:rsidR="00BB4A7B" w:rsidRDefault="00BB4A7B" w:rsidP="00BB4A7B">
      <w:pPr>
        <w:rPr>
          <w:rFonts w:ascii="Times New Roman" w:hAnsi="Times New Roman" w:cs="Times New Roman"/>
          <w:sz w:val="24"/>
        </w:rPr>
      </w:pPr>
      <w:r w:rsidRPr="00BB4A7B">
        <w:rPr>
          <w:rFonts w:ascii="Times New Roman" w:hAnsi="Times New Roman" w:cs="Times New Roman"/>
          <w:sz w:val="24"/>
        </w:rPr>
        <w:t>2.</w:t>
      </w:r>
      <w:r w:rsidRPr="00BB4A7B">
        <w:rPr>
          <w:rFonts w:ascii="Times New Roman" w:hAnsi="Times New Roman" w:cs="Times New Roman"/>
          <w:sz w:val="24"/>
        </w:rPr>
        <w:tab/>
      </w:r>
      <w:r w:rsidR="0007109A">
        <w:rPr>
          <w:rFonts w:ascii="Times New Roman" w:hAnsi="Times New Roman" w:cs="Times New Roman"/>
          <w:sz w:val="24"/>
        </w:rPr>
        <w:t>Dos (</w:t>
      </w:r>
      <w:r w:rsidRPr="00BB4A7B">
        <w:rPr>
          <w:rFonts w:ascii="Times New Roman" w:hAnsi="Times New Roman" w:cs="Times New Roman"/>
          <w:sz w:val="24"/>
        </w:rPr>
        <w:t>2</w:t>
      </w:r>
      <w:r w:rsidR="0007109A">
        <w:rPr>
          <w:rFonts w:ascii="Times New Roman" w:hAnsi="Times New Roman" w:cs="Times New Roman"/>
          <w:sz w:val="24"/>
        </w:rPr>
        <w:t>)</w:t>
      </w:r>
      <w:r w:rsidRPr="00BB4A7B">
        <w:rPr>
          <w:rFonts w:ascii="Times New Roman" w:hAnsi="Times New Roman" w:cs="Times New Roman"/>
          <w:sz w:val="24"/>
        </w:rPr>
        <w:t xml:space="preserve"> delegados de</w:t>
      </w:r>
      <w:r w:rsidR="0007109A">
        <w:rPr>
          <w:rFonts w:ascii="Times New Roman" w:hAnsi="Times New Roman" w:cs="Times New Roman"/>
          <w:sz w:val="24"/>
        </w:rPr>
        <w:t>l Sistema Universitario de Manizales (SUMA)</w:t>
      </w:r>
      <w:r w:rsidRPr="00BB4A7B">
        <w:rPr>
          <w:rFonts w:ascii="Times New Roman" w:hAnsi="Times New Roman" w:cs="Times New Roman"/>
          <w:sz w:val="24"/>
        </w:rPr>
        <w:t>.</w:t>
      </w:r>
    </w:p>
    <w:p w14:paraId="28D281E8" w14:textId="065AB562" w:rsidR="0007109A" w:rsidRPr="00BB4A7B" w:rsidRDefault="0007109A" w:rsidP="00BB4A7B">
      <w:pPr>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ab/>
        <w:t>Dos (2) delegados de instituciones técnicas y tecnológicas de educación superior.</w:t>
      </w:r>
    </w:p>
    <w:p w14:paraId="19B68702" w14:textId="6184BC51" w:rsidR="00BB4A7B" w:rsidRPr="00BB4A7B" w:rsidRDefault="0007109A" w:rsidP="00BB4A7B">
      <w:pPr>
        <w:rPr>
          <w:rFonts w:ascii="Times New Roman" w:hAnsi="Times New Roman" w:cs="Times New Roman"/>
          <w:sz w:val="24"/>
        </w:rPr>
      </w:pPr>
      <w:r>
        <w:rPr>
          <w:rFonts w:ascii="Times New Roman" w:hAnsi="Times New Roman" w:cs="Times New Roman"/>
          <w:sz w:val="24"/>
        </w:rPr>
        <w:t>4</w:t>
      </w:r>
      <w:r w:rsidR="00BB4A7B" w:rsidRPr="00BB4A7B">
        <w:rPr>
          <w:rFonts w:ascii="Times New Roman" w:hAnsi="Times New Roman" w:cs="Times New Roman"/>
          <w:sz w:val="24"/>
        </w:rPr>
        <w:t>.</w:t>
      </w:r>
      <w:r w:rsidR="00BB4A7B" w:rsidRPr="00BB4A7B">
        <w:rPr>
          <w:rFonts w:ascii="Times New Roman" w:hAnsi="Times New Roman" w:cs="Times New Roman"/>
          <w:sz w:val="24"/>
        </w:rPr>
        <w:tab/>
      </w:r>
      <w:r>
        <w:rPr>
          <w:rFonts w:ascii="Times New Roman" w:hAnsi="Times New Roman" w:cs="Times New Roman"/>
          <w:sz w:val="24"/>
        </w:rPr>
        <w:t>Dos (</w:t>
      </w:r>
      <w:r w:rsidRPr="00BB4A7B">
        <w:rPr>
          <w:rFonts w:ascii="Times New Roman" w:hAnsi="Times New Roman" w:cs="Times New Roman"/>
          <w:sz w:val="24"/>
        </w:rPr>
        <w:t>2</w:t>
      </w:r>
      <w:r>
        <w:rPr>
          <w:rFonts w:ascii="Times New Roman" w:hAnsi="Times New Roman" w:cs="Times New Roman"/>
          <w:sz w:val="24"/>
        </w:rPr>
        <w:t>)</w:t>
      </w:r>
      <w:r w:rsidRPr="00BB4A7B">
        <w:rPr>
          <w:rFonts w:ascii="Times New Roman" w:hAnsi="Times New Roman" w:cs="Times New Roman"/>
          <w:sz w:val="24"/>
        </w:rPr>
        <w:t xml:space="preserve"> </w:t>
      </w:r>
      <w:r w:rsidR="00BB4A7B" w:rsidRPr="00BB4A7B">
        <w:rPr>
          <w:rFonts w:ascii="Times New Roman" w:hAnsi="Times New Roman" w:cs="Times New Roman"/>
          <w:sz w:val="24"/>
        </w:rPr>
        <w:t>delegados de origen privado en el sector de la ciencia y la tecnología.</w:t>
      </w:r>
    </w:p>
    <w:p w14:paraId="0A66116D" w14:textId="77777777" w:rsidR="00BB4A7B" w:rsidRPr="00BB4A7B" w:rsidRDefault="00BB4A7B" w:rsidP="00BB4A7B">
      <w:pPr>
        <w:rPr>
          <w:rFonts w:ascii="Times New Roman" w:hAnsi="Times New Roman" w:cs="Times New Roman"/>
          <w:sz w:val="24"/>
        </w:rPr>
      </w:pPr>
    </w:p>
    <w:p w14:paraId="08B730D5" w14:textId="13BBC9FD" w:rsidR="00BB4A7B" w:rsidRPr="00BB4A7B" w:rsidRDefault="0007109A" w:rsidP="00BB4A7B">
      <w:pPr>
        <w:rPr>
          <w:rFonts w:ascii="Times New Roman" w:hAnsi="Times New Roman" w:cs="Times New Roman"/>
          <w:sz w:val="24"/>
        </w:rPr>
      </w:pPr>
      <w:r w:rsidRPr="0007109A">
        <w:rPr>
          <w:rFonts w:ascii="Times New Roman" w:hAnsi="Times New Roman" w:cs="Times New Roman"/>
          <w:b/>
          <w:bCs/>
          <w:sz w:val="24"/>
        </w:rPr>
        <w:t>Parágrafo.</w:t>
      </w:r>
      <w:r>
        <w:rPr>
          <w:rFonts w:ascii="Times New Roman" w:hAnsi="Times New Roman" w:cs="Times New Roman"/>
          <w:sz w:val="24"/>
        </w:rPr>
        <w:t xml:space="preserve"> </w:t>
      </w:r>
      <w:r w:rsidR="00BB4A7B" w:rsidRPr="00BB4A7B">
        <w:rPr>
          <w:rFonts w:ascii="Times New Roman" w:hAnsi="Times New Roman" w:cs="Times New Roman"/>
          <w:sz w:val="24"/>
        </w:rPr>
        <w:t>La Secretaría Técnica del Comité Directivo será ejercida por quien designe la Ordenanza o Acuerdo.</w:t>
      </w:r>
    </w:p>
    <w:p w14:paraId="04C7625B" w14:textId="77777777" w:rsidR="0007109A" w:rsidRDefault="0007109A" w:rsidP="00BB4A7B">
      <w:pPr>
        <w:rPr>
          <w:rFonts w:ascii="Times New Roman" w:hAnsi="Times New Roman" w:cs="Times New Roman"/>
          <w:sz w:val="24"/>
        </w:rPr>
      </w:pPr>
    </w:p>
    <w:p w14:paraId="32CB33DB" w14:textId="60ED2593" w:rsidR="00BB4A7B" w:rsidRPr="00BB4A7B" w:rsidRDefault="00BB4A7B" w:rsidP="00BB4A7B">
      <w:pPr>
        <w:rPr>
          <w:rFonts w:ascii="Times New Roman" w:hAnsi="Times New Roman" w:cs="Times New Roman"/>
          <w:sz w:val="24"/>
        </w:rPr>
      </w:pPr>
      <w:r w:rsidRPr="0007109A">
        <w:rPr>
          <w:rFonts w:ascii="Times New Roman" w:hAnsi="Times New Roman" w:cs="Times New Roman"/>
          <w:b/>
          <w:bCs/>
          <w:sz w:val="24"/>
        </w:rPr>
        <w:t>Artículo 10. Funciones del Comité Directivo.</w:t>
      </w:r>
      <w:r w:rsidRPr="00BB4A7B">
        <w:rPr>
          <w:rFonts w:ascii="Times New Roman" w:hAnsi="Times New Roman" w:cs="Times New Roman"/>
          <w:sz w:val="24"/>
        </w:rPr>
        <w:t xml:space="preserve"> El Comité Directivo del Fondo Manizales Ciudad Eje del Conocimiento tendrá las siguientes funciones:</w:t>
      </w:r>
    </w:p>
    <w:p w14:paraId="38911541" w14:textId="77777777" w:rsidR="00BB4A7B" w:rsidRPr="00BB4A7B" w:rsidRDefault="00BB4A7B" w:rsidP="00BB4A7B">
      <w:pPr>
        <w:rPr>
          <w:rFonts w:ascii="Times New Roman" w:hAnsi="Times New Roman" w:cs="Times New Roman"/>
          <w:sz w:val="24"/>
        </w:rPr>
      </w:pPr>
    </w:p>
    <w:p w14:paraId="30E92289" w14:textId="194EF9E1" w:rsidR="00BB4A7B" w:rsidRPr="00BB4A7B" w:rsidRDefault="00BB4A7B" w:rsidP="00BB4A7B">
      <w:pPr>
        <w:rPr>
          <w:rFonts w:ascii="Times New Roman" w:hAnsi="Times New Roman" w:cs="Times New Roman"/>
          <w:sz w:val="24"/>
        </w:rPr>
      </w:pPr>
      <w:r w:rsidRPr="00BB4A7B">
        <w:rPr>
          <w:rFonts w:ascii="Times New Roman" w:hAnsi="Times New Roman" w:cs="Times New Roman"/>
          <w:sz w:val="24"/>
        </w:rPr>
        <w:t>a.</w:t>
      </w:r>
      <w:r w:rsidRPr="00BB4A7B">
        <w:rPr>
          <w:rFonts w:ascii="Times New Roman" w:hAnsi="Times New Roman" w:cs="Times New Roman"/>
          <w:sz w:val="24"/>
        </w:rPr>
        <w:tab/>
        <w:t xml:space="preserve">Aprobar los estados financieros del </w:t>
      </w:r>
      <w:r w:rsidR="0007109A">
        <w:rPr>
          <w:rFonts w:ascii="Times New Roman" w:hAnsi="Times New Roman" w:cs="Times New Roman"/>
          <w:sz w:val="24"/>
        </w:rPr>
        <w:t>f</w:t>
      </w:r>
      <w:r w:rsidRPr="00BB4A7B">
        <w:rPr>
          <w:rFonts w:ascii="Times New Roman" w:hAnsi="Times New Roman" w:cs="Times New Roman"/>
          <w:sz w:val="24"/>
        </w:rPr>
        <w:t>ondo, al menos una vez al año.</w:t>
      </w:r>
    </w:p>
    <w:p w14:paraId="7ADEC1AD" w14:textId="55C98BB3" w:rsidR="00BB4A7B" w:rsidRPr="00BB4A7B" w:rsidRDefault="00BB4A7B" w:rsidP="00BB4A7B">
      <w:pPr>
        <w:rPr>
          <w:rFonts w:ascii="Times New Roman" w:hAnsi="Times New Roman" w:cs="Times New Roman"/>
          <w:sz w:val="24"/>
        </w:rPr>
      </w:pPr>
      <w:r w:rsidRPr="00BB4A7B">
        <w:rPr>
          <w:rFonts w:ascii="Times New Roman" w:hAnsi="Times New Roman" w:cs="Times New Roman"/>
          <w:sz w:val="24"/>
        </w:rPr>
        <w:t>b.</w:t>
      </w:r>
      <w:r w:rsidRPr="00BB4A7B">
        <w:rPr>
          <w:rFonts w:ascii="Times New Roman" w:hAnsi="Times New Roman" w:cs="Times New Roman"/>
          <w:sz w:val="24"/>
        </w:rPr>
        <w:tab/>
        <w:t xml:space="preserve">Hacer seguimiento al desempeño del </w:t>
      </w:r>
      <w:r w:rsidR="0007109A">
        <w:rPr>
          <w:rFonts w:ascii="Times New Roman" w:hAnsi="Times New Roman" w:cs="Times New Roman"/>
          <w:sz w:val="24"/>
        </w:rPr>
        <w:t>f</w:t>
      </w:r>
      <w:r w:rsidRPr="00BB4A7B">
        <w:rPr>
          <w:rFonts w:ascii="Times New Roman" w:hAnsi="Times New Roman" w:cs="Times New Roman"/>
          <w:sz w:val="24"/>
        </w:rPr>
        <w:t>ondo y a las políticas establecidas.</w:t>
      </w:r>
    </w:p>
    <w:p w14:paraId="4EB8F6DE" w14:textId="38B4AD0B" w:rsidR="00BB4A7B" w:rsidRPr="00BB4A7B" w:rsidRDefault="00BB4A7B" w:rsidP="0007109A">
      <w:pPr>
        <w:ind w:left="700" w:hanging="700"/>
        <w:rPr>
          <w:rFonts w:ascii="Times New Roman" w:hAnsi="Times New Roman" w:cs="Times New Roman"/>
          <w:sz w:val="24"/>
        </w:rPr>
      </w:pPr>
      <w:r w:rsidRPr="00BB4A7B">
        <w:rPr>
          <w:rFonts w:ascii="Times New Roman" w:hAnsi="Times New Roman" w:cs="Times New Roman"/>
          <w:sz w:val="24"/>
        </w:rPr>
        <w:t>c.</w:t>
      </w:r>
      <w:r w:rsidRPr="00BB4A7B">
        <w:rPr>
          <w:rFonts w:ascii="Times New Roman" w:hAnsi="Times New Roman" w:cs="Times New Roman"/>
          <w:sz w:val="24"/>
        </w:rPr>
        <w:tab/>
        <w:t xml:space="preserve">Expedir el reglamento operativo del </w:t>
      </w:r>
      <w:r w:rsidR="0007109A">
        <w:rPr>
          <w:rFonts w:ascii="Times New Roman" w:hAnsi="Times New Roman" w:cs="Times New Roman"/>
          <w:sz w:val="24"/>
        </w:rPr>
        <w:t>f</w:t>
      </w:r>
      <w:r w:rsidRPr="00BB4A7B">
        <w:rPr>
          <w:rFonts w:ascii="Times New Roman" w:hAnsi="Times New Roman" w:cs="Times New Roman"/>
          <w:sz w:val="24"/>
        </w:rPr>
        <w:t>ondo y de los mecanismos que se adopten para su operación.</w:t>
      </w:r>
    </w:p>
    <w:p w14:paraId="28E38794" w14:textId="677D83C5" w:rsidR="00BB4A7B" w:rsidRPr="00BB4A7B" w:rsidRDefault="00BB4A7B" w:rsidP="0007109A">
      <w:pPr>
        <w:ind w:left="700" w:hanging="700"/>
        <w:rPr>
          <w:rFonts w:ascii="Times New Roman" w:hAnsi="Times New Roman" w:cs="Times New Roman"/>
          <w:sz w:val="24"/>
        </w:rPr>
      </w:pPr>
      <w:r w:rsidRPr="00BB4A7B">
        <w:rPr>
          <w:rFonts w:ascii="Times New Roman" w:hAnsi="Times New Roman" w:cs="Times New Roman"/>
          <w:sz w:val="24"/>
        </w:rPr>
        <w:t>d.</w:t>
      </w:r>
      <w:r w:rsidRPr="00BB4A7B">
        <w:rPr>
          <w:rFonts w:ascii="Times New Roman" w:hAnsi="Times New Roman" w:cs="Times New Roman"/>
          <w:sz w:val="24"/>
        </w:rPr>
        <w:tab/>
        <w:t xml:space="preserve">Crear las subcuentas que sean necesarias para la ejecución de </w:t>
      </w:r>
      <w:r w:rsidR="0007109A">
        <w:rPr>
          <w:rFonts w:ascii="Times New Roman" w:hAnsi="Times New Roman" w:cs="Times New Roman"/>
          <w:sz w:val="24"/>
        </w:rPr>
        <w:t xml:space="preserve">las </w:t>
      </w:r>
      <w:r w:rsidRPr="00BB4A7B">
        <w:rPr>
          <w:rFonts w:ascii="Times New Roman" w:hAnsi="Times New Roman" w:cs="Times New Roman"/>
          <w:sz w:val="24"/>
        </w:rPr>
        <w:t xml:space="preserve">operaciones tendientes a cumplir con el objeto del </w:t>
      </w:r>
      <w:r w:rsidR="0007109A">
        <w:rPr>
          <w:rFonts w:ascii="Times New Roman" w:hAnsi="Times New Roman" w:cs="Times New Roman"/>
          <w:sz w:val="24"/>
        </w:rPr>
        <w:t>f</w:t>
      </w:r>
      <w:r w:rsidRPr="00BB4A7B">
        <w:rPr>
          <w:rFonts w:ascii="Times New Roman" w:hAnsi="Times New Roman" w:cs="Times New Roman"/>
          <w:sz w:val="24"/>
        </w:rPr>
        <w:t>ondo.</w:t>
      </w:r>
    </w:p>
    <w:p w14:paraId="3BD505F1" w14:textId="6D001864" w:rsidR="00BB4A7B" w:rsidRPr="00BB4A7B" w:rsidRDefault="00BB4A7B" w:rsidP="00BB4A7B">
      <w:pPr>
        <w:rPr>
          <w:rFonts w:ascii="Times New Roman" w:hAnsi="Times New Roman" w:cs="Times New Roman"/>
          <w:sz w:val="24"/>
        </w:rPr>
      </w:pPr>
      <w:r w:rsidRPr="00BB4A7B">
        <w:rPr>
          <w:rFonts w:ascii="Times New Roman" w:hAnsi="Times New Roman" w:cs="Times New Roman"/>
          <w:sz w:val="24"/>
        </w:rPr>
        <w:t>e.</w:t>
      </w:r>
      <w:r w:rsidRPr="00BB4A7B">
        <w:rPr>
          <w:rFonts w:ascii="Times New Roman" w:hAnsi="Times New Roman" w:cs="Times New Roman"/>
          <w:sz w:val="24"/>
        </w:rPr>
        <w:tab/>
        <w:t xml:space="preserve">Trazar la política de inversión del </w:t>
      </w:r>
      <w:r w:rsidR="0007109A">
        <w:rPr>
          <w:rFonts w:ascii="Times New Roman" w:hAnsi="Times New Roman" w:cs="Times New Roman"/>
          <w:sz w:val="24"/>
        </w:rPr>
        <w:t>f</w:t>
      </w:r>
      <w:r w:rsidRPr="00BB4A7B">
        <w:rPr>
          <w:rFonts w:ascii="Times New Roman" w:hAnsi="Times New Roman" w:cs="Times New Roman"/>
          <w:sz w:val="24"/>
        </w:rPr>
        <w:t>ondo.</w:t>
      </w:r>
    </w:p>
    <w:p w14:paraId="7651CBD5" w14:textId="77777777" w:rsidR="00BB4A7B" w:rsidRPr="00BB4A7B" w:rsidRDefault="00BB4A7B" w:rsidP="0007109A">
      <w:pPr>
        <w:ind w:left="700" w:hanging="700"/>
        <w:rPr>
          <w:rFonts w:ascii="Times New Roman" w:hAnsi="Times New Roman" w:cs="Times New Roman"/>
          <w:sz w:val="24"/>
        </w:rPr>
      </w:pPr>
      <w:r w:rsidRPr="00BB4A7B">
        <w:rPr>
          <w:rFonts w:ascii="Times New Roman" w:hAnsi="Times New Roman" w:cs="Times New Roman"/>
          <w:sz w:val="24"/>
        </w:rPr>
        <w:t>f.</w:t>
      </w:r>
      <w:r w:rsidRPr="00BB4A7B">
        <w:rPr>
          <w:rFonts w:ascii="Times New Roman" w:hAnsi="Times New Roman" w:cs="Times New Roman"/>
          <w:sz w:val="24"/>
        </w:rPr>
        <w:tab/>
        <w:t>Estudiar para su implementación las recomendaciones que formulen entidades del orden nacional y territorial competentes en materia de educación, ciencia y tecnología.</w:t>
      </w:r>
    </w:p>
    <w:p w14:paraId="3B05B00D" w14:textId="74308F18" w:rsidR="00BB4A7B" w:rsidRPr="00BB4A7B" w:rsidRDefault="00BB4A7B" w:rsidP="0007109A">
      <w:pPr>
        <w:ind w:left="700" w:hanging="700"/>
        <w:rPr>
          <w:rFonts w:ascii="Times New Roman" w:hAnsi="Times New Roman" w:cs="Times New Roman"/>
          <w:sz w:val="24"/>
        </w:rPr>
      </w:pPr>
      <w:r w:rsidRPr="00BB4A7B">
        <w:rPr>
          <w:rFonts w:ascii="Times New Roman" w:hAnsi="Times New Roman" w:cs="Times New Roman"/>
          <w:sz w:val="24"/>
        </w:rPr>
        <w:t>g.</w:t>
      </w:r>
      <w:r w:rsidRPr="00BB4A7B">
        <w:rPr>
          <w:rFonts w:ascii="Times New Roman" w:hAnsi="Times New Roman" w:cs="Times New Roman"/>
          <w:sz w:val="24"/>
        </w:rPr>
        <w:tab/>
        <w:t xml:space="preserve">Las demás funciones inherentes a la naturaleza y a los fines del </w:t>
      </w:r>
      <w:r w:rsidR="0007109A">
        <w:rPr>
          <w:rFonts w:ascii="Times New Roman" w:hAnsi="Times New Roman" w:cs="Times New Roman"/>
          <w:sz w:val="24"/>
        </w:rPr>
        <w:t>f</w:t>
      </w:r>
      <w:r w:rsidRPr="00BB4A7B">
        <w:rPr>
          <w:rFonts w:ascii="Times New Roman" w:hAnsi="Times New Roman" w:cs="Times New Roman"/>
          <w:sz w:val="24"/>
        </w:rPr>
        <w:t>ondo</w:t>
      </w:r>
      <w:r w:rsidR="0007109A">
        <w:rPr>
          <w:rFonts w:ascii="Times New Roman" w:hAnsi="Times New Roman" w:cs="Times New Roman"/>
          <w:sz w:val="24"/>
        </w:rPr>
        <w:t xml:space="preserve"> que se determinen en el reglamento operativo</w:t>
      </w:r>
      <w:r w:rsidRPr="00BB4A7B">
        <w:rPr>
          <w:rFonts w:ascii="Times New Roman" w:hAnsi="Times New Roman" w:cs="Times New Roman"/>
          <w:sz w:val="24"/>
        </w:rPr>
        <w:t>.</w:t>
      </w:r>
    </w:p>
    <w:p w14:paraId="643FBE5C" w14:textId="6C427C94" w:rsidR="00BB4A7B" w:rsidRPr="00BB4A7B" w:rsidRDefault="00BB4A7B" w:rsidP="007A2596">
      <w:pPr>
        <w:ind w:left="700" w:hanging="700"/>
        <w:rPr>
          <w:rFonts w:ascii="Times New Roman" w:hAnsi="Times New Roman" w:cs="Times New Roman"/>
          <w:sz w:val="24"/>
        </w:rPr>
      </w:pPr>
      <w:r w:rsidRPr="00BB4A7B">
        <w:rPr>
          <w:rFonts w:ascii="Times New Roman" w:hAnsi="Times New Roman" w:cs="Times New Roman"/>
          <w:sz w:val="24"/>
        </w:rPr>
        <w:t>h.</w:t>
      </w:r>
      <w:r w:rsidRPr="00BB4A7B">
        <w:rPr>
          <w:rFonts w:ascii="Times New Roman" w:hAnsi="Times New Roman" w:cs="Times New Roman"/>
          <w:sz w:val="24"/>
        </w:rPr>
        <w:tab/>
      </w:r>
      <w:r w:rsidR="007A2596">
        <w:rPr>
          <w:rFonts w:ascii="Times New Roman" w:hAnsi="Times New Roman" w:cs="Times New Roman"/>
          <w:sz w:val="24"/>
        </w:rPr>
        <w:t>Articular acciones</w:t>
      </w:r>
      <w:r w:rsidRPr="00BB4A7B">
        <w:rPr>
          <w:rFonts w:ascii="Times New Roman" w:hAnsi="Times New Roman" w:cs="Times New Roman"/>
          <w:sz w:val="24"/>
        </w:rPr>
        <w:t xml:space="preserve"> con el Ministerio de Ciencia</w:t>
      </w:r>
      <w:r w:rsidR="007A2596">
        <w:rPr>
          <w:rFonts w:ascii="Times New Roman" w:hAnsi="Times New Roman" w:cs="Times New Roman"/>
          <w:sz w:val="24"/>
        </w:rPr>
        <w:t>, Tecnología e Innovación, el Ministerio de Educación Nacional, el Ministerio de las Tecnologías de la Información y las Comunicaciones, así como las instituciones</w:t>
      </w:r>
      <w:r w:rsidRPr="00BB4A7B">
        <w:rPr>
          <w:rFonts w:ascii="Times New Roman" w:hAnsi="Times New Roman" w:cs="Times New Roman"/>
          <w:sz w:val="24"/>
        </w:rPr>
        <w:t xml:space="preserve"> públicas o privadas de educación superior, </w:t>
      </w:r>
      <w:r w:rsidR="007A2596">
        <w:rPr>
          <w:rFonts w:ascii="Times New Roman" w:hAnsi="Times New Roman" w:cs="Times New Roman"/>
          <w:sz w:val="24"/>
        </w:rPr>
        <w:t xml:space="preserve">y personas jurídicas en el ámbito </w:t>
      </w:r>
      <w:r w:rsidRPr="00BB4A7B">
        <w:rPr>
          <w:rFonts w:ascii="Times New Roman" w:hAnsi="Times New Roman" w:cs="Times New Roman"/>
          <w:sz w:val="24"/>
        </w:rPr>
        <w:t>de la ciencia y la tecnología.</w:t>
      </w:r>
    </w:p>
    <w:p w14:paraId="7C76AEE1" w14:textId="77777777" w:rsidR="00BB4A7B" w:rsidRPr="00BB4A7B" w:rsidRDefault="00BB4A7B" w:rsidP="00BB4A7B">
      <w:pPr>
        <w:rPr>
          <w:rFonts w:ascii="Times New Roman" w:hAnsi="Times New Roman" w:cs="Times New Roman"/>
          <w:sz w:val="24"/>
        </w:rPr>
      </w:pPr>
    </w:p>
    <w:p w14:paraId="1093EF5B" w14:textId="46AF1023" w:rsidR="00BB4A7B" w:rsidRPr="00BB4A7B" w:rsidRDefault="00BB4A7B" w:rsidP="00BB4A7B">
      <w:pPr>
        <w:rPr>
          <w:rFonts w:ascii="Times New Roman" w:hAnsi="Times New Roman" w:cs="Times New Roman"/>
          <w:sz w:val="24"/>
        </w:rPr>
      </w:pPr>
      <w:r w:rsidRPr="007A2596">
        <w:rPr>
          <w:rFonts w:ascii="Times New Roman" w:hAnsi="Times New Roman" w:cs="Times New Roman"/>
          <w:b/>
          <w:bCs/>
          <w:sz w:val="24"/>
        </w:rPr>
        <w:t>Artículo 11. Control.</w:t>
      </w:r>
      <w:r w:rsidRPr="00BB4A7B">
        <w:rPr>
          <w:rFonts w:ascii="Times New Roman" w:hAnsi="Times New Roman" w:cs="Times New Roman"/>
          <w:sz w:val="24"/>
        </w:rPr>
        <w:t xml:space="preserve"> La entidad administradora del Fondo Manizales Ciudad Eje del Conocimiento rendirá cuentas a la Contraloría General de la República sobre la destinación y uso de los recursos. Para el ejercicio de control fiscal referido, la Contraloría adoptará sistemas adecuados a la naturaleza del </w:t>
      </w:r>
      <w:r w:rsidR="007A2596">
        <w:rPr>
          <w:rFonts w:ascii="Times New Roman" w:hAnsi="Times New Roman" w:cs="Times New Roman"/>
          <w:sz w:val="24"/>
        </w:rPr>
        <w:t>f</w:t>
      </w:r>
      <w:r w:rsidRPr="00BB4A7B">
        <w:rPr>
          <w:rFonts w:ascii="Times New Roman" w:hAnsi="Times New Roman" w:cs="Times New Roman"/>
          <w:sz w:val="24"/>
        </w:rPr>
        <w:t>ondo y de su entidad administradora, de ser necesario.</w:t>
      </w:r>
    </w:p>
    <w:p w14:paraId="16524111" w14:textId="77777777" w:rsidR="00BB4A7B" w:rsidRPr="00BB4A7B" w:rsidRDefault="00BB4A7B" w:rsidP="00BB4A7B">
      <w:pPr>
        <w:rPr>
          <w:rFonts w:ascii="Times New Roman" w:hAnsi="Times New Roman" w:cs="Times New Roman"/>
          <w:sz w:val="24"/>
        </w:rPr>
      </w:pPr>
    </w:p>
    <w:p w14:paraId="1CD487E2" w14:textId="1659647F" w:rsidR="00BB4A7B" w:rsidRDefault="00BB4A7B" w:rsidP="00BB4A7B">
      <w:pPr>
        <w:rPr>
          <w:rFonts w:ascii="Times New Roman" w:hAnsi="Times New Roman" w:cs="Times New Roman"/>
          <w:sz w:val="24"/>
        </w:rPr>
      </w:pPr>
      <w:r w:rsidRPr="007A2596">
        <w:rPr>
          <w:rFonts w:ascii="Times New Roman" w:hAnsi="Times New Roman" w:cs="Times New Roman"/>
          <w:b/>
          <w:bCs/>
          <w:sz w:val="24"/>
        </w:rPr>
        <w:t>Artículo 12. Vigencia.</w:t>
      </w:r>
      <w:r w:rsidRPr="00BB4A7B">
        <w:rPr>
          <w:rFonts w:ascii="Times New Roman" w:hAnsi="Times New Roman" w:cs="Times New Roman"/>
          <w:sz w:val="24"/>
        </w:rPr>
        <w:t xml:space="preserve"> La presente ley rige a partir de su </w:t>
      </w:r>
      <w:r w:rsidR="007A2596">
        <w:rPr>
          <w:rFonts w:ascii="Times New Roman" w:hAnsi="Times New Roman" w:cs="Times New Roman"/>
          <w:sz w:val="24"/>
        </w:rPr>
        <w:t>publicación</w:t>
      </w:r>
      <w:r w:rsidRPr="00BB4A7B">
        <w:rPr>
          <w:rFonts w:ascii="Times New Roman" w:hAnsi="Times New Roman" w:cs="Times New Roman"/>
          <w:sz w:val="24"/>
        </w:rPr>
        <w:t xml:space="preserve"> y deroga las disposiciones que le sean contrarias.</w:t>
      </w:r>
    </w:p>
    <w:p w14:paraId="5709605B" w14:textId="1DC25F39" w:rsidR="00BB4A7B" w:rsidRDefault="00BB4A7B" w:rsidP="00BB4A7B">
      <w:pPr>
        <w:rPr>
          <w:rFonts w:ascii="Times New Roman" w:hAnsi="Times New Roman" w:cs="Times New Roman"/>
          <w:sz w:val="24"/>
        </w:rPr>
      </w:pPr>
    </w:p>
    <w:p w14:paraId="4B2A074A" w14:textId="7FB7D666" w:rsidR="00362F88" w:rsidRDefault="00362F88" w:rsidP="00362F88">
      <w:r>
        <w:t>Firma,</w:t>
      </w:r>
    </w:p>
    <w:p w14:paraId="26667C66" w14:textId="77777777" w:rsidR="00362F88" w:rsidRDefault="00362F88" w:rsidP="00362F88"/>
    <w:p w14:paraId="44BF18B7" w14:textId="77777777" w:rsidR="00362F88" w:rsidRDefault="00362F88" w:rsidP="00362F88"/>
    <w:p w14:paraId="7223FF24" w14:textId="77777777" w:rsidR="00362F88" w:rsidRDefault="00362F88" w:rsidP="00362F88"/>
    <w:p w14:paraId="6A000009" w14:textId="77777777" w:rsidR="00362F88" w:rsidRDefault="00362F88" w:rsidP="00362F88"/>
    <w:p w14:paraId="1D0E5222" w14:textId="77777777" w:rsidR="00362F88" w:rsidRPr="004F271A" w:rsidRDefault="00362F88" w:rsidP="00362F88">
      <w:pPr>
        <w:rPr>
          <w:b/>
          <w:bCs/>
        </w:rPr>
      </w:pPr>
      <w:r w:rsidRPr="004F271A">
        <w:rPr>
          <w:b/>
          <w:bCs/>
        </w:rPr>
        <w:t>GUIDO ECHEVERRI PIEDRAHITA</w:t>
      </w:r>
    </w:p>
    <w:p w14:paraId="4971954D" w14:textId="77777777" w:rsidR="00362F88" w:rsidRDefault="00362F88" w:rsidP="00362F88">
      <w:r>
        <w:t>Senador de la República</w:t>
      </w:r>
    </w:p>
    <w:p w14:paraId="1F720932" w14:textId="77777777" w:rsidR="00362F88" w:rsidRDefault="00362F88" w:rsidP="00FA3E62">
      <w:pPr>
        <w:pStyle w:val="Ttulo1"/>
        <w:numPr>
          <w:ilvl w:val="0"/>
          <w:numId w:val="0"/>
        </w:numPr>
        <w:ind w:left="431"/>
        <w:rPr>
          <w:rFonts w:ascii="Times New Roman" w:hAnsi="Times New Roman" w:cs="Times New Roman"/>
        </w:rPr>
      </w:pPr>
    </w:p>
    <w:p w14:paraId="0C919F51" w14:textId="59189752" w:rsidR="00FA3E62" w:rsidRDefault="007A2596" w:rsidP="005177A8">
      <w:pPr>
        <w:pStyle w:val="Ttulo1"/>
        <w:numPr>
          <w:ilvl w:val="0"/>
          <w:numId w:val="0"/>
        </w:numPr>
        <w:ind w:left="431" w:hanging="431"/>
        <w:rPr>
          <w:rFonts w:ascii="Times New Roman" w:hAnsi="Times New Roman" w:cs="Times New Roman"/>
          <w:color w:val="auto"/>
          <w:sz w:val="24"/>
          <w:szCs w:val="24"/>
        </w:rPr>
      </w:pPr>
      <w:r w:rsidRPr="007A2596">
        <w:rPr>
          <w:rFonts w:ascii="Times New Roman" w:hAnsi="Times New Roman" w:cs="Times New Roman"/>
          <w:color w:val="auto"/>
          <w:sz w:val="24"/>
          <w:szCs w:val="24"/>
        </w:rPr>
        <w:t>EXPOSICIÓN DE MOTIVOS</w:t>
      </w:r>
    </w:p>
    <w:p w14:paraId="71B7185E" w14:textId="182ECF8D" w:rsidR="007A2596" w:rsidRDefault="007A2596" w:rsidP="007A2596"/>
    <w:p w14:paraId="7C7C81A8" w14:textId="77777777" w:rsidR="007A2596" w:rsidRPr="00BB4A7B" w:rsidRDefault="007A2596" w:rsidP="005177A8">
      <w:pPr>
        <w:jc w:val="center"/>
        <w:rPr>
          <w:rFonts w:ascii="Times New Roman" w:hAnsi="Times New Roman" w:cs="Times New Roman"/>
          <w:b/>
          <w:bCs/>
          <w:sz w:val="24"/>
        </w:rPr>
      </w:pPr>
      <w:r w:rsidRPr="00BB4A7B">
        <w:rPr>
          <w:rFonts w:ascii="Times New Roman" w:hAnsi="Times New Roman" w:cs="Times New Roman"/>
          <w:b/>
          <w:bCs/>
          <w:sz w:val="24"/>
        </w:rPr>
        <w:t>Proyecto de ley Nº _____ de 2023</w:t>
      </w:r>
    </w:p>
    <w:p w14:paraId="070C4A53" w14:textId="77777777" w:rsidR="007A2596" w:rsidRPr="007A2596" w:rsidRDefault="007A2596" w:rsidP="007A2596">
      <w:pPr>
        <w:rPr>
          <w:rFonts w:ascii="Times New Roman" w:hAnsi="Times New Roman" w:cs="Times New Roman"/>
          <w:b/>
          <w:bCs/>
          <w:sz w:val="24"/>
        </w:rPr>
      </w:pPr>
    </w:p>
    <w:p w14:paraId="153BC940" w14:textId="31A44C35" w:rsidR="007A2596" w:rsidRPr="007A2596" w:rsidRDefault="007A2596" w:rsidP="007A2596">
      <w:pPr>
        <w:jc w:val="center"/>
        <w:rPr>
          <w:rFonts w:ascii="Times New Roman" w:hAnsi="Times New Roman" w:cs="Times New Roman"/>
          <w:b/>
          <w:bCs/>
          <w:sz w:val="24"/>
        </w:rPr>
      </w:pPr>
      <w:r w:rsidRPr="007A2596">
        <w:rPr>
          <w:rFonts w:ascii="Times New Roman" w:hAnsi="Times New Roman" w:cs="Times New Roman"/>
          <w:b/>
          <w:bCs/>
          <w:sz w:val="24"/>
        </w:rPr>
        <w:t>“Por la cual se crea el fondo Manizales ciudad eje del conocimiento y se dictan otras disposiciones”</w:t>
      </w:r>
    </w:p>
    <w:p w14:paraId="7C1AF65B" w14:textId="77777777" w:rsidR="009B2B57" w:rsidRPr="009B2B57" w:rsidRDefault="009B2B57" w:rsidP="009B2B57"/>
    <w:p w14:paraId="2C7DD4CB" w14:textId="07F215A6" w:rsidR="00FA3E62" w:rsidRPr="007A2596" w:rsidRDefault="00FA3E62" w:rsidP="00FA3E62">
      <w:pPr>
        <w:pStyle w:val="Ttulo1"/>
        <w:spacing w:before="0" w:line="259" w:lineRule="auto"/>
        <w:ind w:left="0"/>
        <w:jc w:val="left"/>
        <w:rPr>
          <w:rFonts w:ascii="Times New Roman" w:hAnsi="Times New Roman" w:cs="Times New Roman"/>
          <w:color w:val="4472C4" w:themeColor="accent1"/>
          <w:sz w:val="24"/>
          <w:szCs w:val="24"/>
        </w:rPr>
      </w:pPr>
      <w:r w:rsidRPr="007A2596">
        <w:rPr>
          <w:rFonts w:ascii="Times New Roman" w:hAnsi="Times New Roman" w:cs="Times New Roman"/>
          <w:color w:val="4472C4" w:themeColor="accent1"/>
          <w:sz w:val="24"/>
          <w:szCs w:val="24"/>
        </w:rPr>
        <w:t>Marco Legal y Constitucional</w:t>
      </w:r>
      <w:r w:rsidR="007A2596">
        <w:rPr>
          <w:rFonts w:ascii="Times New Roman" w:hAnsi="Times New Roman" w:cs="Times New Roman"/>
          <w:color w:val="4472C4" w:themeColor="accent1"/>
          <w:sz w:val="24"/>
          <w:szCs w:val="24"/>
        </w:rPr>
        <w:t>:</w:t>
      </w:r>
    </w:p>
    <w:p w14:paraId="24B2EB2F" w14:textId="7EF537C5" w:rsidR="00FA3E62" w:rsidRPr="007A2596" w:rsidRDefault="00FA3E62" w:rsidP="00FA3E62">
      <w:pPr>
        <w:rPr>
          <w:rFonts w:ascii="Times New Roman" w:hAnsi="Times New Roman" w:cs="Times New Roman"/>
          <w:sz w:val="24"/>
        </w:rPr>
      </w:pPr>
    </w:p>
    <w:p w14:paraId="47F4F876" w14:textId="5CB9933E" w:rsidR="00FA3E62" w:rsidRPr="007A2596" w:rsidRDefault="007A2596" w:rsidP="007A2596">
      <w:pPr>
        <w:rPr>
          <w:rFonts w:ascii="Times New Roman" w:hAnsi="Times New Roman" w:cs="Times New Roman"/>
          <w:b/>
          <w:bCs/>
          <w:sz w:val="24"/>
        </w:rPr>
      </w:pPr>
      <w:r>
        <w:rPr>
          <w:rFonts w:ascii="Times New Roman" w:hAnsi="Times New Roman" w:cs="Times New Roman"/>
          <w:sz w:val="24"/>
        </w:rPr>
        <w:t>La iniciativa se fundamenta</w:t>
      </w:r>
      <w:r w:rsidR="00FA3E62" w:rsidRPr="007A2596">
        <w:rPr>
          <w:rFonts w:ascii="Times New Roman" w:hAnsi="Times New Roman" w:cs="Times New Roman"/>
          <w:sz w:val="24"/>
        </w:rPr>
        <w:t xml:space="preserve"> en el artículo 67</w:t>
      </w:r>
      <w:r>
        <w:rPr>
          <w:rFonts w:ascii="Times New Roman" w:hAnsi="Times New Roman" w:cs="Times New Roman"/>
          <w:sz w:val="24"/>
        </w:rPr>
        <w:t xml:space="preserve"> de la Carta Política</w:t>
      </w:r>
      <w:r w:rsidR="00FA3E62" w:rsidRPr="007A2596">
        <w:rPr>
          <w:rFonts w:ascii="Times New Roman" w:hAnsi="Times New Roman" w:cs="Times New Roman"/>
          <w:sz w:val="24"/>
        </w:rPr>
        <w:t>, el cual establece que</w:t>
      </w:r>
      <w:r w:rsidR="00FA3E62" w:rsidRPr="007A2596">
        <w:rPr>
          <w:rFonts w:ascii="Times New Roman" w:hAnsi="Times New Roman" w:cs="Times New Roman"/>
          <w:b/>
          <w:bCs/>
          <w:sz w:val="24"/>
        </w:rPr>
        <w:t xml:space="preserve"> </w:t>
      </w:r>
      <w:r w:rsidR="00FA3E62" w:rsidRPr="007A2596">
        <w:rPr>
          <w:rFonts w:ascii="Times New Roman" w:hAnsi="Times New Roman" w:cs="Times New Roman"/>
          <w:sz w:val="24"/>
        </w:rPr>
        <w:t xml:space="preserve">"la educación es un derecho de la persona y un servicio público que tiene una función social; con ella se busca el acceso al conocimiento, a la ciencia, a la técnica, y a los demás bienes y valores de la cultura". Adicionalmente, el artículo 68 indica que “el Estado tiene la obligación de garantizar el acceso a la educación y de promover la igualdad de oportunidades en el acceso a la educación, sin discriminación alguna”. Seguidamente, el articulo 70 de la </w:t>
      </w:r>
      <w:r w:rsidRPr="007A2596">
        <w:rPr>
          <w:rFonts w:ascii="Times New Roman" w:hAnsi="Times New Roman" w:cs="Times New Roman"/>
          <w:sz w:val="24"/>
        </w:rPr>
        <w:t>Constitución</w:t>
      </w:r>
      <w:r w:rsidR="00FA3E62" w:rsidRPr="007A2596">
        <w:rPr>
          <w:rFonts w:ascii="Times New Roman" w:hAnsi="Times New Roman" w:cs="Times New Roman"/>
          <w:sz w:val="24"/>
        </w:rPr>
        <w:t xml:space="preserve"> Política de Colombia de 1991 sostiene que “El Estado tiene el deber de promover y fomentar el acceso a la cultura de todos los colombianos en igualdad de oportunidades, por medio de la educación permanente y la enseñanza científica, técnica, artística y profesional en todas las etapas del proceso de creación de la identidad nacional”.</w:t>
      </w:r>
    </w:p>
    <w:p w14:paraId="1BEC9F23" w14:textId="77777777" w:rsidR="00FA3E62" w:rsidRPr="007A2596" w:rsidRDefault="00FA3E62" w:rsidP="00FA3E62">
      <w:pPr>
        <w:rPr>
          <w:rFonts w:ascii="Times New Roman" w:hAnsi="Times New Roman" w:cs="Times New Roman"/>
          <w:sz w:val="24"/>
        </w:rPr>
      </w:pPr>
    </w:p>
    <w:p w14:paraId="5FA1B424" w14:textId="56528E0F" w:rsidR="00FA3E62" w:rsidRPr="007A2596" w:rsidRDefault="00FA3E62" w:rsidP="00FA3E62">
      <w:pPr>
        <w:rPr>
          <w:rFonts w:ascii="Times New Roman" w:hAnsi="Times New Roman" w:cs="Times New Roman"/>
          <w:b/>
          <w:bCs/>
          <w:sz w:val="24"/>
        </w:rPr>
      </w:pPr>
      <w:r w:rsidRPr="007A2596">
        <w:rPr>
          <w:rFonts w:ascii="Times New Roman" w:hAnsi="Times New Roman" w:cs="Times New Roman"/>
          <w:b/>
          <w:bCs/>
          <w:sz w:val="24"/>
        </w:rPr>
        <w:t>Agregando a lo anterior, algunas de las leyes que contribuyen para argumentar el acceso a la educación superior son</w:t>
      </w:r>
      <w:r w:rsidR="007A2596">
        <w:rPr>
          <w:rFonts w:ascii="Times New Roman" w:hAnsi="Times New Roman" w:cs="Times New Roman"/>
          <w:b/>
          <w:bCs/>
          <w:sz w:val="24"/>
        </w:rPr>
        <w:t>:</w:t>
      </w:r>
    </w:p>
    <w:p w14:paraId="5988AC48" w14:textId="77777777" w:rsidR="00FA3E62" w:rsidRPr="007A2596" w:rsidRDefault="00FA3E62" w:rsidP="00FA3E62">
      <w:pPr>
        <w:rPr>
          <w:rFonts w:ascii="Times New Roman" w:hAnsi="Times New Roman" w:cs="Times New Roman"/>
          <w:sz w:val="24"/>
        </w:rPr>
      </w:pPr>
    </w:p>
    <w:p w14:paraId="6B4632E0" w14:textId="77777777" w:rsidR="00FA3E62" w:rsidRPr="007A2596" w:rsidRDefault="00FA3E62" w:rsidP="00FA3E62">
      <w:pPr>
        <w:rPr>
          <w:rFonts w:ascii="Times New Roman" w:hAnsi="Times New Roman" w:cs="Times New Roman"/>
          <w:sz w:val="24"/>
        </w:rPr>
      </w:pPr>
      <w:r w:rsidRPr="007A2596">
        <w:rPr>
          <w:rFonts w:ascii="Times New Roman" w:hAnsi="Times New Roman" w:cs="Times New Roman"/>
          <w:sz w:val="24"/>
        </w:rPr>
        <w:t>Ley 30 de 1992: La cual establece dentro de sus principios en el artículo 1 que, “La Educación Superior es un proceso permanente que posibilita el desarrollo de las potencialidades del ser humano de una manera integral, se realiza con posterioridad a la educación media o secundaria y tiene por objeto el pleno desarrollo de los alumnos y su formación académica o profesional”. En adición, el artículo 2 señala que “La Educación Superior es un servicio público cultural, inherente a la finalidad social del Estado”.</w:t>
      </w:r>
    </w:p>
    <w:p w14:paraId="7F1AAAB7" w14:textId="77777777" w:rsidR="00FA3E62" w:rsidRPr="007A2596" w:rsidRDefault="00FA3E62" w:rsidP="00FA3E62">
      <w:pPr>
        <w:rPr>
          <w:rFonts w:ascii="Times New Roman" w:eastAsia="Times New Roman" w:hAnsi="Times New Roman" w:cs="Times New Roman"/>
          <w:sz w:val="24"/>
          <w:lang w:eastAsia="es-MX"/>
        </w:rPr>
      </w:pPr>
    </w:p>
    <w:p w14:paraId="3D142BB0" w14:textId="77777777" w:rsidR="00FA3E62" w:rsidRPr="007A2596" w:rsidRDefault="00FA3E62" w:rsidP="00FA3E62">
      <w:pPr>
        <w:rPr>
          <w:rFonts w:ascii="Times New Roman" w:eastAsiaTheme="minorHAnsi" w:hAnsi="Times New Roman" w:cs="Times New Roman"/>
          <w:kern w:val="2"/>
          <w:sz w:val="24"/>
          <w:lang w:val="es-ES_tradnl"/>
          <w14:ligatures w14:val="standardContextual"/>
        </w:rPr>
      </w:pPr>
      <w:r w:rsidRPr="007A2596">
        <w:rPr>
          <w:rFonts w:ascii="Times New Roman" w:hAnsi="Times New Roman" w:cs="Times New Roman"/>
          <w:sz w:val="24"/>
        </w:rPr>
        <w:t>Ley 749 de 2002: Esta ley establece medidas para promover la igualdad de oportunidades en el acceso a la educación superior y para fomentar la calidad y la excelencia académica en las instituciones de educación superior del país.</w:t>
      </w:r>
    </w:p>
    <w:p w14:paraId="49DCC67E" w14:textId="77777777" w:rsidR="00FA3E62" w:rsidRPr="007A2596" w:rsidRDefault="00FA3E62" w:rsidP="00FA3E62">
      <w:pPr>
        <w:rPr>
          <w:rFonts w:ascii="Times New Roman" w:hAnsi="Times New Roman" w:cs="Times New Roman"/>
          <w:sz w:val="24"/>
        </w:rPr>
      </w:pPr>
    </w:p>
    <w:p w14:paraId="2C217E03" w14:textId="4ED637AA" w:rsidR="00FA3E62" w:rsidRPr="007A2596" w:rsidRDefault="00FA3E62" w:rsidP="007A2596">
      <w:pPr>
        <w:rPr>
          <w:rFonts w:ascii="Times New Roman" w:hAnsi="Times New Roman" w:cs="Times New Roman"/>
          <w:sz w:val="24"/>
        </w:rPr>
      </w:pPr>
      <w:r w:rsidRPr="007A2596">
        <w:rPr>
          <w:rFonts w:ascii="Times New Roman" w:hAnsi="Times New Roman" w:cs="Times New Roman"/>
          <w:sz w:val="24"/>
        </w:rPr>
        <w:t>Ley 1448 de 2011: “Por la cual se dictan medidas de atención, asistencia y reparación integral a las víctimas del conflicto armado interno y se dictan otras disposiciones." Esta ley en su artículo 51 hace alusión a</w:t>
      </w:r>
      <w:r w:rsidR="007A2596">
        <w:rPr>
          <w:rFonts w:ascii="Times New Roman" w:hAnsi="Times New Roman" w:cs="Times New Roman"/>
          <w:sz w:val="24"/>
        </w:rPr>
        <w:t xml:space="preserve"> lo siguiente: </w:t>
      </w:r>
      <w:r w:rsidRPr="007A2596">
        <w:rPr>
          <w:rFonts w:ascii="Times New Roman" w:hAnsi="Times New Roman" w:cs="Times New Roman"/>
          <w:sz w:val="24"/>
        </w:rPr>
        <w:t>“En materia de</w:t>
      </w:r>
      <w:r w:rsidRPr="007A2596">
        <w:rPr>
          <w:rFonts w:ascii="Times New Roman" w:hAnsi="Times New Roman" w:cs="Times New Roman"/>
          <w:color w:val="333333"/>
          <w:sz w:val="24"/>
          <w:shd w:val="clear" w:color="auto" w:fill="FFFFFF"/>
        </w:rPr>
        <w:t xml:space="preserve"> </w:t>
      </w:r>
      <w:r w:rsidRPr="007A2596">
        <w:rPr>
          <w:rFonts w:ascii="Times New Roman" w:hAnsi="Times New Roman" w:cs="Times New Roman"/>
          <w:sz w:val="24"/>
        </w:rPr>
        <w:t>educación superior, las instituciones técnicas profesionales, instituciones tecnológicas, instituciones universitarias o escuelas tecnológicas y universidades de naturaleza pública, en el marco de su autonomía, establecerán los procesos de selección, admisión y matrícula que posibiliten que las víctimas en los términos de la presente ley, puedan acceder a sus programas académicos ofrecidos por estas instituciones, especialmente mujeres cabeza de familia y adolescentes y población en condición de discapacidad”</w:t>
      </w:r>
    </w:p>
    <w:p w14:paraId="1BEC1421" w14:textId="77777777" w:rsidR="00FA3E62" w:rsidRPr="007A2596" w:rsidRDefault="00FA3E62" w:rsidP="00FA3E62">
      <w:pPr>
        <w:rPr>
          <w:rFonts w:ascii="Times New Roman" w:hAnsi="Times New Roman" w:cs="Times New Roman"/>
          <w:sz w:val="24"/>
        </w:rPr>
      </w:pPr>
    </w:p>
    <w:p w14:paraId="4ACD0410" w14:textId="5B5BDDB4" w:rsidR="00FA3E62" w:rsidRPr="007A2596" w:rsidRDefault="00FA3E62" w:rsidP="00FA3E62">
      <w:pPr>
        <w:rPr>
          <w:rFonts w:ascii="Times New Roman" w:hAnsi="Times New Roman" w:cs="Times New Roman"/>
          <w:sz w:val="24"/>
        </w:rPr>
      </w:pPr>
      <w:r w:rsidRPr="007A2596">
        <w:rPr>
          <w:rFonts w:ascii="Times New Roman" w:hAnsi="Times New Roman" w:cs="Times New Roman"/>
          <w:sz w:val="24"/>
        </w:rPr>
        <w:t>Ley 1618 de 2013: bajo esta ley se instaura</w:t>
      </w:r>
      <w:r w:rsidR="007A2596">
        <w:rPr>
          <w:rFonts w:ascii="Times New Roman" w:hAnsi="Times New Roman" w:cs="Times New Roman"/>
          <w:sz w:val="24"/>
        </w:rPr>
        <w:t xml:space="preserve">n </w:t>
      </w:r>
      <w:r w:rsidRPr="007A2596">
        <w:rPr>
          <w:rFonts w:ascii="Times New Roman" w:hAnsi="Times New Roman" w:cs="Times New Roman"/>
          <w:sz w:val="24"/>
        </w:rPr>
        <w:t xml:space="preserve">disposiciones para garantizar el pleno ejercicio de los derechos de las personas con discapacidad. Así mismo, </w:t>
      </w:r>
      <w:r w:rsidR="007A2596">
        <w:rPr>
          <w:rFonts w:ascii="Times New Roman" w:hAnsi="Times New Roman" w:cs="Times New Roman"/>
          <w:sz w:val="24"/>
        </w:rPr>
        <w:t>el literal k d</w:t>
      </w:r>
      <w:r w:rsidRPr="007A2596">
        <w:rPr>
          <w:rFonts w:ascii="Times New Roman" w:hAnsi="Times New Roman" w:cs="Times New Roman"/>
          <w:sz w:val="24"/>
        </w:rPr>
        <w:t xml:space="preserve">el artículo 11 </w:t>
      </w:r>
      <w:r w:rsidR="007A2596">
        <w:rPr>
          <w:rFonts w:ascii="Times New Roman" w:hAnsi="Times New Roman" w:cs="Times New Roman"/>
          <w:sz w:val="24"/>
        </w:rPr>
        <w:t>de</w:t>
      </w:r>
      <w:r w:rsidR="007A2596" w:rsidRPr="007A2596">
        <w:rPr>
          <w:rFonts w:ascii="Times New Roman" w:hAnsi="Times New Roman" w:cs="Times New Roman"/>
          <w:sz w:val="24"/>
        </w:rPr>
        <w:t xml:space="preserve"> esta ley</w:t>
      </w:r>
      <w:r w:rsidRPr="007A2596">
        <w:rPr>
          <w:rFonts w:ascii="Times New Roman" w:hAnsi="Times New Roman" w:cs="Times New Roman"/>
          <w:sz w:val="24"/>
        </w:rPr>
        <w:t xml:space="preserve"> sostiene</w:t>
      </w:r>
      <w:r w:rsidR="007A2596">
        <w:rPr>
          <w:rFonts w:ascii="Times New Roman" w:hAnsi="Times New Roman" w:cs="Times New Roman"/>
          <w:sz w:val="24"/>
        </w:rPr>
        <w:t>:</w:t>
      </w:r>
      <w:r w:rsidRPr="007A2596">
        <w:rPr>
          <w:rFonts w:ascii="Times New Roman" w:hAnsi="Times New Roman" w:cs="Times New Roman"/>
          <w:sz w:val="24"/>
        </w:rPr>
        <w:t xml:space="preserve"> </w:t>
      </w:r>
    </w:p>
    <w:p w14:paraId="3621BDFE" w14:textId="77777777" w:rsidR="00FA3E62" w:rsidRPr="007A2596" w:rsidRDefault="00FA3E62" w:rsidP="00FA3E62">
      <w:pPr>
        <w:rPr>
          <w:rFonts w:ascii="Times New Roman" w:hAnsi="Times New Roman" w:cs="Times New Roman"/>
          <w:sz w:val="24"/>
        </w:rPr>
      </w:pPr>
    </w:p>
    <w:p w14:paraId="699959D7" w14:textId="78E9CBFD" w:rsidR="00FA3E62" w:rsidRPr="007A2596" w:rsidRDefault="00FA3E62" w:rsidP="007A2596">
      <w:pPr>
        <w:rPr>
          <w:rFonts w:ascii="Times New Roman" w:hAnsi="Times New Roman" w:cs="Times New Roman"/>
          <w:sz w:val="24"/>
        </w:rPr>
      </w:pPr>
      <w:r w:rsidRPr="007A2596">
        <w:rPr>
          <w:rFonts w:ascii="Times New Roman" w:hAnsi="Times New Roman" w:cs="Times New Roman"/>
          <w:sz w:val="24"/>
        </w:rPr>
        <w:t>“</w:t>
      </w:r>
      <w:r w:rsidR="007A2596">
        <w:rPr>
          <w:rFonts w:ascii="Times New Roman" w:hAnsi="Times New Roman" w:cs="Times New Roman"/>
          <w:sz w:val="24"/>
        </w:rPr>
        <w:t>S</w:t>
      </w:r>
      <w:r w:rsidRPr="007A2596">
        <w:rPr>
          <w:rFonts w:ascii="Times New Roman" w:hAnsi="Times New Roman" w:cs="Times New Roman"/>
          <w:sz w:val="24"/>
        </w:rPr>
        <w:t>e debe garantizar la enseñanza primaria gratuita y obligatoria de la educación secundaria, así como asegurar que los jóvenes y adultos con discapacidad tengan acceso general a la educación superior, la formación profesional, la educación para adultos, la educación para el trabajo y el aprendizaje durante toda la vida, sin discriminación y en igualdad de condiciones con las demás.”</w:t>
      </w:r>
    </w:p>
    <w:p w14:paraId="2C29518B" w14:textId="77777777" w:rsidR="00FA3E62" w:rsidRPr="00BB4A7B" w:rsidRDefault="00FA3E62" w:rsidP="00710FC1">
      <w:pPr>
        <w:spacing w:line="259" w:lineRule="auto"/>
        <w:jc w:val="left"/>
        <w:rPr>
          <w:rFonts w:ascii="Times New Roman" w:hAnsi="Times New Roman" w:cs="Times New Roman"/>
        </w:rPr>
      </w:pPr>
    </w:p>
    <w:p w14:paraId="3623EC81" w14:textId="3C43A2BE" w:rsidR="00AC08A8" w:rsidRPr="007A2596" w:rsidRDefault="00AC08A8" w:rsidP="00710FC1">
      <w:pPr>
        <w:pStyle w:val="Ttulo1"/>
        <w:spacing w:before="0" w:line="259" w:lineRule="auto"/>
        <w:ind w:left="0"/>
        <w:jc w:val="left"/>
        <w:rPr>
          <w:rFonts w:ascii="Times New Roman" w:hAnsi="Times New Roman" w:cs="Times New Roman"/>
          <w:color w:val="4472C4" w:themeColor="accent1"/>
          <w:sz w:val="24"/>
          <w:szCs w:val="24"/>
        </w:rPr>
      </w:pPr>
      <w:r w:rsidRPr="007A2596">
        <w:rPr>
          <w:rFonts w:ascii="Times New Roman" w:hAnsi="Times New Roman" w:cs="Times New Roman"/>
          <w:color w:val="4472C4" w:themeColor="accent1"/>
          <w:sz w:val="24"/>
          <w:szCs w:val="24"/>
        </w:rPr>
        <w:t>Caracterización de Manizales</w:t>
      </w:r>
      <w:r w:rsidR="007A2596">
        <w:rPr>
          <w:rFonts w:ascii="Times New Roman" w:hAnsi="Times New Roman" w:cs="Times New Roman"/>
          <w:color w:val="4472C4" w:themeColor="accent1"/>
          <w:sz w:val="24"/>
          <w:szCs w:val="24"/>
        </w:rPr>
        <w:t>:</w:t>
      </w:r>
    </w:p>
    <w:p w14:paraId="1B34E469" w14:textId="11C68320" w:rsidR="00AC08A8" w:rsidRPr="007A2596" w:rsidRDefault="00AC08A8" w:rsidP="00710FC1">
      <w:pPr>
        <w:spacing w:line="259" w:lineRule="auto"/>
        <w:rPr>
          <w:rFonts w:ascii="Times New Roman" w:hAnsi="Times New Roman" w:cs="Times New Roman"/>
          <w:sz w:val="24"/>
        </w:rPr>
      </w:pPr>
    </w:p>
    <w:p w14:paraId="572B57ED" w14:textId="62BB63B6" w:rsidR="00AC08A8" w:rsidRPr="007A2596" w:rsidRDefault="00AC08A8" w:rsidP="007A2596">
      <w:pPr>
        <w:rPr>
          <w:rFonts w:ascii="Times New Roman" w:hAnsi="Times New Roman" w:cs="Times New Roman"/>
          <w:sz w:val="24"/>
        </w:rPr>
      </w:pPr>
      <w:r w:rsidRPr="007A2596">
        <w:rPr>
          <w:rFonts w:ascii="Times New Roman" w:hAnsi="Times New Roman" w:cs="Times New Roman"/>
          <w:sz w:val="24"/>
        </w:rPr>
        <w:t xml:space="preserve">Manizales es un territorio ubicado en la zona centro-occidente del país, en la Región Andina Colombiana y en medio de dos cordilleras, lo que le otorga un paisaje montañoso en cuyas áreas rurales crecen cultivos de café, plátano y frutales, gracias a los pisos térmicos predominantes y el clima propicio para la agricultura. </w:t>
      </w:r>
    </w:p>
    <w:p w14:paraId="34D8F963" w14:textId="77777777" w:rsidR="00AC08A8" w:rsidRPr="007A2596" w:rsidRDefault="00AC08A8" w:rsidP="007A2596">
      <w:pPr>
        <w:rPr>
          <w:rFonts w:ascii="Times New Roman" w:hAnsi="Times New Roman" w:cs="Times New Roman"/>
          <w:sz w:val="24"/>
        </w:rPr>
      </w:pPr>
    </w:p>
    <w:p w14:paraId="02E42016" w14:textId="77777777" w:rsidR="00AC08A8" w:rsidRPr="007A2596" w:rsidRDefault="00AC08A8" w:rsidP="007A2596">
      <w:pPr>
        <w:rPr>
          <w:rFonts w:ascii="Times New Roman" w:hAnsi="Times New Roman" w:cs="Times New Roman"/>
          <w:sz w:val="24"/>
        </w:rPr>
      </w:pPr>
      <w:r w:rsidRPr="007A2596">
        <w:rPr>
          <w:rFonts w:ascii="Times New Roman" w:hAnsi="Times New Roman" w:cs="Times New Roman"/>
          <w:sz w:val="24"/>
        </w:rPr>
        <w:t>Con relación al Departamento de Caldas, Manizales tiene un área municipal del 6% sobre la totalidad del área departamental y tiene una densidad de población de 830,35 habitantes por Km2. La población total del municipio es, según estadísticas del DANE, 450.000, distribuidos en un 93% en cabeceras y un 7% en el resto del municipio. En total se tienen 255.890 personas en edad potencialmente activa, es decir, mayor a 15 años y menores de 59 años.</w:t>
      </w:r>
    </w:p>
    <w:p w14:paraId="04AFACA9" w14:textId="77777777" w:rsidR="00AC08A8" w:rsidRPr="007A2596" w:rsidRDefault="00AC08A8" w:rsidP="007A2596">
      <w:pPr>
        <w:rPr>
          <w:rFonts w:ascii="Times New Roman" w:hAnsi="Times New Roman" w:cs="Times New Roman"/>
          <w:sz w:val="24"/>
        </w:rPr>
      </w:pPr>
    </w:p>
    <w:p w14:paraId="627F7981" w14:textId="77777777" w:rsidR="00AC08A8" w:rsidRPr="007A2596" w:rsidRDefault="00AC08A8" w:rsidP="007A2596">
      <w:pPr>
        <w:rPr>
          <w:rFonts w:ascii="Times New Roman" w:hAnsi="Times New Roman" w:cs="Times New Roman"/>
          <w:sz w:val="24"/>
        </w:rPr>
      </w:pPr>
      <w:r w:rsidRPr="007A2596">
        <w:rPr>
          <w:rFonts w:ascii="Times New Roman" w:hAnsi="Times New Roman" w:cs="Times New Roman"/>
          <w:sz w:val="24"/>
        </w:rPr>
        <w:t>En las últimas décadas, se ha presentado un “estancamiento” en el crecimiento poblacional, lo cual se evidencia al analizar la tasa de crecimiento poblacional desde el año 1995 proyectado a 2020, según proyecciones realizadas por el DANE a partir del CENSO 2005, con tasas de crecimiento muy por debajo de las tasas de los años 50 y 60 y aunque es claro que la población rural decrece históricamente, en las proyecciones al 2020 se estima, que el decrecimiento se equipará a la cabecera municipal.</w:t>
      </w:r>
    </w:p>
    <w:p w14:paraId="4F653DD8" w14:textId="77777777" w:rsidR="00AC08A8" w:rsidRPr="007A2596" w:rsidRDefault="00AC08A8" w:rsidP="007A2596">
      <w:pPr>
        <w:rPr>
          <w:rFonts w:ascii="Times New Roman" w:hAnsi="Times New Roman" w:cs="Times New Roman"/>
          <w:sz w:val="24"/>
        </w:rPr>
      </w:pPr>
    </w:p>
    <w:p w14:paraId="7A0258EA" w14:textId="573B5137" w:rsidR="00AC08A8" w:rsidRPr="007A2596" w:rsidRDefault="00AC08A8" w:rsidP="007A2596">
      <w:pPr>
        <w:rPr>
          <w:rFonts w:ascii="Times New Roman" w:hAnsi="Times New Roman" w:cs="Times New Roman"/>
          <w:sz w:val="24"/>
        </w:rPr>
      </w:pPr>
      <w:r w:rsidRPr="007A2596">
        <w:rPr>
          <w:rFonts w:ascii="Times New Roman" w:hAnsi="Times New Roman" w:cs="Times New Roman"/>
          <w:sz w:val="24"/>
        </w:rPr>
        <w:t xml:space="preserve">En cuanto a la tasa de crecimiento por grupos </w:t>
      </w:r>
      <w:r w:rsidR="00A41F4E">
        <w:rPr>
          <w:rFonts w:ascii="Times New Roman" w:hAnsi="Times New Roman" w:cs="Times New Roman"/>
          <w:sz w:val="24"/>
        </w:rPr>
        <w:t>e</w:t>
      </w:r>
      <w:r w:rsidR="00A41F4E" w:rsidRPr="007A2596">
        <w:rPr>
          <w:rFonts w:ascii="Times New Roman" w:hAnsi="Times New Roman" w:cs="Times New Roman"/>
          <w:sz w:val="24"/>
        </w:rPr>
        <w:t>tarios</w:t>
      </w:r>
      <w:r w:rsidR="00A41F4E">
        <w:rPr>
          <w:rFonts w:ascii="Times New Roman" w:hAnsi="Times New Roman" w:cs="Times New Roman"/>
          <w:sz w:val="24"/>
        </w:rPr>
        <w:t>,</w:t>
      </w:r>
      <w:r w:rsidRPr="007A2596">
        <w:rPr>
          <w:rFonts w:ascii="Times New Roman" w:hAnsi="Times New Roman" w:cs="Times New Roman"/>
          <w:sz w:val="24"/>
        </w:rPr>
        <w:t xml:space="preserve"> con proyección al 2020 y según información del DANE </w:t>
      </w:r>
      <w:r w:rsidR="00A41F4E">
        <w:rPr>
          <w:rFonts w:ascii="Times New Roman" w:hAnsi="Times New Roman" w:cs="Times New Roman"/>
          <w:sz w:val="24"/>
        </w:rPr>
        <w:t>que fue</w:t>
      </w:r>
      <w:r w:rsidRPr="007A2596">
        <w:rPr>
          <w:rFonts w:ascii="Times New Roman" w:hAnsi="Times New Roman" w:cs="Times New Roman"/>
          <w:sz w:val="24"/>
        </w:rPr>
        <w:t xml:space="preserve"> analizada por la Secretaría de Planeación Municipal en el marco </w:t>
      </w:r>
      <w:r w:rsidR="00A41F4E">
        <w:rPr>
          <w:rFonts w:ascii="Times New Roman" w:hAnsi="Times New Roman" w:cs="Times New Roman"/>
          <w:sz w:val="24"/>
        </w:rPr>
        <w:t>del trámite</w:t>
      </w:r>
      <w:r w:rsidRPr="007A2596">
        <w:rPr>
          <w:rFonts w:ascii="Times New Roman" w:hAnsi="Times New Roman" w:cs="Times New Roman"/>
          <w:sz w:val="24"/>
        </w:rPr>
        <w:t xml:space="preserve"> sobre el </w:t>
      </w:r>
      <w:r w:rsidR="00A41F4E">
        <w:rPr>
          <w:rFonts w:ascii="Times New Roman" w:hAnsi="Times New Roman" w:cs="Times New Roman"/>
          <w:sz w:val="24"/>
        </w:rPr>
        <w:t xml:space="preserve">Plan de Ordenamiento Territorial – </w:t>
      </w:r>
      <w:r w:rsidRPr="007A2596">
        <w:rPr>
          <w:rFonts w:ascii="Times New Roman" w:hAnsi="Times New Roman" w:cs="Times New Roman"/>
          <w:sz w:val="24"/>
        </w:rPr>
        <w:t xml:space="preserve">POT, se tendría un decrecimiento en la población de niños y jóvenes, fenómeno coherente con las cifras recientes de fecundidad y nacimientos; por el contrario, la población que supera los 60 años, tendrá el mayor crecimiento proyectado, </w:t>
      </w:r>
      <w:r w:rsidR="00A41F4E">
        <w:rPr>
          <w:rFonts w:ascii="Times New Roman" w:hAnsi="Times New Roman" w:cs="Times New Roman"/>
          <w:sz w:val="24"/>
        </w:rPr>
        <w:t xml:space="preserve">lo cual constituye </w:t>
      </w:r>
      <w:r w:rsidRPr="007A2596">
        <w:rPr>
          <w:rFonts w:ascii="Times New Roman" w:hAnsi="Times New Roman" w:cs="Times New Roman"/>
          <w:sz w:val="24"/>
        </w:rPr>
        <w:t xml:space="preserve">información de valor para focalizar los programas de intervención en los próximos años y proyectar la población a ser atendida en los diferentes programas de la </w:t>
      </w:r>
      <w:r w:rsidR="00A41F4E" w:rsidRPr="007A2596">
        <w:rPr>
          <w:rFonts w:ascii="Times New Roman" w:hAnsi="Times New Roman" w:cs="Times New Roman"/>
          <w:sz w:val="24"/>
        </w:rPr>
        <w:t>administración municipal</w:t>
      </w:r>
      <w:r w:rsidRPr="007A2596">
        <w:rPr>
          <w:rFonts w:ascii="Times New Roman" w:hAnsi="Times New Roman" w:cs="Times New Roman"/>
          <w:sz w:val="24"/>
        </w:rPr>
        <w:t>.</w:t>
      </w:r>
    </w:p>
    <w:p w14:paraId="312CF3F7" w14:textId="77777777" w:rsidR="008F6483" w:rsidRPr="007A2596" w:rsidRDefault="008F6483" w:rsidP="00710FC1">
      <w:pPr>
        <w:spacing w:line="259" w:lineRule="auto"/>
        <w:rPr>
          <w:rFonts w:ascii="Times New Roman" w:hAnsi="Times New Roman" w:cs="Times New Roman"/>
          <w:sz w:val="24"/>
        </w:rPr>
      </w:pPr>
    </w:p>
    <w:p w14:paraId="38586747" w14:textId="60C70BF2" w:rsidR="008F6483" w:rsidRPr="00BB4A7B" w:rsidRDefault="008F6483" w:rsidP="00710FC1">
      <w:pPr>
        <w:pStyle w:val="Grfica"/>
        <w:keepNext/>
        <w:keepLines/>
        <w:rPr>
          <w:rFonts w:ascii="Times New Roman" w:eastAsiaTheme="minorEastAsia" w:hAnsi="Times New Roman" w:cs="Times New Roman"/>
          <w:bCs/>
          <w:color w:val="auto"/>
          <w:sz w:val="20"/>
          <w:szCs w:val="20"/>
        </w:rPr>
      </w:pPr>
      <w:r w:rsidRPr="00BB4A7B">
        <w:rPr>
          <w:rFonts w:ascii="Times New Roman" w:eastAsiaTheme="minorEastAsia" w:hAnsi="Times New Roman" w:cs="Times New Roman"/>
          <w:bCs/>
          <w:color w:val="auto"/>
          <w:sz w:val="20"/>
          <w:szCs w:val="20"/>
        </w:rPr>
        <w:t xml:space="preserve">Gráfica </w:t>
      </w:r>
      <w:r w:rsidRPr="00BB4A7B">
        <w:rPr>
          <w:rFonts w:ascii="Times New Roman" w:eastAsiaTheme="minorEastAsia" w:hAnsi="Times New Roman" w:cs="Times New Roman"/>
          <w:bCs/>
          <w:color w:val="auto"/>
          <w:sz w:val="20"/>
          <w:szCs w:val="20"/>
        </w:rPr>
        <w:fldChar w:fldCharType="begin"/>
      </w:r>
      <w:r w:rsidRPr="00BB4A7B">
        <w:rPr>
          <w:rFonts w:ascii="Times New Roman" w:eastAsiaTheme="minorEastAsia" w:hAnsi="Times New Roman" w:cs="Times New Roman"/>
          <w:bCs/>
          <w:color w:val="auto"/>
          <w:sz w:val="20"/>
          <w:szCs w:val="20"/>
        </w:rPr>
        <w:instrText xml:space="preserve"> SEQ Gráfica \* ARABIC </w:instrText>
      </w:r>
      <w:r w:rsidRPr="00BB4A7B">
        <w:rPr>
          <w:rFonts w:ascii="Times New Roman" w:eastAsiaTheme="minorEastAsia" w:hAnsi="Times New Roman" w:cs="Times New Roman"/>
          <w:bCs/>
          <w:color w:val="auto"/>
          <w:sz w:val="20"/>
          <w:szCs w:val="20"/>
        </w:rPr>
        <w:fldChar w:fldCharType="separate"/>
      </w:r>
      <w:r w:rsidR="005177A8">
        <w:rPr>
          <w:rFonts w:ascii="Times New Roman" w:eastAsiaTheme="minorEastAsia" w:hAnsi="Times New Roman" w:cs="Times New Roman"/>
          <w:bCs/>
          <w:noProof/>
          <w:color w:val="auto"/>
          <w:sz w:val="20"/>
          <w:szCs w:val="20"/>
        </w:rPr>
        <w:t>1</w:t>
      </w:r>
      <w:r w:rsidRPr="00BB4A7B">
        <w:rPr>
          <w:rFonts w:ascii="Times New Roman" w:eastAsiaTheme="minorEastAsia" w:hAnsi="Times New Roman" w:cs="Times New Roman"/>
          <w:bCs/>
          <w:color w:val="auto"/>
          <w:sz w:val="20"/>
          <w:szCs w:val="20"/>
        </w:rPr>
        <w:fldChar w:fldCharType="end"/>
      </w:r>
      <w:r w:rsidRPr="00BB4A7B">
        <w:rPr>
          <w:rFonts w:ascii="Times New Roman" w:eastAsiaTheme="minorEastAsia" w:hAnsi="Times New Roman" w:cs="Times New Roman"/>
          <w:bCs/>
          <w:color w:val="auto"/>
          <w:sz w:val="20"/>
          <w:szCs w:val="20"/>
        </w:rPr>
        <w:t>. Pirámide poblacional del municipio. 2022</w:t>
      </w:r>
    </w:p>
    <w:p w14:paraId="1D7CD4D3" w14:textId="798675FC" w:rsidR="008F6483" w:rsidRPr="00BB4A7B" w:rsidRDefault="008F6483" w:rsidP="00710FC1">
      <w:pPr>
        <w:spacing w:line="259" w:lineRule="auto"/>
        <w:rPr>
          <w:rFonts w:ascii="Times New Roman" w:hAnsi="Times New Roman" w:cs="Times New Roman"/>
        </w:rPr>
      </w:pPr>
      <w:r w:rsidRPr="00BB4A7B">
        <w:rPr>
          <w:rFonts w:ascii="Times New Roman" w:hAnsi="Times New Roman" w:cs="Times New Roman"/>
          <w:noProof/>
          <w:lang w:eastAsia="es-CO"/>
        </w:rPr>
        <w:drawing>
          <wp:inline distT="0" distB="0" distL="0" distR="0" wp14:anchorId="36694CFE" wp14:editId="4697F9D8">
            <wp:extent cx="5612130" cy="3799950"/>
            <wp:effectExtent l="0" t="0" r="7620" b="0"/>
            <wp:docPr id="4" name="Gráfico 4">
              <a:extLst xmlns:a="http://schemas.openxmlformats.org/drawingml/2006/main">
                <a:ext uri="{FF2B5EF4-FFF2-40B4-BE49-F238E27FC236}">
                  <a16:creationId xmlns:a16="http://schemas.microsoft.com/office/drawing/2014/main" id="{9EC6E405-702D-43B4-8DFF-BAC3548303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D3738D7" w14:textId="77777777" w:rsidR="008F6483" w:rsidRPr="00BB4A7B" w:rsidRDefault="008F6483" w:rsidP="00710FC1">
      <w:pPr>
        <w:keepNext/>
        <w:keepLines/>
        <w:spacing w:line="259" w:lineRule="auto"/>
        <w:jc w:val="center"/>
        <w:rPr>
          <w:rFonts w:ascii="Times New Roman" w:hAnsi="Times New Roman" w:cs="Times New Roman"/>
          <w:sz w:val="18"/>
          <w:szCs w:val="20"/>
        </w:rPr>
      </w:pPr>
      <w:r w:rsidRPr="00BB4A7B">
        <w:rPr>
          <w:rFonts w:ascii="Times New Roman" w:hAnsi="Times New Roman" w:cs="Times New Roman"/>
          <w:sz w:val="18"/>
          <w:szCs w:val="20"/>
        </w:rPr>
        <w:t>Fuente: Cálculos propios con base en DANE. Censo Nacional de Población y Vivienda (2018)</w:t>
      </w:r>
    </w:p>
    <w:p w14:paraId="0A765ACF" w14:textId="77777777" w:rsidR="008F6483" w:rsidRPr="00BB4A7B" w:rsidRDefault="008F6483" w:rsidP="00710FC1">
      <w:pPr>
        <w:spacing w:line="259" w:lineRule="auto"/>
        <w:rPr>
          <w:rFonts w:ascii="Times New Roman" w:hAnsi="Times New Roman" w:cs="Times New Roman"/>
        </w:rPr>
      </w:pPr>
    </w:p>
    <w:p w14:paraId="4B5455D0" w14:textId="77777777" w:rsidR="00A41F4E" w:rsidRDefault="00A41F4E" w:rsidP="00A41F4E">
      <w:pPr>
        <w:rPr>
          <w:rFonts w:ascii="Times New Roman" w:hAnsi="Times New Roman" w:cs="Times New Roman"/>
          <w:sz w:val="24"/>
        </w:rPr>
      </w:pPr>
    </w:p>
    <w:p w14:paraId="49ACF34C" w14:textId="56D9EB9D" w:rsidR="00AC08A8" w:rsidRPr="00A41F4E" w:rsidRDefault="00AC08A8" w:rsidP="00A41F4E">
      <w:pPr>
        <w:rPr>
          <w:rFonts w:ascii="Times New Roman" w:hAnsi="Times New Roman" w:cs="Times New Roman"/>
          <w:sz w:val="24"/>
        </w:rPr>
      </w:pPr>
      <w:r w:rsidRPr="00A41F4E">
        <w:rPr>
          <w:rFonts w:ascii="Times New Roman" w:hAnsi="Times New Roman" w:cs="Times New Roman"/>
          <w:sz w:val="24"/>
        </w:rPr>
        <w:t xml:space="preserve">Manizales Como Vamos (2020), </w:t>
      </w:r>
      <w:r w:rsidR="00A41F4E">
        <w:rPr>
          <w:rFonts w:ascii="Times New Roman" w:hAnsi="Times New Roman" w:cs="Times New Roman"/>
          <w:sz w:val="24"/>
        </w:rPr>
        <w:t>evidencia</w:t>
      </w:r>
      <w:r w:rsidRPr="00A41F4E">
        <w:rPr>
          <w:rFonts w:ascii="Times New Roman" w:hAnsi="Times New Roman" w:cs="Times New Roman"/>
          <w:sz w:val="24"/>
        </w:rPr>
        <w:t xml:space="preserve"> en su informe el nivel educativo de la población de la ciudad con 25 años o más. Este es un indicador de impacto, de largo plazo, puesto que incrementar el nivel educativo de la población, no es un resultado que tenga un efecto inmediato. </w:t>
      </w:r>
    </w:p>
    <w:p w14:paraId="2A67DB14" w14:textId="77777777" w:rsidR="00710FC1" w:rsidRPr="00A41F4E" w:rsidRDefault="00710FC1" w:rsidP="00A41F4E">
      <w:pPr>
        <w:rPr>
          <w:rFonts w:ascii="Times New Roman" w:hAnsi="Times New Roman" w:cs="Times New Roman"/>
          <w:sz w:val="24"/>
        </w:rPr>
      </w:pPr>
    </w:p>
    <w:p w14:paraId="0AFE832E" w14:textId="77777777" w:rsidR="00AC08A8" w:rsidRPr="00A41F4E" w:rsidRDefault="00AC08A8" w:rsidP="00A41F4E">
      <w:pPr>
        <w:rPr>
          <w:rFonts w:ascii="Times New Roman" w:hAnsi="Times New Roman" w:cs="Times New Roman"/>
          <w:sz w:val="24"/>
        </w:rPr>
      </w:pPr>
      <w:r w:rsidRPr="00A41F4E">
        <w:rPr>
          <w:rFonts w:ascii="Times New Roman" w:hAnsi="Times New Roman" w:cs="Times New Roman"/>
          <w:sz w:val="24"/>
        </w:rPr>
        <w:t xml:space="preserve">Tal como lo revela la siguiente gráfica, el nivel educativo de la población de Manizales ha aumentado, como reflejo de los esfuerzos desde diferentes frentes y sectores en la consolidación de una cultura universitaria, la cual impacta directamente este importante indicador. Mientras que, en 2010, un poco más de la mitad de la población tenía hasta secundaria incompleta, en 2020 este porcentaje se redujo al 35,5%. Por el contrario, la proporción de la población con niveles más elevados de educación pasó del 21,8% al 34,4%. </w:t>
      </w:r>
    </w:p>
    <w:p w14:paraId="60FB23A5" w14:textId="77777777" w:rsidR="00AC08A8" w:rsidRPr="00BB4A7B" w:rsidRDefault="00AC08A8" w:rsidP="00710FC1">
      <w:pPr>
        <w:spacing w:line="259" w:lineRule="auto"/>
        <w:rPr>
          <w:rFonts w:ascii="Times New Roman" w:hAnsi="Times New Roman" w:cs="Times New Roman"/>
        </w:rPr>
      </w:pPr>
    </w:p>
    <w:p w14:paraId="1D936A07" w14:textId="5C157326" w:rsidR="00AC08A8" w:rsidRPr="00BB4A7B" w:rsidRDefault="008E612E" w:rsidP="00710FC1">
      <w:pPr>
        <w:keepNext/>
        <w:keepLines/>
        <w:spacing w:line="259" w:lineRule="auto"/>
        <w:rPr>
          <w:rFonts w:ascii="Times New Roman" w:hAnsi="Times New Roman" w:cs="Times New Roman"/>
          <w:b/>
          <w:sz w:val="20"/>
          <w:szCs w:val="20"/>
        </w:rPr>
      </w:pPr>
      <w:r w:rsidRPr="00BB4A7B">
        <w:rPr>
          <w:rFonts w:ascii="Times New Roman" w:hAnsi="Times New Roman" w:cs="Times New Roman"/>
          <w:b/>
          <w:sz w:val="20"/>
          <w:szCs w:val="20"/>
        </w:rPr>
        <w:t xml:space="preserve">Gráfica </w:t>
      </w:r>
      <w:r w:rsidRPr="00BB4A7B">
        <w:rPr>
          <w:rFonts w:ascii="Times New Roman" w:hAnsi="Times New Roman" w:cs="Times New Roman"/>
          <w:b/>
          <w:sz w:val="20"/>
          <w:szCs w:val="20"/>
        </w:rPr>
        <w:fldChar w:fldCharType="begin"/>
      </w:r>
      <w:r w:rsidRPr="00BB4A7B">
        <w:rPr>
          <w:rFonts w:ascii="Times New Roman" w:hAnsi="Times New Roman" w:cs="Times New Roman"/>
          <w:b/>
          <w:sz w:val="20"/>
          <w:szCs w:val="20"/>
        </w:rPr>
        <w:instrText xml:space="preserve"> SEQ Gráfica \* ARABIC </w:instrText>
      </w:r>
      <w:r w:rsidRPr="00BB4A7B">
        <w:rPr>
          <w:rFonts w:ascii="Times New Roman" w:hAnsi="Times New Roman" w:cs="Times New Roman"/>
          <w:b/>
          <w:sz w:val="20"/>
          <w:szCs w:val="20"/>
        </w:rPr>
        <w:fldChar w:fldCharType="separate"/>
      </w:r>
      <w:r w:rsidR="005177A8">
        <w:rPr>
          <w:rFonts w:ascii="Times New Roman" w:hAnsi="Times New Roman" w:cs="Times New Roman"/>
          <w:b/>
          <w:noProof/>
          <w:sz w:val="20"/>
          <w:szCs w:val="20"/>
        </w:rPr>
        <w:t>2</w:t>
      </w:r>
      <w:r w:rsidRPr="00BB4A7B">
        <w:rPr>
          <w:rFonts w:ascii="Times New Roman" w:hAnsi="Times New Roman" w:cs="Times New Roman"/>
          <w:b/>
          <w:sz w:val="20"/>
          <w:szCs w:val="20"/>
        </w:rPr>
        <w:fldChar w:fldCharType="end"/>
      </w:r>
      <w:r w:rsidRPr="00BB4A7B">
        <w:rPr>
          <w:rFonts w:ascii="Times New Roman" w:hAnsi="Times New Roman" w:cs="Times New Roman"/>
          <w:b/>
          <w:sz w:val="20"/>
          <w:szCs w:val="20"/>
        </w:rPr>
        <w:t xml:space="preserve">. </w:t>
      </w:r>
      <w:r w:rsidR="00AC08A8" w:rsidRPr="00BB4A7B">
        <w:rPr>
          <w:rFonts w:ascii="Times New Roman" w:hAnsi="Times New Roman" w:cs="Times New Roman"/>
          <w:b/>
          <w:sz w:val="20"/>
          <w:szCs w:val="20"/>
        </w:rPr>
        <w:t>Nivel educativo alcanzado en Manizales en población de 25 años o más</w:t>
      </w:r>
    </w:p>
    <w:p w14:paraId="3B575666" w14:textId="77777777" w:rsidR="00AC08A8" w:rsidRPr="00BB4A7B" w:rsidRDefault="00AC08A8" w:rsidP="00710FC1">
      <w:pPr>
        <w:keepNext/>
        <w:keepLines/>
        <w:spacing w:line="259" w:lineRule="auto"/>
        <w:jc w:val="center"/>
        <w:rPr>
          <w:rFonts w:ascii="Times New Roman" w:hAnsi="Times New Roman" w:cs="Times New Roman"/>
        </w:rPr>
      </w:pPr>
      <w:r w:rsidRPr="00BB4A7B">
        <w:rPr>
          <w:rFonts w:ascii="Times New Roman" w:hAnsi="Times New Roman" w:cs="Times New Roman"/>
          <w:noProof/>
          <w:color w:val="000000"/>
          <w:lang w:eastAsia="es-CO"/>
        </w:rPr>
        <w:drawing>
          <wp:inline distT="0" distB="0" distL="0" distR="0" wp14:anchorId="24DB1405" wp14:editId="039BD2DF">
            <wp:extent cx="4704713" cy="2416236"/>
            <wp:effectExtent l="0" t="0" r="1270" b="3175"/>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20398" cy="2424292"/>
                    </a:xfrm>
                    <a:prstGeom prst="rect">
                      <a:avLst/>
                    </a:prstGeom>
                    <a:noFill/>
                    <a:ln>
                      <a:noFill/>
                    </a:ln>
                  </pic:spPr>
                </pic:pic>
              </a:graphicData>
            </a:graphic>
          </wp:inline>
        </w:drawing>
      </w:r>
    </w:p>
    <w:p w14:paraId="209A6850" w14:textId="797ADAC5" w:rsidR="00AC08A8" w:rsidRPr="00BB4A7B" w:rsidRDefault="00710FC1" w:rsidP="00710FC1">
      <w:pPr>
        <w:keepNext/>
        <w:keepLines/>
        <w:spacing w:line="259" w:lineRule="auto"/>
        <w:jc w:val="center"/>
        <w:rPr>
          <w:rStyle w:val="Referenciasutil"/>
          <w:rFonts w:ascii="Times New Roman" w:hAnsi="Times New Roman" w:cs="Times New Roman"/>
          <w:i w:val="0"/>
          <w:iCs w:val="0"/>
          <w:smallCaps w:val="0"/>
          <w:sz w:val="18"/>
          <w:szCs w:val="18"/>
        </w:rPr>
      </w:pPr>
      <w:r w:rsidRPr="00BB4A7B">
        <w:rPr>
          <w:rStyle w:val="Referenciasutil"/>
          <w:rFonts w:ascii="Times New Roman" w:hAnsi="Times New Roman" w:cs="Times New Roman"/>
          <w:i w:val="0"/>
          <w:iCs w:val="0"/>
          <w:smallCaps w:val="0"/>
          <w:sz w:val="18"/>
          <w:szCs w:val="18"/>
        </w:rPr>
        <w:t>Fuente: Cálculos MCV con base en Ministerio De Educación Nacional y DANE</w:t>
      </w:r>
    </w:p>
    <w:p w14:paraId="6A62B655" w14:textId="4E6BA297" w:rsidR="008E612E" w:rsidRPr="00BB4A7B" w:rsidRDefault="008E612E" w:rsidP="00710FC1">
      <w:pPr>
        <w:spacing w:line="259" w:lineRule="auto"/>
        <w:rPr>
          <w:rFonts w:ascii="Times New Roman" w:hAnsi="Times New Roman" w:cs="Times New Roman"/>
        </w:rPr>
      </w:pPr>
    </w:p>
    <w:p w14:paraId="2037D9E0" w14:textId="46325207" w:rsidR="008E612E" w:rsidRPr="00A41F4E" w:rsidRDefault="008E612E" w:rsidP="00A41F4E">
      <w:pPr>
        <w:rPr>
          <w:rFonts w:ascii="Times New Roman" w:hAnsi="Times New Roman" w:cs="Times New Roman"/>
          <w:sz w:val="24"/>
        </w:rPr>
      </w:pPr>
      <w:r w:rsidRPr="00A41F4E">
        <w:rPr>
          <w:rFonts w:ascii="Times New Roman" w:hAnsi="Times New Roman" w:cs="Times New Roman"/>
          <w:sz w:val="24"/>
        </w:rPr>
        <w:t>Estos esfuerzos también se reflejan en otro indicador educativo de largo plazo como lo es la tasa de alfabetismo. Esta presenta un porcentaje de alfabetismo del 94% (Censo, 2018). De toda la población censada, las mujeres que manifiestan no saber leer y escribir correspond</w:t>
      </w:r>
      <w:r w:rsidR="00A01E9A" w:rsidRPr="00A41F4E">
        <w:rPr>
          <w:rFonts w:ascii="Times New Roman" w:hAnsi="Times New Roman" w:cs="Times New Roman"/>
          <w:sz w:val="24"/>
        </w:rPr>
        <w:t>ió</w:t>
      </w:r>
      <w:r w:rsidRPr="00A41F4E">
        <w:rPr>
          <w:rFonts w:ascii="Times New Roman" w:hAnsi="Times New Roman" w:cs="Times New Roman"/>
          <w:sz w:val="24"/>
        </w:rPr>
        <w:t xml:space="preserve"> al 2,58%</w:t>
      </w:r>
      <w:r w:rsidR="00A41F4E">
        <w:rPr>
          <w:rFonts w:ascii="Times New Roman" w:hAnsi="Times New Roman" w:cs="Times New Roman"/>
          <w:sz w:val="24"/>
        </w:rPr>
        <w:t>;</w:t>
      </w:r>
      <w:r w:rsidRPr="00A41F4E">
        <w:rPr>
          <w:rFonts w:ascii="Times New Roman" w:hAnsi="Times New Roman" w:cs="Times New Roman"/>
          <w:sz w:val="24"/>
        </w:rPr>
        <w:t xml:space="preserve"> de igual forma, sobre el total de los censados, los hombres representan casi el 3,06%</w:t>
      </w:r>
      <w:r w:rsidR="00A01E9A" w:rsidRPr="00A41F4E">
        <w:rPr>
          <w:rFonts w:ascii="Times New Roman" w:hAnsi="Times New Roman" w:cs="Times New Roman"/>
          <w:sz w:val="24"/>
        </w:rPr>
        <w:t>.</w:t>
      </w:r>
    </w:p>
    <w:p w14:paraId="19AE2E89" w14:textId="77777777" w:rsidR="008E612E" w:rsidRPr="00A41F4E" w:rsidRDefault="008E612E" w:rsidP="00A41F4E">
      <w:pPr>
        <w:rPr>
          <w:rFonts w:ascii="Times New Roman" w:hAnsi="Times New Roman" w:cs="Times New Roman"/>
          <w:sz w:val="24"/>
        </w:rPr>
      </w:pPr>
    </w:p>
    <w:p w14:paraId="4A3BEE2C" w14:textId="13A3C351" w:rsidR="008E612E" w:rsidRPr="00BB4A7B" w:rsidRDefault="00A01E9A" w:rsidP="00710FC1">
      <w:pPr>
        <w:pStyle w:val="Grfica"/>
        <w:keepNext/>
        <w:keepLines/>
        <w:rPr>
          <w:rFonts w:ascii="Times New Roman" w:eastAsiaTheme="minorEastAsia" w:hAnsi="Times New Roman" w:cs="Times New Roman"/>
          <w:color w:val="auto"/>
          <w:sz w:val="20"/>
          <w:szCs w:val="20"/>
        </w:rPr>
      </w:pPr>
      <w:r w:rsidRPr="00BB4A7B">
        <w:rPr>
          <w:rFonts w:ascii="Times New Roman" w:eastAsiaTheme="minorEastAsia" w:hAnsi="Times New Roman" w:cs="Times New Roman"/>
          <w:color w:val="auto"/>
          <w:sz w:val="20"/>
          <w:szCs w:val="20"/>
        </w:rPr>
        <w:t xml:space="preserve">Gráfica </w:t>
      </w:r>
      <w:r w:rsidRPr="00BB4A7B">
        <w:rPr>
          <w:rFonts w:ascii="Times New Roman" w:eastAsiaTheme="minorEastAsia" w:hAnsi="Times New Roman" w:cs="Times New Roman"/>
          <w:color w:val="auto"/>
          <w:sz w:val="20"/>
          <w:szCs w:val="20"/>
        </w:rPr>
        <w:fldChar w:fldCharType="begin"/>
      </w:r>
      <w:r w:rsidRPr="00BB4A7B">
        <w:rPr>
          <w:rFonts w:ascii="Times New Roman" w:eastAsiaTheme="minorEastAsia" w:hAnsi="Times New Roman" w:cs="Times New Roman"/>
          <w:color w:val="auto"/>
          <w:sz w:val="20"/>
          <w:szCs w:val="20"/>
        </w:rPr>
        <w:instrText xml:space="preserve"> SEQ Gráfica \* ARABIC </w:instrText>
      </w:r>
      <w:r w:rsidRPr="00BB4A7B">
        <w:rPr>
          <w:rFonts w:ascii="Times New Roman" w:eastAsiaTheme="minorEastAsia" w:hAnsi="Times New Roman" w:cs="Times New Roman"/>
          <w:color w:val="auto"/>
          <w:sz w:val="20"/>
          <w:szCs w:val="20"/>
        </w:rPr>
        <w:fldChar w:fldCharType="separate"/>
      </w:r>
      <w:r w:rsidR="005177A8">
        <w:rPr>
          <w:rFonts w:ascii="Times New Roman" w:eastAsiaTheme="minorEastAsia" w:hAnsi="Times New Roman" w:cs="Times New Roman"/>
          <w:noProof/>
          <w:color w:val="auto"/>
          <w:sz w:val="20"/>
          <w:szCs w:val="20"/>
        </w:rPr>
        <w:t>3</w:t>
      </w:r>
      <w:r w:rsidRPr="00BB4A7B">
        <w:rPr>
          <w:rFonts w:ascii="Times New Roman" w:eastAsiaTheme="minorEastAsia" w:hAnsi="Times New Roman" w:cs="Times New Roman"/>
          <w:color w:val="auto"/>
          <w:sz w:val="20"/>
          <w:szCs w:val="20"/>
        </w:rPr>
        <w:fldChar w:fldCharType="end"/>
      </w:r>
      <w:r w:rsidRPr="00BB4A7B">
        <w:rPr>
          <w:rFonts w:ascii="Times New Roman" w:eastAsiaTheme="minorEastAsia" w:hAnsi="Times New Roman" w:cs="Times New Roman"/>
          <w:color w:val="auto"/>
          <w:sz w:val="20"/>
          <w:szCs w:val="20"/>
        </w:rPr>
        <w:t xml:space="preserve">. </w:t>
      </w:r>
      <w:r w:rsidR="008E612E" w:rsidRPr="00BB4A7B">
        <w:rPr>
          <w:rFonts w:ascii="Times New Roman" w:eastAsiaTheme="minorEastAsia" w:hAnsi="Times New Roman" w:cs="Times New Roman"/>
          <w:color w:val="auto"/>
          <w:sz w:val="20"/>
          <w:szCs w:val="20"/>
        </w:rPr>
        <w:t>Tasa de alfabetismo. 2018</w:t>
      </w:r>
    </w:p>
    <w:p w14:paraId="782CF4DC" w14:textId="77777777" w:rsidR="008E612E" w:rsidRPr="00BB4A7B" w:rsidRDefault="008E612E" w:rsidP="00710FC1">
      <w:pPr>
        <w:spacing w:line="259" w:lineRule="auto"/>
        <w:jc w:val="center"/>
        <w:rPr>
          <w:rFonts w:ascii="Times New Roman" w:hAnsi="Times New Roman" w:cs="Times New Roman"/>
        </w:rPr>
      </w:pPr>
      <w:r w:rsidRPr="00BB4A7B">
        <w:rPr>
          <w:rFonts w:ascii="Times New Roman" w:hAnsi="Times New Roman" w:cs="Times New Roman"/>
          <w:noProof/>
          <w:lang w:eastAsia="es-CO"/>
        </w:rPr>
        <w:drawing>
          <wp:inline distT="0" distB="0" distL="0" distR="0" wp14:anchorId="61865184" wp14:editId="1C2B8446">
            <wp:extent cx="2851150" cy="1316736"/>
            <wp:effectExtent l="0" t="0" r="6350" b="0"/>
            <wp:docPr id="32" name="Gráfico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FBA84D2" w14:textId="77777777" w:rsidR="008E612E" w:rsidRPr="00BB4A7B" w:rsidRDefault="008E612E" w:rsidP="00710FC1">
      <w:pPr>
        <w:keepNext/>
        <w:keepLines/>
        <w:spacing w:line="259" w:lineRule="auto"/>
        <w:jc w:val="center"/>
        <w:rPr>
          <w:rStyle w:val="Referenciasutil"/>
          <w:rFonts w:ascii="Times New Roman" w:hAnsi="Times New Roman" w:cs="Times New Roman"/>
          <w:sz w:val="18"/>
        </w:rPr>
      </w:pPr>
      <w:r w:rsidRPr="00BB4A7B">
        <w:rPr>
          <w:rStyle w:val="Referenciasutil"/>
          <w:rFonts w:ascii="Times New Roman" w:hAnsi="Times New Roman" w:cs="Times New Roman"/>
          <w:sz w:val="18"/>
        </w:rPr>
        <w:t>Fuente: Cálculos propios con base en DANE. Censo Nacional de Población y Vivienda (2018)</w:t>
      </w:r>
    </w:p>
    <w:p w14:paraId="12494710" w14:textId="70C59652" w:rsidR="008E612E" w:rsidRPr="00BB4A7B" w:rsidRDefault="008E612E" w:rsidP="00710FC1">
      <w:pPr>
        <w:spacing w:line="259" w:lineRule="auto"/>
        <w:rPr>
          <w:rFonts w:ascii="Times New Roman" w:hAnsi="Times New Roman" w:cs="Times New Roman"/>
        </w:rPr>
      </w:pPr>
    </w:p>
    <w:p w14:paraId="6724B748" w14:textId="77777777" w:rsidR="00710FC1" w:rsidRPr="00BB4A7B" w:rsidRDefault="00710FC1" w:rsidP="00710FC1">
      <w:pPr>
        <w:spacing w:line="259" w:lineRule="auto"/>
        <w:rPr>
          <w:rFonts w:ascii="Times New Roman" w:hAnsi="Times New Roman" w:cs="Times New Roman"/>
        </w:rPr>
      </w:pPr>
    </w:p>
    <w:p w14:paraId="72ACD62F" w14:textId="2C967C18" w:rsidR="00AC08A8" w:rsidRPr="00A41F4E" w:rsidRDefault="00A01E9A" w:rsidP="00A41F4E">
      <w:pPr>
        <w:pStyle w:val="Ttulo1"/>
        <w:spacing w:before="0"/>
        <w:ind w:left="0"/>
        <w:jc w:val="left"/>
        <w:rPr>
          <w:rFonts w:ascii="Times New Roman" w:hAnsi="Times New Roman" w:cs="Times New Roman"/>
          <w:color w:val="4472C4" w:themeColor="accent1"/>
          <w:sz w:val="24"/>
          <w:szCs w:val="24"/>
        </w:rPr>
      </w:pPr>
      <w:r w:rsidRPr="00A41F4E">
        <w:rPr>
          <w:rFonts w:ascii="Times New Roman" w:hAnsi="Times New Roman" w:cs="Times New Roman"/>
          <w:color w:val="4472C4" w:themeColor="accent1"/>
          <w:sz w:val="24"/>
          <w:szCs w:val="24"/>
        </w:rPr>
        <w:t>Vocación universitaria de la ciudad</w:t>
      </w:r>
    </w:p>
    <w:p w14:paraId="5EEC8DAD" w14:textId="77777777" w:rsidR="00A01E9A" w:rsidRPr="00A41F4E" w:rsidRDefault="00A01E9A" w:rsidP="00A41F4E">
      <w:pPr>
        <w:rPr>
          <w:rFonts w:ascii="Times New Roman" w:hAnsi="Times New Roman" w:cs="Times New Roman"/>
          <w:sz w:val="24"/>
        </w:rPr>
      </w:pPr>
    </w:p>
    <w:p w14:paraId="29C56C22" w14:textId="63769ECD" w:rsidR="00A01E9A" w:rsidRPr="00A41F4E" w:rsidRDefault="00A41F4E" w:rsidP="00A41F4E">
      <w:pPr>
        <w:rPr>
          <w:rFonts w:ascii="Times New Roman" w:hAnsi="Times New Roman" w:cs="Times New Roman"/>
          <w:sz w:val="24"/>
        </w:rPr>
      </w:pPr>
      <w:r>
        <w:rPr>
          <w:rFonts w:ascii="Times New Roman" w:hAnsi="Times New Roman" w:cs="Times New Roman"/>
          <w:sz w:val="24"/>
        </w:rPr>
        <w:t>Para el año 2021, l</w:t>
      </w:r>
      <w:r w:rsidR="00A01E9A" w:rsidRPr="00A41F4E">
        <w:rPr>
          <w:rFonts w:ascii="Times New Roman" w:hAnsi="Times New Roman" w:cs="Times New Roman"/>
          <w:sz w:val="24"/>
        </w:rPr>
        <w:t xml:space="preserve">a matrícula en educación superior llegó a </w:t>
      </w:r>
      <w:r>
        <w:rPr>
          <w:rFonts w:ascii="Times New Roman" w:hAnsi="Times New Roman" w:cs="Times New Roman"/>
          <w:sz w:val="24"/>
        </w:rPr>
        <w:t xml:space="preserve">un total </w:t>
      </w:r>
      <w:r w:rsidR="00A01E9A" w:rsidRPr="00A41F4E">
        <w:rPr>
          <w:rFonts w:ascii="Times New Roman" w:hAnsi="Times New Roman" w:cs="Times New Roman"/>
          <w:sz w:val="24"/>
        </w:rPr>
        <w:t>40.994 estudiantes, altamente concentrada en el nivel de pregrado con una participación del 89,5%. La matrícula en el nivel universitario continúa teniendo el mayor peso en la matrícula total, con el 68,9%. Además de la matrícula universitaria, la tecnológica participa con el 13,7% y la formación técnica profesional con el 6,9%. La matrícula en posgrado representó en 2021 el 10,5%, con 4.290 estudiantes. Sobresale el nivel de maestría con 2.203 matriculados, participando con el 5,4% de la matrícula total. La matrícula en doctorado aún tiene una baja participación con el 1,2%.</w:t>
      </w:r>
    </w:p>
    <w:p w14:paraId="15D22115" w14:textId="77777777" w:rsidR="00A01E9A" w:rsidRPr="00BB4A7B" w:rsidRDefault="00A01E9A" w:rsidP="00710FC1">
      <w:pPr>
        <w:spacing w:line="259" w:lineRule="auto"/>
        <w:rPr>
          <w:rFonts w:ascii="Times New Roman" w:hAnsi="Times New Roman" w:cs="Times New Roman"/>
        </w:rPr>
      </w:pPr>
    </w:p>
    <w:p w14:paraId="394BD61B" w14:textId="0AD211F2" w:rsidR="00A01E9A" w:rsidRPr="00BB4A7B" w:rsidRDefault="00A01E9A" w:rsidP="00710FC1">
      <w:pPr>
        <w:pStyle w:val="Tabla"/>
        <w:spacing w:line="259" w:lineRule="auto"/>
        <w:rPr>
          <w:rFonts w:ascii="Times New Roman" w:hAnsi="Times New Roman" w:cs="Times New Roman"/>
        </w:rPr>
      </w:pPr>
      <w:bookmarkStart w:id="1" w:name="_Toc121414001"/>
      <w:r w:rsidRPr="00BB4A7B">
        <w:rPr>
          <w:rFonts w:ascii="Times New Roman" w:hAnsi="Times New Roman" w:cs="Times New Roman"/>
        </w:rPr>
        <w:t xml:space="preserve">Tabla </w:t>
      </w:r>
      <w:r w:rsidRPr="00BB4A7B">
        <w:rPr>
          <w:rFonts w:ascii="Times New Roman" w:hAnsi="Times New Roman" w:cs="Times New Roman"/>
        </w:rPr>
        <w:fldChar w:fldCharType="begin"/>
      </w:r>
      <w:r w:rsidRPr="00BB4A7B">
        <w:rPr>
          <w:rFonts w:ascii="Times New Roman" w:hAnsi="Times New Roman" w:cs="Times New Roman"/>
        </w:rPr>
        <w:instrText xml:space="preserve"> SEQ Tabla \* ARABIC </w:instrText>
      </w:r>
      <w:r w:rsidRPr="00BB4A7B">
        <w:rPr>
          <w:rFonts w:ascii="Times New Roman" w:hAnsi="Times New Roman" w:cs="Times New Roman"/>
        </w:rPr>
        <w:fldChar w:fldCharType="separate"/>
      </w:r>
      <w:r w:rsidR="005177A8">
        <w:rPr>
          <w:rFonts w:ascii="Times New Roman" w:hAnsi="Times New Roman" w:cs="Times New Roman"/>
          <w:noProof/>
        </w:rPr>
        <w:t>1</w:t>
      </w:r>
      <w:r w:rsidRPr="00BB4A7B">
        <w:rPr>
          <w:rFonts w:ascii="Times New Roman" w:hAnsi="Times New Roman" w:cs="Times New Roman"/>
          <w:noProof/>
        </w:rPr>
        <w:fldChar w:fldCharType="end"/>
      </w:r>
      <w:r w:rsidRPr="00BB4A7B">
        <w:rPr>
          <w:rFonts w:ascii="Times New Roman" w:hAnsi="Times New Roman" w:cs="Times New Roman"/>
        </w:rPr>
        <w:t>. Manizales. Matrícula total según nivel de formación y modalidad. 2021</w:t>
      </w:r>
      <w:bookmarkEnd w:id="1"/>
    </w:p>
    <w:tbl>
      <w:tblPr>
        <w:tblW w:w="9781" w:type="dxa"/>
        <w:jc w:val="center"/>
        <w:tblCellMar>
          <w:left w:w="70" w:type="dxa"/>
          <w:right w:w="70" w:type="dxa"/>
        </w:tblCellMar>
        <w:tblLook w:val="04A0" w:firstRow="1" w:lastRow="0" w:firstColumn="1" w:lastColumn="0" w:noHBand="0" w:noVBand="1"/>
      </w:tblPr>
      <w:tblGrid>
        <w:gridCol w:w="2780"/>
        <w:gridCol w:w="906"/>
        <w:gridCol w:w="1028"/>
        <w:gridCol w:w="815"/>
        <w:gridCol w:w="1163"/>
        <w:gridCol w:w="679"/>
        <w:gridCol w:w="927"/>
        <w:gridCol w:w="702"/>
        <w:gridCol w:w="781"/>
      </w:tblGrid>
      <w:tr w:rsidR="00A01E9A" w:rsidRPr="00BB4A7B" w14:paraId="223AC0C1" w14:textId="77777777" w:rsidTr="00E250FE">
        <w:trPr>
          <w:trHeight w:val="315"/>
          <w:jc w:val="center"/>
        </w:trPr>
        <w:tc>
          <w:tcPr>
            <w:tcW w:w="2780" w:type="dxa"/>
            <w:tcBorders>
              <w:top w:val="single" w:sz="8" w:space="0" w:color="auto"/>
              <w:left w:val="nil"/>
              <w:bottom w:val="single" w:sz="8" w:space="0" w:color="auto"/>
              <w:right w:val="nil"/>
            </w:tcBorders>
            <w:shd w:val="clear" w:color="000000" w:fill="C6E0B4"/>
            <w:noWrap/>
            <w:vAlign w:val="center"/>
            <w:hideMark/>
          </w:tcPr>
          <w:p w14:paraId="2D619B7B" w14:textId="77777777" w:rsidR="00A01E9A" w:rsidRPr="00BB4A7B" w:rsidRDefault="00A01E9A" w:rsidP="00710FC1">
            <w:pPr>
              <w:spacing w:line="259" w:lineRule="auto"/>
              <w:jc w:val="center"/>
              <w:rPr>
                <w:rFonts w:ascii="Times New Roman" w:eastAsia="Times New Roman" w:hAnsi="Times New Roman" w:cs="Times New Roman"/>
                <w:b/>
                <w:bCs/>
                <w:color w:val="000000"/>
                <w:sz w:val="18"/>
                <w:szCs w:val="18"/>
              </w:rPr>
            </w:pPr>
            <w:r w:rsidRPr="00BB4A7B">
              <w:rPr>
                <w:rFonts w:ascii="Times New Roman" w:eastAsia="Times New Roman" w:hAnsi="Times New Roman" w:cs="Times New Roman"/>
                <w:b/>
                <w:bCs/>
                <w:color w:val="000000"/>
                <w:sz w:val="18"/>
                <w:szCs w:val="18"/>
                <w:lang w:val="es-ES"/>
              </w:rPr>
              <w:t>Nivel</w:t>
            </w:r>
          </w:p>
        </w:tc>
        <w:tc>
          <w:tcPr>
            <w:tcW w:w="1934" w:type="dxa"/>
            <w:gridSpan w:val="2"/>
            <w:tcBorders>
              <w:top w:val="single" w:sz="8" w:space="0" w:color="auto"/>
              <w:left w:val="nil"/>
              <w:bottom w:val="single" w:sz="8" w:space="0" w:color="auto"/>
              <w:right w:val="nil"/>
            </w:tcBorders>
            <w:shd w:val="clear" w:color="000000" w:fill="C6E0B4"/>
            <w:vAlign w:val="center"/>
            <w:hideMark/>
          </w:tcPr>
          <w:p w14:paraId="14969713" w14:textId="77777777" w:rsidR="00A01E9A" w:rsidRPr="00BB4A7B" w:rsidRDefault="00A01E9A" w:rsidP="00710FC1">
            <w:pPr>
              <w:spacing w:line="259" w:lineRule="auto"/>
              <w:jc w:val="center"/>
              <w:rPr>
                <w:rFonts w:ascii="Times New Roman" w:eastAsia="Times New Roman" w:hAnsi="Times New Roman" w:cs="Times New Roman"/>
                <w:b/>
                <w:bCs/>
                <w:color w:val="000000"/>
                <w:sz w:val="18"/>
                <w:szCs w:val="18"/>
              </w:rPr>
            </w:pPr>
            <w:r w:rsidRPr="00BB4A7B">
              <w:rPr>
                <w:rFonts w:ascii="Times New Roman" w:eastAsia="Times New Roman" w:hAnsi="Times New Roman" w:cs="Times New Roman"/>
                <w:b/>
                <w:bCs/>
                <w:color w:val="000000"/>
                <w:sz w:val="18"/>
                <w:szCs w:val="18"/>
                <w:lang w:val="es-ES"/>
              </w:rPr>
              <w:t>Presencial</w:t>
            </w:r>
          </w:p>
        </w:tc>
        <w:tc>
          <w:tcPr>
            <w:tcW w:w="1978" w:type="dxa"/>
            <w:gridSpan w:val="2"/>
            <w:tcBorders>
              <w:top w:val="single" w:sz="8" w:space="0" w:color="auto"/>
              <w:left w:val="nil"/>
              <w:bottom w:val="single" w:sz="8" w:space="0" w:color="auto"/>
              <w:right w:val="nil"/>
            </w:tcBorders>
            <w:shd w:val="clear" w:color="000000" w:fill="C6E0B4"/>
            <w:vAlign w:val="center"/>
            <w:hideMark/>
          </w:tcPr>
          <w:p w14:paraId="702E8220" w14:textId="77777777" w:rsidR="00A01E9A" w:rsidRPr="00BB4A7B" w:rsidRDefault="00A01E9A" w:rsidP="00710FC1">
            <w:pPr>
              <w:spacing w:line="259" w:lineRule="auto"/>
              <w:jc w:val="center"/>
              <w:rPr>
                <w:rFonts w:ascii="Times New Roman" w:eastAsia="Times New Roman" w:hAnsi="Times New Roman" w:cs="Times New Roman"/>
                <w:b/>
                <w:bCs/>
                <w:color w:val="000000"/>
                <w:sz w:val="18"/>
                <w:szCs w:val="18"/>
              </w:rPr>
            </w:pPr>
            <w:r w:rsidRPr="00BB4A7B">
              <w:rPr>
                <w:rFonts w:ascii="Times New Roman" w:eastAsia="Times New Roman" w:hAnsi="Times New Roman" w:cs="Times New Roman"/>
                <w:b/>
                <w:bCs/>
                <w:color w:val="000000"/>
                <w:sz w:val="18"/>
                <w:szCs w:val="18"/>
                <w:lang w:val="es-ES"/>
              </w:rPr>
              <w:t>Distancia (tradicional)</w:t>
            </w:r>
          </w:p>
        </w:tc>
        <w:tc>
          <w:tcPr>
            <w:tcW w:w="1606" w:type="dxa"/>
            <w:gridSpan w:val="2"/>
            <w:tcBorders>
              <w:top w:val="single" w:sz="8" w:space="0" w:color="auto"/>
              <w:left w:val="nil"/>
              <w:bottom w:val="single" w:sz="8" w:space="0" w:color="auto"/>
              <w:right w:val="nil"/>
            </w:tcBorders>
            <w:shd w:val="clear" w:color="000000" w:fill="C6E0B4"/>
            <w:vAlign w:val="center"/>
            <w:hideMark/>
          </w:tcPr>
          <w:p w14:paraId="4342F7BE" w14:textId="77777777" w:rsidR="00A01E9A" w:rsidRPr="00BB4A7B" w:rsidRDefault="00A01E9A" w:rsidP="00710FC1">
            <w:pPr>
              <w:spacing w:line="259" w:lineRule="auto"/>
              <w:jc w:val="center"/>
              <w:rPr>
                <w:rFonts w:ascii="Times New Roman" w:eastAsia="Times New Roman" w:hAnsi="Times New Roman" w:cs="Times New Roman"/>
                <w:b/>
                <w:bCs/>
                <w:color w:val="000000"/>
                <w:sz w:val="18"/>
                <w:szCs w:val="18"/>
              </w:rPr>
            </w:pPr>
            <w:r w:rsidRPr="00BB4A7B">
              <w:rPr>
                <w:rFonts w:ascii="Times New Roman" w:eastAsia="Times New Roman" w:hAnsi="Times New Roman" w:cs="Times New Roman"/>
                <w:b/>
                <w:bCs/>
                <w:color w:val="000000"/>
                <w:sz w:val="18"/>
                <w:szCs w:val="18"/>
                <w:lang w:val="es-ES"/>
              </w:rPr>
              <w:t>Distancia (virtual)</w:t>
            </w:r>
          </w:p>
        </w:tc>
        <w:tc>
          <w:tcPr>
            <w:tcW w:w="1483" w:type="dxa"/>
            <w:gridSpan w:val="2"/>
            <w:tcBorders>
              <w:top w:val="single" w:sz="8" w:space="0" w:color="auto"/>
              <w:left w:val="nil"/>
              <w:bottom w:val="single" w:sz="8" w:space="0" w:color="auto"/>
              <w:right w:val="nil"/>
            </w:tcBorders>
            <w:shd w:val="clear" w:color="000000" w:fill="C6E0B4"/>
            <w:vAlign w:val="center"/>
            <w:hideMark/>
          </w:tcPr>
          <w:p w14:paraId="7B270013" w14:textId="77777777" w:rsidR="00A01E9A" w:rsidRPr="00BB4A7B" w:rsidRDefault="00A01E9A" w:rsidP="00710FC1">
            <w:pPr>
              <w:spacing w:line="259" w:lineRule="auto"/>
              <w:jc w:val="center"/>
              <w:rPr>
                <w:rFonts w:ascii="Times New Roman" w:eastAsia="Times New Roman" w:hAnsi="Times New Roman" w:cs="Times New Roman"/>
                <w:b/>
                <w:bCs/>
                <w:color w:val="000000"/>
                <w:sz w:val="18"/>
                <w:szCs w:val="18"/>
              </w:rPr>
            </w:pPr>
            <w:r w:rsidRPr="00BB4A7B">
              <w:rPr>
                <w:rFonts w:ascii="Times New Roman" w:eastAsia="Times New Roman" w:hAnsi="Times New Roman" w:cs="Times New Roman"/>
                <w:b/>
                <w:bCs/>
                <w:color w:val="000000"/>
                <w:sz w:val="18"/>
                <w:szCs w:val="18"/>
                <w:lang w:val="es-ES"/>
              </w:rPr>
              <w:t>Total</w:t>
            </w:r>
          </w:p>
        </w:tc>
      </w:tr>
      <w:tr w:rsidR="00A01E9A" w:rsidRPr="00BB4A7B" w14:paraId="69B0FBC1" w14:textId="77777777" w:rsidTr="00E250FE">
        <w:trPr>
          <w:trHeight w:val="300"/>
          <w:jc w:val="center"/>
        </w:trPr>
        <w:tc>
          <w:tcPr>
            <w:tcW w:w="2780" w:type="dxa"/>
            <w:tcBorders>
              <w:top w:val="nil"/>
              <w:left w:val="nil"/>
              <w:bottom w:val="nil"/>
              <w:right w:val="nil"/>
            </w:tcBorders>
            <w:shd w:val="clear" w:color="000000" w:fill="C6E0B4"/>
            <w:noWrap/>
            <w:vAlign w:val="center"/>
            <w:hideMark/>
          </w:tcPr>
          <w:p w14:paraId="43017CA9" w14:textId="77777777" w:rsidR="00A01E9A" w:rsidRPr="00BB4A7B" w:rsidRDefault="00A01E9A" w:rsidP="00710FC1">
            <w:pPr>
              <w:spacing w:line="259" w:lineRule="auto"/>
              <w:jc w:val="center"/>
              <w:rPr>
                <w:rFonts w:ascii="Times New Roman" w:eastAsia="Times New Roman" w:hAnsi="Times New Roman" w:cs="Times New Roman"/>
                <w:b/>
                <w:bCs/>
                <w:color w:val="000000"/>
                <w:sz w:val="18"/>
                <w:szCs w:val="18"/>
              </w:rPr>
            </w:pPr>
            <w:r w:rsidRPr="00BB4A7B">
              <w:rPr>
                <w:rFonts w:ascii="Times New Roman" w:eastAsia="Times New Roman" w:hAnsi="Times New Roman" w:cs="Times New Roman"/>
                <w:b/>
                <w:bCs/>
                <w:color w:val="000000"/>
                <w:sz w:val="18"/>
                <w:szCs w:val="18"/>
                <w:lang w:val="es-ES"/>
              </w:rPr>
              <w:t> </w:t>
            </w:r>
          </w:p>
        </w:tc>
        <w:tc>
          <w:tcPr>
            <w:tcW w:w="906" w:type="dxa"/>
            <w:tcBorders>
              <w:top w:val="nil"/>
              <w:left w:val="nil"/>
              <w:bottom w:val="nil"/>
              <w:right w:val="nil"/>
            </w:tcBorders>
            <w:shd w:val="clear" w:color="000000" w:fill="C6E0B4"/>
            <w:vAlign w:val="center"/>
            <w:hideMark/>
          </w:tcPr>
          <w:p w14:paraId="2B18435A" w14:textId="77777777" w:rsidR="00A01E9A" w:rsidRPr="00BB4A7B" w:rsidRDefault="00A01E9A" w:rsidP="00710FC1">
            <w:pPr>
              <w:spacing w:line="259" w:lineRule="auto"/>
              <w:jc w:val="center"/>
              <w:rPr>
                <w:rFonts w:ascii="Times New Roman" w:eastAsia="Times New Roman" w:hAnsi="Times New Roman" w:cs="Times New Roman"/>
                <w:b/>
                <w:bCs/>
                <w:color w:val="000000"/>
                <w:sz w:val="18"/>
                <w:szCs w:val="18"/>
              </w:rPr>
            </w:pPr>
            <w:r w:rsidRPr="00BB4A7B">
              <w:rPr>
                <w:rFonts w:ascii="Times New Roman" w:eastAsia="Times New Roman" w:hAnsi="Times New Roman" w:cs="Times New Roman"/>
                <w:b/>
                <w:bCs/>
                <w:color w:val="000000"/>
                <w:sz w:val="18"/>
                <w:szCs w:val="18"/>
                <w:lang w:val="es-ES"/>
              </w:rPr>
              <w:t>No.</w:t>
            </w:r>
          </w:p>
        </w:tc>
        <w:tc>
          <w:tcPr>
            <w:tcW w:w="1028" w:type="dxa"/>
            <w:tcBorders>
              <w:top w:val="nil"/>
              <w:left w:val="nil"/>
              <w:bottom w:val="nil"/>
              <w:right w:val="nil"/>
            </w:tcBorders>
            <w:shd w:val="clear" w:color="000000" w:fill="C6E0B4"/>
            <w:vAlign w:val="center"/>
            <w:hideMark/>
          </w:tcPr>
          <w:p w14:paraId="5CDC9302" w14:textId="77777777" w:rsidR="00A01E9A" w:rsidRPr="00BB4A7B" w:rsidRDefault="00A01E9A" w:rsidP="00710FC1">
            <w:pPr>
              <w:spacing w:line="259" w:lineRule="auto"/>
              <w:jc w:val="center"/>
              <w:rPr>
                <w:rFonts w:ascii="Times New Roman" w:eastAsia="Times New Roman" w:hAnsi="Times New Roman" w:cs="Times New Roman"/>
                <w:b/>
                <w:bCs/>
                <w:color w:val="000000"/>
                <w:sz w:val="18"/>
                <w:szCs w:val="18"/>
              </w:rPr>
            </w:pPr>
            <w:r w:rsidRPr="00BB4A7B">
              <w:rPr>
                <w:rFonts w:ascii="Times New Roman" w:eastAsia="Times New Roman" w:hAnsi="Times New Roman" w:cs="Times New Roman"/>
                <w:b/>
                <w:bCs/>
                <w:color w:val="000000"/>
                <w:sz w:val="18"/>
                <w:szCs w:val="18"/>
                <w:lang w:val="es-ES"/>
              </w:rPr>
              <w:t>%</w:t>
            </w:r>
          </w:p>
        </w:tc>
        <w:tc>
          <w:tcPr>
            <w:tcW w:w="815" w:type="dxa"/>
            <w:tcBorders>
              <w:top w:val="nil"/>
              <w:left w:val="nil"/>
              <w:bottom w:val="nil"/>
              <w:right w:val="nil"/>
            </w:tcBorders>
            <w:shd w:val="clear" w:color="000000" w:fill="C6E0B4"/>
            <w:vAlign w:val="center"/>
            <w:hideMark/>
          </w:tcPr>
          <w:p w14:paraId="1500A03A" w14:textId="77777777" w:rsidR="00A01E9A" w:rsidRPr="00BB4A7B" w:rsidRDefault="00A01E9A" w:rsidP="00710FC1">
            <w:pPr>
              <w:spacing w:line="259" w:lineRule="auto"/>
              <w:jc w:val="center"/>
              <w:rPr>
                <w:rFonts w:ascii="Times New Roman" w:eastAsia="Times New Roman" w:hAnsi="Times New Roman" w:cs="Times New Roman"/>
                <w:b/>
                <w:bCs/>
                <w:color w:val="000000"/>
                <w:sz w:val="18"/>
                <w:szCs w:val="18"/>
              </w:rPr>
            </w:pPr>
            <w:r w:rsidRPr="00BB4A7B">
              <w:rPr>
                <w:rFonts w:ascii="Times New Roman" w:eastAsia="Times New Roman" w:hAnsi="Times New Roman" w:cs="Times New Roman"/>
                <w:b/>
                <w:bCs/>
                <w:color w:val="000000"/>
                <w:sz w:val="18"/>
                <w:szCs w:val="18"/>
                <w:lang w:val="es-ES"/>
              </w:rPr>
              <w:t>No.</w:t>
            </w:r>
          </w:p>
        </w:tc>
        <w:tc>
          <w:tcPr>
            <w:tcW w:w="1163" w:type="dxa"/>
            <w:tcBorders>
              <w:top w:val="nil"/>
              <w:left w:val="nil"/>
              <w:bottom w:val="nil"/>
              <w:right w:val="nil"/>
            </w:tcBorders>
            <w:shd w:val="clear" w:color="000000" w:fill="C6E0B4"/>
            <w:vAlign w:val="center"/>
            <w:hideMark/>
          </w:tcPr>
          <w:p w14:paraId="540F8525" w14:textId="77777777" w:rsidR="00A01E9A" w:rsidRPr="00BB4A7B" w:rsidRDefault="00A01E9A" w:rsidP="00710FC1">
            <w:pPr>
              <w:spacing w:line="259" w:lineRule="auto"/>
              <w:jc w:val="center"/>
              <w:rPr>
                <w:rFonts w:ascii="Times New Roman" w:eastAsia="Times New Roman" w:hAnsi="Times New Roman" w:cs="Times New Roman"/>
                <w:b/>
                <w:bCs/>
                <w:color w:val="000000"/>
                <w:sz w:val="18"/>
                <w:szCs w:val="18"/>
              </w:rPr>
            </w:pPr>
            <w:r w:rsidRPr="00BB4A7B">
              <w:rPr>
                <w:rFonts w:ascii="Times New Roman" w:eastAsia="Times New Roman" w:hAnsi="Times New Roman" w:cs="Times New Roman"/>
                <w:b/>
                <w:bCs/>
                <w:color w:val="000000"/>
                <w:sz w:val="18"/>
                <w:szCs w:val="18"/>
                <w:lang w:val="es-ES"/>
              </w:rPr>
              <w:t>%</w:t>
            </w:r>
          </w:p>
        </w:tc>
        <w:tc>
          <w:tcPr>
            <w:tcW w:w="679" w:type="dxa"/>
            <w:tcBorders>
              <w:top w:val="nil"/>
              <w:left w:val="nil"/>
              <w:bottom w:val="nil"/>
              <w:right w:val="nil"/>
            </w:tcBorders>
            <w:shd w:val="clear" w:color="000000" w:fill="C6E0B4"/>
            <w:vAlign w:val="center"/>
            <w:hideMark/>
          </w:tcPr>
          <w:p w14:paraId="7273BF7E" w14:textId="77777777" w:rsidR="00A01E9A" w:rsidRPr="00BB4A7B" w:rsidRDefault="00A01E9A" w:rsidP="00710FC1">
            <w:pPr>
              <w:spacing w:line="259" w:lineRule="auto"/>
              <w:jc w:val="center"/>
              <w:rPr>
                <w:rFonts w:ascii="Times New Roman" w:eastAsia="Times New Roman" w:hAnsi="Times New Roman" w:cs="Times New Roman"/>
                <w:b/>
                <w:bCs/>
                <w:color w:val="000000"/>
                <w:sz w:val="18"/>
                <w:szCs w:val="18"/>
              </w:rPr>
            </w:pPr>
            <w:r w:rsidRPr="00BB4A7B">
              <w:rPr>
                <w:rFonts w:ascii="Times New Roman" w:eastAsia="Times New Roman" w:hAnsi="Times New Roman" w:cs="Times New Roman"/>
                <w:b/>
                <w:bCs/>
                <w:color w:val="000000"/>
                <w:sz w:val="18"/>
                <w:szCs w:val="18"/>
                <w:lang w:val="es-ES"/>
              </w:rPr>
              <w:t>No.</w:t>
            </w:r>
          </w:p>
        </w:tc>
        <w:tc>
          <w:tcPr>
            <w:tcW w:w="927" w:type="dxa"/>
            <w:tcBorders>
              <w:top w:val="nil"/>
              <w:left w:val="nil"/>
              <w:bottom w:val="nil"/>
              <w:right w:val="nil"/>
            </w:tcBorders>
            <w:shd w:val="clear" w:color="000000" w:fill="C6E0B4"/>
            <w:vAlign w:val="center"/>
            <w:hideMark/>
          </w:tcPr>
          <w:p w14:paraId="5D8649EB" w14:textId="77777777" w:rsidR="00A01E9A" w:rsidRPr="00BB4A7B" w:rsidRDefault="00A01E9A" w:rsidP="00710FC1">
            <w:pPr>
              <w:spacing w:line="259" w:lineRule="auto"/>
              <w:jc w:val="center"/>
              <w:rPr>
                <w:rFonts w:ascii="Times New Roman" w:eastAsia="Times New Roman" w:hAnsi="Times New Roman" w:cs="Times New Roman"/>
                <w:b/>
                <w:bCs/>
                <w:color w:val="000000"/>
                <w:sz w:val="18"/>
                <w:szCs w:val="18"/>
              </w:rPr>
            </w:pPr>
            <w:r w:rsidRPr="00BB4A7B">
              <w:rPr>
                <w:rFonts w:ascii="Times New Roman" w:eastAsia="Times New Roman" w:hAnsi="Times New Roman" w:cs="Times New Roman"/>
                <w:b/>
                <w:bCs/>
                <w:color w:val="000000"/>
                <w:sz w:val="18"/>
                <w:szCs w:val="18"/>
                <w:lang w:val="es-ES"/>
              </w:rPr>
              <w:t>%</w:t>
            </w:r>
          </w:p>
        </w:tc>
        <w:tc>
          <w:tcPr>
            <w:tcW w:w="702" w:type="dxa"/>
            <w:tcBorders>
              <w:top w:val="nil"/>
              <w:left w:val="nil"/>
              <w:bottom w:val="nil"/>
              <w:right w:val="nil"/>
            </w:tcBorders>
            <w:shd w:val="clear" w:color="000000" w:fill="C6E0B4"/>
            <w:vAlign w:val="center"/>
            <w:hideMark/>
          </w:tcPr>
          <w:p w14:paraId="03CEB409" w14:textId="77777777" w:rsidR="00A01E9A" w:rsidRPr="00BB4A7B" w:rsidRDefault="00A01E9A" w:rsidP="00710FC1">
            <w:pPr>
              <w:spacing w:line="259" w:lineRule="auto"/>
              <w:jc w:val="center"/>
              <w:rPr>
                <w:rFonts w:ascii="Times New Roman" w:eastAsia="Times New Roman" w:hAnsi="Times New Roman" w:cs="Times New Roman"/>
                <w:b/>
                <w:bCs/>
                <w:color w:val="000000"/>
                <w:sz w:val="18"/>
                <w:szCs w:val="18"/>
              </w:rPr>
            </w:pPr>
            <w:r w:rsidRPr="00BB4A7B">
              <w:rPr>
                <w:rFonts w:ascii="Times New Roman" w:eastAsia="Times New Roman" w:hAnsi="Times New Roman" w:cs="Times New Roman"/>
                <w:b/>
                <w:bCs/>
                <w:color w:val="000000"/>
                <w:sz w:val="18"/>
                <w:szCs w:val="18"/>
                <w:lang w:val="es-ES"/>
              </w:rPr>
              <w:t> No.</w:t>
            </w:r>
          </w:p>
        </w:tc>
        <w:tc>
          <w:tcPr>
            <w:tcW w:w="781" w:type="dxa"/>
            <w:tcBorders>
              <w:top w:val="nil"/>
              <w:left w:val="nil"/>
              <w:bottom w:val="nil"/>
              <w:right w:val="nil"/>
            </w:tcBorders>
            <w:shd w:val="clear" w:color="000000" w:fill="C6E0B4"/>
            <w:vAlign w:val="center"/>
            <w:hideMark/>
          </w:tcPr>
          <w:p w14:paraId="2BDD73D2" w14:textId="77777777" w:rsidR="00A01E9A" w:rsidRPr="00BB4A7B" w:rsidRDefault="00A01E9A" w:rsidP="00710FC1">
            <w:pPr>
              <w:spacing w:line="259" w:lineRule="auto"/>
              <w:jc w:val="center"/>
              <w:rPr>
                <w:rFonts w:ascii="Times New Roman" w:eastAsia="Times New Roman" w:hAnsi="Times New Roman" w:cs="Times New Roman"/>
                <w:b/>
                <w:bCs/>
                <w:color w:val="000000"/>
                <w:sz w:val="18"/>
                <w:szCs w:val="18"/>
              </w:rPr>
            </w:pPr>
            <w:r w:rsidRPr="00BB4A7B">
              <w:rPr>
                <w:rFonts w:ascii="Times New Roman" w:eastAsia="Times New Roman" w:hAnsi="Times New Roman" w:cs="Times New Roman"/>
                <w:b/>
                <w:bCs/>
                <w:color w:val="000000"/>
                <w:sz w:val="18"/>
                <w:szCs w:val="18"/>
                <w:lang w:val="es-ES"/>
              </w:rPr>
              <w:t>%</w:t>
            </w:r>
          </w:p>
        </w:tc>
      </w:tr>
      <w:tr w:rsidR="00A01E9A" w:rsidRPr="00BB4A7B" w14:paraId="157EE4E0" w14:textId="77777777" w:rsidTr="00E250FE">
        <w:trPr>
          <w:trHeight w:val="300"/>
          <w:jc w:val="center"/>
        </w:trPr>
        <w:tc>
          <w:tcPr>
            <w:tcW w:w="2780" w:type="dxa"/>
            <w:tcBorders>
              <w:top w:val="nil"/>
              <w:left w:val="nil"/>
              <w:bottom w:val="nil"/>
              <w:right w:val="nil"/>
            </w:tcBorders>
            <w:shd w:val="clear" w:color="000000" w:fill="FFFFFF"/>
            <w:noWrap/>
            <w:vAlign w:val="center"/>
            <w:hideMark/>
          </w:tcPr>
          <w:p w14:paraId="45B70B5B" w14:textId="77777777" w:rsidR="00A01E9A" w:rsidRPr="00BB4A7B" w:rsidRDefault="00A01E9A" w:rsidP="00710FC1">
            <w:pPr>
              <w:spacing w:line="259" w:lineRule="auto"/>
              <w:jc w:val="left"/>
              <w:rPr>
                <w:rFonts w:ascii="Times New Roman" w:eastAsia="Times New Roman" w:hAnsi="Times New Roman" w:cs="Times New Roman"/>
                <w:b/>
                <w:bCs/>
                <w:color w:val="000000"/>
                <w:sz w:val="18"/>
                <w:szCs w:val="18"/>
              </w:rPr>
            </w:pPr>
            <w:r w:rsidRPr="00BB4A7B">
              <w:rPr>
                <w:rFonts w:ascii="Times New Roman" w:eastAsia="Times New Roman" w:hAnsi="Times New Roman" w:cs="Times New Roman"/>
                <w:b/>
                <w:bCs/>
                <w:color w:val="000000"/>
                <w:sz w:val="18"/>
                <w:szCs w:val="18"/>
                <w:lang w:val="es-ES"/>
              </w:rPr>
              <w:t>Pregrado</w:t>
            </w:r>
          </w:p>
        </w:tc>
        <w:tc>
          <w:tcPr>
            <w:tcW w:w="906" w:type="dxa"/>
            <w:tcBorders>
              <w:top w:val="nil"/>
              <w:left w:val="nil"/>
              <w:bottom w:val="nil"/>
              <w:right w:val="nil"/>
            </w:tcBorders>
            <w:shd w:val="clear" w:color="000000" w:fill="FFFFFF"/>
            <w:noWrap/>
            <w:vAlign w:val="center"/>
            <w:hideMark/>
          </w:tcPr>
          <w:p w14:paraId="1A3B7FA6" w14:textId="77777777" w:rsidR="00A01E9A" w:rsidRPr="00BB4A7B" w:rsidRDefault="00A01E9A" w:rsidP="00710FC1">
            <w:pPr>
              <w:spacing w:line="259" w:lineRule="auto"/>
              <w:jc w:val="center"/>
              <w:rPr>
                <w:rFonts w:ascii="Times New Roman" w:eastAsia="Times New Roman" w:hAnsi="Times New Roman" w:cs="Times New Roman"/>
                <w:b/>
                <w:bCs/>
                <w:color w:val="000000"/>
                <w:sz w:val="18"/>
                <w:szCs w:val="18"/>
              </w:rPr>
            </w:pPr>
            <w:r w:rsidRPr="00BB4A7B">
              <w:rPr>
                <w:rFonts w:ascii="Times New Roman" w:eastAsia="Times New Roman" w:hAnsi="Times New Roman" w:cs="Times New Roman"/>
                <w:b/>
                <w:bCs/>
                <w:color w:val="000000"/>
                <w:sz w:val="18"/>
                <w:szCs w:val="18"/>
              </w:rPr>
              <w:t>31,944</w:t>
            </w:r>
          </w:p>
        </w:tc>
        <w:tc>
          <w:tcPr>
            <w:tcW w:w="1028" w:type="dxa"/>
            <w:tcBorders>
              <w:top w:val="nil"/>
              <w:left w:val="nil"/>
              <w:bottom w:val="nil"/>
              <w:right w:val="nil"/>
            </w:tcBorders>
            <w:shd w:val="clear" w:color="000000" w:fill="FFFFFF"/>
            <w:noWrap/>
            <w:vAlign w:val="center"/>
            <w:hideMark/>
          </w:tcPr>
          <w:p w14:paraId="779CB1C2" w14:textId="77777777" w:rsidR="00A01E9A" w:rsidRPr="00BB4A7B" w:rsidRDefault="00A01E9A" w:rsidP="00710FC1">
            <w:pPr>
              <w:spacing w:line="259" w:lineRule="auto"/>
              <w:jc w:val="center"/>
              <w:rPr>
                <w:rFonts w:ascii="Times New Roman" w:eastAsia="Times New Roman" w:hAnsi="Times New Roman" w:cs="Times New Roman"/>
                <w:b/>
                <w:bCs/>
                <w:color w:val="000000"/>
                <w:sz w:val="18"/>
                <w:szCs w:val="18"/>
              </w:rPr>
            </w:pPr>
            <w:r w:rsidRPr="00BB4A7B">
              <w:rPr>
                <w:rFonts w:ascii="Times New Roman" w:eastAsia="Times New Roman" w:hAnsi="Times New Roman" w:cs="Times New Roman"/>
                <w:b/>
                <w:bCs/>
                <w:color w:val="000000"/>
                <w:sz w:val="18"/>
                <w:szCs w:val="18"/>
                <w:lang w:val="es-ES"/>
              </w:rPr>
              <w:t>77.9%</w:t>
            </w:r>
          </w:p>
        </w:tc>
        <w:tc>
          <w:tcPr>
            <w:tcW w:w="815" w:type="dxa"/>
            <w:tcBorders>
              <w:top w:val="nil"/>
              <w:left w:val="nil"/>
              <w:bottom w:val="nil"/>
              <w:right w:val="nil"/>
            </w:tcBorders>
            <w:shd w:val="clear" w:color="000000" w:fill="FFFFFF"/>
            <w:noWrap/>
            <w:vAlign w:val="center"/>
            <w:hideMark/>
          </w:tcPr>
          <w:p w14:paraId="515C50FE" w14:textId="77777777" w:rsidR="00A01E9A" w:rsidRPr="00BB4A7B" w:rsidRDefault="00A01E9A" w:rsidP="00710FC1">
            <w:pPr>
              <w:spacing w:line="259" w:lineRule="auto"/>
              <w:jc w:val="center"/>
              <w:rPr>
                <w:rFonts w:ascii="Times New Roman" w:eastAsia="Times New Roman" w:hAnsi="Times New Roman" w:cs="Times New Roman"/>
                <w:b/>
                <w:bCs/>
                <w:color w:val="000000"/>
                <w:sz w:val="18"/>
                <w:szCs w:val="18"/>
              </w:rPr>
            </w:pPr>
            <w:r w:rsidRPr="00BB4A7B">
              <w:rPr>
                <w:rFonts w:ascii="Times New Roman" w:eastAsia="Times New Roman" w:hAnsi="Times New Roman" w:cs="Times New Roman"/>
                <w:b/>
                <w:bCs/>
                <w:color w:val="000000"/>
                <w:sz w:val="18"/>
                <w:szCs w:val="18"/>
              </w:rPr>
              <w:t>2,828</w:t>
            </w:r>
          </w:p>
        </w:tc>
        <w:tc>
          <w:tcPr>
            <w:tcW w:w="1163" w:type="dxa"/>
            <w:tcBorders>
              <w:top w:val="nil"/>
              <w:left w:val="nil"/>
              <w:bottom w:val="nil"/>
              <w:right w:val="nil"/>
            </w:tcBorders>
            <w:shd w:val="clear" w:color="000000" w:fill="FFFFFF"/>
            <w:noWrap/>
            <w:vAlign w:val="center"/>
            <w:hideMark/>
          </w:tcPr>
          <w:p w14:paraId="5D9C014E" w14:textId="77777777" w:rsidR="00A01E9A" w:rsidRPr="00BB4A7B" w:rsidRDefault="00A01E9A" w:rsidP="00710FC1">
            <w:pPr>
              <w:spacing w:line="259" w:lineRule="auto"/>
              <w:jc w:val="center"/>
              <w:rPr>
                <w:rFonts w:ascii="Times New Roman" w:eastAsia="Times New Roman" w:hAnsi="Times New Roman" w:cs="Times New Roman"/>
                <w:b/>
                <w:bCs/>
                <w:color w:val="000000"/>
                <w:sz w:val="18"/>
                <w:szCs w:val="18"/>
              </w:rPr>
            </w:pPr>
            <w:r w:rsidRPr="00BB4A7B">
              <w:rPr>
                <w:rFonts w:ascii="Times New Roman" w:eastAsia="Times New Roman" w:hAnsi="Times New Roman" w:cs="Times New Roman"/>
                <w:b/>
                <w:bCs/>
                <w:color w:val="000000"/>
                <w:sz w:val="18"/>
                <w:szCs w:val="18"/>
                <w:lang w:val="es-ES"/>
              </w:rPr>
              <w:t>6.9%</w:t>
            </w:r>
          </w:p>
        </w:tc>
        <w:tc>
          <w:tcPr>
            <w:tcW w:w="679" w:type="dxa"/>
            <w:tcBorders>
              <w:top w:val="nil"/>
              <w:left w:val="nil"/>
              <w:bottom w:val="nil"/>
              <w:right w:val="nil"/>
            </w:tcBorders>
            <w:shd w:val="clear" w:color="000000" w:fill="FFFFFF"/>
            <w:noWrap/>
            <w:vAlign w:val="center"/>
            <w:hideMark/>
          </w:tcPr>
          <w:p w14:paraId="44EAEFCB" w14:textId="77777777" w:rsidR="00A01E9A" w:rsidRPr="00BB4A7B" w:rsidRDefault="00A01E9A" w:rsidP="00710FC1">
            <w:pPr>
              <w:spacing w:line="259" w:lineRule="auto"/>
              <w:jc w:val="center"/>
              <w:rPr>
                <w:rFonts w:ascii="Times New Roman" w:eastAsia="Times New Roman" w:hAnsi="Times New Roman" w:cs="Times New Roman"/>
                <w:b/>
                <w:bCs/>
                <w:color w:val="000000"/>
                <w:sz w:val="18"/>
                <w:szCs w:val="18"/>
              </w:rPr>
            </w:pPr>
            <w:r w:rsidRPr="00BB4A7B">
              <w:rPr>
                <w:rFonts w:ascii="Times New Roman" w:eastAsia="Times New Roman" w:hAnsi="Times New Roman" w:cs="Times New Roman"/>
                <w:b/>
                <w:bCs/>
                <w:color w:val="000000"/>
                <w:sz w:val="18"/>
                <w:szCs w:val="18"/>
              </w:rPr>
              <w:t>1,902</w:t>
            </w:r>
          </w:p>
        </w:tc>
        <w:tc>
          <w:tcPr>
            <w:tcW w:w="927" w:type="dxa"/>
            <w:tcBorders>
              <w:top w:val="nil"/>
              <w:left w:val="nil"/>
              <w:bottom w:val="nil"/>
              <w:right w:val="nil"/>
            </w:tcBorders>
            <w:shd w:val="clear" w:color="000000" w:fill="FFFFFF"/>
            <w:noWrap/>
            <w:vAlign w:val="center"/>
            <w:hideMark/>
          </w:tcPr>
          <w:p w14:paraId="03FE0C27" w14:textId="77777777" w:rsidR="00A01E9A" w:rsidRPr="00BB4A7B" w:rsidRDefault="00A01E9A" w:rsidP="00710FC1">
            <w:pPr>
              <w:spacing w:line="259" w:lineRule="auto"/>
              <w:jc w:val="center"/>
              <w:rPr>
                <w:rFonts w:ascii="Times New Roman" w:eastAsia="Times New Roman" w:hAnsi="Times New Roman" w:cs="Times New Roman"/>
                <w:b/>
                <w:bCs/>
                <w:color w:val="000000"/>
                <w:sz w:val="18"/>
                <w:szCs w:val="18"/>
              </w:rPr>
            </w:pPr>
            <w:r w:rsidRPr="00BB4A7B">
              <w:rPr>
                <w:rFonts w:ascii="Times New Roman" w:eastAsia="Times New Roman" w:hAnsi="Times New Roman" w:cs="Times New Roman"/>
                <w:b/>
                <w:bCs/>
                <w:color w:val="000000"/>
                <w:sz w:val="18"/>
                <w:szCs w:val="18"/>
                <w:lang w:val="es-ES"/>
              </w:rPr>
              <w:t>4.6%</w:t>
            </w:r>
          </w:p>
        </w:tc>
        <w:tc>
          <w:tcPr>
            <w:tcW w:w="702" w:type="dxa"/>
            <w:tcBorders>
              <w:top w:val="nil"/>
              <w:left w:val="nil"/>
              <w:bottom w:val="nil"/>
              <w:right w:val="nil"/>
            </w:tcBorders>
            <w:shd w:val="clear" w:color="000000" w:fill="FFFFFF"/>
            <w:noWrap/>
            <w:vAlign w:val="center"/>
            <w:hideMark/>
          </w:tcPr>
          <w:p w14:paraId="4424D9A2" w14:textId="77777777" w:rsidR="00A01E9A" w:rsidRPr="00BB4A7B" w:rsidRDefault="00A01E9A" w:rsidP="00710FC1">
            <w:pPr>
              <w:spacing w:line="259" w:lineRule="auto"/>
              <w:jc w:val="center"/>
              <w:rPr>
                <w:rFonts w:ascii="Times New Roman" w:eastAsia="Times New Roman" w:hAnsi="Times New Roman" w:cs="Times New Roman"/>
                <w:b/>
                <w:bCs/>
                <w:color w:val="000000"/>
                <w:sz w:val="18"/>
                <w:szCs w:val="18"/>
              </w:rPr>
            </w:pPr>
            <w:r w:rsidRPr="00BB4A7B">
              <w:rPr>
                <w:rFonts w:ascii="Times New Roman" w:eastAsia="Times New Roman" w:hAnsi="Times New Roman" w:cs="Times New Roman"/>
                <w:b/>
                <w:bCs/>
                <w:color w:val="000000"/>
                <w:sz w:val="18"/>
                <w:szCs w:val="18"/>
              </w:rPr>
              <w:t>36,674</w:t>
            </w:r>
          </w:p>
        </w:tc>
        <w:tc>
          <w:tcPr>
            <w:tcW w:w="781" w:type="dxa"/>
            <w:tcBorders>
              <w:top w:val="nil"/>
              <w:left w:val="nil"/>
              <w:bottom w:val="nil"/>
              <w:right w:val="nil"/>
            </w:tcBorders>
            <w:shd w:val="clear" w:color="000000" w:fill="FFFFFF"/>
            <w:noWrap/>
            <w:vAlign w:val="center"/>
            <w:hideMark/>
          </w:tcPr>
          <w:p w14:paraId="54BDEECC" w14:textId="77777777" w:rsidR="00A01E9A" w:rsidRPr="00BB4A7B" w:rsidRDefault="00A01E9A" w:rsidP="00710FC1">
            <w:pPr>
              <w:spacing w:line="259" w:lineRule="auto"/>
              <w:jc w:val="center"/>
              <w:rPr>
                <w:rFonts w:ascii="Times New Roman" w:eastAsia="Times New Roman" w:hAnsi="Times New Roman" w:cs="Times New Roman"/>
                <w:b/>
                <w:bCs/>
                <w:color w:val="000000"/>
                <w:sz w:val="18"/>
                <w:szCs w:val="18"/>
              </w:rPr>
            </w:pPr>
            <w:r w:rsidRPr="00BB4A7B">
              <w:rPr>
                <w:rFonts w:ascii="Times New Roman" w:eastAsia="Times New Roman" w:hAnsi="Times New Roman" w:cs="Times New Roman"/>
                <w:b/>
                <w:bCs/>
                <w:color w:val="000000"/>
                <w:sz w:val="18"/>
                <w:szCs w:val="18"/>
                <w:lang w:val="es-ES"/>
              </w:rPr>
              <w:t>89.5%</w:t>
            </w:r>
          </w:p>
        </w:tc>
      </w:tr>
      <w:tr w:rsidR="00A01E9A" w:rsidRPr="00BB4A7B" w14:paraId="611FDF75" w14:textId="77777777" w:rsidTr="00E250FE">
        <w:trPr>
          <w:trHeight w:val="300"/>
          <w:jc w:val="center"/>
        </w:trPr>
        <w:tc>
          <w:tcPr>
            <w:tcW w:w="2780" w:type="dxa"/>
            <w:tcBorders>
              <w:top w:val="nil"/>
              <w:left w:val="nil"/>
              <w:bottom w:val="nil"/>
              <w:right w:val="nil"/>
            </w:tcBorders>
            <w:shd w:val="clear" w:color="000000" w:fill="E2EFDA"/>
            <w:noWrap/>
            <w:vAlign w:val="center"/>
            <w:hideMark/>
          </w:tcPr>
          <w:p w14:paraId="401F13E8" w14:textId="77777777" w:rsidR="00A01E9A" w:rsidRPr="00BB4A7B" w:rsidRDefault="00A01E9A" w:rsidP="00710FC1">
            <w:pPr>
              <w:spacing w:line="259" w:lineRule="auto"/>
              <w:ind w:firstLineChars="100" w:firstLine="180"/>
              <w:jc w:val="lef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lang w:val="es-ES"/>
              </w:rPr>
              <w:t>Formación técnica profesional</w:t>
            </w:r>
          </w:p>
        </w:tc>
        <w:tc>
          <w:tcPr>
            <w:tcW w:w="906" w:type="dxa"/>
            <w:tcBorders>
              <w:top w:val="nil"/>
              <w:left w:val="nil"/>
              <w:bottom w:val="nil"/>
              <w:right w:val="nil"/>
            </w:tcBorders>
            <w:shd w:val="clear" w:color="000000" w:fill="E2EFDA"/>
            <w:noWrap/>
            <w:vAlign w:val="center"/>
            <w:hideMark/>
          </w:tcPr>
          <w:p w14:paraId="034B7D68" w14:textId="77777777" w:rsidR="00A01E9A" w:rsidRPr="00BB4A7B" w:rsidRDefault="00A01E9A" w:rsidP="00710FC1">
            <w:pPr>
              <w:spacing w:line="259" w:lineRule="auto"/>
              <w:jc w:val="center"/>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2,787</w:t>
            </w:r>
          </w:p>
        </w:tc>
        <w:tc>
          <w:tcPr>
            <w:tcW w:w="1028" w:type="dxa"/>
            <w:tcBorders>
              <w:top w:val="nil"/>
              <w:left w:val="nil"/>
              <w:bottom w:val="nil"/>
              <w:right w:val="nil"/>
            </w:tcBorders>
            <w:shd w:val="clear" w:color="000000" w:fill="E2EFDA"/>
            <w:noWrap/>
            <w:vAlign w:val="center"/>
            <w:hideMark/>
          </w:tcPr>
          <w:p w14:paraId="0216B542" w14:textId="77777777" w:rsidR="00A01E9A" w:rsidRPr="00BB4A7B" w:rsidRDefault="00A01E9A" w:rsidP="00710FC1">
            <w:pPr>
              <w:spacing w:line="259" w:lineRule="auto"/>
              <w:jc w:val="center"/>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lang w:val="es-ES"/>
              </w:rPr>
              <w:t>6.8%</w:t>
            </w:r>
          </w:p>
        </w:tc>
        <w:tc>
          <w:tcPr>
            <w:tcW w:w="815" w:type="dxa"/>
            <w:tcBorders>
              <w:top w:val="nil"/>
              <w:left w:val="nil"/>
              <w:bottom w:val="nil"/>
              <w:right w:val="nil"/>
            </w:tcBorders>
            <w:shd w:val="clear" w:color="000000" w:fill="E2EFDA"/>
            <w:noWrap/>
            <w:vAlign w:val="center"/>
            <w:hideMark/>
          </w:tcPr>
          <w:p w14:paraId="3C345A7A" w14:textId="77777777" w:rsidR="00A01E9A" w:rsidRPr="00BB4A7B" w:rsidRDefault="00A01E9A" w:rsidP="00710FC1">
            <w:pPr>
              <w:spacing w:line="259" w:lineRule="auto"/>
              <w:jc w:val="center"/>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20</w:t>
            </w:r>
          </w:p>
        </w:tc>
        <w:tc>
          <w:tcPr>
            <w:tcW w:w="1163" w:type="dxa"/>
            <w:tcBorders>
              <w:top w:val="nil"/>
              <w:left w:val="nil"/>
              <w:bottom w:val="nil"/>
              <w:right w:val="nil"/>
            </w:tcBorders>
            <w:shd w:val="clear" w:color="000000" w:fill="E2EFDA"/>
            <w:noWrap/>
            <w:vAlign w:val="center"/>
            <w:hideMark/>
          </w:tcPr>
          <w:p w14:paraId="3F7FDF52" w14:textId="77777777" w:rsidR="00A01E9A" w:rsidRPr="00BB4A7B" w:rsidRDefault="00A01E9A" w:rsidP="00710FC1">
            <w:pPr>
              <w:spacing w:line="259" w:lineRule="auto"/>
              <w:jc w:val="center"/>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lang w:val="es-ES"/>
              </w:rPr>
              <w:t>0.0%</w:t>
            </w:r>
          </w:p>
        </w:tc>
        <w:tc>
          <w:tcPr>
            <w:tcW w:w="679" w:type="dxa"/>
            <w:tcBorders>
              <w:top w:val="nil"/>
              <w:left w:val="nil"/>
              <w:bottom w:val="nil"/>
              <w:right w:val="nil"/>
            </w:tcBorders>
            <w:shd w:val="clear" w:color="000000" w:fill="E2EFDA"/>
            <w:noWrap/>
            <w:vAlign w:val="center"/>
            <w:hideMark/>
          </w:tcPr>
          <w:p w14:paraId="27A7194B" w14:textId="77777777" w:rsidR="00A01E9A" w:rsidRPr="00BB4A7B" w:rsidRDefault="00A01E9A" w:rsidP="00710FC1">
            <w:pPr>
              <w:spacing w:line="259" w:lineRule="auto"/>
              <w:jc w:val="center"/>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25</w:t>
            </w:r>
          </w:p>
        </w:tc>
        <w:tc>
          <w:tcPr>
            <w:tcW w:w="927" w:type="dxa"/>
            <w:tcBorders>
              <w:top w:val="nil"/>
              <w:left w:val="nil"/>
              <w:bottom w:val="nil"/>
              <w:right w:val="nil"/>
            </w:tcBorders>
            <w:shd w:val="clear" w:color="000000" w:fill="E2EFDA"/>
            <w:noWrap/>
            <w:vAlign w:val="center"/>
            <w:hideMark/>
          </w:tcPr>
          <w:p w14:paraId="5082172E" w14:textId="77777777" w:rsidR="00A01E9A" w:rsidRPr="00BB4A7B" w:rsidRDefault="00A01E9A" w:rsidP="00710FC1">
            <w:pPr>
              <w:spacing w:line="259" w:lineRule="auto"/>
              <w:jc w:val="center"/>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lang w:val="es-ES"/>
              </w:rPr>
              <w:t>0.1%</w:t>
            </w:r>
          </w:p>
        </w:tc>
        <w:tc>
          <w:tcPr>
            <w:tcW w:w="702" w:type="dxa"/>
            <w:tcBorders>
              <w:top w:val="nil"/>
              <w:left w:val="nil"/>
              <w:bottom w:val="nil"/>
              <w:right w:val="nil"/>
            </w:tcBorders>
            <w:shd w:val="clear" w:color="000000" w:fill="E2EFDA"/>
            <w:noWrap/>
            <w:vAlign w:val="center"/>
            <w:hideMark/>
          </w:tcPr>
          <w:p w14:paraId="29C01DBF" w14:textId="77777777" w:rsidR="00A01E9A" w:rsidRPr="00BB4A7B" w:rsidRDefault="00A01E9A" w:rsidP="00710FC1">
            <w:pPr>
              <w:spacing w:line="259" w:lineRule="auto"/>
              <w:jc w:val="center"/>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2,832</w:t>
            </w:r>
          </w:p>
        </w:tc>
        <w:tc>
          <w:tcPr>
            <w:tcW w:w="781" w:type="dxa"/>
            <w:tcBorders>
              <w:top w:val="nil"/>
              <w:left w:val="nil"/>
              <w:bottom w:val="nil"/>
              <w:right w:val="nil"/>
            </w:tcBorders>
            <w:shd w:val="clear" w:color="000000" w:fill="E2EFDA"/>
            <w:noWrap/>
            <w:vAlign w:val="center"/>
            <w:hideMark/>
          </w:tcPr>
          <w:p w14:paraId="4A4200A7" w14:textId="77777777" w:rsidR="00A01E9A" w:rsidRPr="00BB4A7B" w:rsidRDefault="00A01E9A" w:rsidP="00710FC1">
            <w:pPr>
              <w:spacing w:line="259" w:lineRule="auto"/>
              <w:jc w:val="center"/>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lang w:val="es-ES"/>
              </w:rPr>
              <w:t>6.9%</w:t>
            </w:r>
          </w:p>
        </w:tc>
      </w:tr>
      <w:tr w:rsidR="00A01E9A" w:rsidRPr="00BB4A7B" w14:paraId="0B32E813" w14:textId="77777777" w:rsidTr="00E250FE">
        <w:trPr>
          <w:trHeight w:val="300"/>
          <w:jc w:val="center"/>
        </w:trPr>
        <w:tc>
          <w:tcPr>
            <w:tcW w:w="2780" w:type="dxa"/>
            <w:tcBorders>
              <w:top w:val="nil"/>
              <w:left w:val="nil"/>
              <w:bottom w:val="nil"/>
              <w:right w:val="nil"/>
            </w:tcBorders>
            <w:shd w:val="clear" w:color="000000" w:fill="FFFFFF"/>
            <w:noWrap/>
            <w:vAlign w:val="center"/>
            <w:hideMark/>
          </w:tcPr>
          <w:p w14:paraId="1ECC6EB6" w14:textId="77777777" w:rsidR="00A01E9A" w:rsidRPr="00BB4A7B" w:rsidRDefault="00A01E9A" w:rsidP="00710FC1">
            <w:pPr>
              <w:spacing w:line="259" w:lineRule="auto"/>
              <w:ind w:firstLineChars="100" w:firstLine="180"/>
              <w:jc w:val="lef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lang w:val="es-ES"/>
              </w:rPr>
              <w:t>Tecnológica</w:t>
            </w:r>
          </w:p>
        </w:tc>
        <w:tc>
          <w:tcPr>
            <w:tcW w:w="906" w:type="dxa"/>
            <w:tcBorders>
              <w:top w:val="nil"/>
              <w:left w:val="nil"/>
              <w:bottom w:val="nil"/>
              <w:right w:val="nil"/>
            </w:tcBorders>
            <w:shd w:val="clear" w:color="000000" w:fill="FFFFFF"/>
            <w:noWrap/>
            <w:vAlign w:val="center"/>
            <w:hideMark/>
          </w:tcPr>
          <w:p w14:paraId="23C0027A" w14:textId="77777777" w:rsidR="00A01E9A" w:rsidRPr="00BB4A7B" w:rsidRDefault="00A01E9A" w:rsidP="00710FC1">
            <w:pPr>
              <w:spacing w:line="259" w:lineRule="auto"/>
              <w:jc w:val="center"/>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4,304</w:t>
            </w:r>
          </w:p>
        </w:tc>
        <w:tc>
          <w:tcPr>
            <w:tcW w:w="1028" w:type="dxa"/>
            <w:tcBorders>
              <w:top w:val="nil"/>
              <w:left w:val="nil"/>
              <w:bottom w:val="nil"/>
              <w:right w:val="nil"/>
            </w:tcBorders>
            <w:shd w:val="clear" w:color="000000" w:fill="FFFFFF"/>
            <w:noWrap/>
            <w:vAlign w:val="center"/>
            <w:hideMark/>
          </w:tcPr>
          <w:p w14:paraId="182BCB4E" w14:textId="77777777" w:rsidR="00A01E9A" w:rsidRPr="00BB4A7B" w:rsidRDefault="00A01E9A" w:rsidP="00710FC1">
            <w:pPr>
              <w:spacing w:line="259" w:lineRule="auto"/>
              <w:jc w:val="center"/>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lang w:val="es-ES"/>
              </w:rPr>
              <w:t>10.5%</w:t>
            </w:r>
          </w:p>
        </w:tc>
        <w:tc>
          <w:tcPr>
            <w:tcW w:w="815" w:type="dxa"/>
            <w:tcBorders>
              <w:top w:val="nil"/>
              <w:left w:val="nil"/>
              <w:bottom w:val="nil"/>
              <w:right w:val="nil"/>
            </w:tcBorders>
            <w:shd w:val="clear" w:color="000000" w:fill="FFFFFF"/>
            <w:noWrap/>
            <w:vAlign w:val="center"/>
            <w:hideMark/>
          </w:tcPr>
          <w:p w14:paraId="63231FAA" w14:textId="77777777" w:rsidR="00A01E9A" w:rsidRPr="00BB4A7B" w:rsidRDefault="00A01E9A" w:rsidP="00710FC1">
            <w:pPr>
              <w:spacing w:line="259" w:lineRule="auto"/>
              <w:jc w:val="center"/>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867</w:t>
            </w:r>
          </w:p>
        </w:tc>
        <w:tc>
          <w:tcPr>
            <w:tcW w:w="1163" w:type="dxa"/>
            <w:tcBorders>
              <w:top w:val="nil"/>
              <w:left w:val="nil"/>
              <w:bottom w:val="nil"/>
              <w:right w:val="nil"/>
            </w:tcBorders>
            <w:shd w:val="clear" w:color="000000" w:fill="FFFFFF"/>
            <w:noWrap/>
            <w:vAlign w:val="center"/>
            <w:hideMark/>
          </w:tcPr>
          <w:p w14:paraId="55829CAA" w14:textId="77777777" w:rsidR="00A01E9A" w:rsidRPr="00BB4A7B" w:rsidRDefault="00A01E9A" w:rsidP="00710FC1">
            <w:pPr>
              <w:spacing w:line="259" w:lineRule="auto"/>
              <w:jc w:val="center"/>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lang w:val="es-ES"/>
              </w:rPr>
              <w:t>2.1%</w:t>
            </w:r>
          </w:p>
        </w:tc>
        <w:tc>
          <w:tcPr>
            <w:tcW w:w="679" w:type="dxa"/>
            <w:tcBorders>
              <w:top w:val="nil"/>
              <w:left w:val="nil"/>
              <w:bottom w:val="nil"/>
              <w:right w:val="nil"/>
            </w:tcBorders>
            <w:shd w:val="clear" w:color="000000" w:fill="FFFFFF"/>
            <w:noWrap/>
            <w:vAlign w:val="center"/>
            <w:hideMark/>
          </w:tcPr>
          <w:p w14:paraId="0EC112C8" w14:textId="77777777" w:rsidR="00A01E9A" w:rsidRPr="00BB4A7B" w:rsidRDefault="00A01E9A" w:rsidP="00710FC1">
            <w:pPr>
              <w:spacing w:line="259" w:lineRule="auto"/>
              <w:jc w:val="center"/>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442</w:t>
            </w:r>
          </w:p>
        </w:tc>
        <w:tc>
          <w:tcPr>
            <w:tcW w:w="927" w:type="dxa"/>
            <w:tcBorders>
              <w:top w:val="nil"/>
              <w:left w:val="nil"/>
              <w:bottom w:val="nil"/>
              <w:right w:val="nil"/>
            </w:tcBorders>
            <w:shd w:val="clear" w:color="000000" w:fill="FFFFFF"/>
            <w:noWrap/>
            <w:vAlign w:val="center"/>
            <w:hideMark/>
          </w:tcPr>
          <w:p w14:paraId="1FFA4126" w14:textId="77777777" w:rsidR="00A01E9A" w:rsidRPr="00BB4A7B" w:rsidRDefault="00A01E9A" w:rsidP="00710FC1">
            <w:pPr>
              <w:spacing w:line="259" w:lineRule="auto"/>
              <w:jc w:val="center"/>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lang w:val="es-ES"/>
              </w:rPr>
              <w:t>1.1%</w:t>
            </w:r>
          </w:p>
        </w:tc>
        <w:tc>
          <w:tcPr>
            <w:tcW w:w="702" w:type="dxa"/>
            <w:tcBorders>
              <w:top w:val="nil"/>
              <w:left w:val="nil"/>
              <w:bottom w:val="nil"/>
              <w:right w:val="nil"/>
            </w:tcBorders>
            <w:shd w:val="clear" w:color="000000" w:fill="FFFFFF"/>
            <w:noWrap/>
            <w:vAlign w:val="center"/>
            <w:hideMark/>
          </w:tcPr>
          <w:p w14:paraId="5EA21503" w14:textId="77777777" w:rsidR="00A01E9A" w:rsidRPr="00BB4A7B" w:rsidRDefault="00A01E9A" w:rsidP="00710FC1">
            <w:pPr>
              <w:spacing w:line="259" w:lineRule="auto"/>
              <w:jc w:val="center"/>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5,613</w:t>
            </w:r>
          </w:p>
        </w:tc>
        <w:tc>
          <w:tcPr>
            <w:tcW w:w="781" w:type="dxa"/>
            <w:tcBorders>
              <w:top w:val="nil"/>
              <w:left w:val="nil"/>
              <w:bottom w:val="nil"/>
              <w:right w:val="nil"/>
            </w:tcBorders>
            <w:shd w:val="clear" w:color="000000" w:fill="FFFFFF"/>
            <w:noWrap/>
            <w:vAlign w:val="center"/>
            <w:hideMark/>
          </w:tcPr>
          <w:p w14:paraId="0B0CF580" w14:textId="77777777" w:rsidR="00A01E9A" w:rsidRPr="00BB4A7B" w:rsidRDefault="00A01E9A" w:rsidP="00710FC1">
            <w:pPr>
              <w:spacing w:line="259" w:lineRule="auto"/>
              <w:jc w:val="center"/>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lang w:val="es-ES"/>
              </w:rPr>
              <w:t>13.7%</w:t>
            </w:r>
          </w:p>
        </w:tc>
      </w:tr>
      <w:tr w:rsidR="00A01E9A" w:rsidRPr="00BB4A7B" w14:paraId="5CB60297" w14:textId="77777777" w:rsidTr="00E250FE">
        <w:trPr>
          <w:trHeight w:val="300"/>
          <w:jc w:val="center"/>
        </w:trPr>
        <w:tc>
          <w:tcPr>
            <w:tcW w:w="2780" w:type="dxa"/>
            <w:tcBorders>
              <w:top w:val="nil"/>
              <w:left w:val="nil"/>
              <w:bottom w:val="nil"/>
              <w:right w:val="nil"/>
            </w:tcBorders>
            <w:shd w:val="clear" w:color="000000" w:fill="E2EFDA"/>
            <w:noWrap/>
            <w:vAlign w:val="center"/>
            <w:hideMark/>
          </w:tcPr>
          <w:p w14:paraId="3AFDD9B3" w14:textId="77777777" w:rsidR="00A01E9A" w:rsidRPr="00BB4A7B" w:rsidRDefault="00A01E9A" w:rsidP="00710FC1">
            <w:pPr>
              <w:spacing w:line="259" w:lineRule="auto"/>
              <w:ind w:firstLineChars="100" w:firstLine="180"/>
              <w:jc w:val="lef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lang w:val="es-ES"/>
              </w:rPr>
              <w:t>Universitaria</w:t>
            </w:r>
          </w:p>
        </w:tc>
        <w:tc>
          <w:tcPr>
            <w:tcW w:w="906" w:type="dxa"/>
            <w:tcBorders>
              <w:top w:val="nil"/>
              <w:left w:val="nil"/>
              <w:bottom w:val="nil"/>
              <w:right w:val="nil"/>
            </w:tcBorders>
            <w:shd w:val="clear" w:color="000000" w:fill="E2EFDA"/>
            <w:noWrap/>
            <w:vAlign w:val="center"/>
            <w:hideMark/>
          </w:tcPr>
          <w:p w14:paraId="379575BB" w14:textId="77777777" w:rsidR="00A01E9A" w:rsidRPr="00BB4A7B" w:rsidRDefault="00A01E9A" w:rsidP="00710FC1">
            <w:pPr>
              <w:spacing w:line="259" w:lineRule="auto"/>
              <w:jc w:val="center"/>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24,853</w:t>
            </w:r>
          </w:p>
        </w:tc>
        <w:tc>
          <w:tcPr>
            <w:tcW w:w="1028" w:type="dxa"/>
            <w:tcBorders>
              <w:top w:val="nil"/>
              <w:left w:val="nil"/>
              <w:bottom w:val="nil"/>
              <w:right w:val="nil"/>
            </w:tcBorders>
            <w:shd w:val="clear" w:color="000000" w:fill="E2EFDA"/>
            <w:noWrap/>
            <w:vAlign w:val="center"/>
            <w:hideMark/>
          </w:tcPr>
          <w:p w14:paraId="7BD24845" w14:textId="77777777" w:rsidR="00A01E9A" w:rsidRPr="00BB4A7B" w:rsidRDefault="00A01E9A" w:rsidP="00710FC1">
            <w:pPr>
              <w:spacing w:line="259" w:lineRule="auto"/>
              <w:jc w:val="center"/>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lang w:val="es-ES"/>
              </w:rPr>
              <w:t>60.6%</w:t>
            </w:r>
          </w:p>
        </w:tc>
        <w:tc>
          <w:tcPr>
            <w:tcW w:w="815" w:type="dxa"/>
            <w:tcBorders>
              <w:top w:val="nil"/>
              <w:left w:val="nil"/>
              <w:bottom w:val="nil"/>
              <w:right w:val="nil"/>
            </w:tcBorders>
            <w:shd w:val="clear" w:color="000000" w:fill="E2EFDA"/>
            <w:noWrap/>
            <w:vAlign w:val="center"/>
            <w:hideMark/>
          </w:tcPr>
          <w:p w14:paraId="4D2B67E4" w14:textId="77777777" w:rsidR="00A01E9A" w:rsidRPr="00BB4A7B" w:rsidRDefault="00A01E9A" w:rsidP="00710FC1">
            <w:pPr>
              <w:spacing w:line="259" w:lineRule="auto"/>
              <w:jc w:val="center"/>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1,941</w:t>
            </w:r>
          </w:p>
        </w:tc>
        <w:tc>
          <w:tcPr>
            <w:tcW w:w="1163" w:type="dxa"/>
            <w:tcBorders>
              <w:top w:val="nil"/>
              <w:left w:val="nil"/>
              <w:bottom w:val="nil"/>
              <w:right w:val="nil"/>
            </w:tcBorders>
            <w:shd w:val="clear" w:color="000000" w:fill="E2EFDA"/>
            <w:noWrap/>
            <w:vAlign w:val="center"/>
            <w:hideMark/>
          </w:tcPr>
          <w:p w14:paraId="153D742A" w14:textId="77777777" w:rsidR="00A01E9A" w:rsidRPr="00BB4A7B" w:rsidRDefault="00A01E9A" w:rsidP="00710FC1">
            <w:pPr>
              <w:spacing w:line="259" w:lineRule="auto"/>
              <w:jc w:val="center"/>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lang w:val="es-ES"/>
              </w:rPr>
              <w:t>4.7%</w:t>
            </w:r>
          </w:p>
        </w:tc>
        <w:tc>
          <w:tcPr>
            <w:tcW w:w="679" w:type="dxa"/>
            <w:tcBorders>
              <w:top w:val="nil"/>
              <w:left w:val="nil"/>
              <w:bottom w:val="nil"/>
              <w:right w:val="nil"/>
            </w:tcBorders>
            <w:shd w:val="clear" w:color="000000" w:fill="E2EFDA"/>
            <w:noWrap/>
            <w:vAlign w:val="center"/>
            <w:hideMark/>
          </w:tcPr>
          <w:p w14:paraId="719E3D08" w14:textId="77777777" w:rsidR="00A01E9A" w:rsidRPr="00BB4A7B" w:rsidRDefault="00A01E9A" w:rsidP="00710FC1">
            <w:pPr>
              <w:spacing w:line="259" w:lineRule="auto"/>
              <w:jc w:val="center"/>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1,435</w:t>
            </w:r>
          </w:p>
        </w:tc>
        <w:tc>
          <w:tcPr>
            <w:tcW w:w="927" w:type="dxa"/>
            <w:tcBorders>
              <w:top w:val="nil"/>
              <w:left w:val="nil"/>
              <w:bottom w:val="nil"/>
              <w:right w:val="nil"/>
            </w:tcBorders>
            <w:shd w:val="clear" w:color="000000" w:fill="E2EFDA"/>
            <w:noWrap/>
            <w:vAlign w:val="center"/>
            <w:hideMark/>
          </w:tcPr>
          <w:p w14:paraId="5E984A93" w14:textId="77777777" w:rsidR="00A01E9A" w:rsidRPr="00BB4A7B" w:rsidRDefault="00A01E9A" w:rsidP="00710FC1">
            <w:pPr>
              <w:spacing w:line="259" w:lineRule="auto"/>
              <w:jc w:val="center"/>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lang w:val="es-ES"/>
              </w:rPr>
              <w:t>3.5%</w:t>
            </w:r>
          </w:p>
        </w:tc>
        <w:tc>
          <w:tcPr>
            <w:tcW w:w="702" w:type="dxa"/>
            <w:tcBorders>
              <w:top w:val="nil"/>
              <w:left w:val="nil"/>
              <w:bottom w:val="nil"/>
              <w:right w:val="nil"/>
            </w:tcBorders>
            <w:shd w:val="clear" w:color="000000" w:fill="E2EFDA"/>
            <w:noWrap/>
            <w:vAlign w:val="center"/>
            <w:hideMark/>
          </w:tcPr>
          <w:p w14:paraId="1371CE2F" w14:textId="77777777" w:rsidR="00A01E9A" w:rsidRPr="00BB4A7B" w:rsidRDefault="00A01E9A" w:rsidP="00710FC1">
            <w:pPr>
              <w:spacing w:line="259" w:lineRule="auto"/>
              <w:jc w:val="center"/>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28,229</w:t>
            </w:r>
          </w:p>
        </w:tc>
        <w:tc>
          <w:tcPr>
            <w:tcW w:w="781" w:type="dxa"/>
            <w:tcBorders>
              <w:top w:val="nil"/>
              <w:left w:val="nil"/>
              <w:bottom w:val="nil"/>
              <w:right w:val="nil"/>
            </w:tcBorders>
            <w:shd w:val="clear" w:color="000000" w:fill="E2EFDA"/>
            <w:noWrap/>
            <w:vAlign w:val="center"/>
            <w:hideMark/>
          </w:tcPr>
          <w:p w14:paraId="0FFFA051" w14:textId="77777777" w:rsidR="00A01E9A" w:rsidRPr="00BB4A7B" w:rsidRDefault="00A01E9A" w:rsidP="00710FC1">
            <w:pPr>
              <w:spacing w:line="259" w:lineRule="auto"/>
              <w:jc w:val="center"/>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lang w:val="es-ES"/>
              </w:rPr>
              <w:t>68.9%</w:t>
            </w:r>
          </w:p>
        </w:tc>
      </w:tr>
      <w:tr w:rsidR="00A01E9A" w:rsidRPr="00BB4A7B" w14:paraId="3A1511B1" w14:textId="77777777" w:rsidTr="00E250FE">
        <w:trPr>
          <w:trHeight w:val="300"/>
          <w:jc w:val="center"/>
        </w:trPr>
        <w:tc>
          <w:tcPr>
            <w:tcW w:w="2780" w:type="dxa"/>
            <w:tcBorders>
              <w:top w:val="nil"/>
              <w:left w:val="nil"/>
              <w:bottom w:val="nil"/>
              <w:right w:val="nil"/>
            </w:tcBorders>
            <w:shd w:val="clear" w:color="000000" w:fill="FFFFFF"/>
            <w:noWrap/>
            <w:vAlign w:val="center"/>
            <w:hideMark/>
          </w:tcPr>
          <w:p w14:paraId="4D8E396A" w14:textId="77777777" w:rsidR="00A01E9A" w:rsidRPr="00BB4A7B" w:rsidRDefault="00A01E9A" w:rsidP="00710FC1">
            <w:pPr>
              <w:spacing w:line="259" w:lineRule="auto"/>
              <w:jc w:val="left"/>
              <w:rPr>
                <w:rFonts w:ascii="Times New Roman" w:eastAsia="Times New Roman" w:hAnsi="Times New Roman" w:cs="Times New Roman"/>
                <w:b/>
                <w:bCs/>
                <w:color w:val="000000"/>
                <w:sz w:val="18"/>
                <w:szCs w:val="18"/>
              </w:rPr>
            </w:pPr>
            <w:r w:rsidRPr="00BB4A7B">
              <w:rPr>
                <w:rFonts w:ascii="Times New Roman" w:eastAsia="Times New Roman" w:hAnsi="Times New Roman" w:cs="Times New Roman"/>
                <w:b/>
                <w:bCs/>
                <w:color w:val="000000"/>
                <w:sz w:val="18"/>
                <w:szCs w:val="18"/>
                <w:lang w:val="es-ES"/>
              </w:rPr>
              <w:t>Posgrado</w:t>
            </w:r>
          </w:p>
        </w:tc>
        <w:tc>
          <w:tcPr>
            <w:tcW w:w="906" w:type="dxa"/>
            <w:tcBorders>
              <w:top w:val="nil"/>
              <w:left w:val="nil"/>
              <w:bottom w:val="nil"/>
              <w:right w:val="nil"/>
            </w:tcBorders>
            <w:shd w:val="clear" w:color="000000" w:fill="FFFFFF"/>
            <w:noWrap/>
            <w:vAlign w:val="center"/>
            <w:hideMark/>
          </w:tcPr>
          <w:p w14:paraId="643D7A30" w14:textId="77777777" w:rsidR="00A01E9A" w:rsidRPr="00BB4A7B" w:rsidRDefault="00A01E9A" w:rsidP="00710FC1">
            <w:pPr>
              <w:spacing w:line="259" w:lineRule="auto"/>
              <w:jc w:val="center"/>
              <w:rPr>
                <w:rFonts w:ascii="Times New Roman" w:eastAsia="Times New Roman" w:hAnsi="Times New Roman" w:cs="Times New Roman"/>
                <w:b/>
                <w:bCs/>
                <w:color w:val="000000"/>
                <w:sz w:val="18"/>
                <w:szCs w:val="18"/>
              </w:rPr>
            </w:pPr>
            <w:r w:rsidRPr="00BB4A7B">
              <w:rPr>
                <w:rFonts w:ascii="Times New Roman" w:eastAsia="Times New Roman" w:hAnsi="Times New Roman" w:cs="Times New Roman"/>
                <w:b/>
                <w:bCs/>
                <w:color w:val="000000"/>
                <w:sz w:val="18"/>
                <w:szCs w:val="18"/>
              </w:rPr>
              <w:t>3,109</w:t>
            </w:r>
          </w:p>
        </w:tc>
        <w:tc>
          <w:tcPr>
            <w:tcW w:w="1028" w:type="dxa"/>
            <w:tcBorders>
              <w:top w:val="nil"/>
              <w:left w:val="nil"/>
              <w:bottom w:val="nil"/>
              <w:right w:val="nil"/>
            </w:tcBorders>
            <w:shd w:val="clear" w:color="000000" w:fill="FFFFFF"/>
            <w:noWrap/>
            <w:vAlign w:val="center"/>
            <w:hideMark/>
          </w:tcPr>
          <w:p w14:paraId="258565BF" w14:textId="77777777" w:rsidR="00A01E9A" w:rsidRPr="00BB4A7B" w:rsidRDefault="00A01E9A" w:rsidP="00710FC1">
            <w:pPr>
              <w:spacing w:line="259" w:lineRule="auto"/>
              <w:jc w:val="center"/>
              <w:rPr>
                <w:rFonts w:ascii="Times New Roman" w:eastAsia="Times New Roman" w:hAnsi="Times New Roman" w:cs="Times New Roman"/>
                <w:b/>
                <w:bCs/>
                <w:color w:val="000000"/>
                <w:sz w:val="18"/>
                <w:szCs w:val="18"/>
              </w:rPr>
            </w:pPr>
            <w:r w:rsidRPr="00BB4A7B">
              <w:rPr>
                <w:rFonts w:ascii="Times New Roman" w:eastAsia="Times New Roman" w:hAnsi="Times New Roman" w:cs="Times New Roman"/>
                <w:b/>
                <w:bCs/>
                <w:color w:val="000000"/>
                <w:sz w:val="18"/>
                <w:szCs w:val="18"/>
                <w:lang w:val="es-ES"/>
              </w:rPr>
              <w:t>7.6%</w:t>
            </w:r>
          </w:p>
        </w:tc>
        <w:tc>
          <w:tcPr>
            <w:tcW w:w="815" w:type="dxa"/>
            <w:tcBorders>
              <w:top w:val="nil"/>
              <w:left w:val="nil"/>
              <w:bottom w:val="nil"/>
              <w:right w:val="nil"/>
            </w:tcBorders>
            <w:shd w:val="clear" w:color="000000" w:fill="FFFFFF"/>
            <w:noWrap/>
            <w:vAlign w:val="center"/>
            <w:hideMark/>
          </w:tcPr>
          <w:p w14:paraId="099D0FDB" w14:textId="77777777" w:rsidR="00A01E9A" w:rsidRPr="00BB4A7B" w:rsidRDefault="00A01E9A" w:rsidP="00710FC1">
            <w:pPr>
              <w:spacing w:line="259" w:lineRule="auto"/>
              <w:jc w:val="center"/>
              <w:rPr>
                <w:rFonts w:ascii="Times New Roman" w:eastAsia="Times New Roman" w:hAnsi="Times New Roman" w:cs="Times New Roman"/>
                <w:b/>
                <w:bCs/>
                <w:color w:val="000000"/>
                <w:sz w:val="18"/>
                <w:szCs w:val="18"/>
              </w:rPr>
            </w:pPr>
            <w:r w:rsidRPr="00BB4A7B">
              <w:rPr>
                <w:rFonts w:ascii="Times New Roman" w:eastAsia="Times New Roman" w:hAnsi="Times New Roman" w:cs="Times New Roman"/>
                <w:b/>
                <w:bCs/>
                <w:color w:val="000000"/>
                <w:sz w:val="18"/>
                <w:szCs w:val="18"/>
              </w:rPr>
              <w:t>595</w:t>
            </w:r>
          </w:p>
        </w:tc>
        <w:tc>
          <w:tcPr>
            <w:tcW w:w="1163" w:type="dxa"/>
            <w:tcBorders>
              <w:top w:val="nil"/>
              <w:left w:val="nil"/>
              <w:bottom w:val="nil"/>
              <w:right w:val="nil"/>
            </w:tcBorders>
            <w:shd w:val="clear" w:color="000000" w:fill="FFFFFF"/>
            <w:noWrap/>
            <w:vAlign w:val="center"/>
            <w:hideMark/>
          </w:tcPr>
          <w:p w14:paraId="6975F243" w14:textId="77777777" w:rsidR="00A01E9A" w:rsidRPr="00BB4A7B" w:rsidRDefault="00A01E9A" w:rsidP="00710FC1">
            <w:pPr>
              <w:spacing w:line="259" w:lineRule="auto"/>
              <w:jc w:val="center"/>
              <w:rPr>
                <w:rFonts w:ascii="Times New Roman" w:eastAsia="Times New Roman" w:hAnsi="Times New Roman" w:cs="Times New Roman"/>
                <w:b/>
                <w:bCs/>
                <w:color w:val="000000"/>
                <w:sz w:val="18"/>
                <w:szCs w:val="18"/>
              </w:rPr>
            </w:pPr>
            <w:r w:rsidRPr="00BB4A7B">
              <w:rPr>
                <w:rFonts w:ascii="Times New Roman" w:eastAsia="Times New Roman" w:hAnsi="Times New Roman" w:cs="Times New Roman"/>
                <w:b/>
                <w:bCs/>
                <w:color w:val="000000"/>
                <w:sz w:val="18"/>
                <w:szCs w:val="18"/>
                <w:lang w:val="es-ES"/>
              </w:rPr>
              <w:t>1.5%</w:t>
            </w:r>
          </w:p>
        </w:tc>
        <w:tc>
          <w:tcPr>
            <w:tcW w:w="679" w:type="dxa"/>
            <w:tcBorders>
              <w:top w:val="nil"/>
              <w:left w:val="nil"/>
              <w:bottom w:val="nil"/>
              <w:right w:val="nil"/>
            </w:tcBorders>
            <w:shd w:val="clear" w:color="000000" w:fill="FFFFFF"/>
            <w:noWrap/>
            <w:vAlign w:val="center"/>
            <w:hideMark/>
          </w:tcPr>
          <w:p w14:paraId="6CDBECE6" w14:textId="77777777" w:rsidR="00A01E9A" w:rsidRPr="00BB4A7B" w:rsidRDefault="00A01E9A" w:rsidP="00710FC1">
            <w:pPr>
              <w:spacing w:line="259" w:lineRule="auto"/>
              <w:jc w:val="center"/>
              <w:rPr>
                <w:rFonts w:ascii="Times New Roman" w:eastAsia="Times New Roman" w:hAnsi="Times New Roman" w:cs="Times New Roman"/>
                <w:b/>
                <w:bCs/>
                <w:color w:val="000000"/>
                <w:sz w:val="18"/>
                <w:szCs w:val="18"/>
              </w:rPr>
            </w:pPr>
            <w:r w:rsidRPr="00BB4A7B">
              <w:rPr>
                <w:rFonts w:ascii="Times New Roman" w:eastAsia="Times New Roman" w:hAnsi="Times New Roman" w:cs="Times New Roman"/>
                <w:b/>
                <w:bCs/>
                <w:color w:val="000000"/>
                <w:sz w:val="18"/>
                <w:szCs w:val="18"/>
              </w:rPr>
              <w:t>586</w:t>
            </w:r>
          </w:p>
        </w:tc>
        <w:tc>
          <w:tcPr>
            <w:tcW w:w="927" w:type="dxa"/>
            <w:tcBorders>
              <w:top w:val="nil"/>
              <w:left w:val="nil"/>
              <w:bottom w:val="nil"/>
              <w:right w:val="nil"/>
            </w:tcBorders>
            <w:shd w:val="clear" w:color="000000" w:fill="FFFFFF"/>
            <w:noWrap/>
            <w:vAlign w:val="center"/>
            <w:hideMark/>
          </w:tcPr>
          <w:p w14:paraId="4C1C175C" w14:textId="77777777" w:rsidR="00A01E9A" w:rsidRPr="00BB4A7B" w:rsidRDefault="00A01E9A" w:rsidP="00710FC1">
            <w:pPr>
              <w:spacing w:line="259" w:lineRule="auto"/>
              <w:jc w:val="center"/>
              <w:rPr>
                <w:rFonts w:ascii="Times New Roman" w:eastAsia="Times New Roman" w:hAnsi="Times New Roman" w:cs="Times New Roman"/>
                <w:b/>
                <w:bCs/>
                <w:color w:val="000000"/>
                <w:sz w:val="18"/>
                <w:szCs w:val="18"/>
              </w:rPr>
            </w:pPr>
            <w:r w:rsidRPr="00BB4A7B">
              <w:rPr>
                <w:rFonts w:ascii="Times New Roman" w:eastAsia="Times New Roman" w:hAnsi="Times New Roman" w:cs="Times New Roman"/>
                <w:b/>
                <w:bCs/>
                <w:color w:val="000000"/>
                <w:sz w:val="18"/>
                <w:szCs w:val="18"/>
                <w:lang w:val="es-ES"/>
              </w:rPr>
              <w:t>1.4%</w:t>
            </w:r>
          </w:p>
        </w:tc>
        <w:tc>
          <w:tcPr>
            <w:tcW w:w="702" w:type="dxa"/>
            <w:tcBorders>
              <w:top w:val="nil"/>
              <w:left w:val="nil"/>
              <w:bottom w:val="nil"/>
              <w:right w:val="nil"/>
            </w:tcBorders>
            <w:shd w:val="clear" w:color="000000" w:fill="FFFFFF"/>
            <w:noWrap/>
            <w:vAlign w:val="center"/>
            <w:hideMark/>
          </w:tcPr>
          <w:p w14:paraId="6CB8FC29" w14:textId="77777777" w:rsidR="00A01E9A" w:rsidRPr="00BB4A7B" w:rsidRDefault="00A01E9A" w:rsidP="00710FC1">
            <w:pPr>
              <w:spacing w:line="259" w:lineRule="auto"/>
              <w:jc w:val="center"/>
              <w:rPr>
                <w:rFonts w:ascii="Times New Roman" w:eastAsia="Times New Roman" w:hAnsi="Times New Roman" w:cs="Times New Roman"/>
                <w:b/>
                <w:bCs/>
                <w:color w:val="000000"/>
                <w:sz w:val="18"/>
                <w:szCs w:val="18"/>
              </w:rPr>
            </w:pPr>
            <w:r w:rsidRPr="00BB4A7B">
              <w:rPr>
                <w:rFonts w:ascii="Times New Roman" w:eastAsia="Times New Roman" w:hAnsi="Times New Roman" w:cs="Times New Roman"/>
                <w:b/>
                <w:bCs/>
                <w:color w:val="000000"/>
                <w:sz w:val="18"/>
                <w:szCs w:val="18"/>
              </w:rPr>
              <w:t>4,290</w:t>
            </w:r>
          </w:p>
        </w:tc>
        <w:tc>
          <w:tcPr>
            <w:tcW w:w="781" w:type="dxa"/>
            <w:tcBorders>
              <w:top w:val="nil"/>
              <w:left w:val="nil"/>
              <w:bottom w:val="nil"/>
              <w:right w:val="nil"/>
            </w:tcBorders>
            <w:shd w:val="clear" w:color="000000" w:fill="FFFFFF"/>
            <w:noWrap/>
            <w:vAlign w:val="center"/>
            <w:hideMark/>
          </w:tcPr>
          <w:p w14:paraId="0FAEA5A3" w14:textId="77777777" w:rsidR="00A01E9A" w:rsidRPr="00BB4A7B" w:rsidRDefault="00A01E9A" w:rsidP="00710FC1">
            <w:pPr>
              <w:spacing w:line="259" w:lineRule="auto"/>
              <w:jc w:val="center"/>
              <w:rPr>
                <w:rFonts w:ascii="Times New Roman" w:eastAsia="Times New Roman" w:hAnsi="Times New Roman" w:cs="Times New Roman"/>
                <w:b/>
                <w:bCs/>
                <w:color w:val="000000"/>
                <w:sz w:val="18"/>
                <w:szCs w:val="18"/>
              </w:rPr>
            </w:pPr>
            <w:r w:rsidRPr="00BB4A7B">
              <w:rPr>
                <w:rFonts w:ascii="Times New Roman" w:eastAsia="Times New Roman" w:hAnsi="Times New Roman" w:cs="Times New Roman"/>
                <w:b/>
                <w:bCs/>
                <w:color w:val="000000"/>
                <w:sz w:val="18"/>
                <w:szCs w:val="18"/>
                <w:lang w:val="es-ES"/>
              </w:rPr>
              <w:t>10.5%</w:t>
            </w:r>
          </w:p>
        </w:tc>
      </w:tr>
      <w:tr w:rsidR="00A01E9A" w:rsidRPr="00BB4A7B" w14:paraId="372A8F6F" w14:textId="77777777" w:rsidTr="00E250FE">
        <w:trPr>
          <w:trHeight w:val="300"/>
          <w:jc w:val="center"/>
        </w:trPr>
        <w:tc>
          <w:tcPr>
            <w:tcW w:w="2780" w:type="dxa"/>
            <w:tcBorders>
              <w:top w:val="nil"/>
              <w:left w:val="nil"/>
              <w:bottom w:val="nil"/>
              <w:right w:val="nil"/>
            </w:tcBorders>
            <w:shd w:val="clear" w:color="000000" w:fill="E2EFDA"/>
            <w:noWrap/>
            <w:vAlign w:val="center"/>
            <w:hideMark/>
          </w:tcPr>
          <w:p w14:paraId="555484F9" w14:textId="77777777" w:rsidR="00A01E9A" w:rsidRPr="00BB4A7B" w:rsidRDefault="00A01E9A" w:rsidP="00710FC1">
            <w:pPr>
              <w:spacing w:line="259" w:lineRule="auto"/>
              <w:ind w:firstLineChars="100" w:firstLine="180"/>
              <w:jc w:val="lef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lang w:val="es-ES"/>
              </w:rPr>
              <w:t>Especialización</w:t>
            </w:r>
          </w:p>
        </w:tc>
        <w:tc>
          <w:tcPr>
            <w:tcW w:w="906" w:type="dxa"/>
            <w:tcBorders>
              <w:top w:val="nil"/>
              <w:left w:val="nil"/>
              <w:bottom w:val="nil"/>
              <w:right w:val="nil"/>
            </w:tcBorders>
            <w:shd w:val="clear" w:color="000000" w:fill="E2EFDA"/>
            <w:noWrap/>
            <w:vAlign w:val="center"/>
            <w:hideMark/>
          </w:tcPr>
          <w:p w14:paraId="267E1DD9" w14:textId="77777777" w:rsidR="00A01E9A" w:rsidRPr="00BB4A7B" w:rsidRDefault="00A01E9A" w:rsidP="00710FC1">
            <w:pPr>
              <w:spacing w:line="259" w:lineRule="auto"/>
              <w:jc w:val="center"/>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1,188</w:t>
            </w:r>
          </w:p>
        </w:tc>
        <w:tc>
          <w:tcPr>
            <w:tcW w:w="1028" w:type="dxa"/>
            <w:tcBorders>
              <w:top w:val="nil"/>
              <w:left w:val="nil"/>
              <w:bottom w:val="nil"/>
              <w:right w:val="nil"/>
            </w:tcBorders>
            <w:shd w:val="clear" w:color="000000" w:fill="E2EFDA"/>
            <w:noWrap/>
            <w:vAlign w:val="center"/>
            <w:hideMark/>
          </w:tcPr>
          <w:p w14:paraId="4F4BDC0E" w14:textId="77777777" w:rsidR="00A01E9A" w:rsidRPr="00BB4A7B" w:rsidRDefault="00A01E9A" w:rsidP="00710FC1">
            <w:pPr>
              <w:spacing w:line="259" w:lineRule="auto"/>
              <w:jc w:val="center"/>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lang w:val="es-ES"/>
              </w:rPr>
              <w:t>2.9%</w:t>
            </w:r>
          </w:p>
        </w:tc>
        <w:tc>
          <w:tcPr>
            <w:tcW w:w="815" w:type="dxa"/>
            <w:tcBorders>
              <w:top w:val="nil"/>
              <w:left w:val="nil"/>
              <w:bottom w:val="nil"/>
              <w:right w:val="nil"/>
            </w:tcBorders>
            <w:shd w:val="clear" w:color="000000" w:fill="E2EFDA"/>
            <w:noWrap/>
            <w:vAlign w:val="center"/>
            <w:hideMark/>
          </w:tcPr>
          <w:p w14:paraId="2C45F734" w14:textId="77777777" w:rsidR="00A01E9A" w:rsidRPr="00BB4A7B" w:rsidRDefault="00A01E9A" w:rsidP="00710FC1">
            <w:pPr>
              <w:spacing w:line="259" w:lineRule="auto"/>
              <w:jc w:val="center"/>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333</w:t>
            </w:r>
          </w:p>
        </w:tc>
        <w:tc>
          <w:tcPr>
            <w:tcW w:w="1163" w:type="dxa"/>
            <w:tcBorders>
              <w:top w:val="nil"/>
              <w:left w:val="nil"/>
              <w:bottom w:val="nil"/>
              <w:right w:val="nil"/>
            </w:tcBorders>
            <w:shd w:val="clear" w:color="000000" w:fill="E2EFDA"/>
            <w:noWrap/>
            <w:vAlign w:val="center"/>
            <w:hideMark/>
          </w:tcPr>
          <w:p w14:paraId="132951DF" w14:textId="77777777" w:rsidR="00A01E9A" w:rsidRPr="00BB4A7B" w:rsidRDefault="00A01E9A" w:rsidP="00710FC1">
            <w:pPr>
              <w:spacing w:line="259" w:lineRule="auto"/>
              <w:jc w:val="center"/>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lang w:val="es-ES"/>
              </w:rPr>
              <w:t>0.8%</w:t>
            </w:r>
          </w:p>
        </w:tc>
        <w:tc>
          <w:tcPr>
            <w:tcW w:w="679" w:type="dxa"/>
            <w:tcBorders>
              <w:top w:val="nil"/>
              <w:left w:val="nil"/>
              <w:bottom w:val="nil"/>
              <w:right w:val="nil"/>
            </w:tcBorders>
            <w:shd w:val="clear" w:color="000000" w:fill="E2EFDA"/>
            <w:noWrap/>
            <w:vAlign w:val="center"/>
            <w:hideMark/>
          </w:tcPr>
          <w:p w14:paraId="33369288" w14:textId="77777777" w:rsidR="00A01E9A" w:rsidRPr="00BB4A7B" w:rsidRDefault="00A01E9A" w:rsidP="00710FC1">
            <w:pPr>
              <w:spacing w:line="259" w:lineRule="auto"/>
              <w:jc w:val="center"/>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58</w:t>
            </w:r>
          </w:p>
        </w:tc>
        <w:tc>
          <w:tcPr>
            <w:tcW w:w="927" w:type="dxa"/>
            <w:tcBorders>
              <w:top w:val="nil"/>
              <w:left w:val="nil"/>
              <w:bottom w:val="nil"/>
              <w:right w:val="nil"/>
            </w:tcBorders>
            <w:shd w:val="clear" w:color="000000" w:fill="E2EFDA"/>
            <w:noWrap/>
            <w:vAlign w:val="center"/>
            <w:hideMark/>
          </w:tcPr>
          <w:p w14:paraId="4FA03FED" w14:textId="77777777" w:rsidR="00A01E9A" w:rsidRPr="00BB4A7B" w:rsidRDefault="00A01E9A" w:rsidP="00710FC1">
            <w:pPr>
              <w:spacing w:line="259" w:lineRule="auto"/>
              <w:jc w:val="center"/>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lang w:val="es-ES"/>
              </w:rPr>
              <w:t>0.1%</w:t>
            </w:r>
          </w:p>
        </w:tc>
        <w:tc>
          <w:tcPr>
            <w:tcW w:w="702" w:type="dxa"/>
            <w:tcBorders>
              <w:top w:val="nil"/>
              <w:left w:val="nil"/>
              <w:bottom w:val="nil"/>
              <w:right w:val="nil"/>
            </w:tcBorders>
            <w:shd w:val="clear" w:color="000000" w:fill="E2EFDA"/>
            <w:noWrap/>
            <w:vAlign w:val="center"/>
            <w:hideMark/>
          </w:tcPr>
          <w:p w14:paraId="51C13CBD" w14:textId="77777777" w:rsidR="00A01E9A" w:rsidRPr="00BB4A7B" w:rsidRDefault="00A01E9A" w:rsidP="00710FC1">
            <w:pPr>
              <w:spacing w:line="259" w:lineRule="auto"/>
              <w:jc w:val="center"/>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1,579</w:t>
            </w:r>
          </w:p>
        </w:tc>
        <w:tc>
          <w:tcPr>
            <w:tcW w:w="781" w:type="dxa"/>
            <w:tcBorders>
              <w:top w:val="nil"/>
              <w:left w:val="nil"/>
              <w:bottom w:val="nil"/>
              <w:right w:val="nil"/>
            </w:tcBorders>
            <w:shd w:val="clear" w:color="000000" w:fill="E2EFDA"/>
            <w:noWrap/>
            <w:vAlign w:val="center"/>
            <w:hideMark/>
          </w:tcPr>
          <w:p w14:paraId="7D441019" w14:textId="77777777" w:rsidR="00A01E9A" w:rsidRPr="00BB4A7B" w:rsidRDefault="00A01E9A" w:rsidP="00710FC1">
            <w:pPr>
              <w:spacing w:line="259" w:lineRule="auto"/>
              <w:jc w:val="center"/>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lang w:val="es-ES"/>
              </w:rPr>
              <w:t>3.9%</w:t>
            </w:r>
          </w:p>
        </w:tc>
      </w:tr>
      <w:tr w:rsidR="00A01E9A" w:rsidRPr="00BB4A7B" w14:paraId="05FB4329" w14:textId="77777777" w:rsidTr="00E250FE">
        <w:trPr>
          <w:trHeight w:val="300"/>
          <w:jc w:val="center"/>
        </w:trPr>
        <w:tc>
          <w:tcPr>
            <w:tcW w:w="2780" w:type="dxa"/>
            <w:tcBorders>
              <w:top w:val="nil"/>
              <w:left w:val="nil"/>
              <w:bottom w:val="nil"/>
              <w:right w:val="nil"/>
            </w:tcBorders>
            <w:shd w:val="clear" w:color="000000" w:fill="FFFFFF"/>
            <w:noWrap/>
            <w:vAlign w:val="center"/>
            <w:hideMark/>
          </w:tcPr>
          <w:p w14:paraId="76CD7501" w14:textId="77777777" w:rsidR="00A01E9A" w:rsidRPr="00BB4A7B" w:rsidRDefault="00A01E9A" w:rsidP="00710FC1">
            <w:pPr>
              <w:spacing w:line="259" w:lineRule="auto"/>
              <w:ind w:firstLineChars="100" w:firstLine="180"/>
              <w:jc w:val="lef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lang w:val="es-ES"/>
              </w:rPr>
              <w:t>Maestría</w:t>
            </w:r>
          </w:p>
        </w:tc>
        <w:tc>
          <w:tcPr>
            <w:tcW w:w="906" w:type="dxa"/>
            <w:tcBorders>
              <w:top w:val="nil"/>
              <w:left w:val="nil"/>
              <w:bottom w:val="nil"/>
              <w:right w:val="nil"/>
            </w:tcBorders>
            <w:shd w:val="clear" w:color="000000" w:fill="FFFFFF"/>
            <w:noWrap/>
            <w:vAlign w:val="center"/>
            <w:hideMark/>
          </w:tcPr>
          <w:p w14:paraId="430EA5D8" w14:textId="77777777" w:rsidR="00A01E9A" w:rsidRPr="00BB4A7B" w:rsidRDefault="00A01E9A" w:rsidP="00710FC1">
            <w:pPr>
              <w:spacing w:line="259" w:lineRule="auto"/>
              <w:jc w:val="center"/>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1,413</w:t>
            </w:r>
          </w:p>
        </w:tc>
        <w:tc>
          <w:tcPr>
            <w:tcW w:w="1028" w:type="dxa"/>
            <w:tcBorders>
              <w:top w:val="nil"/>
              <w:left w:val="nil"/>
              <w:bottom w:val="nil"/>
              <w:right w:val="nil"/>
            </w:tcBorders>
            <w:shd w:val="clear" w:color="000000" w:fill="FFFFFF"/>
            <w:noWrap/>
            <w:vAlign w:val="center"/>
            <w:hideMark/>
          </w:tcPr>
          <w:p w14:paraId="23FD1A53" w14:textId="77777777" w:rsidR="00A01E9A" w:rsidRPr="00BB4A7B" w:rsidRDefault="00A01E9A" w:rsidP="00710FC1">
            <w:pPr>
              <w:spacing w:line="259" w:lineRule="auto"/>
              <w:jc w:val="center"/>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lang w:val="es-ES"/>
              </w:rPr>
              <w:t>3.4%</w:t>
            </w:r>
          </w:p>
        </w:tc>
        <w:tc>
          <w:tcPr>
            <w:tcW w:w="815" w:type="dxa"/>
            <w:tcBorders>
              <w:top w:val="nil"/>
              <w:left w:val="nil"/>
              <w:bottom w:val="nil"/>
              <w:right w:val="nil"/>
            </w:tcBorders>
            <w:shd w:val="clear" w:color="000000" w:fill="FFFFFF"/>
            <w:noWrap/>
            <w:vAlign w:val="center"/>
            <w:hideMark/>
          </w:tcPr>
          <w:p w14:paraId="3FE7A73D" w14:textId="77777777" w:rsidR="00A01E9A" w:rsidRPr="00BB4A7B" w:rsidRDefault="00A01E9A" w:rsidP="00710FC1">
            <w:pPr>
              <w:spacing w:line="259" w:lineRule="auto"/>
              <w:jc w:val="center"/>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262</w:t>
            </w:r>
          </w:p>
        </w:tc>
        <w:tc>
          <w:tcPr>
            <w:tcW w:w="1163" w:type="dxa"/>
            <w:tcBorders>
              <w:top w:val="nil"/>
              <w:left w:val="nil"/>
              <w:bottom w:val="nil"/>
              <w:right w:val="nil"/>
            </w:tcBorders>
            <w:shd w:val="clear" w:color="000000" w:fill="FFFFFF"/>
            <w:noWrap/>
            <w:vAlign w:val="center"/>
            <w:hideMark/>
          </w:tcPr>
          <w:p w14:paraId="350794C5" w14:textId="77777777" w:rsidR="00A01E9A" w:rsidRPr="00BB4A7B" w:rsidRDefault="00A01E9A" w:rsidP="00710FC1">
            <w:pPr>
              <w:spacing w:line="259" w:lineRule="auto"/>
              <w:jc w:val="center"/>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lang w:val="es-ES"/>
              </w:rPr>
              <w:t>0.6%</w:t>
            </w:r>
          </w:p>
        </w:tc>
        <w:tc>
          <w:tcPr>
            <w:tcW w:w="679" w:type="dxa"/>
            <w:tcBorders>
              <w:top w:val="nil"/>
              <w:left w:val="nil"/>
              <w:bottom w:val="nil"/>
              <w:right w:val="nil"/>
            </w:tcBorders>
            <w:shd w:val="clear" w:color="000000" w:fill="FFFFFF"/>
            <w:noWrap/>
            <w:vAlign w:val="center"/>
            <w:hideMark/>
          </w:tcPr>
          <w:p w14:paraId="7EE31996" w14:textId="77777777" w:rsidR="00A01E9A" w:rsidRPr="00BB4A7B" w:rsidRDefault="00A01E9A" w:rsidP="00710FC1">
            <w:pPr>
              <w:spacing w:line="259" w:lineRule="auto"/>
              <w:jc w:val="center"/>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528</w:t>
            </w:r>
          </w:p>
        </w:tc>
        <w:tc>
          <w:tcPr>
            <w:tcW w:w="927" w:type="dxa"/>
            <w:tcBorders>
              <w:top w:val="nil"/>
              <w:left w:val="nil"/>
              <w:bottom w:val="nil"/>
              <w:right w:val="nil"/>
            </w:tcBorders>
            <w:shd w:val="clear" w:color="000000" w:fill="FFFFFF"/>
            <w:noWrap/>
            <w:vAlign w:val="center"/>
            <w:hideMark/>
          </w:tcPr>
          <w:p w14:paraId="69598F65" w14:textId="77777777" w:rsidR="00A01E9A" w:rsidRPr="00BB4A7B" w:rsidRDefault="00A01E9A" w:rsidP="00710FC1">
            <w:pPr>
              <w:spacing w:line="259" w:lineRule="auto"/>
              <w:jc w:val="center"/>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lang w:val="es-ES"/>
              </w:rPr>
              <w:t>1.3%</w:t>
            </w:r>
          </w:p>
        </w:tc>
        <w:tc>
          <w:tcPr>
            <w:tcW w:w="702" w:type="dxa"/>
            <w:tcBorders>
              <w:top w:val="nil"/>
              <w:left w:val="nil"/>
              <w:bottom w:val="nil"/>
              <w:right w:val="nil"/>
            </w:tcBorders>
            <w:shd w:val="clear" w:color="000000" w:fill="FFFFFF"/>
            <w:noWrap/>
            <w:vAlign w:val="center"/>
            <w:hideMark/>
          </w:tcPr>
          <w:p w14:paraId="2BDEF1EE" w14:textId="77777777" w:rsidR="00A01E9A" w:rsidRPr="00BB4A7B" w:rsidRDefault="00A01E9A" w:rsidP="00710FC1">
            <w:pPr>
              <w:spacing w:line="259" w:lineRule="auto"/>
              <w:jc w:val="center"/>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2,203</w:t>
            </w:r>
          </w:p>
        </w:tc>
        <w:tc>
          <w:tcPr>
            <w:tcW w:w="781" w:type="dxa"/>
            <w:tcBorders>
              <w:top w:val="nil"/>
              <w:left w:val="nil"/>
              <w:bottom w:val="nil"/>
              <w:right w:val="nil"/>
            </w:tcBorders>
            <w:shd w:val="clear" w:color="000000" w:fill="FFFFFF"/>
            <w:noWrap/>
            <w:vAlign w:val="center"/>
            <w:hideMark/>
          </w:tcPr>
          <w:p w14:paraId="22F401F1" w14:textId="77777777" w:rsidR="00A01E9A" w:rsidRPr="00BB4A7B" w:rsidRDefault="00A01E9A" w:rsidP="00710FC1">
            <w:pPr>
              <w:spacing w:line="259" w:lineRule="auto"/>
              <w:jc w:val="center"/>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lang w:val="es-ES"/>
              </w:rPr>
              <w:t>5.4%</w:t>
            </w:r>
          </w:p>
        </w:tc>
      </w:tr>
      <w:tr w:rsidR="00A01E9A" w:rsidRPr="00BB4A7B" w14:paraId="373B5CC0" w14:textId="77777777" w:rsidTr="00E250FE">
        <w:trPr>
          <w:trHeight w:val="300"/>
          <w:jc w:val="center"/>
        </w:trPr>
        <w:tc>
          <w:tcPr>
            <w:tcW w:w="2780" w:type="dxa"/>
            <w:tcBorders>
              <w:top w:val="nil"/>
              <w:left w:val="nil"/>
              <w:bottom w:val="nil"/>
              <w:right w:val="nil"/>
            </w:tcBorders>
            <w:shd w:val="clear" w:color="000000" w:fill="E2EFDA"/>
            <w:noWrap/>
            <w:vAlign w:val="center"/>
            <w:hideMark/>
          </w:tcPr>
          <w:p w14:paraId="134C2FBF" w14:textId="77777777" w:rsidR="00A01E9A" w:rsidRPr="00BB4A7B" w:rsidRDefault="00A01E9A" w:rsidP="00710FC1">
            <w:pPr>
              <w:spacing w:line="259" w:lineRule="auto"/>
              <w:ind w:firstLineChars="100" w:firstLine="180"/>
              <w:jc w:val="lef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lang w:val="es-ES"/>
              </w:rPr>
              <w:t>Doctorado</w:t>
            </w:r>
          </w:p>
        </w:tc>
        <w:tc>
          <w:tcPr>
            <w:tcW w:w="906" w:type="dxa"/>
            <w:tcBorders>
              <w:top w:val="nil"/>
              <w:left w:val="nil"/>
              <w:bottom w:val="nil"/>
              <w:right w:val="nil"/>
            </w:tcBorders>
            <w:shd w:val="clear" w:color="000000" w:fill="E2EFDA"/>
            <w:noWrap/>
            <w:vAlign w:val="center"/>
            <w:hideMark/>
          </w:tcPr>
          <w:p w14:paraId="6CD08089" w14:textId="77777777" w:rsidR="00A01E9A" w:rsidRPr="00BB4A7B" w:rsidRDefault="00A01E9A" w:rsidP="00710FC1">
            <w:pPr>
              <w:spacing w:line="259" w:lineRule="auto"/>
              <w:jc w:val="center"/>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508</w:t>
            </w:r>
          </w:p>
        </w:tc>
        <w:tc>
          <w:tcPr>
            <w:tcW w:w="1028" w:type="dxa"/>
            <w:tcBorders>
              <w:top w:val="nil"/>
              <w:left w:val="nil"/>
              <w:bottom w:val="nil"/>
              <w:right w:val="nil"/>
            </w:tcBorders>
            <w:shd w:val="clear" w:color="000000" w:fill="E2EFDA"/>
            <w:noWrap/>
            <w:vAlign w:val="center"/>
            <w:hideMark/>
          </w:tcPr>
          <w:p w14:paraId="15DFF2EB" w14:textId="77777777" w:rsidR="00A01E9A" w:rsidRPr="00BB4A7B" w:rsidRDefault="00A01E9A" w:rsidP="00710FC1">
            <w:pPr>
              <w:spacing w:line="259" w:lineRule="auto"/>
              <w:jc w:val="center"/>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lang w:val="es-ES"/>
              </w:rPr>
              <w:t>1.2%</w:t>
            </w:r>
          </w:p>
        </w:tc>
        <w:tc>
          <w:tcPr>
            <w:tcW w:w="815" w:type="dxa"/>
            <w:tcBorders>
              <w:top w:val="nil"/>
              <w:left w:val="nil"/>
              <w:bottom w:val="nil"/>
              <w:right w:val="nil"/>
            </w:tcBorders>
            <w:shd w:val="clear" w:color="000000" w:fill="E2EFDA"/>
            <w:noWrap/>
            <w:vAlign w:val="center"/>
            <w:hideMark/>
          </w:tcPr>
          <w:p w14:paraId="4B76F19E" w14:textId="77777777" w:rsidR="00A01E9A" w:rsidRPr="00BB4A7B" w:rsidRDefault="00A01E9A" w:rsidP="00710FC1">
            <w:pPr>
              <w:spacing w:line="259" w:lineRule="auto"/>
              <w:jc w:val="center"/>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 </w:t>
            </w:r>
            <w:r w:rsidRPr="00BB4A7B">
              <w:rPr>
                <w:rFonts w:ascii="Times New Roman" w:eastAsia="Times New Roman" w:hAnsi="Times New Roman" w:cs="Times New Roman"/>
                <w:color w:val="000000"/>
                <w:sz w:val="18"/>
                <w:szCs w:val="18"/>
                <w:lang w:val="es-ES"/>
              </w:rPr>
              <w:t>0.0%</w:t>
            </w:r>
          </w:p>
        </w:tc>
        <w:tc>
          <w:tcPr>
            <w:tcW w:w="1163" w:type="dxa"/>
            <w:tcBorders>
              <w:top w:val="nil"/>
              <w:left w:val="nil"/>
              <w:bottom w:val="nil"/>
              <w:right w:val="nil"/>
            </w:tcBorders>
            <w:shd w:val="clear" w:color="000000" w:fill="E2EFDA"/>
            <w:noWrap/>
            <w:vAlign w:val="center"/>
            <w:hideMark/>
          </w:tcPr>
          <w:p w14:paraId="2D2028D8" w14:textId="77777777" w:rsidR="00A01E9A" w:rsidRPr="00BB4A7B" w:rsidRDefault="00A01E9A" w:rsidP="00710FC1">
            <w:pPr>
              <w:spacing w:line="259" w:lineRule="auto"/>
              <w:jc w:val="center"/>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lang w:val="es-ES"/>
              </w:rPr>
              <w:t>0.0%</w:t>
            </w:r>
          </w:p>
        </w:tc>
        <w:tc>
          <w:tcPr>
            <w:tcW w:w="679" w:type="dxa"/>
            <w:tcBorders>
              <w:top w:val="nil"/>
              <w:left w:val="nil"/>
              <w:bottom w:val="nil"/>
              <w:right w:val="nil"/>
            </w:tcBorders>
            <w:shd w:val="clear" w:color="000000" w:fill="E2EFDA"/>
            <w:noWrap/>
            <w:vAlign w:val="center"/>
            <w:hideMark/>
          </w:tcPr>
          <w:p w14:paraId="45CBB644" w14:textId="77777777" w:rsidR="00A01E9A" w:rsidRPr="00BB4A7B" w:rsidRDefault="00A01E9A" w:rsidP="00710FC1">
            <w:pPr>
              <w:spacing w:line="259" w:lineRule="auto"/>
              <w:jc w:val="center"/>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 </w:t>
            </w:r>
            <w:r w:rsidRPr="00BB4A7B">
              <w:rPr>
                <w:rFonts w:ascii="Times New Roman" w:eastAsia="Times New Roman" w:hAnsi="Times New Roman" w:cs="Times New Roman"/>
                <w:color w:val="000000"/>
                <w:sz w:val="18"/>
                <w:szCs w:val="18"/>
                <w:lang w:val="es-ES"/>
              </w:rPr>
              <w:t>0.0%</w:t>
            </w:r>
          </w:p>
        </w:tc>
        <w:tc>
          <w:tcPr>
            <w:tcW w:w="927" w:type="dxa"/>
            <w:tcBorders>
              <w:top w:val="nil"/>
              <w:left w:val="nil"/>
              <w:bottom w:val="nil"/>
              <w:right w:val="nil"/>
            </w:tcBorders>
            <w:shd w:val="clear" w:color="000000" w:fill="E2EFDA"/>
            <w:noWrap/>
            <w:vAlign w:val="center"/>
            <w:hideMark/>
          </w:tcPr>
          <w:p w14:paraId="331C39B4" w14:textId="77777777" w:rsidR="00A01E9A" w:rsidRPr="00BB4A7B" w:rsidRDefault="00A01E9A" w:rsidP="00710FC1">
            <w:pPr>
              <w:spacing w:line="259" w:lineRule="auto"/>
              <w:jc w:val="center"/>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lang w:val="es-ES"/>
              </w:rPr>
              <w:t>0.0%</w:t>
            </w:r>
          </w:p>
        </w:tc>
        <w:tc>
          <w:tcPr>
            <w:tcW w:w="702" w:type="dxa"/>
            <w:tcBorders>
              <w:top w:val="nil"/>
              <w:left w:val="nil"/>
              <w:bottom w:val="nil"/>
              <w:right w:val="nil"/>
            </w:tcBorders>
            <w:shd w:val="clear" w:color="000000" w:fill="E2EFDA"/>
            <w:noWrap/>
            <w:vAlign w:val="center"/>
            <w:hideMark/>
          </w:tcPr>
          <w:p w14:paraId="5CDE708D" w14:textId="77777777" w:rsidR="00A01E9A" w:rsidRPr="00BB4A7B" w:rsidRDefault="00A01E9A" w:rsidP="00710FC1">
            <w:pPr>
              <w:spacing w:line="259" w:lineRule="auto"/>
              <w:jc w:val="center"/>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508</w:t>
            </w:r>
          </w:p>
        </w:tc>
        <w:tc>
          <w:tcPr>
            <w:tcW w:w="781" w:type="dxa"/>
            <w:tcBorders>
              <w:top w:val="nil"/>
              <w:left w:val="nil"/>
              <w:bottom w:val="nil"/>
              <w:right w:val="nil"/>
            </w:tcBorders>
            <w:shd w:val="clear" w:color="000000" w:fill="E2EFDA"/>
            <w:noWrap/>
            <w:vAlign w:val="center"/>
            <w:hideMark/>
          </w:tcPr>
          <w:p w14:paraId="5C90B9F9" w14:textId="77777777" w:rsidR="00A01E9A" w:rsidRPr="00BB4A7B" w:rsidRDefault="00A01E9A" w:rsidP="00710FC1">
            <w:pPr>
              <w:spacing w:line="259" w:lineRule="auto"/>
              <w:jc w:val="center"/>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lang w:val="es-ES"/>
              </w:rPr>
              <w:t>1.2%</w:t>
            </w:r>
          </w:p>
        </w:tc>
      </w:tr>
      <w:tr w:rsidR="00A01E9A" w:rsidRPr="00BB4A7B" w14:paraId="172A6D15" w14:textId="77777777" w:rsidTr="00E250FE">
        <w:trPr>
          <w:trHeight w:val="315"/>
          <w:jc w:val="center"/>
        </w:trPr>
        <w:tc>
          <w:tcPr>
            <w:tcW w:w="2780" w:type="dxa"/>
            <w:tcBorders>
              <w:top w:val="nil"/>
              <w:left w:val="nil"/>
              <w:bottom w:val="single" w:sz="8" w:space="0" w:color="auto"/>
              <w:right w:val="nil"/>
            </w:tcBorders>
            <w:shd w:val="clear" w:color="000000" w:fill="FFFFFF"/>
            <w:noWrap/>
            <w:vAlign w:val="center"/>
            <w:hideMark/>
          </w:tcPr>
          <w:p w14:paraId="7B61FCAD" w14:textId="77777777" w:rsidR="00A01E9A" w:rsidRPr="00BB4A7B" w:rsidRDefault="00A01E9A" w:rsidP="00710FC1">
            <w:pPr>
              <w:spacing w:line="259" w:lineRule="auto"/>
              <w:jc w:val="center"/>
              <w:rPr>
                <w:rFonts w:ascii="Times New Roman" w:eastAsia="Times New Roman" w:hAnsi="Times New Roman" w:cs="Times New Roman"/>
                <w:b/>
                <w:bCs/>
                <w:color w:val="000000"/>
                <w:sz w:val="18"/>
                <w:szCs w:val="18"/>
              </w:rPr>
            </w:pPr>
            <w:r w:rsidRPr="00BB4A7B">
              <w:rPr>
                <w:rFonts w:ascii="Times New Roman" w:eastAsia="Times New Roman" w:hAnsi="Times New Roman" w:cs="Times New Roman"/>
                <w:b/>
                <w:bCs/>
                <w:color w:val="000000"/>
                <w:sz w:val="18"/>
                <w:szCs w:val="18"/>
                <w:lang w:val="es-ES"/>
              </w:rPr>
              <w:t>Total</w:t>
            </w:r>
          </w:p>
        </w:tc>
        <w:tc>
          <w:tcPr>
            <w:tcW w:w="906" w:type="dxa"/>
            <w:tcBorders>
              <w:top w:val="nil"/>
              <w:left w:val="nil"/>
              <w:bottom w:val="single" w:sz="8" w:space="0" w:color="auto"/>
              <w:right w:val="nil"/>
            </w:tcBorders>
            <w:shd w:val="clear" w:color="000000" w:fill="FFFFFF"/>
            <w:noWrap/>
            <w:vAlign w:val="center"/>
            <w:hideMark/>
          </w:tcPr>
          <w:p w14:paraId="79276B43" w14:textId="77777777" w:rsidR="00A01E9A" w:rsidRPr="00BB4A7B" w:rsidRDefault="00A01E9A" w:rsidP="00710FC1">
            <w:pPr>
              <w:spacing w:line="259" w:lineRule="auto"/>
              <w:jc w:val="center"/>
              <w:rPr>
                <w:rFonts w:ascii="Times New Roman" w:eastAsia="Times New Roman" w:hAnsi="Times New Roman" w:cs="Times New Roman"/>
                <w:b/>
                <w:bCs/>
                <w:color w:val="000000"/>
                <w:sz w:val="18"/>
                <w:szCs w:val="18"/>
              </w:rPr>
            </w:pPr>
            <w:r w:rsidRPr="00BB4A7B">
              <w:rPr>
                <w:rFonts w:ascii="Times New Roman" w:eastAsia="Times New Roman" w:hAnsi="Times New Roman" w:cs="Times New Roman"/>
                <w:b/>
                <w:bCs/>
                <w:color w:val="000000"/>
                <w:sz w:val="18"/>
                <w:szCs w:val="18"/>
              </w:rPr>
              <w:t>35,083</w:t>
            </w:r>
          </w:p>
        </w:tc>
        <w:tc>
          <w:tcPr>
            <w:tcW w:w="1028" w:type="dxa"/>
            <w:tcBorders>
              <w:top w:val="nil"/>
              <w:left w:val="nil"/>
              <w:bottom w:val="single" w:sz="8" w:space="0" w:color="auto"/>
              <w:right w:val="nil"/>
            </w:tcBorders>
            <w:shd w:val="clear" w:color="000000" w:fill="FFFFFF"/>
            <w:noWrap/>
            <w:vAlign w:val="center"/>
            <w:hideMark/>
          </w:tcPr>
          <w:p w14:paraId="784AD143" w14:textId="77777777" w:rsidR="00A01E9A" w:rsidRPr="00BB4A7B" w:rsidRDefault="00A01E9A" w:rsidP="00710FC1">
            <w:pPr>
              <w:spacing w:line="259" w:lineRule="auto"/>
              <w:jc w:val="center"/>
              <w:rPr>
                <w:rFonts w:ascii="Times New Roman" w:eastAsia="Times New Roman" w:hAnsi="Times New Roman" w:cs="Times New Roman"/>
                <w:b/>
                <w:bCs/>
                <w:color w:val="000000"/>
                <w:sz w:val="18"/>
                <w:szCs w:val="18"/>
              </w:rPr>
            </w:pPr>
            <w:r w:rsidRPr="00BB4A7B">
              <w:rPr>
                <w:rFonts w:ascii="Times New Roman" w:eastAsia="Times New Roman" w:hAnsi="Times New Roman" w:cs="Times New Roman"/>
                <w:b/>
                <w:bCs/>
                <w:color w:val="000000"/>
                <w:sz w:val="18"/>
                <w:szCs w:val="18"/>
                <w:lang w:val="es-ES"/>
              </w:rPr>
              <w:t>85.6%</w:t>
            </w:r>
          </w:p>
        </w:tc>
        <w:tc>
          <w:tcPr>
            <w:tcW w:w="815" w:type="dxa"/>
            <w:tcBorders>
              <w:top w:val="nil"/>
              <w:left w:val="nil"/>
              <w:bottom w:val="single" w:sz="8" w:space="0" w:color="auto"/>
              <w:right w:val="nil"/>
            </w:tcBorders>
            <w:shd w:val="clear" w:color="000000" w:fill="FFFFFF"/>
            <w:noWrap/>
            <w:vAlign w:val="center"/>
            <w:hideMark/>
          </w:tcPr>
          <w:p w14:paraId="694AF524" w14:textId="77777777" w:rsidR="00A01E9A" w:rsidRPr="00BB4A7B" w:rsidRDefault="00A01E9A" w:rsidP="00710FC1">
            <w:pPr>
              <w:spacing w:line="259" w:lineRule="auto"/>
              <w:jc w:val="center"/>
              <w:rPr>
                <w:rFonts w:ascii="Times New Roman" w:eastAsia="Times New Roman" w:hAnsi="Times New Roman" w:cs="Times New Roman"/>
                <w:b/>
                <w:bCs/>
                <w:color w:val="000000"/>
                <w:sz w:val="18"/>
                <w:szCs w:val="18"/>
              </w:rPr>
            </w:pPr>
            <w:r w:rsidRPr="00BB4A7B">
              <w:rPr>
                <w:rFonts w:ascii="Times New Roman" w:eastAsia="Times New Roman" w:hAnsi="Times New Roman" w:cs="Times New Roman"/>
                <w:b/>
                <w:bCs/>
                <w:color w:val="000000"/>
                <w:sz w:val="18"/>
                <w:szCs w:val="18"/>
              </w:rPr>
              <w:t>3,423</w:t>
            </w:r>
          </w:p>
        </w:tc>
        <w:tc>
          <w:tcPr>
            <w:tcW w:w="1163" w:type="dxa"/>
            <w:tcBorders>
              <w:top w:val="nil"/>
              <w:left w:val="nil"/>
              <w:bottom w:val="single" w:sz="8" w:space="0" w:color="auto"/>
              <w:right w:val="nil"/>
            </w:tcBorders>
            <w:shd w:val="clear" w:color="000000" w:fill="FFFFFF"/>
            <w:noWrap/>
            <w:vAlign w:val="center"/>
            <w:hideMark/>
          </w:tcPr>
          <w:p w14:paraId="7BAB6561" w14:textId="77777777" w:rsidR="00A01E9A" w:rsidRPr="00BB4A7B" w:rsidRDefault="00A01E9A" w:rsidP="00710FC1">
            <w:pPr>
              <w:spacing w:line="259" w:lineRule="auto"/>
              <w:jc w:val="center"/>
              <w:rPr>
                <w:rFonts w:ascii="Times New Roman" w:eastAsia="Times New Roman" w:hAnsi="Times New Roman" w:cs="Times New Roman"/>
                <w:b/>
                <w:bCs/>
                <w:color w:val="000000"/>
                <w:sz w:val="18"/>
                <w:szCs w:val="18"/>
              </w:rPr>
            </w:pPr>
            <w:r w:rsidRPr="00BB4A7B">
              <w:rPr>
                <w:rFonts w:ascii="Times New Roman" w:eastAsia="Times New Roman" w:hAnsi="Times New Roman" w:cs="Times New Roman"/>
                <w:b/>
                <w:bCs/>
                <w:color w:val="000000"/>
                <w:sz w:val="18"/>
                <w:szCs w:val="18"/>
                <w:lang w:val="es-ES"/>
              </w:rPr>
              <w:t>8.4%</w:t>
            </w:r>
          </w:p>
        </w:tc>
        <w:tc>
          <w:tcPr>
            <w:tcW w:w="679" w:type="dxa"/>
            <w:tcBorders>
              <w:top w:val="nil"/>
              <w:left w:val="nil"/>
              <w:bottom w:val="single" w:sz="8" w:space="0" w:color="auto"/>
              <w:right w:val="nil"/>
            </w:tcBorders>
            <w:shd w:val="clear" w:color="000000" w:fill="FFFFFF"/>
            <w:noWrap/>
            <w:vAlign w:val="center"/>
            <w:hideMark/>
          </w:tcPr>
          <w:p w14:paraId="795D2B60" w14:textId="77777777" w:rsidR="00A01E9A" w:rsidRPr="00BB4A7B" w:rsidRDefault="00A01E9A" w:rsidP="00710FC1">
            <w:pPr>
              <w:spacing w:line="259" w:lineRule="auto"/>
              <w:jc w:val="center"/>
              <w:rPr>
                <w:rFonts w:ascii="Times New Roman" w:eastAsia="Times New Roman" w:hAnsi="Times New Roman" w:cs="Times New Roman"/>
                <w:b/>
                <w:bCs/>
                <w:color w:val="000000"/>
                <w:sz w:val="18"/>
                <w:szCs w:val="18"/>
              </w:rPr>
            </w:pPr>
            <w:r w:rsidRPr="00BB4A7B">
              <w:rPr>
                <w:rFonts w:ascii="Times New Roman" w:eastAsia="Times New Roman" w:hAnsi="Times New Roman" w:cs="Times New Roman"/>
                <w:b/>
                <w:bCs/>
                <w:color w:val="000000"/>
                <w:sz w:val="18"/>
                <w:szCs w:val="18"/>
              </w:rPr>
              <w:t>2,488</w:t>
            </w:r>
          </w:p>
        </w:tc>
        <w:tc>
          <w:tcPr>
            <w:tcW w:w="927" w:type="dxa"/>
            <w:tcBorders>
              <w:top w:val="nil"/>
              <w:left w:val="nil"/>
              <w:bottom w:val="single" w:sz="8" w:space="0" w:color="auto"/>
              <w:right w:val="nil"/>
            </w:tcBorders>
            <w:shd w:val="clear" w:color="000000" w:fill="FFFFFF"/>
            <w:noWrap/>
            <w:vAlign w:val="center"/>
            <w:hideMark/>
          </w:tcPr>
          <w:p w14:paraId="06560CDF" w14:textId="77777777" w:rsidR="00A01E9A" w:rsidRPr="00BB4A7B" w:rsidRDefault="00A01E9A" w:rsidP="00710FC1">
            <w:pPr>
              <w:spacing w:line="259" w:lineRule="auto"/>
              <w:jc w:val="center"/>
              <w:rPr>
                <w:rFonts w:ascii="Times New Roman" w:eastAsia="Times New Roman" w:hAnsi="Times New Roman" w:cs="Times New Roman"/>
                <w:b/>
                <w:bCs/>
                <w:color w:val="000000"/>
                <w:sz w:val="18"/>
                <w:szCs w:val="18"/>
              </w:rPr>
            </w:pPr>
            <w:r w:rsidRPr="00BB4A7B">
              <w:rPr>
                <w:rFonts w:ascii="Times New Roman" w:eastAsia="Times New Roman" w:hAnsi="Times New Roman" w:cs="Times New Roman"/>
                <w:b/>
                <w:bCs/>
                <w:color w:val="000000"/>
                <w:sz w:val="18"/>
                <w:szCs w:val="18"/>
                <w:lang w:val="es-ES"/>
              </w:rPr>
              <w:t>6.1%</w:t>
            </w:r>
          </w:p>
        </w:tc>
        <w:tc>
          <w:tcPr>
            <w:tcW w:w="702" w:type="dxa"/>
            <w:tcBorders>
              <w:top w:val="nil"/>
              <w:left w:val="nil"/>
              <w:bottom w:val="single" w:sz="8" w:space="0" w:color="auto"/>
              <w:right w:val="nil"/>
            </w:tcBorders>
            <w:shd w:val="clear" w:color="000000" w:fill="FFFFFF"/>
            <w:noWrap/>
            <w:vAlign w:val="center"/>
            <w:hideMark/>
          </w:tcPr>
          <w:p w14:paraId="2E387864" w14:textId="77777777" w:rsidR="00A01E9A" w:rsidRPr="00BB4A7B" w:rsidRDefault="00A01E9A" w:rsidP="00710FC1">
            <w:pPr>
              <w:spacing w:line="259" w:lineRule="auto"/>
              <w:jc w:val="center"/>
              <w:rPr>
                <w:rFonts w:ascii="Times New Roman" w:eastAsia="Times New Roman" w:hAnsi="Times New Roman" w:cs="Times New Roman"/>
                <w:b/>
                <w:bCs/>
                <w:color w:val="000000"/>
                <w:sz w:val="18"/>
                <w:szCs w:val="18"/>
              </w:rPr>
            </w:pPr>
            <w:r w:rsidRPr="00BB4A7B">
              <w:rPr>
                <w:rFonts w:ascii="Times New Roman" w:eastAsia="Times New Roman" w:hAnsi="Times New Roman" w:cs="Times New Roman"/>
                <w:b/>
                <w:bCs/>
                <w:color w:val="000000"/>
                <w:sz w:val="18"/>
                <w:szCs w:val="18"/>
              </w:rPr>
              <w:t>40,994</w:t>
            </w:r>
          </w:p>
        </w:tc>
        <w:tc>
          <w:tcPr>
            <w:tcW w:w="781" w:type="dxa"/>
            <w:tcBorders>
              <w:top w:val="nil"/>
              <w:left w:val="nil"/>
              <w:bottom w:val="single" w:sz="8" w:space="0" w:color="auto"/>
              <w:right w:val="nil"/>
            </w:tcBorders>
            <w:shd w:val="clear" w:color="000000" w:fill="FFFFFF"/>
            <w:noWrap/>
            <w:vAlign w:val="center"/>
            <w:hideMark/>
          </w:tcPr>
          <w:p w14:paraId="476F62B4" w14:textId="77777777" w:rsidR="00A01E9A" w:rsidRPr="00BB4A7B" w:rsidRDefault="00A01E9A" w:rsidP="00710FC1">
            <w:pPr>
              <w:spacing w:line="259" w:lineRule="auto"/>
              <w:jc w:val="center"/>
              <w:rPr>
                <w:rFonts w:ascii="Times New Roman" w:eastAsia="Times New Roman" w:hAnsi="Times New Roman" w:cs="Times New Roman"/>
                <w:b/>
                <w:bCs/>
                <w:color w:val="000000"/>
                <w:sz w:val="18"/>
                <w:szCs w:val="18"/>
              </w:rPr>
            </w:pPr>
            <w:r w:rsidRPr="00BB4A7B">
              <w:rPr>
                <w:rFonts w:ascii="Times New Roman" w:eastAsia="Times New Roman" w:hAnsi="Times New Roman" w:cs="Times New Roman"/>
                <w:b/>
                <w:bCs/>
                <w:color w:val="000000"/>
                <w:sz w:val="18"/>
                <w:szCs w:val="18"/>
                <w:lang w:val="es-ES"/>
              </w:rPr>
              <w:t>100.0%</w:t>
            </w:r>
          </w:p>
        </w:tc>
      </w:tr>
    </w:tbl>
    <w:p w14:paraId="51A7825D" w14:textId="77777777" w:rsidR="00A01E9A" w:rsidRPr="00BB4A7B" w:rsidRDefault="00A01E9A" w:rsidP="00710FC1">
      <w:pPr>
        <w:keepNext/>
        <w:keepLines/>
        <w:spacing w:line="259" w:lineRule="auto"/>
        <w:jc w:val="center"/>
        <w:rPr>
          <w:rFonts w:ascii="Times New Roman" w:hAnsi="Times New Roman" w:cs="Times New Roman"/>
          <w:color w:val="000000"/>
          <w:sz w:val="18"/>
          <w:szCs w:val="18"/>
        </w:rPr>
      </w:pPr>
      <w:r w:rsidRPr="00BB4A7B">
        <w:rPr>
          <w:rFonts w:ascii="Times New Roman" w:hAnsi="Times New Roman" w:cs="Times New Roman"/>
          <w:color w:val="000000"/>
          <w:sz w:val="18"/>
          <w:szCs w:val="18"/>
        </w:rPr>
        <w:t>Fuente: MEN-SNIES</w:t>
      </w:r>
    </w:p>
    <w:p w14:paraId="7C771585" w14:textId="77777777" w:rsidR="00AC08A8" w:rsidRPr="00BB4A7B" w:rsidRDefault="00AC08A8" w:rsidP="00710FC1">
      <w:pPr>
        <w:spacing w:line="259" w:lineRule="auto"/>
        <w:rPr>
          <w:rFonts w:ascii="Times New Roman" w:hAnsi="Times New Roman" w:cs="Times New Roman"/>
        </w:rPr>
      </w:pPr>
    </w:p>
    <w:p w14:paraId="2E969605" w14:textId="77777777" w:rsidR="00710FC1" w:rsidRPr="00BB4A7B" w:rsidRDefault="00710FC1" w:rsidP="00710FC1">
      <w:pPr>
        <w:spacing w:line="259" w:lineRule="auto"/>
        <w:rPr>
          <w:rFonts w:ascii="Times New Roman" w:hAnsi="Times New Roman" w:cs="Times New Roman"/>
        </w:rPr>
      </w:pPr>
    </w:p>
    <w:p w14:paraId="1925795E" w14:textId="14F878D7" w:rsidR="00710FC1" w:rsidRPr="00A41F4E" w:rsidRDefault="00710FC1" w:rsidP="00A41F4E">
      <w:pPr>
        <w:rPr>
          <w:rFonts w:ascii="Times New Roman" w:hAnsi="Times New Roman" w:cs="Times New Roman"/>
          <w:sz w:val="24"/>
        </w:rPr>
      </w:pPr>
      <w:r w:rsidRPr="00A41F4E">
        <w:rPr>
          <w:rFonts w:ascii="Times New Roman" w:hAnsi="Times New Roman" w:cs="Times New Roman"/>
          <w:sz w:val="24"/>
        </w:rPr>
        <w:t xml:space="preserve">La Tasa de Cobertura Bruta es quizás el indicador más representativo del avance de las políticas de educación superior, ya que en ella se resumen el acceso, la ampliación de la matrícula (en valores absolutos y relativos), la permanencia en el sistema, el fortalecimiento de la formación T y T y el cierre de brechas regionales, </w:t>
      </w:r>
      <w:r w:rsidR="00A41F4E">
        <w:rPr>
          <w:rFonts w:ascii="Times New Roman" w:hAnsi="Times New Roman" w:cs="Times New Roman"/>
          <w:sz w:val="24"/>
        </w:rPr>
        <w:t>que comprende</w:t>
      </w:r>
      <w:r w:rsidRPr="00A41F4E">
        <w:rPr>
          <w:rFonts w:ascii="Times New Roman" w:hAnsi="Times New Roman" w:cs="Times New Roman"/>
          <w:sz w:val="24"/>
        </w:rPr>
        <w:t xml:space="preserve"> la proporción de matriculados en el nivel educativo de pregrado (técnico profesional, tecnológico y universitario) sobre la población de 17 a 21 años y es representada con la sigla (TCB).</w:t>
      </w:r>
    </w:p>
    <w:p w14:paraId="4DADB854" w14:textId="4A0F9C87" w:rsidR="00710FC1" w:rsidRPr="00A41F4E" w:rsidRDefault="00710FC1" w:rsidP="00A41F4E">
      <w:pPr>
        <w:autoSpaceDE w:val="0"/>
        <w:autoSpaceDN w:val="0"/>
        <w:adjustRightInd w:val="0"/>
        <w:rPr>
          <w:rFonts w:ascii="Times New Roman" w:hAnsi="Times New Roman" w:cs="Times New Roman"/>
          <w:sz w:val="24"/>
        </w:rPr>
      </w:pPr>
    </w:p>
    <w:p w14:paraId="1CCC7078" w14:textId="7AEA8EE5" w:rsidR="00710FC1" w:rsidRDefault="00710FC1" w:rsidP="00A41F4E">
      <w:pPr>
        <w:rPr>
          <w:rFonts w:ascii="Times New Roman" w:hAnsi="Times New Roman" w:cs="Times New Roman"/>
          <w:sz w:val="24"/>
        </w:rPr>
      </w:pPr>
      <w:r w:rsidRPr="00A41F4E">
        <w:rPr>
          <w:rFonts w:ascii="Times New Roman" w:hAnsi="Times New Roman" w:cs="Times New Roman"/>
          <w:sz w:val="24"/>
        </w:rPr>
        <w:t>Hasta 2016</w:t>
      </w:r>
      <w:r w:rsidR="00A41F4E">
        <w:rPr>
          <w:rFonts w:ascii="Times New Roman" w:hAnsi="Times New Roman" w:cs="Times New Roman"/>
          <w:sz w:val="24"/>
        </w:rPr>
        <w:t>,</w:t>
      </w:r>
      <w:r w:rsidRPr="00A41F4E">
        <w:rPr>
          <w:rFonts w:ascii="Times New Roman" w:hAnsi="Times New Roman" w:cs="Times New Roman"/>
          <w:sz w:val="24"/>
        </w:rPr>
        <w:t xml:space="preserve"> Manizales presentó una tasa de cobertura creciente al pasar del 78,3% en 2011 al 117,6% ese año. Esto representa un crecimiento de casi 40 puntos porcentuales en cinco años. A partir de 2016, la tasa de cobertura comienza a estabilizarse, pero se ha mantenido por encima del 100%, reflejo de la capacidad de sus instituciones de educación superior de atender no solo la demanda local sino también la demanda de otras regiones, dada la vocación de ciudad. En 2021 registró una caída leve de cinco puntos porcentuales, ubicándose en 11,5%.</w:t>
      </w:r>
      <w:bookmarkStart w:id="2" w:name="_Toc121413945"/>
    </w:p>
    <w:p w14:paraId="1378D69D" w14:textId="77777777" w:rsidR="00A41F4E" w:rsidRPr="00A41F4E" w:rsidRDefault="00A41F4E" w:rsidP="00A41F4E">
      <w:pPr>
        <w:rPr>
          <w:rFonts w:ascii="Times New Roman" w:hAnsi="Times New Roman" w:cs="Times New Roman"/>
          <w:sz w:val="24"/>
        </w:rPr>
      </w:pPr>
    </w:p>
    <w:p w14:paraId="2054A3B2" w14:textId="5687BAEF" w:rsidR="00710FC1" w:rsidRPr="00BB4A7B" w:rsidRDefault="00710FC1" w:rsidP="00710FC1">
      <w:pPr>
        <w:pStyle w:val="Grfica"/>
        <w:rPr>
          <w:rFonts w:ascii="Times New Roman" w:eastAsiaTheme="minorEastAsia" w:hAnsi="Times New Roman" w:cs="Times New Roman"/>
          <w:color w:val="auto"/>
          <w:sz w:val="20"/>
          <w:szCs w:val="20"/>
        </w:rPr>
      </w:pPr>
      <w:r w:rsidRPr="00BB4A7B">
        <w:rPr>
          <w:rFonts w:ascii="Times New Roman" w:eastAsiaTheme="minorEastAsia" w:hAnsi="Times New Roman" w:cs="Times New Roman"/>
          <w:color w:val="auto"/>
          <w:sz w:val="20"/>
          <w:szCs w:val="20"/>
        </w:rPr>
        <w:t xml:space="preserve">Gráfica </w:t>
      </w:r>
      <w:r w:rsidRPr="00BB4A7B">
        <w:rPr>
          <w:rFonts w:ascii="Times New Roman" w:eastAsiaTheme="minorEastAsia" w:hAnsi="Times New Roman" w:cs="Times New Roman"/>
          <w:color w:val="auto"/>
          <w:sz w:val="20"/>
          <w:szCs w:val="20"/>
        </w:rPr>
        <w:fldChar w:fldCharType="begin"/>
      </w:r>
      <w:r w:rsidRPr="00BB4A7B">
        <w:rPr>
          <w:rFonts w:ascii="Times New Roman" w:eastAsiaTheme="minorEastAsia" w:hAnsi="Times New Roman" w:cs="Times New Roman"/>
          <w:color w:val="auto"/>
          <w:sz w:val="20"/>
          <w:szCs w:val="20"/>
        </w:rPr>
        <w:instrText xml:space="preserve"> SEQ Gráfica \* ARABIC </w:instrText>
      </w:r>
      <w:r w:rsidRPr="00BB4A7B">
        <w:rPr>
          <w:rFonts w:ascii="Times New Roman" w:eastAsiaTheme="minorEastAsia" w:hAnsi="Times New Roman" w:cs="Times New Roman"/>
          <w:color w:val="auto"/>
          <w:sz w:val="20"/>
          <w:szCs w:val="20"/>
        </w:rPr>
        <w:fldChar w:fldCharType="separate"/>
      </w:r>
      <w:r w:rsidR="005177A8">
        <w:rPr>
          <w:rFonts w:ascii="Times New Roman" w:eastAsiaTheme="minorEastAsia" w:hAnsi="Times New Roman" w:cs="Times New Roman"/>
          <w:noProof/>
          <w:color w:val="auto"/>
          <w:sz w:val="20"/>
          <w:szCs w:val="20"/>
        </w:rPr>
        <w:t>4</w:t>
      </w:r>
      <w:r w:rsidRPr="00BB4A7B">
        <w:rPr>
          <w:rFonts w:ascii="Times New Roman" w:eastAsiaTheme="minorEastAsia" w:hAnsi="Times New Roman" w:cs="Times New Roman"/>
          <w:color w:val="auto"/>
          <w:sz w:val="20"/>
          <w:szCs w:val="20"/>
        </w:rPr>
        <w:fldChar w:fldCharType="end"/>
      </w:r>
      <w:r w:rsidRPr="00BB4A7B">
        <w:rPr>
          <w:rFonts w:ascii="Times New Roman" w:eastAsiaTheme="minorEastAsia" w:hAnsi="Times New Roman" w:cs="Times New Roman"/>
          <w:color w:val="auto"/>
          <w:sz w:val="20"/>
          <w:szCs w:val="20"/>
        </w:rPr>
        <w:t xml:space="preserve">. Manizales. Tasa de cobertura en educación superior. 2011 </w:t>
      </w:r>
      <w:r w:rsidR="00A41F4E">
        <w:rPr>
          <w:rFonts w:ascii="Times New Roman" w:eastAsiaTheme="minorEastAsia" w:hAnsi="Times New Roman" w:cs="Times New Roman"/>
          <w:color w:val="auto"/>
          <w:sz w:val="20"/>
          <w:szCs w:val="20"/>
        </w:rPr>
        <w:t>–</w:t>
      </w:r>
      <w:r w:rsidRPr="00BB4A7B">
        <w:rPr>
          <w:rFonts w:ascii="Times New Roman" w:eastAsiaTheme="minorEastAsia" w:hAnsi="Times New Roman" w:cs="Times New Roman"/>
          <w:color w:val="auto"/>
          <w:sz w:val="20"/>
          <w:szCs w:val="20"/>
        </w:rPr>
        <w:t xml:space="preserve"> 2021</w:t>
      </w:r>
      <w:bookmarkEnd w:id="2"/>
    </w:p>
    <w:p w14:paraId="6A18A453" w14:textId="77777777" w:rsidR="00710FC1" w:rsidRPr="00BB4A7B" w:rsidRDefault="00710FC1" w:rsidP="00710FC1">
      <w:pPr>
        <w:spacing w:line="259" w:lineRule="auto"/>
        <w:jc w:val="center"/>
        <w:rPr>
          <w:rFonts w:ascii="Times New Roman" w:hAnsi="Times New Roman" w:cs="Times New Roman"/>
          <w:b/>
          <w:color w:val="000000"/>
          <w:sz w:val="21"/>
          <w:szCs w:val="21"/>
        </w:rPr>
      </w:pPr>
      <w:r w:rsidRPr="00BB4A7B">
        <w:rPr>
          <w:rFonts w:ascii="Times New Roman" w:hAnsi="Times New Roman" w:cs="Times New Roman"/>
          <w:noProof/>
          <w:lang w:eastAsia="es-CO"/>
        </w:rPr>
        <w:drawing>
          <wp:inline distT="0" distB="0" distL="0" distR="0" wp14:anchorId="796E5552" wp14:editId="18CC2A05">
            <wp:extent cx="4389120" cy="2260396"/>
            <wp:effectExtent l="0" t="0" r="0" b="6985"/>
            <wp:docPr id="19" name="Gráfico 19">
              <a:extLst xmlns:a="http://schemas.openxmlformats.org/drawingml/2006/main">
                <a:ext uri="{FF2B5EF4-FFF2-40B4-BE49-F238E27FC236}">
                  <a16:creationId xmlns:a16="http://schemas.microsoft.com/office/drawing/2014/main" id="{B2E3BE02-4A38-65C8-ADF7-7DD1AFCDBE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E64FAFD" w14:textId="77777777" w:rsidR="00710FC1" w:rsidRPr="00BB4A7B" w:rsidRDefault="00710FC1" w:rsidP="00710FC1">
      <w:pPr>
        <w:spacing w:line="259" w:lineRule="auto"/>
        <w:jc w:val="center"/>
        <w:rPr>
          <w:rFonts w:ascii="Times New Roman" w:hAnsi="Times New Roman" w:cs="Times New Roman"/>
          <w:color w:val="000000"/>
          <w:sz w:val="21"/>
          <w:szCs w:val="21"/>
        </w:rPr>
      </w:pPr>
      <w:r w:rsidRPr="00BB4A7B">
        <w:rPr>
          <w:rFonts w:ascii="Times New Roman" w:hAnsi="Times New Roman" w:cs="Times New Roman"/>
          <w:color w:val="000000"/>
          <w:sz w:val="21"/>
          <w:szCs w:val="21"/>
        </w:rPr>
        <w:t>Fuente: Ministerio de Educación Nacional</w:t>
      </w:r>
    </w:p>
    <w:p w14:paraId="12FD98E6" w14:textId="77777777" w:rsidR="00710FC1" w:rsidRPr="00BB4A7B" w:rsidRDefault="00710FC1" w:rsidP="00710FC1">
      <w:pPr>
        <w:spacing w:line="259" w:lineRule="auto"/>
        <w:jc w:val="center"/>
        <w:rPr>
          <w:rFonts w:ascii="Times New Roman" w:hAnsi="Times New Roman" w:cs="Times New Roman"/>
          <w:color w:val="000000"/>
          <w:sz w:val="21"/>
          <w:szCs w:val="21"/>
        </w:rPr>
      </w:pPr>
    </w:p>
    <w:p w14:paraId="6629FF64" w14:textId="25272AFD" w:rsidR="00710FC1" w:rsidRPr="00A41F4E" w:rsidRDefault="00710FC1" w:rsidP="00A41F4E">
      <w:pPr>
        <w:rPr>
          <w:rFonts w:ascii="Times New Roman" w:hAnsi="Times New Roman" w:cs="Times New Roman"/>
          <w:sz w:val="24"/>
        </w:rPr>
      </w:pPr>
      <w:r w:rsidRPr="00A41F4E">
        <w:rPr>
          <w:rFonts w:ascii="Times New Roman" w:hAnsi="Times New Roman" w:cs="Times New Roman"/>
          <w:sz w:val="24"/>
        </w:rPr>
        <w:t>La tasa de graduación es otro de los indicadores claves de la educación superior, puesto que logra reflejar la eficiencia del sistema para retener a los estudiantes hasta que logren su trayectoria educativa completa. Al respecto, las estadísticas del MEN arrojan para Manizales un aumento ininterrumpido en la población graduada que fue de 6.175 estudiantes en 2010 hasta alcanzar casi 11.000 graduados en 2019. En términos absolutos</w:t>
      </w:r>
      <w:r w:rsidR="00A41F4E">
        <w:rPr>
          <w:rFonts w:ascii="Times New Roman" w:hAnsi="Times New Roman" w:cs="Times New Roman"/>
          <w:sz w:val="24"/>
        </w:rPr>
        <w:t>,</w:t>
      </w:r>
      <w:r w:rsidRPr="00A41F4E">
        <w:rPr>
          <w:rFonts w:ascii="Times New Roman" w:hAnsi="Times New Roman" w:cs="Times New Roman"/>
          <w:sz w:val="24"/>
        </w:rPr>
        <w:t xml:space="preserve"> representa un crecimiento </w:t>
      </w:r>
      <w:r w:rsidR="00A41F4E">
        <w:rPr>
          <w:rFonts w:ascii="Times New Roman" w:hAnsi="Times New Roman" w:cs="Times New Roman"/>
          <w:sz w:val="24"/>
        </w:rPr>
        <w:t xml:space="preserve">de </w:t>
      </w:r>
      <w:r w:rsidRPr="00A41F4E">
        <w:rPr>
          <w:rFonts w:ascii="Times New Roman" w:hAnsi="Times New Roman" w:cs="Times New Roman"/>
          <w:sz w:val="24"/>
        </w:rPr>
        <w:t>casi 5.000 graduados en este período, y en términos relativos, un incremento del 70%. De acuerdo con información del MEN, en 2021 el número de graduados fue de aproximadamente la mitad del promedio de los últimos tres años, llegando a 5.682 graduados. De este total, el 76% correspondió a programas de pregrado y el 24% de posgrado.</w:t>
      </w:r>
    </w:p>
    <w:p w14:paraId="743790D7" w14:textId="77777777" w:rsidR="00710FC1" w:rsidRPr="00A41F4E" w:rsidRDefault="00710FC1" w:rsidP="00A41F4E">
      <w:pPr>
        <w:rPr>
          <w:rFonts w:ascii="Times New Roman" w:hAnsi="Times New Roman" w:cs="Times New Roman"/>
          <w:sz w:val="24"/>
        </w:rPr>
      </w:pPr>
    </w:p>
    <w:p w14:paraId="12BC8F6E" w14:textId="285D88F1" w:rsidR="00710FC1" w:rsidRPr="00A41F4E" w:rsidRDefault="00710FC1" w:rsidP="00A41F4E">
      <w:pPr>
        <w:rPr>
          <w:rFonts w:ascii="Times New Roman" w:hAnsi="Times New Roman" w:cs="Times New Roman"/>
          <w:sz w:val="24"/>
        </w:rPr>
      </w:pPr>
      <w:r w:rsidRPr="00A41F4E">
        <w:rPr>
          <w:rFonts w:ascii="Times New Roman" w:hAnsi="Times New Roman" w:cs="Times New Roman"/>
          <w:sz w:val="24"/>
        </w:rPr>
        <w:t>Esta caída fue característica de todos los niveles de formación. En términos relativos</w:t>
      </w:r>
      <w:r w:rsidR="00A41F4E">
        <w:rPr>
          <w:rFonts w:ascii="Times New Roman" w:hAnsi="Times New Roman" w:cs="Times New Roman"/>
          <w:sz w:val="24"/>
        </w:rPr>
        <w:t>,</w:t>
      </w:r>
      <w:r w:rsidRPr="00A41F4E">
        <w:rPr>
          <w:rFonts w:ascii="Times New Roman" w:hAnsi="Times New Roman" w:cs="Times New Roman"/>
          <w:sz w:val="24"/>
        </w:rPr>
        <w:t xml:space="preserve"> la mayor disminución se encontró en el nivel de doctorado con el 56%, seguido por la formación técnica profesional (50,5%), maestría (48,5%)</w:t>
      </w:r>
      <w:r w:rsidR="00A41F4E">
        <w:rPr>
          <w:rFonts w:ascii="Times New Roman" w:hAnsi="Times New Roman" w:cs="Times New Roman"/>
          <w:sz w:val="24"/>
        </w:rPr>
        <w:t xml:space="preserve"> y</w:t>
      </w:r>
      <w:r w:rsidRPr="00A41F4E">
        <w:rPr>
          <w:rFonts w:ascii="Times New Roman" w:hAnsi="Times New Roman" w:cs="Times New Roman"/>
          <w:sz w:val="24"/>
        </w:rPr>
        <w:t xml:space="preserve"> universitaria (45,4%). Las menores caídas se registraron en el nivel tecnológico (24,3%) y especialización (39,8%).</w:t>
      </w:r>
    </w:p>
    <w:p w14:paraId="66D7243C" w14:textId="77777777" w:rsidR="00710FC1" w:rsidRPr="00BB4A7B" w:rsidRDefault="00710FC1" w:rsidP="00710FC1">
      <w:pPr>
        <w:spacing w:line="259" w:lineRule="auto"/>
        <w:rPr>
          <w:rFonts w:ascii="Times New Roman" w:hAnsi="Times New Roman" w:cs="Times New Roman"/>
        </w:rPr>
      </w:pPr>
    </w:p>
    <w:p w14:paraId="6695F141" w14:textId="57152ED9" w:rsidR="00710FC1" w:rsidRPr="00BB4A7B" w:rsidRDefault="00710FC1" w:rsidP="00710FC1">
      <w:pPr>
        <w:pStyle w:val="Tabla"/>
        <w:spacing w:line="259" w:lineRule="auto"/>
        <w:rPr>
          <w:rFonts w:ascii="Times New Roman" w:hAnsi="Times New Roman" w:cs="Times New Roman"/>
        </w:rPr>
      </w:pPr>
      <w:bookmarkStart w:id="3" w:name="_Toc121414003"/>
      <w:r w:rsidRPr="00BB4A7B">
        <w:rPr>
          <w:rFonts w:ascii="Times New Roman" w:hAnsi="Times New Roman" w:cs="Times New Roman"/>
        </w:rPr>
        <w:t xml:space="preserve">Tabla </w:t>
      </w:r>
      <w:r w:rsidR="00FA3E62" w:rsidRPr="00BB4A7B">
        <w:rPr>
          <w:rFonts w:ascii="Times New Roman" w:hAnsi="Times New Roman" w:cs="Times New Roman"/>
        </w:rPr>
        <w:fldChar w:fldCharType="begin"/>
      </w:r>
      <w:r w:rsidR="00FA3E62" w:rsidRPr="00BB4A7B">
        <w:rPr>
          <w:rFonts w:ascii="Times New Roman" w:hAnsi="Times New Roman" w:cs="Times New Roman"/>
        </w:rPr>
        <w:instrText xml:space="preserve"> SEQ Tabla \* ARABIC </w:instrText>
      </w:r>
      <w:r w:rsidR="00FA3E62" w:rsidRPr="00BB4A7B">
        <w:rPr>
          <w:rFonts w:ascii="Times New Roman" w:hAnsi="Times New Roman" w:cs="Times New Roman"/>
        </w:rPr>
        <w:fldChar w:fldCharType="separate"/>
      </w:r>
      <w:r w:rsidR="005177A8">
        <w:rPr>
          <w:rFonts w:ascii="Times New Roman" w:hAnsi="Times New Roman" w:cs="Times New Roman"/>
          <w:noProof/>
        </w:rPr>
        <w:t>2</w:t>
      </w:r>
      <w:r w:rsidR="00FA3E62" w:rsidRPr="00BB4A7B">
        <w:rPr>
          <w:rFonts w:ascii="Times New Roman" w:hAnsi="Times New Roman" w:cs="Times New Roman"/>
          <w:noProof/>
        </w:rPr>
        <w:fldChar w:fldCharType="end"/>
      </w:r>
      <w:r w:rsidRPr="00BB4A7B">
        <w:rPr>
          <w:rFonts w:ascii="Times New Roman" w:hAnsi="Times New Roman" w:cs="Times New Roman"/>
        </w:rPr>
        <w:t>. Número de graduados según nivel de formación. 2010 – 2021</w:t>
      </w:r>
      <w:bookmarkEnd w:id="3"/>
    </w:p>
    <w:tbl>
      <w:tblPr>
        <w:tblW w:w="10348" w:type="dxa"/>
        <w:jc w:val="center"/>
        <w:tblCellMar>
          <w:left w:w="70" w:type="dxa"/>
          <w:right w:w="70" w:type="dxa"/>
        </w:tblCellMar>
        <w:tblLook w:val="04A0" w:firstRow="1" w:lastRow="0" w:firstColumn="1" w:lastColumn="0" w:noHBand="0" w:noVBand="1"/>
      </w:tblPr>
      <w:tblGrid>
        <w:gridCol w:w="1838"/>
        <w:gridCol w:w="717"/>
        <w:gridCol w:w="699"/>
        <w:gridCol w:w="708"/>
        <w:gridCol w:w="709"/>
        <w:gridCol w:w="850"/>
        <w:gridCol w:w="849"/>
        <w:gridCol w:w="709"/>
        <w:gridCol w:w="709"/>
        <w:gridCol w:w="708"/>
        <w:gridCol w:w="580"/>
        <w:gridCol w:w="563"/>
        <w:gridCol w:w="709"/>
      </w:tblGrid>
      <w:tr w:rsidR="00710FC1" w:rsidRPr="00BB4A7B" w14:paraId="65DCBFE6" w14:textId="77777777" w:rsidTr="00E250FE">
        <w:trPr>
          <w:trHeight w:val="392"/>
          <w:jc w:val="center"/>
        </w:trPr>
        <w:tc>
          <w:tcPr>
            <w:tcW w:w="1840" w:type="dxa"/>
            <w:tcBorders>
              <w:top w:val="nil"/>
              <w:left w:val="nil"/>
              <w:bottom w:val="nil"/>
              <w:right w:val="nil"/>
            </w:tcBorders>
            <w:shd w:val="clear" w:color="000000" w:fill="C6E0B4"/>
            <w:vAlign w:val="center"/>
            <w:hideMark/>
          </w:tcPr>
          <w:p w14:paraId="21553430" w14:textId="77777777" w:rsidR="00710FC1" w:rsidRPr="00BB4A7B" w:rsidRDefault="00710FC1" w:rsidP="00710FC1">
            <w:pPr>
              <w:spacing w:line="259" w:lineRule="auto"/>
              <w:jc w:val="center"/>
              <w:rPr>
                <w:rFonts w:ascii="Times New Roman" w:eastAsia="Times New Roman" w:hAnsi="Times New Roman" w:cs="Times New Roman"/>
                <w:b/>
                <w:bCs/>
                <w:color w:val="000000"/>
                <w:sz w:val="16"/>
                <w:szCs w:val="16"/>
              </w:rPr>
            </w:pPr>
            <w:r w:rsidRPr="00BB4A7B">
              <w:rPr>
                <w:rFonts w:ascii="Times New Roman" w:eastAsia="Times New Roman" w:hAnsi="Times New Roman" w:cs="Times New Roman"/>
                <w:b/>
                <w:bCs/>
                <w:color w:val="000000"/>
                <w:sz w:val="16"/>
                <w:szCs w:val="16"/>
              </w:rPr>
              <w:t>Nivel de formación</w:t>
            </w:r>
          </w:p>
        </w:tc>
        <w:tc>
          <w:tcPr>
            <w:tcW w:w="718" w:type="dxa"/>
            <w:tcBorders>
              <w:top w:val="nil"/>
              <w:left w:val="nil"/>
              <w:bottom w:val="nil"/>
              <w:right w:val="nil"/>
            </w:tcBorders>
            <w:shd w:val="clear" w:color="000000" w:fill="C6E0B4"/>
            <w:vAlign w:val="center"/>
            <w:hideMark/>
          </w:tcPr>
          <w:p w14:paraId="5CBFECA7" w14:textId="77777777" w:rsidR="00710FC1" w:rsidRPr="00BB4A7B" w:rsidRDefault="00710FC1" w:rsidP="00710FC1">
            <w:pPr>
              <w:spacing w:line="259" w:lineRule="auto"/>
              <w:jc w:val="center"/>
              <w:rPr>
                <w:rFonts w:ascii="Times New Roman" w:eastAsia="Times New Roman" w:hAnsi="Times New Roman" w:cs="Times New Roman"/>
                <w:b/>
                <w:bCs/>
                <w:color w:val="000000"/>
                <w:sz w:val="16"/>
                <w:szCs w:val="16"/>
              </w:rPr>
            </w:pPr>
            <w:r w:rsidRPr="00BB4A7B">
              <w:rPr>
                <w:rFonts w:ascii="Times New Roman" w:eastAsia="Times New Roman" w:hAnsi="Times New Roman" w:cs="Times New Roman"/>
                <w:b/>
                <w:bCs/>
                <w:color w:val="000000"/>
                <w:sz w:val="16"/>
                <w:szCs w:val="16"/>
              </w:rPr>
              <w:t>2010</w:t>
            </w:r>
          </w:p>
        </w:tc>
        <w:tc>
          <w:tcPr>
            <w:tcW w:w="699" w:type="dxa"/>
            <w:tcBorders>
              <w:top w:val="nil"/>
              <w:left w:val="nil"/>
              <w:bottom w:val="nil"/>
              <w:right w:val="nil"/>
            </w:tcBorders>
            <w:shd w:val="clear" w:color="000000" w:fill="C6E0B4"/>
            <w:vAlign w:val="center"/>
            <w:hideMark/>
          </w:tcPr>
          <w:p w14:paraId="49E6ACFE" w14:textId="77777777" w:rsidR="00710FC1" w:rsidRPr="00BB4A7B" w:rsidRDefault="00710FC1" w:rsidP="00710FC1">
            <w:pPr>
              <w:spacing w:line="259" w:lineRule="auto"/>
              <w:jc w:val="center"/>
              <w:rPr>
                <w:rFonts w:ascii="Times New Roman" w:eastAsia="Times New Roman" w:hAnsi="Times New Roman" w:cs="Times New Roman"/>
                <w:b/>
                <w:bCs/>
                <w:color w:val="000000"/>
                <w:sz w:val="16"/>
                <w:szCs w:val="16"/>
              </w:rPr>
            </w:pPr>
            <w:r w:rsidRPr="00BB4A7B">
              <w:rPr>
                <w:rFonts w:ascii="Times New Roman" w:eastAsia="Times New Roman" w:hAnsi="Times New Roman" w:cs="Times New Roman"/>
                <w:b/>
                <w:bCs/>
                <w:color w:val="000000"/>
                <w:sz w:val="16"/>
                <w:szCs w:val="16"/>
              </w:rPr>
              <w:t>2011</w:t>
            </w:r>
          </w:p>
        </w:tc>
        <w:tc>
          <w:tcPr>
            <w:tcW w:w="708" w:type="dxa"/>
            <w:tcBorders>
              <w:top w:val="nil"/>
              <w:left w:val="nil"/>
              <w:bottom w:val="nil"/>
              <w:right w:val="nil"/>
            </w:tcBorders>
            <w:shd w:val="clear" w:color="000000" w:fill="C6E0B4"/>
            <w:vAlign w:val="center"/>
            <w:hideMark/>
          </w:tcPr>
          <w:p w14:paraId="31875C73" w14:textId="77777777" w:rsidR="00710FC1" w:rsidRPr="00BB4A7B" w:rsidRDefault="00710FC1" w:rsidP="00710FC1">
            <w:pPr>
              <w:spacing w:line="259" w:lineRule="auto"/>
              <w:jc w:val="center"/>
              <w:rPr>
                <w:rFonts w:ascii="Times New Roman" w:eastAsia="Times New Roman" w:hAnsi="Times New Roman" w:cs="Times New Roman"/>
                <w:b/>
                <w:bCs/>
                <w:color w:val="000000"/>
                <w:sz w:val="16"/>
                <w:szCs w:val="16"/>
              </w:rPr>
            </w:pPr>
            <w:r w:rsidRPr="00BB4A7B">
              <w:rPr>
                <w:rFonts w:ascii="Times New Roman" w:eastAsia="Times New Roman" w:hAnsi="Times New Roman" w:cs="Times New Roman"/>
                <w:b/>
                <w:bCs/>
                <w:color w:val="000000"/>
                <w:sz w:val="16"/>
                <w:szCs w:val="16"/>
              </w:rPr>
              <w:t>2012</w:t>
            </w:r>
          </w:p>
        </w:tc>
        <w:tc>
          <w:tcPr>
            <w:tcW w:w="709" w:type="dxa"/>
            <w:tcBorders>
              <w:top w:val="nil"/>
              <w:left w:val="nil"/>
              <w:bottom w:val="nil"/>
              <w:right w:val="nil"/>
            </w:tcBorders>
            <w:shd w:val="clear" w:color="000000" w:fill="C6E0B4"/>
            <w:vAlign w:val="center"/>
            <w:hideMark/>
          </w:tcPr>
          <w:p w14:paraId="30F268E4" w14:textId="77777777" w:rsidR="00710FC1" w:rsidRPr="00BB4A7B" w:rsidRDefault="00710FC1" w:rsidP="00710FC1">
            <w:pPr>
              <w:spacing w:line="259" w:lineRule="auto"/>
              <w:jc w:val="center"/>
              <w:rPr>
                <w:rFonts w:ascii="Times New Roman" w:eastAsia="Times New Roman" w:hAnsi="Times New Roman" w:cs="Times New Roman"/>
                <w:b/>
                <w:bCs/>
                <w:color w:val="000000"/>
                <w:sz w:val="16"/>
                <w:szCs w:val="16"/>
              </w:rPr>
            </w:pPr>
            <w:r w:rsidRPr="00BB4A7B">
              <w:rPr>
                <w:rFonts w:ascii="Times New Roman" w:eastAsia="Times New Roman" w:hAnsi="Times New Roman" w:cs="Times New Roman"/>
                <w:b/>
                <w:bCs/>
                <w:color w:val="000000"/>
                <w:sz w:val="16"/>
                <w:szCs w:val="16"/>
              </w:rPr>
              <w:t>2013</w:t>
            </w:r>
          </w:p>
        </w:tc>
        <w:tc>
          <w:tcPr>
            <w:tcW w:w="850" w:type="dxa"/>
            <w:tcBorders>
              <w:top w:val="nil"/>
              <w:left w:val="nil"/>
              <w:bottom w:val="nil"/>
              <w:right w:val="nil"/>
            </w:tcBorders>
            <w:shd w:val="clear" w:color="000000" w:fill="C6E0B4"/>
            <w:vAlign w:val="center"/>
            <w:hideMark/>
          </w:tcPr>
          <w:p w14:paraId="5EAEC6BF" w14:textId="77777777" w:rsidR="00710FC1" w:rsidRPr="00BB4A7B" w:rsidRDefault="00710FC1" w:rsidP="00710FC1">
            <w:pPr>
              <w:spacing w:line="259" w:lineRule="auto"/>
              <w:jc w:val="center"/>
              <w:rPr>
                <w:rFonts w:ascii="Times New Roman" w:eastAsia="Times New Roman" w:hAnsi="Times New Roman" w:cs="Times New Roman"/>
                <w:b/>
                <w:bCs/>
                <w:color w:val="000000"/>
                <w:sz w:val="16"/>
                <w:szCs w:val="16"/>
              </w:rPr>
            </w:pPr>
            <w:r w:rsidRPr="00BB4A7B">
              <w:rPr>
                <w:rFonts w:ascii="Times New Roman" w:eastAsia="Times New Roman" w:hAnsi="Times New Roman" w:cs="Times New Roman"/>
                <w:b/>
                <w:bCs/>
                <w:color w:val="000000"/>
                <w:sz w:val="16"/>
                <w:szCs w:val="16"/>
              </w:rPr>
              <w:t>2014</w:t>
            </w:r>
          </w:p>
        </w:tc>
        <w:tc>
          <w:tcPr>
            <w:tcW w:w="849" w:type="dxa"/>
            <w:tcBorders>
              <w:top w:val="nil"/>
              <w:left w:val="nil"/>
              <w:bottom w:val="nil"/>
              <w:right w:val="nil"/>
            </w:tcBorders>
            <w:shd w:val="clear" w:color="000000" w:fill="C6E0B4"/>
            <w:vAlign w:val="center"/>
            <w:hideMark/>
          </w:tcPr>
          <w:p w14:paraId="720B7802" w14:textId="77777777" w:rsidR="00710FC1" w:rsidRPr="00BB4A7B" w:rsidRDefault="00710FC1" w:rsidP="00710FC1">
            <w:pPr>
              <w:spacing w:line="259" w:lineRule="auto"/>
              <w:jc w:val="center"/>
              <w:rPr>
                <w:rFonts w:ascii="Times New Roman" w:eastAsia="Times New Roman" w:hAnsi="Times New Roman" w:cs="Times New Roman"/>
                <w:b/>
                <w:bCs/>
                <w:color w:val="000000"/>
                <w:sz w:val="16"/>
                <w:szCs w:val="16"/>
              </w:rPr>
            </w:pPr>
            <w:r w:rsidRPr="00BB4A7B">
              <w:rPr>
                <w:rFonts w:ascii="Times New Roman" w:eastAsia="Times New Roman" w:hAnsi="Times New Roman" w:cs="Times New Roman"/>
                <w:b/>
                <w:bCs/>
                <w:color w:val="000000"/>
                <w:sz w:val="16"/>
                <w:szCs w:val="16"/>
              </w:rPr>
              <w:t>2015</w:t>
            </w:r>
          </w:p>
        </w:tc>
        <w:tc>
          <w:tcPr>
            <w:tcW w:w="709" w:type="dxa"/>
            <w:tcBorders>
              <w:top w:val="nil"/>
              <w:left w:val="nil"/>
              <w:bottom w:val="nil"/>
              <w:right w:val="nil"/>
            </w:tcBorders>
            <w:shd w:val="clear" w:color="000000" w:fill="C6E0B4"/>
            <w:vAlign w:val="center"/>
            <w:hideMark/>
          </w:tcPr>
          <w:p w14:paraId="3D07D0C6" w14:textId="77777777" w:rsidR="00710FC1" w:rsidRPr="00BB4A7B" w:rsidRDefault="00710FC1" w:rsidP="00710FC1">
            <w:pPr>
              <w:spacing w:line="259" w:lineRule="auto"/>
              <w:jc w:val="center"/>
              <w:rPr>
                <w:rFonts w:ascii="Times New Roman" w:eastAsia="Times New Roman" w:hAnsi="Times New Roman" w:cs="Times New Roman"/>
                <w:b/>
                <w:bCs/>
                <w:color w:val="000000"/>
                <w:sz w:val="16"/>
                <w:szCs w:val="16"/>
              </w:rPr>
            </w:pPr>
            <w:r w:rsidRPr="00BB4A7B">
              <w:rPr>
                <w:rFonts w:ascii="Times New Roman" w:eastAsia="Times New Roman" w:hAnsi="Times New Roman" w:cs="Times New Roman"/>
                <w:b/>
                <w:bCs/>
                <w:color w:val="000000"/>
                <w:sz w:val="16"/>
                <w:szCs w:val="16"/>
              </w:rPr>
              <w:t>2016</w:t>
            </w:r>
          </w:p>
        </w:tc>
        <w:tc>
          <w:tcPr>
            <w:tcW w:w="709" w:type="dxa"/>
            <w:tcBorders>
              <w:top w:val="nil"/>
              <w:left w:val="nil"/>
              <w:bottom w:val="nil"/>
              <w:right w:val="nil"/>
            </w:tcBorders>
            <w:shd w:val="clear" w:color="000000" w:fill="C6E0B4"/>
            <w:vAlign w:val="center"/>
            <w:hideMark/>
          </w:tcPr>
          <w:p w14:paraId="6FE11312" w14:textId="77777777" w:rsidR="00710FC1" w:rsidRPr="00BB4A7B" w:rsidRDefault="00710FC1" w:rsidP="00710FC1">
            <w:pPr>
              <w:spacing w:line="259" w:lineRule="auto"/>
              <w:jc w:val="center"/>
              <w:rPr>
                <w:rFonts w:ascii="Times New Roman" w:eastAsia="Times New Roman" w:hAnsi="Times New Roman" w:cs="Times New Roman"/>
                <w:b/>
                <w:bCs/>
                <w:color w:val="000000"/>
                <w:sz w:val="16"/>
                <w:szCs w:val="16"/>
              </w:rPr>
            </w:pPr>
            <w:r w:rsidRPr="00BB4A7B">
              <w:rPr>
                <w:rFonts w:ascii="Times New Roman" w:eastAsia="Times New Roman" w:hAnsi="Times New Roman" w:cs="Times New Roman"/>
                <w:b/>
                <w:bCs/>
                <w:color w:val="000000"/>
                <w:sz w:val="16"/>
                <w:szCs w:val="16"/>
              </w:rPr>
              <w:t>2017</w:t>
            </w:r>
          </w:p>
        </w:tc>
        <w:tc>
          <w:tcPr>
            <w:tcW w:w="708" w:type="dxa"/>
            <w:tcBorders>
              <w:top w:val="nil"/>
              <w:left w:val="nil"/>
              <w:bottom w:val="nil"/>
              <w:right w:val="nil"/>
            </w:tcBorders>
            <w:shd w:val="clear" w:color="000000" w:fill="C6E0B4"/>
            <w:vAlign w:val="center"/>
            <w:hideMark/>
          </w:tcPr>
          <w:p w14:paraId="28A57CE5" w14:textId="77777777" w:rsidR="00710FC1" w:rsidRPr="00BB4A7B" w:rsidRDefault="00710FC1" w:rsidP="00710FC1">
            <w:pPr>
              <w:spacing w:line="259" w:lineRule="auto"/>
              <w:jc w:val="center"/>
              <w:rPr>
                <w:rFonts w:ascii="Times New Roman" w:eastAsia="Times New Roman" w:hAnsi="Times New Roman" w:cs="Times New Roman"/>
                <w:b/>
                <w:bCs/>
                <w:color w:val="000000"/>
                <w:sz w:val="16"/>
                <w:szCs w:val="16"/>
              </w:rPr>
            </w:pPr>
            <w:r w:rsidRPr="00BB4A7B">
              <w:rPr>
                <w:rFonts w:ascii="Times New Roman" w:eastAsia="Times New Roman" w:hAnsi="Times New Roman" w:cs="Times New Roman"/>
                <w:b/>
                <w:bCs/>
                <w:color w:val="000000"/>
                <w:sz w:val="16"/>
                <w:szCs w:val="16"/>
              </w:rPr>
              <w:t>2018</w:t>
            </w:r>
          </w:p>
        </w:tc>
        <w:tc>
          <w:tcPr>
            <w:tcW w:w="577" w:type="dxa"/>
            <w:tcBorders>
              <w:top w:val="nil"/>
              <w:left w:val="nil"/>
              <w:bottom w:val="nil"/>
              <w:right w:val="nil"/>
            </w:tcBorders>
            <w:shd w:val="clear" w:color="000000" w:fill="C6E0B4"/>
            <w:vAlign w:val="center"/>
            <w:hideMark/>
          </w:tcPr>
          <w:p w14:paraId="6FB531A2" w14:textId="77777777" w:rsidR="00710FC1" w:rsidRPr="00BB4A7B" w:rsidRDefault="00710FC1" w:rsidP="00710FC1">
            <w:pPr>
              <w:spacing w:line="259" w:lineRule="auto"/>
              <w:jc w:val="center"/>
              <w:rPr>
                <w:rFonts w:ascii="Times New Roman" w:eastAsia="Times New Roman" w:hAnsi="Times New Roman" w:cs="Times New Roman"/>
                <w:b/>
                <w:bCs/>
                <w:color w:val="000000"/>
                <w:sz w:val="16"/>
                <w:szCs w:val="16"/>
              </w:rPr>
            </w:pPr>
            <w:r w:rsidRPr="00BB4A7B">
              <w:rPr>
                <w:rFonts w:ascii="Times New Roman" w:eastAsia="Times New Roman" w:hAnsi="Times New Roman" w:cs="Times New Roman"/>
                <w:b/>
                <w:bCs/>
                <w:color w:val="000000"/>
                <w:sz w:val="16"/>
                <w:szCs w:val="16"/>
              </w:rPr>
              <w:t>2019</w:t>
            </w:r>
          </w:p>
        </w:tc>
        <w:tc>
          <w:tcPr>
            <w:tcW w:w="563" w:type="dxa"/>
            <w:tcBorders>
              <w:top w:val="nil"/>
              <w:left w:val="nil"/>
              <w:bottom w:val="nil"/>
              <w:right w:val="nil"/>
            </w:tcBorders>
            <w:shd w:val="clear" w:color="000000" w:fill="C6E0B4"/>
            <w:vAlign w:val="center"/>
            <w:hideMark/>
          </w:tcPr>
          <w:p w14:paraId="153E08E4" w14:textId="77777777" w:rsidR="00710FC1" w:rsidRPr="00BB4A7B" w:rsidRDefault="00710FC1" w:rsidP="00710FC1">
            <w:pPr>
              <w:spacing w:line="259" w:lineRule="auto"/>
              <w:jc w:val="center"/>
              <w:rPr>
                <w:rFonts w:ascii="Times New Roman" w:eastAsia="Times New Roman" w:hAnsi="Times New Roman" w:cs="Times New Roman"/>
                <w:b/>
                <w:bCs/>
                <w:color w:val="000000"/>
                <w:sz w:val="16"/>
                <w:szCs w:val="16"/>
              </w:rPr>
            </w:pPr>
            <w:r w:rsidRPr="00BB4A7B">
              <w:rPr>
                <w:rFonts w:ascii="Times New Roman" w:eastAsia="Times New Roman" w:hAnsi="Times New Roman" w:cs="Times New Roman"/>
                <w:b/>
                <w:bCs/>
                <w:color w:val="000000"/>
                <w:sz w:val="16"/>
                <w:szCs w:val="16"/>
              </w:rPr>
              <w:t>2020</w:t>
            </w:r>
          </w:p>
        </w:tc>
        <w:tc>
          <w:tcPr>
            <w:tcW w:w="709" w:type="dxa"/>
            <w:tcBorders>
              <w:top w:val="nil"/>
              <w:left w:val="nil"/>
              <w:bottom w:val="nil"/>
              <w:right w:val="nil"/>
            </w:tcBorders>
            <w:shd w:val="clear" w:color="000000" w:fill="C6E0B4"/>
            <w:vAlign w:val="center"/>
            <w:hideMark/>
          </w:tcPr>
          <w:p w14:paraId="07E7E22E" w14:textId="77777777" w:rsidR="00710FC1" w:rsidRPr="00BB4A7B" w:rsidRDefault="00710FC1" w:rsidP="00710FC1">
            <w:pPr>
              <w:spacing w:line="259" w:lineRule="auto"/>
              <w:jc w:val="center"/>
              <w:rPr>
                <w:rFonts w:ascii="Times New Roman" w:eastAsia="Times New Roman" w:hAnsi="Times New Roman" w:cs="Times New Roman"/>
                <w:b/>
                <w:bCs/>
                <w:color w:val="000000"/>
                <w:sz w:val="16"/>
                <w:szCs w:val="16"/>
              </w:rPr>
            </w:pPr>
            <w:r w:rsidRPr="00BB4A7B">
              <w:rPr>
                <w:rFonts w:ascii="Times New Roman" w:eastAsia="Times New Roman" w:hAnsi="Times New Roman" w:cs="Times New Roman"/>
                <w:b/>
                <w:bCs/>
                <w:color w:val="000000"/>
                <w:sz w:val="16"/>
                <w:szCs w:val="16"/>
              </w:rPr>
              <w:t>2021</w:t>
            </w:r>
          </w:p>
        </w:tc>
      </w:tr>
      <w:tr w:rsidR="00710FC1" w:rsidRPr="00BB4A7B" w14:paraId="29DAADDA" w14:textId="77777777" w:rsidTr="00E250FE">
        <w:trPr>
          <w:trHeight w:val="315"/>
          <w:jc w:val="center"/>
        </w:trPr>
        <w:tc>
          <w:tcPr>
            <w:tcW w:w="1840" w:type="dxa"/>
            <w:tcBorders>
              <w:top w:val="nil"/>
              <w:left w:val="nil"/>
              <w:bottom w:val="nil"/>
              <w:right w:val="nil"/>
            </w:tcBorders>
            <w:shd w:val="clear" w:color="000000" w:fill="E2EFDA"/>
            <w:vAlign w:val="center"/>
            <w:hideMark/>
          </w:tcPr>
          <w:p w14:paraId="60BAB571" w14:textId="77777777" w:rsidR="00710FC1" w:rsidRPr="00BB4A7B" w:rsidRDefault="00710FC1" w:rsidP="00710FC1">
            <w:pPr>
              <w:spacing w:line="259" w:lineRule="auto"/>
              <w:jc w:val="left"/>
              <w:rPr>
                <w:rFonts w:ascii="Times New Roman" w:eastAsia="Times New Roman" w:hAnsi="Times New Roman" w:cs="Times New Roman"/>
                <w:b/>
                <w:bCs/>
                <w:color w:val="000000"/>
                <w:sz w:val="16"/>
                <w:szCs w:val="16"/>
              </w:rPr>
            </w:pPr>
            <w:r w:rsidRPr="00BB4A7B">
              <w:rPr>
                <w:rFonts w:ascii="Times New Roman" w:eastAsia="Times New Roman" w:hAnsi="Times New Roman" w:cs="Times New Roman"/>
                <w:b/>
                <w:bCs/>
                <w:color w:val="000000"/>
                <w:sz w:val="16"/>
                <w:szCs w:val="16"/>
              </w:rPr>
              <w:t>Pregrado</w:t>
            </w:r>
          </w:p>
        </w:tc>
        <w:tc>
          <w:tcPr>
            <w:tcW w:w="718" w:type="dxa"/>
            <w:tcBorders>
              <w:top w:val="nil"/>
              <w:left w:val="nil"/>
              <w:bottom w:val="nil"/>
              <w:right w:val="nil"/>
            </w:tcBorders>
            <w:shd w:val="clear" w:color="000000" w:fill="E2EFDA"/>
            <w:vAlign w:val="center"/>
            <w:hideMark/>
          </w:tcPr>
          <w:p w14:paraId="75CF968D" w14:textId="77777777" w:rsidR="00710FC1" w:rsidRPr="00BB4A7B" w:rsidRDefault="00710FC1" w:rsidP="00710FC1">
            <w:pPr>
              <w:spacing w:line="259" w:lineRule="auto"/>
              <w:jc w:val="right"/>
              <w:rPr>
                <w:rFonts w:ascii="Times New Roman" w:eastAsia="Times New Roman" w:hAnsi="Times New Roman" w:cs="Times New Roman"/>
                <w:b/>
                <w:bCs/>
                <w:color w:val="000000"/>
                <w:sz w:val="16"/>
                <w:szCs w:val="16"/>
              </w:rPr>
            </w:pPr>
            <w:r w:rsidRPr="00BB4A7B">
              <w:rPr>
                <w:rFonts w:ascii="Times New Roman" w:eastAsia="Times New Roman" w:hAnsi="Times New Roman" w:cs="Times New Roman"/>
                <w:b/>
                <w:bCs/>
                <w:color w:val="000000"/>
                <w:sz w:val="16"/>
                <w:szCs w:val="16"/>
              </w:rPr>
              <w:t>3.455</w:t>
            </w:r>
          </w:p>
        </w:tc>
        <w:tc>
          <w:tcPr>
            <w:tcW w:w="699" w:type="dxa"/>
            <w:tcBorders>
              <w:top w:val="nil"/>
              <w:left w:val="nil"/>
              <w:bottom w:val="nil"/>
              <w:right w:val="nil"/>
            </w:tcBorders>
            <w:shd w:val="clear" w:color="000000" w:fill="E2EFDA"/>
            <w:vAlign w:val="center"/>
            <w:hideMark/>
          </w:tcPr>
          <w:p w14:paraId="37CF8BA5" w14:textId="77777777" w:rsidR="00710FC1" w:rsidRPr="00BB4A7B" w:rsidRDefault="00710FC1" w:rsidP="00710FC1">
            <w:pPr>
              <w:spacing w:line="259" w:lineRule="auto"/>
              <w:jc w:val="right"/>
              <w:rPr>
                <w:rFonts w:ascii="Times New Roman" w:eastAsia="Times New Roman" w:hAnsi="Times New Roman" w:cs="Times New Roman"/>
                <w:b/>
                <w:bCs/>
                <w:color w:val="000000"/>
                <w:sz w:val="16"/>
                <w:szCs w:val="16"/>
              </w:rPr>
            </w:pPr>
            <w:r w:rsidRPr="00BB4A7B">
              <w:rPr>
                <w:rFonts w:ascii="Times New Roman" w:eastAsia="Times New Roman" w:hAnsi="Times New Roman" w:cs="Times New Roman"/>
                <w:b/>
                <w:bCs/>
                <w:color w:val="000000"/>
                <w:sz w:val="16"/>
                <w:szCs w:val="16"/>
              </w:rPr>
              <w:t>3.964</w:t>
            </w:r>
          </w:p>
        </w:tc>
        <w:tc>
          <w:tcPr>
            <w:tcW w:w="708" w:type="dxa"/>
            <w:tcBorders>
              <w:top w:val="nil"/>
              <w:left w:val="nil"/>
              <w:bottom w:val="nil"/>
              <w:right w:val="nil"/>
            </w:tcBorders>
            <w:shd w:val="clear" w:color="000000" w:fill="E2EFDA"/>
            <w:vAlign w:val="center"/>
            <w:hideMark/>
          </w:tcPr>
          <w:p w14:paraId="302D0C7D" w14:textId="77777777" w:rsidR="00710FC1" w:rsidRPr="00BB4A7B" w:rsidRDefault="00710FC1" w:rsidP="00710FC1">
            <w:pPr>
              <w:spacing w:line="259" w:lineRule="auto"/>
              <w:jc w:val="right"/>
              <w:rPr>
                <w:rFonts w:ascii="Times New Roman" w:eastAsia="Times New Roman" w:hAnsi="Times New Roman" w:cs="Times New Roman"/>
                <w:b/>
                <w:bCs/>
                <w:color w:val="000000"/>
                <w:sz w:val="16"/>
                <w:szCs w:val="16"/>
              </w:rPr>
            </w:pPr>
            <w:r w:rsidRPr="00BB4A7B">
              <w:rPr>
                <w:rFonts w:ascii="Times New Roman" w:eastAsia="Times New Roman" w:hAnsi="Times New Roman" w:cs="Times New Roman"/>
                <w:b/>
                <w:bCs/>
                <w:color w:val="000000"/>
                <w:sz w:val="16"/>
                <w:szCs w:val="16"/>
              </w:rPr>
              <w:t>5.706</w:t>
            </w:r>
          </w:p>
        </w:tc>
        <w:tc>
          <w:tcPr>
            <w:tcW w:w="709" w:type="dxa"/>
            <w:tcBorders>
              <w:top w:val="nil"/>
              <w:left w:val="nil"/>
              <w:bottom w:val="nil"/>
              <w:right w:val="nil"/>
            </w:tcBorders>
            <w:shd w:val="clear" w:color="000000" w:fill="E2EFDA"/>
            <w:vAlign w:val="center"/>
            <w:hideMark/>
          </w:tcPr>
          <w:p w14:paraId="4B44DF31" w14:textId="77777777" w:rsidR="00710FC1" w:rsidRPr="00BB4A7B" w:rsidRDefault="00710FC1" w:rsidP="00710FC1">
            <w:pPr>
              <w:spacing w:line="259" w:lineRule="auto"/>
              <w:jc w:val="right"/>
              <w:rPr>
                <w:rFonts w:ascii="Times New Roman" w:eastAsia="Times New Roman" w:hAnsi="Times New Roman" w:cs="Times New Roman"/>
                <w:b/>
                <w:bCs/>
                <w:color w:val="000000"/>
                <w:sz w:val="16"/>
                <w:szCs w:val="16"/>
              </w:rPr>
            </w:pPr>
            <w:r w:rsidRPr="00BB4A7B">
              <w:rPr>
                <w:rFonts w:ascii="Times New Roman" w:eastAsia="Times New Roman" w:hAnsi="Times New Roman" w:cs="Times New Roman"/>
                <w:b/>
                <w:bCs/>
                <w:color w:val="000000"/>
                <w:sz w:val="16"/>
                <w:szCs w:val="16"/>
              </w:rPr>
              <w:t>5.712</w:t>
            </w:r>
          </w:p>
        </w:tc>
        <w:tc>
          <w:tcPr>
            <w:tcW w:w="850" w:type="dxa"/>
            <w:tcBorders>
              <w:top w:val="nil"/>
              <w:left w:val="nil"/>
              <w:bottom w:val="nil"/>
              <w:right w:val="nil"/>
            </w:tcBorders>
            <w:shd w:val="clear" w:color="000000" w:fill="E2EFDA"/>
            <w:vAlign w:val="center"/>
            <w:hideMark/>
          </w:tcPr>
          <w:p w14:paraId="2C333517" w14:textId="77777777" w:rsidR="00710FC1" w:rsidRPr="00BB4A7B" w:rsidRDefault="00710FC1" w:rsidP="00710FC1">
            <w:pPr>
              <w:spacing w:line="259" w:lineRule="auto"/>
              <w:jc w:val="right"/>
              <w:rPr>
                <w:rFonts w:ascii="Times New Roman" w:eastAsia="Times New Roman" w:hAnsi="Times New Roman" w:cs="Times New Roman"/>
                <w:b/>
                <w:bCs/>
                <w:color w:val="000000"/>
                <w:sz w:val="16"/>
                <w:szCs w:val="16"/>
              </w:rPr>
            </w:pPr>
            <w:r w:rsidRPr="00BB4A7B">
              <w:rPr>
                <w:rFonts w:ascii="Times New Roman" w:eastAsia="Times New Roman" w:hAnsi="Times New Roman" w:cs="Times New Roman"/>
                <w:b/>
                <w:bCs/>
                <w:color w:val="000000"/>
                <w:sz w:val="16"/>
                <w:szCs w:val="16"/>
              </w:rPr>
              <w:t>5.937</w:t>
            </w:r>
          </w:p>
        </w:tc>
        <w:tc>
          <w:tcPr>
            <w:tcW w:w="849" w:type="dxa"/>
            <w:tcBorders>
              <w:top w:val="nil"/>
              <w:left w:val="nil"/>
              <w:bottom w:val="nil"/>
              <w:right w:val="nil"/>
            </w:tcBorders>
            <w:shd w:val="clear" w:color="000000" w:fill="E2EFDA"/>
            <w:vAlign w:val="center"/>
            <w:hideMark/>
          </w:tcPr>
          <w:p w14:paraId="43888879" w14:textId="77777777" w:rsidR="00710FC1" w:rsidRPr="00BB4A7B" w:rsidRDefault="00710FC1" w:rsidP="00710FC1">
            <w:pPr>
              <w:spacing w:line="259" w:lineRule="auto"/>
              <w:jc w:val="right"/>
              <w:rPr>
                <w:rFonts w:ascii="Times New Roman" w:eastAsia="Times New Roman" w:hAnsi="Times New Roman" w:cs="Times New Roman"/>
                <w:b/>
                <w:bCs/>
                <w:color w:val="000000"/>
                <w:sz w:val="16"/>
                <w:szCs w:val="16"/>
              </w:rPr>
            </w:pPr>
            <w:r w:rsidRPr="00BB4A7B">
              <w:rPr>
                <w:rFonts w:ascii="Times New Roman" w:eastAsia="Times New Roman" w:hAnsi="Times New Roman" w:cs="Times New Roman"/>
                <w:b/>
                <w:bCs/>
                <w:color w:val="000000"/>
                <w:sz w:val="16"/>
                <w:szCs w:val="16"/>
              </w:rPr>
              <w:t>5.858</w:t>
            </w:r>
          </w:p>
        </w:tc>
        <w:tc>
          <w:tcPr>
            <w:tcW w:w="709" w:type="dxa"/>
            <w:tcBorders>
              <w:top w:val="nil"/>
              <w:left w:val="nil"/>
              <w:bottom w:val="nil"/>
              <w:right w:val="nil"/>
            </w:tcBorders>
            <w:shd w:val="clear" w:color="000000" w:fill="E2EFDA"/>
            <w:vAlign w:val="center"/>
            <w:hideMark/>
          </w:tcPr>
          <w:p w14:paraId="67E870FB" w14:textId="77777777" w:rsidR="00710FC1" w:rsidRPr="00BB4A7B" w:rsidRDefault="00710FC1" w:rsidP="00710FC1">
            <w:pPr>
              <w:spacing w:line="259" w:lineRule="auto"/>
              <w:jc w:val="right"/>
              <w:rPr>
                <w:rFonts w:ascii="Times New Roman" w:eastAsia="Times New Roman" w:hAnsi="Times New Roman" w:cs="Times New Roman"/>
                <w:b/>
                <w:bCs/>
                <w:color w:val="000000"/>
                <w:sz w:val="16"/>
                <w:szCs w:val="16"/>
              </w:rPr>
            </w:pPr>
            <w:r w:rsidRPr="00BB4A7B">
              <w:rPr>
                <w:rFonts w:ascii="Times New Roman" w:eastAsia="Times New Roman" w:hAnsi="Times New Roman" w:cs="Times New Roman"/>
                <w:b/>
                <w:bCs/>
                <w:color w:val="000000"/>
                <w:sz w:val="16"/>
                <w:szCs w:val="16"/>
              </w:rPr>
              <w:t>6.739</w:t>
            </w:r>
          </w:p>
        </w:tc>
        <w:tc>
          <w:tcPr>
            <w:tcW w:w="709" w:type="dxa"/>
            <w:tcBorders>
              <w:top w:val="nil"/>
              <w:left w:val="nil"/>
              <w:bottom w:val="nil"/>
              <w:right w:val="nil"/>
            </w:tcBorders>
            <w:shd w:val="clear" w:color="000000" w:fill="E2EFDA"/>
            <w:vAlign w:val="center"/>
            <w:hideMark/>
          </w:tcPr>
          <w:p w14:paraId="5B434405" w14:textId="77777777" w:rsidR="00710FC1" w:rsidRPr="00BB4A7B" w:rsidRDefault="00710FC1" w:rsidP="00710FC1">
            <w:pPr>
              <w:spacing w:line="259" w:lineRule="auto"/>
              <w:jc w:val="right"/>
              <w:rPr>
                <w:rFonts w:ascii="Times New Roman" w:eastAsia="Times New Roman" w:hAnsi="Times New Roman" w:cs="Times New Roman"/>
                <w:b/>
                <w:bCs/>
                <w:color w:val="000000"/>
                <w:sz w:val="16"/>
                <w:szCs w:val="16"/>
              </w:rPr>
            </w:pPr>
            <w:r w:rsidRPr="00BB4A7B">
              <w:rPr>
                <w:rFonts w:ascii="Times New Roman" w:eastAsia="Times New Roman" w:hAnsi="Times New Roman" w:cs="Times New Roman"/>
                <w:b/>
                <w:bCs/>
                <w:color w:val="000000"/>
                <w:sz w:val="16"/>
                <w:szCs w:val="16"/>
              </w:rPr>
              <w:t>7.171</w:t>
            </w:r>
          </w:p>
        </w:tc>
        <w:tc>
          <w:tcPr>
            <w:tcW w:w="708" w:type="dxa"/>
            <w:tcBorders>
              <w:top w:val="nil"/>
              <w:left w:val="nil"/>
              <w:bottom w:val="nil"/>
              <w:right w:val="nil"/>
            </w:tcBorders>
            <w:shd w:val="clear" w:color="000000" w:fill="E2EFDA"/>
            <w:vAlign w:val="center"/>
            <w:hideMark/>
          </w:tcPr>
          <w:p w14:paraId="3E9550CE" w14:textId="77777777" w:rsidR="00710FC1" w:rsidRPr="00BB4A7B" w:rsidRDefault="00710FC1" w:rsidP="00710FC1">
            <w:pPr>
              <w:spacing w:line="259" w:lineRule="auto"/>
              <w:jc w:val="right"/>
              <w:rPr>
                <w:rFonts w:ascii="Times New Roman" w:eastAsia="Times New Roman" w:hAnsi="Times New Roman" w:cs="Times New Roman"/>
                <w:b/>
                <w:bCs/>
                <w:color w:val="000000"/>
                <w:sz w:val="16"/>
                <w:szCs w:val="16"/>
              </w:rPr>
            </w:pPr>
            <w:r w:rsidRPr="00BB4A7B">
              <w:rPr>
                <w:rFonts w:ascii="Times New Roman" w:eastAsia="Times New Roman" w:hAnsi="Times New Roman" w:cs="Times New Roman"/>
                <w:b/>
                <w:bCs/>
                <w:color w:val="000000"/>
                <w:sz w:val="16"/>
                <w:szCs w:val="16"/>
              </w:rPr>
              <w:t>7.681</w:t>
            </w:r>
          </w:p>
        </w:tc>
        <w:tc>
          <w:tcPr>
            <w:tcW w:w="577" w:type="dxa"/>
            <w:tcBorders>
              <w:top w:val="nil"/>
              <w:left w:val="nil"/>
              <w:bottom w:val="nil"/>
              <w:right w:val="nil"/>
            </w:tcBorders>
            <w:shd w:val="clear" w:color="000000" w:fill="E2EFDA"/>
            <w:vAlign w:val="center"/>
            <w:hideMark/>
          </w:tcPr>
          <w:p w14:paraId="0149B247" w14:textId="77777777" w:rsidR="00710FC1" w:rsidRPr="00BB4A7B" w:rsidRDefault="00710FC1" w:rsidP="00710FC1">
            <w:pPr>
              <w:spacing w:line="259" w:lineRule="auto"/>
              <w:jc w:val="right"/>
              <w:rPr>
                <w:rFonts w:ascii="Times New Roman" w:eastAsia="Times New Roman" w:hAnsi="Times New Roman" w:cs="Times New Roman"/>
                <w:b/>
                <w:bCs/>
                <w:color w:val="000000"/>
                <w:sz w:val="16"/>
                <w:szCs w:val="16"/>
              </w:rPr>
            </w:pPr>
            <w:r w:rsidRPr="00BB4A7B">
              <w:rPr>
                <w:rFonts w:ascii="Times New Roman" w:eastAsia="Times New Roman" w:hAnsi="Times New Roman" w:cs="Times New Roman"/>
                <w:b/>
                <w:bCs/>
                <w:color w:val="000000"/>
                <w:sz w:val="16"/>
                <w:szCs w:val="16"/>
              </w:rPr>
              <w:t>7.680</w:t>
            </w:r>
          </w:p>
        </w:tc>
        <w:tc>
          <w:tcPr>
            <w:tcW w:w="563" w:type="dxa"/>
            <w:tcBorders>
              <w:top w:val="nil"/>
              <w:left w:val="nil"/>
              <w:bottom w:val="nil"/>
              <w:right w:val="nil"/>
            </w:tcBorders>
            <w:shd w:val="clear" w:color="000000" w:fill="E2EFDA"/>
            <w:vAlign w:val="center"/>
            <w:hideMark/>
          </w:tcPr>
          <w:p w14:paraId="0348ED31" w14:textId="77777777" w:rsidR="00710FC1" w:rsidRPr="00BB4A7B" w:rsidRDefault="00710FC1" w:rsidP="00710FC1">
            <w:pPr>
              <w:spacing w:line="259" w:lineRule="auto"/>
              <w:jc w:val="right"/>
              <w:rPr>
                <w:rFonts w:ascii="Times New Roman" w:eastAsia="Times New Roman" w:hAnsi="Times New Roman" w:cs="Times New Roman"/>
                <w:b/>
                <w:bCs/>
                <w:color w:val="000000"/>
                <w:sz w:val="16"/>
                <w:szCs w:val="16"/>
              </w:rPr>
            </w:pPr>
            <w:r w:rsidRPr="00BB4A7B">
              <w:rPr>
                <w:rFonts w:ascii="Times New Roman" w:eastAsia="Times New Roman" w:hAnsi="Times New Roman" w:cs="Times New Roman"/>
                <w:b/>
                <w:bCs/>
                <w:color w:val="000000"/>
                <w:sz w:val="16"/>
                <w:szCs w:val="16"/>
              </w:rPr>
              <w:t>7.441</w:t>
            </w:r>
          </w:p>
        </w:tc>
        <w:tc>
          <w:tcPr>
            <w:tcW w:w="709" w:type="dxa"/>
            <w:tcBorders>
              <w:top w:val="nil"/>
              <w:left w:val="nil"/>
              <w:bottom w:val="nil"/>
              <w:right w:val="nil"/>
            </w:tcBorders>
            <w:shd w:val="clear" w:color="000000" w:fill="E2EFDA"/>
            <w:vAlign w:val="center"/>
            <w:hideMark/>
          </w:tcPr>
          <w:p w14:paraId="1FC02867" w14:textId="77777777" w:rsidR="00710FC1" w:rsidRPr="00BB4A7B" w:rsidRDefault="00710FC1" w:rsidP="00710FC1">
            <w:pPr>
              <w:spacing w:line="259" w:lineRule="auto"/>
              <w:jc w:val="right"/>
              <w:rPr>
                <w:rFonts w:ascii="Times New Roman" w:eastAsia="Times New Roman" w:hAnsi="Times New Roman" w:cs="Times New Roman"/>
                <w:b/>
                <w:bCs/>
                <w:color w:val="000000"/>
                <w:sz w:val="16"/>
                <w:szCs w:val="16"/>
              </w:rPr>
            </w:pPr>
            <w:r w:rsidRPr="00BB4A7B">
              <w:rPr>
                <w:rFonts w:ascii="Times New Roman" w:eastAsia="Times New Roman" w:hAnsi="Times New Roman" w:cs="Times New Roman"/>
                <w:b/>
                <w:bCs/>
                <w:color w:val="000000"/>
                <w:sz w:val="16"/>
                <w:szCs w:val="16"/>
              </w:rPr>
              <w:t>4,315</w:t>
            </w:r>
          </w:p>
        </w:tc>
      </w:tr>
      <w:tr w:rsidR="00710FC1" w:rsidRPr="00BB4A7B" w14:paraId="08867F39" w14:textId="77777777" w:rsidTr="00E250FE">
        <w:trPr>
          <w:trHeight w:val="293"/>
          <w:jc w:val="center"/>
        </w:trPr>
        <w:tc>
          <w:tcPr>
            <w:tcW w:w="1840" w:type="dxa"/>
            <w:tcBorders>
              <w:top w:val="nil"/>
              <w:left w:val="nil"/>
              <w:bottom w:val="nil"/>
              <w:right w:val="nil"/>
            </w:tcBorders>
            <w:shd w:val="clear" w:color="000000" w:fill="FFFFFF"/>
            <w:vAlign w:val="center"/>
            <w:hideMark/>
          </w:tcPr>
          <w:p w14:paraId="454C58C0" w14:textId="77777777" w:rsidR="00710FC1" w:rsidRPr="00BB4A7B" w:rsidRDefault="00710FC1" w:rsidP="00710FC1">
            <w:pPr>
              <w:spacing w:line="259" w:lineRule="auto"/>
              <w:jc w:val="left"/>
              <w:rPr>
                <w:rFonts w:ascii="Times New Roman" w:eastAsia="Times New Roman" w:hAnsi="Times New Roman" w:cs="Times New Roman"/>
                <w:color w:val="000000"/>
                <w:sz w:val="16"/>
                <w:szCs w:val="16"/>
              </w:rPr>
            </w:pPr>
            <w:r w:rsidRPr="00BB4A7B">
              <w:rPr>
                <w:rFonts w:ascii="Times New Roman" w:eastAsia="Times New Roman" w:hAnsi="Times New Roman" w:cs="Times New Roman"/>
                <w:color w:val="000000"/>
                <w:sz w:val="16"/>
                <w:szCs w:val="16"/>
              </w:rPr>
              <w:t>Técnica profesional</w:t>
            </w:r>
          </w:p>
        </w:tc>
        <w:tc>
          <w:tcPr>
            <w:tcW w:w="718" w:type="dxa"/>
            <w:tcBorders>
              <w:top w:val="nil"/>
              <w:left w:val="nil"/>
              <w:bottom w:val="nil"/>
              <w:right w:val="nil"/>
            </w:tcBorders>
            <w:shd w:val="clear" w:color="000000" w:fill="FFFFFF"/>
            <w:vAlign w:val="center"/>
            <w:hideMark/>
          </w:tcPr>
          <w:p w14:paraId="1CF5AA10" w14:textId="77777777" w:rsidR="00710FC1" w:rsidRPr="00BB4A7B" w:rsidRDefault="00710FC1" w:rsidP="00710FC1">
            <w:pPr>
              <w:spacing w:line="259" w:lineRule="auto"/>
              <w:jc w:val="right"/>
              <w:rPr>
                <w:rFonts w:ascii="Times New Roman" w:eastAsia="Times New Roman" w:hAnsi="Times New Roman" w:cs="Times New Roman"/>
                <w:color w:val="000000"/>
                <w:sz w:val="16"/>
                <w:szCs w:val="16"/>
              </w:rPr>
            </w:pPr>
            <w:r w:rsidRPr="00BB4A7B">
              <w:rPr>
                <w:rFonts w:ascii="Times New Roman" w:eastAsia="Times New Roman" w:hAnsi="Times New Roman" w:cs="Times New Roman"/>
                <w:color w:val="000000"/>
                <w:sz w:val="16"/>
                <w:szCs w:val="16"/>
              </w:rPr>
              <w:t>40</w:t>
            </w:r>
          </w:p>
        </w:tc>
        <w:tc>
          <w:tcPr>
            <w:tcW w:w="699" w:type="dxa"/>
            <w:tcBorders>
              <w:top w:val="nil"/>
              <w:left w:val="nil"/>
              <w:bottom w:val="nil"/>
              <w:right w:val="nil"/>
            </w:tcBorders>
            <w:shd w:val="clear" w:color="000000" w:fill="FFFFFF"/>
            <w:vAlign w:val="center"/>
            <w:hideMark/>
          </w:tcPr>
          <w:p w14:paraId="1789DD9D" w14:textId="77777777" w:rsidR="00710FC1" w:rsidRPr="00BB4A7B" w:rsidRDefault="00710FC1" w:rsidP="00710FC1">
            <w:pPr>
              <w:spacing w:line="259" w:lineRule="auto"/>
              <w:jc w:val="right"/>
              <w:rPr>
                <w:rFonts w:ascii="Times New Roman" w:eastAsia="Times New Roman" w:hAnsi="Times New Roman" w:cs="Times New Roman"/>
                <w:color w:val="000000"/>
                <w:sz w:val="16"/>
                <w:szCs w:val="16"/>
              </w:rPr>
            </w:pPr>
            <w:r w:rsidRPr="00BB4A7B">
              <w:rPr>
                <w:rFonts w:ascii="Times New Roman" w:eastAsia="Times New Roman" w:hAnsi="Times New Roman" w:cs="Times New Roman"/>
                <w:color w:val="000000"/>
                <w:sz w:val="16"/>
                <w:szCs w:val="16"/>
              </w:rPr>
              <w:t>3</w:t>
            </w:r>
          </w:p>
        </w:tc>
        <w:tc>
          <w:tcPr>
            <w:tcW w:w="708" w:type="dxa"/>
            <w:tcBorders>
              <w:top w:val="nil"/>
              <w:left w:val="nil"/>
              <w:bottom w:val="nil"/>
              <w:right w:val="nil"/>
            </w:tcBorders>
            <w:shd w:val="clear" w:color="000000" w:fill="FFFFFF"/>
            <w:vAlign w:val="center"/>
            <w:hideMark/>
          </w:tcPr>
          <w:p w14:paraId="1F07938C" w14:textId="77777777" w:rsidR="00710FC1" w:rsidRPr="00BB4A7B" w:rsidRDefault="00710FC1" w:rsidP="00710FC1">
            <w:pPr>
              <w:spacing w:line="259" w:lineRule="auto"/>
              <w:jc w:val="right"/>
              <w:rPr>
                <w:rFonts w:ascii="Times New Roman" w:eastAsia="Times New Roman" w:hAnsi="Times New Roman" w:cs="Times New Roman"/>
                <w:color w:val="000000"/>
                <w:sz w:val="16"/>
                <w:szCs w:val="16"/>
              </w:rPr>
            </w:pPr>
            <w:r w:rsidRPr="00BB4A7B">
              <w:rPr>
                <w:rFonts w:ascii="Times New Roman" w:eastAsia="Times New Roman" w:hAnsi="Times New Roman" w:cs="Times New Roman"/>
                <w:color w:val="000000"/>
                <w:sz w:val="16"/>
                <w:szCs w:val="16"/>
              </w:rPr>
              <w:t>762</w:t>
            </w:r>
          </w:p>
        </w:tc>
        <w:tc>
          <w:tcPr>
            <w:tcW w:w="709" w:type="dxa"/>
            <w:tcBorders>
              <w:top w:val="nil"/>
              <w:left w:val="nil"/>
              <w:bottom w:val="nil"/>
              <w:right w:val="nil"/>
            </w:tcBorders>
            <w:shd w:val="clear" w:color="000000" w:fill="FFFFFF"/>
            <w:vAlign w:val="center"/>
            <w:hideMark/>
          </w:tcPr>
          <w:p w14:paraId="00B42E97" w14:textId="77777777" w:rsidR="00710FC1" w:rsidRPr="00BB4A7B" w:rsidRDefault="00710FC1" w:rsidP="00710FC1">
            <w:pPr>
              <w:spacing w:line="259" w:lineRule="auto"/>
              <w:jc w:val="right"/>
              <w:rPr>
                <w:rFonts w:ascii="Times New Roman" w:eastAsia="Times New Roman" w:hAnsi="Times New Roman" w:cs="Times New Roman"/>
                <w:color w:val="000000"/>
                <w:sz w:val="16"/>
                <w:szCs w:val="16"/>
              </w:rPr>
            </w:pPr>
            <w:r w:rsidRPr="00BB4A7B">
              <w:rPr>
                <w:rFonts w:ascii="Times New Roman" w:eastAsia="Times New Roman" w:hAnsi="Times New Roman" w:cs="Times New Roman"/>
                <w:color w:val="000000"/>
                <w:sz w:val="16"/>
                <w:szCs w:val="16"/>
              </w:rPr>
              <w:t>699</w:t>
            </w:r>
          </w:p>
        </w:tc>
        <w:tc>
          <w:tcPr>
            <w:tcW w:w="850" w:type="dxa"/>
            <w:tcBorders>
              <w:top w:val="nil"/>
              <w:left w:val="nil"/>
              <w:bottom w:val="nil"/>
              <w:right w:val="nil"/>
            </w:tcBorders>
            <w:shd w:val="clear" w:color="000000" w:fill="FFFFFF"/>
            <w:vAlign w:val="center"/>
            <w:hideMark/>
          </w:tcPr>
          <w:p w14:paraId="1B6C0A55" w14:textId="77777777" w:rsidR="00710FC1" w:rsidRPr="00BB4A7B" w:rsidRDefault="00710FC1" w:rsidP="00710FC1">
            <w:pPr>
              <w:spacing w:line="259" w:lineRule="auto"/>
              <w:jc w:val="right"/>
              <w:rPr>
                <w:rFonts w:ascii="Times New Roman" w:eastAsia="Times New Roman" w:hAnsi="Times New Roman" w:cs="Times New Roman"/>
                <w:color w:val="000000"/>
                <w:sz w:val="16"/>
                <w:szCs w:val="16"/>
              </w:rPr>
            </w:pPr>
            <w:r w:rsidRPr="00BB4A7B">
              <w:rPr>
                <w:rFonts w:ascii="Times New Roman" w:eastAsia="Times New Roman" w:hAnsi="Times New Roman" w:cs="Times New Roman"/>
                <w:color w:val="000000"/>
                <w:sz w:val="16"/>
                <w:szCs w:val="16"/>
              </w:rPr>
              <w:t>461</w:t>
            </w:r>
          </w:p>
        </w:tc>
        <w:tc>
          <w:tcPr>
            <w:tcW w:w="849" w:type="dxa"/>
            <w:tcBorders>
              <w:top w:val="nil"/>
              <w:left w:val="nil"/>
              <w:bottom w:val="nil"/>
              <w:right w:val="nil"/>
            </w:tcBorders>
            <w:shd w:val="clear" w:color="000000" w:fill="FFFFFF"/>
            <w:vAlign w:val="center"/>
            <w:hideMark/>
          </w:tcPr>
          <w:p w14:paraId="1AD5308E" w14:textId="77777777" w:rsidR="00710FC1" w:rsidRPr="00BB4A7B" w:rsidRDefault="00710FC1" w:rsidP="00710FC1">
            <w:pPr>
              <w:spacing w:line="259" w:lineRule="auto"/>
              <w:jc w:val="right"/>
              <w:rPr>
                <w:rFonts w:ascii="Times New Roman" w:eastAsia="Times New Roman" w:hAnsi="Times New Roman" w:cs="Times New Roman"/>
                <w:color w:val="000000"/>
                <w:sz w:val="16"/>
                <w:szCs w:val="16"/>
              </w:rPr>
            </w:pPr>
            <w:r w:rsidRPr="00BB4A7B">
              <w:rPr>
                <w:rFonts w:ascii="Times New Roman" w:eastAsia="Times New Roman" w:hAnsi="Times New Roman" w:cs="Times New Roman"/>
                <w:color w:val="000000"/>
                <w:sz w:val="16"/>
                <w:szCs w:val="16"/>
              </w:rPr>
              <w:t>161</w:t>
            </w:r>
          </w:p>
        </w:tc>
        <w:tc>
          <w:tcPr>
            <w:tcW w:w="709" w:type="dxa"/>
            <w:tcBorders>
              <w:top w:val="nil"/>
              <w:left w:val="nil"/>
              <w:bottom w:val="nil"/>
              <w:right w:val="nil"/>
            </w:tcBorders>
            <w:shd w:val="clear" w:color="000000" w:fill="FFFFFF"/>
            <w:vAlign w:val="center"/>
            <w:hideMark/>
          </w:tcPr>
          <w:p w14:paraId="7FB4761C" w14:textId="77777777" w:rsidR="00710FC1" w:rsidRPr="00BB4A7B" w:rsidRDefault="00710FC1" w:rsidP="00710FC1">
            <w:pPr>
              <w:spacing w:line="259" w:lineRule="auto"/>
              <w:jc w:val="right"/>
              <w:rPr>
                <w:rFonts w:ascii="Times New Roman" w:eastAsia="Times New Roman" w:hAnsi="Times New Roman" w:cs="Times New Roman"/>
                <w:color w:val="000000"/>
                <w:sz w:val="16"/>
                <w:szCs w:val="16"/>
              </w:rPr>
            </w:pPr>
            <w:r w:rsidRPr="00BB4A7B">
              <w:rPr>
                <w:rFonts w:ascii="Times New Roman" w:eastAsia="Times New Roman" w:hAnsi="Times New Roman" w:cs="Times New Roman"/>
                <w:color w:val="000000"/>
                <w:sz w:val="16"/>
                <w:szCs w:val="16"/>
              </w:rPr>
              <w:t>626</w:t>
            </w:r>
          </w:p>
        </w:tc>
        <w:tc>
          <w:tcPr>
            <w:tcW w:w="709" w:type="dxa"/>
            <w:tcBorders>
              <w:top w:val="nil"/>
              <w:left w:val="nil"/>
              <w:bottom w:val="nil"/>
              <w:right w:val="nil"/>
            </w:tcBorders>
            <w:shd w:val="clear" w:color="000000" w:fill="FFFFFF"/>
            <w:vAlign w:val="center"/>
            <w:hideMark/>
          </w:tcPr>
          <w:p w14:paraId="49241369" w14:textId="77777777" w:rsidR="00710FC1" w:rsidRPr="00BB4A7B" w:rsidRDefault="00710FC1" w:rsidP="00710FC1">
            <w:pPr>
              <w:spacing w:line="259" w:lineRule="auto"/>
              <w:jc w:val="right"/>
              <w:rPr>
                <w:rFonts w:ascii="Times New Roman" w:eastAsia="Times New Roman" w:hAnsi="Times New Roman" w:cs="Times New Roman"/>
                <w:color w:val="000000"/>
                <w:sz w:val="16"/>
                <w:szCs w:val="16"/>
              </w:rPr>
            </w:pPr>
            <w:r w:rsidRPr="00BB4A7B">
              <w:rPr>
                <w:rFonts w:ascii="Times New Roman" w:eastAsia="Times New Roman" w:hAnsi="Times New Roman" w:cs="Times New Roman"/>
                <w:color w:val="000000"/>
                <w:sz w:val="16"/>
                <w:szCs w:val="16"/>
              </w:rPr>
              <w:t>1.078</w:t>
            </w:r>
          </w:p>
        </w:tc>
        <w:tc>
          <w:tcPr>
            <w:tcW w:w="708" w:type="dxa"/>
            <w:tcBorders>
              <w:top w:val="nil"/>
              <w:left w:val="nil"/>
              <w:bottom w:val="nil"/>
              <w:right w:val="nil"/>
            </w:tcBorders>
            <w:shd w:val="clear" w:color="000000" w:fill="FFFFFF"/>
            <w:vAlign w:val="center"/>
            <w:hideMark/>
          </w:tcPr>
          <w:p w14:paraId="08096F5A" w14:textId="77777777" w:rsidR="00710FC1" w:rsidRPr="00BB4A7B" w:rsidRDefault="00710FC1" w:rsidP="00710FC1">
            <w:pPr>
              <w:spacing w:line="259" w:lineRule="auto"/>
              <w:jc w:val="right"/>
              <w:rPr>
                <w:rFonts w:ascii="Times New Roman" w:eastAsia="Times New Roman" w:hAnsi="Times New Roman" w:cs="Times New Roman"/>
                <w:color w:val="000000"/>
                <w:sz w:val="16"/>
                <w:szCs w:val="16"/>
              </w:rPr>
            </w:pPr>
            <w:r w:rsidRPr="00BB4A7B">
              <w:rPr>
                <w:rFonts w:ascii="Times New Roman" w:eastAsia="Times New Roman" w:hAnsi="Times New Roman" w:cs="Times New Roman"/>
                <w:color w:val="000000"/>
                <w:sz w:val="16"/>
                <w:szCs w:val="16"/>
              </w:rPr>
              <w:t>947</w:t>
            </w:r>
          </w:p>
        </w:tc>
        <w:tc>
          <w:tcPr>
            <w:tcW w:w="577" w:type="dxa"/>
            <w:tcBorders>
              <w:top w:val="nil"/>
              <w:left w:val="nil"/>
              <w:bottom w:val="nil"/>
              <w:right w:val="nil"/>
            </w:tcBorders>
            <w:shd w:val="clear" w:color="000000" w:fill="FFFFFF"/>
            <w:vAlign w:val="center"/>
            <w:hideMark/>
          </w:tcPr>
          <w:p w14:paraId="6D0178C1" w14:textId="77777777" w:rsidR="00710FC1" w:rsidRPr="00BB4A7B" w:rsidRDefault="00710FC1" w:rsidP="00710FC1">
            <w:pPr>
              <w:spacing w:line="259" w:lineRule="auto"/>
              <w:jc w:val="right"/>
              <w:rPr>
                <w:rFonts w:ascii="Times New Roman" w:eastAsia="Times New Roman" w:hAnsi="Times New Roman" w:cs="Times New Roman"/>
                <w:color w:val="000000"/>
                <w:sz w:val="16"/>
                <w:szCs w:val="16"/>
              </w:rPr>
            </w:pPr>
            <w:r w:rsidRPr="00BB4A7B">
              <w:rPr>
                <w:rFonts w:ascii="Times New Roman" w:eastAsia="Times New Roman" w:hAnsi="Times New Roman" w:cs="Times New Roman"/>
                <w:color w:val="000000"/>
                <w:sz w:val="16"/>
                <w:szCs w:val="16"/>
              </w:rPr>
              <w:t>1.078</w:t>
            </w:r>
          </w:p>
        </w:tc>
        <w:tc>
          <w:tcPr>
            <w:tcW w:w="563" w:type="dxa"/>
            <w:tcBorders>
              <w:top w:val="nil"/>
              <w:left w:val="nil"/>
              <w:bottom w:val="nil"/>
              <w:right w:val="nil"/>
            </w:tcBorders>
            <w:shd w:val="clear" w:color="000000" w:fill="FFFFFF"/>
            <w:vAlign w:val="center"/>
            <w:hideMark/>
          </w:tcPr>
          <w:p w14:paraId="6C8272A1" w14:textId="77777777" w:rsidR="00710FC1" w:rsidRPr="00BB4A7B" w:rsidRDefault="00710FC1" w:rsidP="00710FC1">
            <w:pPr>
              <w:spacing w:line="259" w:lineRule="auto"/>
              <w:jc w:val="right"/>
              <w:rPr>
                <w:rFonts w:ascii="Times New Roman" w:eastAsia="Times New Roman" w:hAnsi="Times New Roman" w:cs="Times New Roman"/>
                <w:color w:val="000000"/>
                <w:sz w:val="16"/>
                <w:szCs w:val="16"/>
              </w:rPr>
            </w:pPr>
            <w:r w:rsidRPr="00BB4A7B">
              <w:rPr>
                <w:rFonts w:ascii="Times New Roman" w:eastAsia="Times New Roman" w:hAnsi="Times New Roman" w:cs="Times New Roman"/>
                <w:color w:val="000000"/>
                <w:sz w:val="16"/>
                <w:szCs w:val="16"/>
              </w:rPr>
              <w:t>1.521</w:t>
            </w:r>
          </w:p>
        </w:tc>
        <w:tc>
          <w:tcPr>
            <w:tcW w:w="709" w:type="dxa"/>
            <w:tcBorders>
              <w:top w:val="nil"/>
              <w:left w:val="nil"/>
              <w:bottom w:val="nil"/>
              <w:right w:val="nil"/>
            </w:tcBorders>
            <w:shd w:val="clear" w:color="000000" w:fill="FFFFFF"/>
            <w:vAlign w:val="center"/>
            <w:hideMark/>
          </w:tcPr>
          <w:p w14:paraId="637487B1" w14:textId="77777777" w:rsidR="00710FC1" w:rsidRPr="00BB4A7B" w:rsidRDefault="00710FC1" w:rsidP="00710FC1">
            <w:pPr>
              <w:spacing w:line="259" w:lineRule="auto"/>
              <w:jc w:val="right"/>
              <w:rPr>
                <w:rFonts w:ascii="Times New Roman" w:eastAsia="Times New Roman" w:hAnsi="Times New Roman" w:cs="Times New Roman"/>
                <w:color w:val="000000"/>
                <w:sz w:val="16"/>
                <w:szCs w:val="16"/>
              </w:rPr>
            </w:pPr>
            <w:r w:rsidRPr="00BB4A7B">
              <w:rPr>
                <w:rFonts w:ascii="Times New Roman" w:eastAsia="Times New Roman" w:hAnsi="Times New Roman" w:cs="Times New Roman"/>
                <w:color w:val="000000"/>
                <w:sz w:val="16"/>
                <w:szCs w:val="16"/>
              </w:rPr>
              <w:t>753</w:t>
            </w:r>
          </w:p>
        </w:tc>
      </w:tr>
      <w:tr w:rsidR="00710FC1" w:rsidRPr="00BB4A7B" w14:paraId="75DD27D8" w14:textId="77777777" w:rsidTr="00E250FE">
        <w:trPr>
          <w:trHeight w:val="315"/>
          <w:jc w:val="center"/>
        </w:trPr>
        <w:tc>
          <w:tcPr>
            <w:tcW w:w="1840" w:type="dxa"/>
            <w:tcBorders>
              <w:top w:val="nil"/>
              <w:left w:val="nil"/>
              <w:bottom w:val="nil"/>
              <w:right w:val="nil"/>
            </w:tcBorders>
            <w:shd w:val="clear" w:color="000000" w:fill="E2EFDA"/>
            <w:vAlign w:val="center"/>
            <w:hideMark/>
          </w:tcPr>
          <w:p w14:paraId="2ACB7318" w14:textId="77777777" w:rsidR="00710FC1" w:rsidRPr="00BB4A7B" w:rsidRDefault="00710FC1" w:rsidP="00710FC1">
            <w:pPr>
              <w:spacing w:line="259" w:lineRule="auto"/>
              <w:jc w:val="left"/>
              <w:rPr>
                <w:rFonts w:ascii="Times New Roman" w:eastAsia="Times New Roman" w:hAnsi="Times New Roman" w:cs="Times New Roman"/>
                <w:color w:val="000000"/>
                <w:sz w:val="16"/>
                <w:szCs w:val="16"/>
              </w:rPr>
            </w:pPr>
            <w:r w:rsidRPr="00BB4A7B">
              <w:rPr>
                <w:rFonts w:ascii="Times New Roman" w:eastAsia="Times New Roman" w:hAnsi="Times New Roman" w:cs="Times New Roman"/>
                <w:color w:val="000000"/>
                <w:sz w:val="16"/>
                <w:szCs w:val="16"/>
              </w:rPr>
              <w:t>Tecnológico</w:t>
            </w:r>
          </w:p>
        </w:tc>
        <w:tc>
          <w:tcPr>
            <w:tcW w:w="718" w:type="dxa"/>
            <w:tcBorders>
              <w:top w:val="nil"/>
              <w:left w:val="nil"/>
              <w:bottom w:val="nil"/>
              <w:right w:val="nil"/>
            </w:tcBorders>
            <w:shd w:val="clear" w:color="000000" w:fill="E2EFDA"/>
            <w:vAlign w:val="center"/>
            <w:hideMark/>
          </w:tcPr>
          <w:p w14:paraId="5A0B1AD6" w14:textId="77777777" w:rsidR="00710FC1" w:rsidRPr="00BB4A7B" w:rsidRDefault="00710FC1" w:rsidP="00710FC1">
            <w:pPr>
              <w:spacing w:line="259" w:lineRule="auto"/>
              <w:jc w:val="right"/>
              <w:rPr>
                <w:rFonts w:ascii="Times New Roman" w:eastAsia="Times New Roman" w:hAnsi="Times New Roman" w:cs="Times New Roman"/>
                <w:color w:val="000000"/>
                <w:sz w:val="16"/>
                <w:szCs w:val="16"/>
              </w:rPr>
            </w:pPr>
            <w:r w:rsidRPr="00BB4A7B">
              <w:rPr>
                <w:rFonts w:ascii="Times New Roman" w:eastAsia="Times New Roman" w:hAnsi="Times New Roman" w:cs="Times New Roman"/>
                <w:color w:val="000000"/>
                <w:sz w:val="16"/>
                <w:szCs w:val="16"/>
              </w:rPr>
              <w:t>450</w:t>
            </w:r>
          </w:p>
        </w:tc>
        <w:tc>
          <w:tcPr>
            <w:tcW w:w="699" w:type="dxa"/>
            <w:tcBorders>
              <w:top w:val="nil"/>
              <w:left w:val="nil"/>
              <w:bottom w:val="nil"/>
              <w:right w:val="nil"/>
            </w:tcBorders>
            <w:shd w:val="clear" w:color="000000" w:fill="E2EFDA"/>
            <w:vAlign w:val="center"/>
            <w:hideMark/>
          </w:tcPr>
          <w:p w14:paraId="771169A4" w14:textId="77777777" w:rsidR="00710FC1" w:rsidRPr="00BB4A7B" w:rsidRDefault="00710FC1" w:rsidP="00710FC1">
            <w:pPr>
              <w:spacing w:line="259" w:lineRule="auto"/>
              <w:jc w:val="right"/>
              <w:rPr>
                <w:rFonts w:ascii="Times New Roman" w:eastAsia="Times New Roman" w:hAnsi="Times New Roman" w:cs="Times New Roman"/>
                <w:color w:val="000000"/>
                <w:sz w:val="16"/>
                <w:szCs w:val="16"/>
              </w:rPr>
            </w:pPr>
            <w:r w:rsidRPr="00BB4A7B">
              <w:rPr>
                <w:rFonts w:ascii="Times New Roman" w:eastAsia="Times New Roman" w:hAnsi="Times New Roman" w:cs="Times New Roman"/>
                <w:color w:val="000000"/>
                <w:sz w:val="16"/>
                <w:szCs w:val="16"/>
              </w:rPr>
              <w:t>1.443</w:t>
            </w:r>
          </w:p>
        </w:tc>
        <w:tc>
          <w:tcPr>
            <w:tcW w:w="708" w:type="dxa"/>
            <w:tcBorders>
              <w:top w:val="nil"/>
              <w:left w:val="nil"/>
              <w:bottom w:val="nil"/>
              <w:right w:val="nil"/>
            </w:tcBorders>
            <w:shd w:val="clear" w:color="000000" w:fill="E2EFDA"/>
            <w:vAlign w:val="center"/>
            <w:hideMark/>
          </w:tcPr>
          <w:p w14:paraId="720EB9FA" w14:textId="77777777" w:rsidR="00710FC1" w:rsidRPr="00BB4A7B" w:rsidRDefault="00710FC1" w:rsidP="00710FC1">
            <w:pPr>
              <w:spacing w:line="259" w:lineRule="auto"/>
              <w:jc w:val="right"/>
              <w:rPr>
                <w:rFonts w:ascii="Times New Roman" w:eastAsia="Times New Roman" w:hAnsi="Times New Roman" w:cs="Times New Roman"/>
                <w:color w:val="000000"/>
                <w:sz w:val="16"/>
                <w:szCs w:val="16"/>
              </w:rPr>
            </w:pPr>
            <w:r w:rsidRPr="00BB4A7B">
              <w:rPr>
                <w:rFonts w:ascii="Times New Roman" w:eastAsia="Times New Roman" w:hAnsi="Times New Roman" w:cs="Times New Roman"/>
                <w:color w:val="000000"/>
                <w:sz w:val="16"/>
                <w:szCs w:val="16"/>
              </w:rPr>
              <w:t>1.393</w:t>
            </w:r>
          </w:p>
        </w:tc>
        <w:tc>
          <w:tcPr>
            <w:tcW w:w="709" w:type="dxa"/>
            <w:tcBorders>
              <w:top w:val="nil"/>
              <w:left w:val="nil"/>
              <w:bottom w:val="nil"/>
              <w:right w:val="nil"/>
            </w:tcBorders>
            <w:shd w:val="clear" w:color="000000" w:fill="E2EFDA"/>
            <w:vAlign w:val="center"/>
            <w:hideMark/>
          </w:tcPr>
          <w:p w14:paraId="3A01A056" w14:textId="77777777" w:rsidR="00710FC1" w:rsidRPr="00BB4A7B" w:rsidRDefault="00710FC1" w:rsidP="00710FC1">
            <w:pPr>
              <w:spacing w:line="259" w:lineRule="auto"/>
              <w:jc w:val="right"/>
              <w:rPr>
                <w:rFonts w:ascii="Times New Roman" w:eastAsia="Times New Roman" w:hAnsi="Times New Roman" w:cs="Times New Roman"/>
                <w:color w:val="000000"/>
                <w:sz w:val="16"/>
                <w:szCs w:val="16"/>
              </w:rPr>
            </w:pPr>
            <w:r w:rsidRPr="00BB4A7B">
              <w:rPr>
                <w:rFonts w:ascii="Times New Roman" w:eastAsia="Times New Roman" w:hAnsi="Times New Roman" w:cs="Times New Roman"/>
                <w:color w:val="000000"/>
                <w:sz w:val="16"/>
                <w:szCs w:val="16"/>
              </w:rPr>
              <w:t>1.534</w:t>
            </w:r>
          </w:p>
        </w:tc>
        <w:tc>
          <w:tcPr>
            <w:tcW w:w="850" w:type="dxa"/>
            <w:tcBorders>
              <w:top w:val="nil"/>
              <w:left w:val="nil"/>
              <w:bottom w:val="nil"/>
              <w:right w:val="nil"/>
            </w:tcBorders>
            <w:shd w:val="clear" w:color="000000" w:fill="E2EFDA"/>
            <w:vAlign w:val="center"/>
            <w:hideMark/>
          </w:tcPr>
          <w:p w14:paraId="6B70C819" w14:textId="77777777" w:rsidR="00710FC1" w:rsidRPr="00BB4A7B" w:rsidRDefault="00710FC1" w:rsidP="00710FC1">
            <w:pPr>
              <w:spacing w:line="259" w:lineRule="auto"/>
              <w:jc w:val="right"/>
              <w:rPr>
                <w:rFonts w:ascii="Times New Roman" w:eastAsia="Times New Roman" w:hAnsi="Times New Roman" w:cs="Times New Roman"/>
                <w:color w:val="000000"/>
                <w:sz w:val="16"/>
                <w:szCs w:val="16"/>
              </w:rPr>
            </w:pPr>
            <w:r w:rsidRPr="00BB4A7B">
              <w:rPr>
                <w:rFonts w:ascii="Times New Roman" w:eastAsia="Times New Roman" w:hAnsi="Times New Roman" w:cs="Times New Roman"/>
                <w:color w:val="000000"/>
                <w:sz w:val="16"/>
                <w:szCs w:val="16"/>
              </w:rPr>
              <w:t>2.026</w:t>
            </w:r>
          </w:p>
        </w:tc>
        <w:tc>
          <w:tcPr>
            <w:tcW w:w="849" w:type="dxa"/>
            <w:tcBorders>
              <w:top w:val="nil"/>
              <w:left w:val="nil"/>
              <w:bottom w:val="nil"/>
              <w:right w:val="nil"/>
            </w:tcBorders>
            <w:shd w:val="clear" w:color="000000" w:fill="E2EFDA"/>
            <w:vAlign w:val="center"/>
            <w:hideMark/>
          </w:tcPr>
          <w:p w14:paraId="60B96483" w14:textId="77777777" w:rsidR="00710FC1" w:rsidRPr="00BB4A7B" w:rsidRDefault="00710FC1" w:rsidP="00710FC1">
            <w:pPr>
              <w:spacing w:line="259" w:lineRule="auto"/>
              <w:jc w:val="right"/>
              <w:rPr>
                <w:rFonts w:ascii="Times New Roman" w:eastAsia="Times New Roman" w:hAnsi="Times New Roman" w:cs="Times New Roman"/>
                <w:color w:val="000000"/>
                <w:sz w:val="16"/>
                <w:szCs w:val="16"/>
              </w:rPr>
            </w:pPr>
            <w:r w:rsidRPr="00BB4A7B">
              <w:rPr>
                <w:rFonts w:ascii="Times New Roman" w:eastAsia="Times New Roman" w:hAnsi="Times New Roman" w:cs="Times New Roman"/>
                <w:color w:val="000000"/>
                <w:sz w:val="16"/>
                <w:szCs w:val="16"/>
              </w:rPr>
              <w:t>2.348</w:t>
            </w:r>
          </w:p>
        </w:tc>
        <w:tc>
          <w:tcPr>
            <w:tcW w:w="709" w:type="dxa"/>
            <w:tcBorders>
              <w:top w:val="nil"/>
              <w:left w:val="nil"/>
              <w:bottom w:val="nil"/>
              <w:right w:val="nil"/>
            </w:tcBorders>
            <w:shd w:val="clear" w:color="000000" w:fill="E2EFDA"/>
            <w:vAlign w:val="center"/>
            <w:hideMark/>
          </w:tcPr>
          <w:p w14:paraId="4351D220" w14:textId="77777777" w:rsidR="00710FC1" w:rsidRPr="00BB4A7B" w:rsidRDefault="00710FC1" w:rsidP="00710FC1">
            <w:pPr>
              <w:spacing w:line="259" w:lineRule="auto"/>
              <w:jc w:val="right"/>
              <w:rPr>
                <w:rFonts w:ascii="Times New Roman" w:eastAsia="Times New Roman" w:hAnsi="Times New Roman" w:cs="Times New Roman"/>
                <w:color w:val="000000"/>
                <w:sz w:val="16"/>
                <w:szCs w:val="16"/>
              </w:rPr>
            </w:pPr>
            <w:r w:rsidRPr="00BB4A7B">
              <w:rPr>
                <w:rFonts w:ascii="Times New Roman" w:eastAsia="Times New Roman" w:hAnsi="Times New Roman" w:cs="Times New Roman"/>
                <w:color w:val="000000"/>
                <w:sz w:val="16"/>
                <w:szCs w:val="16"/>
              </w:rPr>
              <w:t>2.057</w:t>
            </w:r>
          </w:p>
        </w:tc>
        <w:tc>
          <w:tcPr>
            <w:tcW w:w="709" w:type="dxa"/>
            <w:tcBorders>
              <w:top w:val="nil"/>
              <w:left w:val="nil"/>
              <w:bottom w:val="nil"/>
              <w:right w:val="nil"/>
            </w:tcBorders>
            <w:shd w:val="clear" w:color="000000" w:fill="E2EFDA"/>
            <w:vAlign w:val="center"/>
            <w:hideMark/>
          </w:tcPr>
          <w:p w14:paraId="34F6FBFA" w14:textId="77777777" w:rsidR="00710FC1" w:rsidRPr="00BB4A7B" w:rsidRDefault="00710FC1" w:rsidP="00710FC1">
            <w:pPr>
              <w:spacing w:line="259" w:lineRule="auto"/>
              <w:jc w:val="right"/>
              <w:rPr>
                <w:rFonts w:ascii="Times New Roman" w:eastAsia="Times New Roman" w:hAnsi="Times New Roman" w:cs="Times New Roman"/>
                <w:color w:val="000000"/>
                <w:sz w:val="16"/>
                <w:szCs w:val="16"/>
              </w:rPr>
            </w:pPr>
            <w:r w:rsidRPr="00BB4A7B">
              <w:rPr>
                <w:rFonts w:ascii="Times New Roman" w:eastAsia="Times New Roman" w:hAnsi="Times New Roman" w:cs="Times New Roman"/>
                <w:color w:val="000000"/>
                <w:sz w:val="16"/>
                <w:szCs w:val="16"/>
              </w:rPr>
              <w:t>1.951</w:t>
            </w:r>
          </w:p>
        </w:tc>
        <w:tc>
          <w:tcPr>
            <w:tcW w:w="708" w:type="dxa"/>
            <w:tcBorders>
              <w:top w:val="nil"/>
              <w:left w:val="nil"/>
              <w:bottom w:val="nil"/>
              <w:right w:val="nil"/>
            </w:tcBorders>
            <w:shd w:val="clear" w:color="000000" w:fill="E2EFDA"/>
            <w:vAlign w:val="center"/>
            <w:hideMark/>
          </w:tcPr>
          <w:p w14:paraId="022D844F" w14:textId="77777777" w:rsidR="00710FC1" w:rsidRPr="00BB4A7B" w:rsidRDefault="00710FC1" w:rsidP="00710FC1">
            <w:pPr>
              <w:spacing w:line="259" w:lineRule="auto"/>
              <w:jc w:val="right"/>
              <w:rPr>
                <w:rFonts w:ascii="Times New Roman" w:eastAsia="Times New Roman" w:hAnsi="Times New Roman" w:cs="Times New Roman"/>
                <w:color w:val="000000"/>
                <w:sz w:val="16"/>
                <w:szCs w:val="16"/>
              </w:rPr>
            </w:pPr>
            <w:r w:rsidRPr="00BB4A7B">
              <w:rPr>
                <w:rFonts w:ascii="Times New Roman" w:eastAsia="Times New Roman" w:hAnsi="Times New Roman" w:cs="Times New Roman"/>
                <w:color w:val="000000"/>
                <w:sz w:val="16"/>
                <w:szCs w:val="16"/>
              </w:rPr>
              <w:t>2.249</w:t>
            </w:r>
          </w:p>
        </w:tc>
        <w:tc>
          <w:tcPr>
            <w:tcW w:w="577" w:type="dxa"/>
            <w:tcBorders>
              <w:top w:val="nil"/>
              <w:left w:val="nil"/>
              <w:bottom w:val="nil"/>
              <w:right w:val="nil"/>
            </w:tcBorders>
            <w:shd w:val="clear" w:color="000000" w:fill="E2EFDA"/>
            <w:vAlign w:val="center"/>
            <w:hideMark/>
          </w:tcPr>
          <w:p w14:paraId="2739800D" w14:textId="77777777" w:rsidR="00710FC1" w:rsidRPr="00BB4A7B" w:rsidRDefault="00710FC1" w:rsidP="00710FC1">
            <w:pPr>
              <w:spacing w:line="259" w:lineRule="auto"/>
              <w:jc w:val="right"/>
              <w:rPr>
                <w:rFonts w:ascii="Times New Roman" w:eastAsia="Times New Roman" w:hAnsi="Times New Roman" w:cs="Times New Roman"/>
                <w:color w:val="000000"/>
                <w:sz w:val="16"/>
                <w:szCs w:val="16"/>
              </w:rPr>
            </w:pPr>
            <w:r w:rsidRPr="00BB4A7B">
              <w:rPr>
                <w:rFonts w:ascii="Times New Roman" w:eastAsia="Times New Roman" w:hAnsi="Times New Roman" w:cs="Times New Roman"/>
                <w:color w:val="000000"/>
                <w:sz w:val="16"/>
                <w:szCs w:val="16"/>
              </w:rPr>
              <w:t>2.214</w:t>
            </w:r>
          </w:p>
        </w:tc>
        <w:tc>
          <w:tcPr>
            <w:tcW w:w="563" w:type="dxa"/>
            <w:tcBorders>
              <w:top w:val="nil"/>
              <w:left w:val="nil"/>
              <w:bottom w:val="nil"/>
              <w:right w:val="nil"/>
            </w:tcBorders>
            <w:shd w:val="clear" w:color="000000" w:fill="E2EFDA"/>
            <w:vAlign w:val="center"/>
            <w:hideMark/>
          </w:tcPr>
          <w:p w14:paraId="63F232C9" w14:textId="77777777" w:rsidR="00710FC1" w:rsidRPr="00BB4A7B" w:rsidRDefault="00710FC1" w:rsidP="00710FC1">
            <w:pPr>
              <w:spacing w:line="259" w:lineRule="auto"/>
              <w:jc w:val="right"/>
              <w:rPr>
                <w:rFonts w:ascii="Times New Roman" w:eastAsia="Times New Roman" w:hAnsi="Times New Roman" w:cs="Times New Roman"/>
                <w:color w:val="000000"/>
                <w:sz w:val="16"/>
                <w:szCs w:val="16"/>
              </w:rPr>
            </w:pPr>
            <w:r w:rsidRPr="00BB4A7B">
              <w:rPr>
                <w:rFonts w:ascii="Times New Roman" w:eastAsia="Times New Roman" w:hAnsi="Times New Roman" w:cs="Times New Roman"/>
                <w:color w:val="000000"/>
                <w:sz w:val="16"/>
                <w:szCs w:val="16"/>
              </w:rPr>
              <w:t>1.566</w:t>
            </w:r>
          </w:p>
        </w:tc>
        <w:tc>
          <w:tcPr>
            <w:tcW w:w="709" w:type="dxa"/>
            <w:tcBorders>
              <w:top w:val="nil"/>
              <w:left w:val="nil"/>
              <w:bottom w:val="nil"/>
              <w:right w:val="nil"/>
            </w:tcBorders>
            <w:shd w:val="clear" w:color="000000" w:fill="E2EFDA"/>
            <w:vAlign w:val="center"/>
            <w:hideMark/>
          </w:tcPr>
          <w:p w14:paraId="5D934579" w14:textId="77777777" w:rsidR="00710FC1" w:rsidRPr="00BB4A7B" w:rsidRDefault="00710FC1" w:rsidP="00710FC1">
            <w:pPr>
              <w:spacing w:line="259" w:lineRule="auto"/>
              <w:jc w:val="right"/>
              <w:rPr>
                <w:rFonts w:ascii="Times New Roman" w:eastAsia="Times New Roman" w:hAnsi="Times New Roman" w:cs="Times New Roman"/>
                <w:color w:val="000000"/>
                <w:sz w:val="16"/>
                <w:szCs w:val="16"/>
              </w:rPr>
            </w:pPr>
            <w:r w:rsidRPr="00BB4A7B">
              <w:rPr>
                <w:rFonts w:ascii="Times New Roman" w:eastAsia="Times New Roman" w:hAnsi="Times New Roman" w:cs="Times New Roman"/>
                <w:color w:val="000000"/>
                <w:sz w:val="16"/>
                <w:szCs w:val="16"/>
              </w:rPr>
              <w:t>1,186</w:t>
            </w:r>
          </w:p>
        </w:tc>
      </w:tr>
      <w:tr w:rsidR="00710FC1" w:rsidRPr="00BB4A7B" w14:paraId="77948447" w14:textId="77777777" w:rsidTr="00E250FE">
        <w:trPr>
          <w:trHeight w:val="258"/>
          <w:jc w:val="center"/>
        </w:trPr>
        <w:tc>
          <w:tcPr>
            <w:tcW w:w="1840" w:type="dxa"/>
            <w:tcBorders>
              <w:top w:val="nil"/>
              <w:left w:val="nil"/>
              <w:bottom w:val="nil"/>
              <w:right w:val="nil"/>
            </w:tcBorders>
            <w:shd w:val="clear" w:color="000000" w:fill="FFFFFF"/>
            <w:vAlign w:val="center"/>
            <w:hideMark/>
          </w:tcPr>
          <w:p w14:paraId="404E7118" w14:textId="77777777" w:rsidR="00710FC1" w:rsidRPr="00BB4A7B" w:rsidRDefault="00710FC1" w:rsidP="00710FC1">
            <w:pPr>
              <w:spacing w:line="259" w:lineRule="auto"/>
              <w:jc w:val="left"/>
              <w:rPr>
                <w:rFonts w:ascii="Times New Roman" w:eastAsia="Times New Roman" w:hAnsi="Times New Roman" w:cs="Times New Roman"/>
                <w:color w:val="000000"/>
                <w:sz w:val="16"/>
                <w:szCs w:val="16"/>
              </w:rPr>
            </w:pPr>
            <w:r w:rsidRPr="00BB4A7B">
              <w:rPr>
                <w:rFonts w:ascii="Times New Roman" w:eastAsia="Times New Roman" w:hAnsi="Times New Roman" w:cs="Times New Roman"/>
                <w:color w:val="000000"/>
                <w:sz w:val="16"/>
                <w:szCs w:val="16"/>
              </w:rPr>
              <w:t>Universitaria</w:t>
            </w:r>
          </w:p>
        </w:tc>
        <w:tc>
          <w:tcPr>
            <w:tcW w:w="718" w:type="dxa"/>
            <w:tcBorders>
              <w:top w:val="nil"/>
              <w:left w:val="nil"/>
              <w:bottom w:val="nil"/>
              <w:right w:val="nil"/>
            </w:tcBorders>
            <w:shd w:val="clear" w:color="000000" w:fill="FFFFFF"/>
            <w:vAlign w:val="center"/>
            <w:hideMark/>
          </w:tcPr>
          <w:p w14:paraId="1C5587A7" w14:textId="77777777" w:rsidR="00710FC1" w:rsidRPr="00BB4A7B" w:rsidRDefault="00710FC1" w:rsidP="00710FC1">
            <w:pPr>
              <w:spacing w:line="259" w:lineRule="auto"/>
              <w:jc w:val="right"/>
              <w:rPr>
                <w:rFonts w:ascii="Times New Roman" w:eastAsia="Times New Roman" w:hAnsi="Times New Roman" w:cs="Times New Roman"/>
                <w:color w:val="000000"/>
                <w:sz w:val="16"/>
                <w:szCs w:val="16"/>
              </w:rPr>
            </w:pPr>
            <w:r w:rsidRPr="00BB4A7B">
              <w:rPr>
                <w:rFonts w:ascii="Times New Roman" w:eastAsia="Times New Roman" w:hAnsi="Times New Roman" w:cs="Times New Roman"/>
                <w:color w:val="000000"/>
                <w:sz w:val="16"/>
                <w:szCs w:val="16"/>
              </w:rPr>
              <w:t>2.965</w:t>
            </w:r>
          </w:p>
        </w:tc>
        <w:tc>
          <w:tcPr>
            <w:tcW w:w="699" w:type="dxa"/>
            <w:tcBorders>
              <w:top w:val="nil"/>
              <w:left w:val="nil"/>
              <w:bottom w:val="nil"/>
              <w:right w:val="nil"/>
            </w:tcBorders>
            <w:shd w:val="clear" w:color="000000" w:fill="FFFFFF"/>
            <w:vAlign w:val="center"/>
            <w:hideMark/>
          </w:tcPr>
          <w:p w14:paraId="1841D4A8" w14:textId="77777777" w:rsidR="00710FC1" w:rsidRPr="00BB4A7B" w:rsidRDefault="00710FC1" w:rsidP="00710FC1">
            <w:pPr>
              <w:spacing w:line="259" w:lineRule="auto"/>
              <w:jc w:val="right"/>
              <w:rPr>
                <w:rFonts w:ascii="Times New Roman" w:eastAsia="Times New Roman" w:hAnsi="Times New Roman" w:cs="Times New Roman"/>
                <w:color w:val="000000"/>
                <w:sz w:val="16"/>
                <w:szCs w:val="16"/>
              </w:rPr>
            </w:pPr>
            <w:r w:rsidRPr="00BB4A7B">
              <w:rPr>
                <w:rFonts w:ascii="Times New Roman" w:eastAsia="Times New Roman" w:hAnsi="Times New Roman" w:cs="Times New Roman"/>
                <w:color w:val="000000"/>
                <w:sz w:val="16"/>
                <w:szCs w:val="16"/>
              </w:rPr>
              <w:t>2.518</w:t>
            </w:r>
          </w:p>
        </w:tc>
        <w:tc>
          <w:tcPr>
            <w:tcW w:w="708" w:type="dxa"/>
            <w:tcBorders>
              <w:top w:val="nil"/>
              <w:left w:val="nil"/>
              <w:bottom w:val="nil"/>
              <w:right w:val="nil"/>
            </w:tcBorders>
            <w:shd w:val="clear" w:color="000000" w:fill="FFFFFF"/>
            <w:vAlign w:val="center"/>
            <w:hideMark/>
          </w:tcPr>
          <w:p w14:paraId="3087F358" w14:textId="77777777" w:rsidR="00710FC1" w:rsidRPr="00BB4A7B" w:rsidRDefault="00710FC1" w:rsidP="00710FC1">
            <w:pPr>
              <w:spacing w:line="259" w:lineRule="auto"/>
              <w:jc w:val="right"/>
              <w:rPr>
                <w:rFonts w:ascii="Times New Roman" w:eastAsia="Times New Roman" w:hAnsi="Times New Roman" w:cs="Times New Roman"/>
                <w:color w:val="000000"/>
                <w:sz w:val="16"/>
                <w:szCs w:val="16"/>
              </w:rPr>
            </w:pPr>
            <w:r w:rsidRPr="00BB4A7B">
              <w:rPr>
                <w:rFonts w:ascii="Times New Roman" w:eastAsia="Times New Roman" w:hAnsi="Times New Roman" w:cs="Times New Roman"/>
                <w:color w:val="000000"/>
                <w:sz w:val="16"/>
                <w:szCs w:val="16"/>
              </w:rPr>
              <w:t>3.551</w:t>
            </w:r>
          </w:p>
        </w:tc>
        <w:tc>
          <w:tcPr>
            <w:tcW w:w="709" w:type="dxa"/>
            <w:tcBorders>
              <w:top w:val="nil"/>
              <w:left w:val="nil"/>
              <w:bottom w:val="nil"/>
              <w:right w:val="nil"/>
            </w:tcBorders>
            <w:shd w:val="clear" w:color="000000" w:fill="FFFFFF"/>
            <w:vAlign w:val="center"/>
            <w:hideMark/>
          </w:tcPr>
          <w:p w14:paraId="6A8F474A" w14:textId="77777777" w:rsidR="00710FC1" w:rsidRPr="00BB4A7B" w:rsidRDefault="00710FC1" w:rsidP="00710FC1">
            <w:pPr>
              <w:spacing w:line="259" w:lineRule="auto"/>
              <w:jc w:val="right"/>
              <w:rPr>
                <w:rFonts w:ascii="Times New Roman" w:eastAsia="Times New Roman" w:hAnsi="Times New Roman" w:cs="Times New Roman"/>
                <w:color w:val="000000"/>
                <w:sz w:val="16"/>
                <w:szCs w:val="16"/>
              </w:rPr>
            </w:pPr>
            <w:r w:rsidRPr="00BB4A7B">
              <w:rPr>
                <w:rFonts w:ascii="Times New Roman" w:eastAsia="Times New Roman" w:hAnsi="Times New Roman" w:cs="Times New Roman"/>
                <w:color w:val="000000"/>
                <w:sz w:val="16"/>
                <w:szCs w:val="16"/>
              </w:rPr>
              <w:t>3.479</w:t>
            </w:r>
          </w:p>
        </w:tc>
        <w:tc>
          <w:tcPr>
            <w:tcW w:w="850" w:type="dxa"/>
            <w:tcBorders>
              <w:top w:val="nil"/>
              <w:left w:val="nil"/>
              <w:bottom w:val="nil"/>
              <w:right w:val="nil"/>
            </w:tcBorders>
            <w:shd w:val="clear" w:color="000000" w:fill="FFFFFF"/>
            <w:vAlign w:val="center"/>
            <w:hideMark/>
          </w:tcPr>
          <w:p w14:paraId="15AED74C" w14:textId="77777777" w:rsidR="00710FC1" w:rsidRPr="00BB4A7B" w:rsidRDefault="00710FC1" w:rsidP="00710FC1">
            <w:pPr>
              <w:spacing w:line="259" w:lineRule="auto"/>
              <w:jc w:val="right"/>
              <w:rPr>
                <w:rFonts w:ascii="Times New Roman" w:eastAsia="Times New Roman" w:hAnsi="Times New Roman" w:cs="Times New Roman"/>
                <w:color w:val="000000"/>
                <w:sz w:val="16"/>
                <w:szCs w:val="16"/>
              </w:rPr>
            </w:pPr>
            <w:r w:rsidRPr="00BB4A7B">
              <w:rPr>
                <w:rFonts w:ascii="Times New Roman" w:eastAsia="Times New Roman" w:hAnsi="Times New Roman" w:cs="Times New Roman"/>
                <w:color w:val="000000"/>
                <w:sz w:val="16"/>
                <w:szCs w:val="16"/>
              </w:rPr>
              <w:t>3.45</w:t>
            </w:r>
          </w:p>
        </w:tc>
        <w:tc>
          <w:tcPr>
            <w:tcW w:w="849" w:type="dxa"/>
            <w:tcBorders>
              <w:top w:val="nil"/>
              <w:left w:val="nil"/>
              <w:bottom w:val="nil"/>
              <w:right w:val="nil"/>
            </w:tcBorders>
            <w:shd w:val="clear" w:color="000000" w:fill="FFFFFF"/>
            <w:vAlign w:val="center"/>
            <w:hideMark/>
          </w:tcPr>
          <w:p w14:paraId="6F864A49" w14:textId="77777777" w:rsidR="00710FC1" w:rsidRPr="00BB4A7B" w:rsidRDefault="00710FC1" w:rsidP="00710FC1">
            <w:pPr>
              <w:spacing w:line="259" w:lineRule="auto"/>
              <w:jc w:val="right"/>
              <w:rPr>
                <w:rFonts w:ascii="Times New Roman" w:eastAsia="Times New Roman" w:hAnsi="Times New Roman" w:cs="Times New Roman"/>
                <w:color w:val="000000"/>
                <w:sz w:val="16"/>
                <w:szCs w:val="16"/>
              </w:rPr>
            </w:pPr>
            <w:r w:rsidRPr="00BB4A7B">
              <w:rPr>
                <w:rFonts w:ascii="Times New Roman" w:eastAsia="Times New Roman" w:hAnsi="Times New Roman" w:cs="Times New Roman"/>
                <w:color w:val="000000"/>
                <w:sz w:val="16"/>
                <w:szCs w:val="16"/>
              </w:rPr>
              <w:t>3.349</w:t>
            </w:r>
          </w:p>
        </w:tc>
        <w:tc>
          <w:tcPr>
            <w:tcW w:w="709" w:type="dxa"/>
            <w:tcBorders>
              <w:top w:val="nil"/>
              <w:left w:val="nil"/>
              <w:bottom w:val="nil"/>
              <w:right w:val="nil"/>
            </w:tcBorders>
            <w:shd w:val="clear" w:color="000000" w:fill="FFFFFF"/>
            <w:vAlign w:val="center"/>
            <w:hideMark/>
          </w:tcPr>
          <w:p w14:paraId="0DDCBDE5" w14:textId="77777777" w:rsidR="00710FC1" w:rsidRPr="00BB4A7B" w:rsidRDefault="00710FC1" w:rsidP="00710FC1">
            <w:pPr>
              <w:spacing w:line="259" w:lineRule="auto"/>
              <w:jc w:val="right"/>
              <w:rPr>
                <w:rFonts w:ascii="Times New Roman" w:eastAsia="Times New Roman" w:hAnsi="Times New Roman" w:cs="Times New Roman"/>
                <w:color w:val="000000"/>
                <w:sz w:val="16"/>
                <w:szCs w:val="16"/>
              </w:rPr>
            </w:pPr>
            <w:r w:rsidRPr="00BB4A7B">
              <w:rPr>
                <w:rFonts w:ascii="Times New Roman" w:eastAsia="Times New Roman" w:hAnsi="Times New Roman" w:cs="Times New Roman"/>
                <w:color w:val="000000"/>
                <w:sz w:val="16"/>
                <w:szCs w:val="16"/>
              </w:rPr>
              <w:t>4.056</w:t>
            </w:r>
          </w:p>
        </w:tc>
        <w:tc>
          <w:tcPr>
            <w:tcW w:w="709" w:type="dxa"/>
            <w:tcBorders>
              <w:top w:val="nil"/>
              <w:left w:val="nil"/>
              <w:bottom w:val="nil"/>
              <w:right w:val="nil"/>
            </w:tcBorders>
            <w:shd w:val="clear" w:color="000000" w:fill="FFFFFF"/>
            <w:vAlign w:val="center"/>
            <w:hideMark/>
          </w:tcPr>
          <w:p w14:paraId="686DB8E7" w14:textId="77777777" w:rsidR="00710FC1" w:rsidRPr="00BB4A7B" w:rsidRDefault="00710FC1" w:rsidP="00710FC1">
            <w:pPr>
              <w:spacing w:line="259" w:lineRule="auto"/>
              <w:jc w:val="right"/>
              <w:rPr>
                <w:rFonts w:ascii="Times New Roman" w:eastAsia="Times New Roman" w:hAnsi="Times New Roman" w:cs="Times New Roman"/>
                <w:color w:val="000000"/>
                <w:sz w:val="16"/>
                <w:szCs w:val="16"/>
              </w:rPr>
            </w:pPr>
            <w:r w:rsidRPr="00BB4A7B">
              <w:rPr>
                <w:rFonts w:ascii="Times New Roman" w:eastAsia="Times New Roman" w:hAnsi="Times New Roman" w:cs="Times New Roman"/>
                <w:color w:val="000000"/>
                <w:sz w:val="16"/>
                <w:szCs w:val="16"/>
              </w:rPr>
              <w:t>4.142</w:t>
            </w:r>
          </w:p>
        </w:tc>
        <w:tc>
          <w:tcPr>
            <w:tcW w:w="708" w:type="dxa"/>
            <w:tcBorders>
              <w:top w:val="nil"/>
              <w:left w:val="nil"/>
              <w:bottom w:val="nil"/>
              <w:right w:val="nil"/>
            </w:tcBorders>
            <w:shd w:val="clear" w:color="000000" w:fill="FFFFFF"/>
            <w:vAlign w:val="center"/>
            <w:hideMark/>
          </w:tcPr>
          <w:p w14:paraId="545B7765" w14:textId="77777777" w:rsidR="00710FC1" w:rsidRPr="00BB4A7B" w:rsidRDefault="00710FC1" w:rsidP="00710FC1">
            <w:pPr>
              <w:spacing w:line="259" w:lineRule="auto"/>
              <w:jc w:val="right"/>
              <w:rPr>
                <w:rFonts w:ascii="Times New Roman" w:eastAsia="Times New Roman" w:hAnsi="Times New Roman" w:cs="Times New Roman"/>
                <w:color w:val="000000"/>
                <w:sz w:val="16"/>
                <w:szCs w:val="16"/>
              </w:rPr>
            </w:pPr>
            <w:r w:rsidRPr="00BB4A7B">
              <w:rPr>
                <w:rFonts w:ascii="Times New Roman" w:eastAsia="Times New Roman" w:hAnsi="Times New Roman" w:cs="Times New Roman"/>
                <w:color w:val="000000"/>
                <w:sz w:val="16"/>
                <w:szCs w:val="16"/>
              </w:rPr>
              <w:t>4.485</w:t>
            </w:r>
          </w:p>
        </w:tc>
        <w:tc>
          <w:tcPr>
            <w:tcW w:w="577" w:type="dxa"/>
            <w:tcBorders>
              <w:top w:val="nil"/>
              <w:left w:val="nil"/>
              <w:bottom w:val="nil"/>
              <w:right w:val="nil"/>
            </w:tcBorders>
            <w:shd w:val="clear" w:color="000000" w:fill="FFFFFF"/>
            <w:vAlign w:val="center"/>
            <w:hideMark/>
          </w:tcPr>
          <w:p w14:paraId="540032BC" w14:textId="77777777" w:rsidR="00710FC1" w:rsidRPr="00BB4A7B" w:rsidRDefault="00710FC1" w:rsidP="00710FC1">
            <w:pPr>
              <w:spacing w:line="259" w:lineRule="auto"/>
              <w:jc w:val="right"/>
              <w:rPr>
                <w:rFonts w:ascii="Times New Roman" w:eastAsia="Times New Roman" w:hAnsi="Times New Roman" w:cs="Times New Roman"/>
                <w:color w:val="000000"/>
                <w:sz w:val="16"/>
                <w:szCs w:val="16"/>
              </w:rPr>
            </w:pPr>
            <w:r w:rsidRPr="00BB4A7B">
              <w:rPr>
                <w:rFonts w:ascii="Times New Roman" w:eastAsia="Times New Roman" w:hAnsi="Times New Roman" w:cs="Times New Roman"/>
                <w:color w:val="000000"/>
                <w:sz w:val="16"/>
                <w:szCs w:val="16"/>
              </w:rPr>
              <w:t>4.366</w:t>
            </w:r>
          </w:p>
        </w:tc>
        <w:tc>
          <w:tcPr>
            <w:tcW w:w="563" w:type="dxa"/>
            <w:tcBorders>
              <w:top w:val="nil"/>
              <w:left w:val="nil"/>
              <w:bottom w:val="nil"/>
              <w:right w:val="nil"/>
            </w:tcBorders>
            <w:shd w:val="clear" w:color="000000" w:fill="FFFFFF"/>
            <w:vAlign w:val="center"/>
            <w:hideMark/>
          </w:tcPr>
          <w:p w14:paraId="26A7365B" w14:textId="77777777" w:rsidR="00710FC1" w:rsidRPr="00BB4A7B" w:rsidRDefault="00710FC1" w:rsidP="00710FC1">
            <w:pPr>
              <w:spacing w:line="259" w:lineRule="auto"/>
              <w:jc w:val="right"/>
              <w:rPr>
                <w:rFonts w:ascii="Times New Roman" w:eastAsia="Times New Roman" w:hAnsi="Times New Roman" w:cs="Times New Roman"/>
                <w:color w:val="000000"/>
                <w:sz w:val="16"/>
                <w:szCs w:val="16"/>
              </w:rPr>
            </w:pPr>
            <w:r w:rsidRPr="00BB4A7B">
              <w:rPr>
                <w:rFonts w:ascii="Times New Roman" w:eastAsia="Times New Roman" w:hAnsi="Times New Roman" w:cs="Times New Roman"/>
                <w:color w:val="000000"/>
                <w:sz w:val="16"/>
                <w:szCs w:val="16"/>
              </w:rPr>
              <w:t>4.354</w:t>
            </w:r>
          </w:p>
        </w:tc>
        <w:tc>
          <w:tcPr>
            <w:tcW w:w="709" w:type="dxa"/>
            <w:tcBorders>
              <w:top w:val="nil"/>
              <w:left w:val="nil"/>
              <w:bottom w:val="nil"/>
              <w:right w:val="nil"/>
            </w:tcBorders>
            <w:shd w:val="clear" w:color="000000" w:fill="FFFFFF"/>
            <w:vAlign w:val="center"/>
            <w:hideMark/>
          </w:tcPr>
          <w:p w14:paraId="77DD15A6" w14:textId="77777777" w:rsidR="00710FC1" w:rsidRPr="00BB4A7B" w:rsidRDefault="00710FC1" w:rsidP="00710FC1">
            <w:pPr>
              <w:spacing w:line="259" w:lineRule="auto"/>
              <w:jc w:val="right"/>
              <w:rPr>
                <w:rFonts w:ascii="Times New Roman" w:eastAsia="Times New Roman" w:hAnsi="Times New Roman" w:cs="Times New Roman"/>
                <w:color w:val="000000"/>
                <w:sz w:val="16"/>
                <w:szCs w:val="16"/>
              </w:rPr>
            </w:pPr>
            <w:r w:rsidRPr="00BB4A7B">
              <w:rPr>
                <w:rFonts w:ascii="Times New Roman" w:eastAsia="Times New Roman" w:hAnsi="Times New Roman" w:cs="Times New Roman"/>
                <w:color w:val="000000"/>
                <w:sz w:val="16"/>
                <w:szCs w:val="16"/>
              </w:rPr>
              <w:t>2,376</w:t>
            </w:r>
          </w:p>
        </w:tc>
      </w:tr>
      <w:tr w:rsidR="00710FC1" w:rsidRPr="00BB4A7B" w14:paraId="3ABE2BF0" w14:textId="77777777" w:rsidTr="00E250FE">
        <w:trPr>
          <w:trHeight w:val="315"/>
          <w:jc w:val="center"/>
        </w:trPr>
        <w:tc>
          <w:tcPr>
            <w:tcW w:w="1840" w:type="dxa"/>
            <w:tcBorders>
              <w:top w:val="nil"/>
              <w:left w:val="nil"/>
              <w:bottom w:val="nil"/>
              <w:right w:val="nil"/>
            </w:tcBorders>
            <w:shd w:val="clear" w:color="000000" w:fill="E2EFDA"/>
            <w:vAlign w:val="center"/>
            <w:hideMark/>
          </w:tcPr>
          <w:p w14:paraId="17A3851E" w14:textId="77777777" w:rsidR="00710FC1" w:rsidRPr="00BB4A7B" w:rsidRDefault="00710FC1" w:rsidP="00710FC1">
            <w:pPr>
              <w:spacing w:line="259" w:lineRule="auto"/>
              <w:jc w:val="left"/>
              <w:rPr>
                <w:rFonts w:ascii="Times New Roman" w:eastAsia="Times New Roman" w:hAnsi="Times New Roman" w:cs="Times New Roman"/>
                <w:b/>
                <w:bCs/>
                <w:color w:val="000000"/>
                <w:sz w:val="16"/>
                <w:szCs w:val="16"/>
              </w:rPr>
            </w:pPr>
            <w:r w:rsidRPr="00BB4A7B">
              <w:rPr>
                <w:rFonts w:ascii="Times New Roman" w:eastAsia="Times New Roman" w:hAnsi="Times New Roman" w:cs="Times New Roman"/>
                <w:b/>
                <w:bCs/>
                <w:color w:val="000000"/>
                <w:sz w:val="16"/>
                <w:szCs w:val="16"/>
              </w:rPr>
              <w:t>Posgrado</w:t>
            </w:r>
          </w:p>
        </w:tc>
        <w:tc>
          <w:tcPr>
            <w:tcW w:w="718" w:type="dxa"/>
            <w:tcBorders>
              <w:top w:val="nil"/>
              <w:left w:val="nil"/>
              <w:bottom w:val="nil"/>
              <w:right w:val="nil"/>
            </w:tcBorders>
            <w:shd w:val="clear" w:color="000000" w:fill="E2EFDA"/>
            <w:vAlign w:val="center"/>
            <w:hideMark/>
          </w:tcPr>
          <w:p w14:paraId="773683F8" w14:textId="77777777" w:rsidR="00710FC1" w:rsidRPr="00BB4A7B" w:rsidRDefault="00710FC1" w:rsidP="00710FC1">
            <w:pPr>
              <w:spacing w:line="259" w:lineRule="auto"/>
              <w:jc w:val="right"/>
              <w:rPr>
                <w:rFonts w:ascii="Times New Roman" w:eastAsia="Times New Roman" w:hAnsi="Times New Roman" w:cs="Times New Roman"/>
                <w:b/>
                <w:bCs/>
                <w:color w:val="000000"/>
                <w:sz w:val="16"/>
                <w:szCs w:val="16"/>
              </w:rPr>
            </w:pPr>
            <w:r w:rsidRPr="00BB4A7B">
              <w:rPr>
                <w:rFonts w:ascii="Times New Roman" w:eastAsia="Times New Roman" w:hAnsi="Times New Roman" w:cs="Times New Roman"/>
                <w:b/>
                <w:bCs/>
                <w:color w:val="000000"/>
                <w:sz w:val="16"/>
                <w:szCs w:val="16"/>
              </w:rPr>
              <w:t>2.72</w:t>
            </w:r>
          </w:p>
        </w:tc>
        <w:tc>
          <w:tcPr>
            <w:tcW w:w="699" w:type="dxa"/>
            <w:tcBorders>
              <w:top w:val="nil"/>
              <w:left w:val="nil"/>
              <w:bottom w:val="nil"/>
              <w:right w:val="nil"/>
            </w:tcBorders>
            <w:shd w:val="clear" w:color="000000" w:fill="E2EFDA"/>
            <w:vAlign w:val="center"/>
            <w:hideMark/>
          </w:tcPr>
          <w:p w14:paraId="0171CA84" w14:textId="77777777" w:rsidR="00710FC1" w:rsidRPr="00BB4A7B" w:rsidRDefault="00710FC1" w:rsidP="00710FC1">
            <w:pPr>
              <w:spacing w:line="259" w:lineRule="auto"/>
              <w:jc w:val="right"/>
              <w:rPr>
                <w:rFonts w:ascii="Times New Roman" w:eastAsia="Times New Roman" w:hAnsi="Times New Roman" w:cs="Times New Roman"/>
                <w:b/>
                <w:bCs/>
                <w:color w:val="000000"/>
                <w:sz w:val="16"/>
                <w:szCs w:val="16"/>
              </w:rPr>
            </w:pPr>
            <w:r w:rsidRPr="00BB4A7B">
              <w:rPr>
                <w:rFonts w:ascii="Times New Roman" w:eastAsia="Times New Roman" w:hAnsi="Times New Roman" w:cs="Times New Roman"/>
                <w:b/>
                <w:bCs/>
                <w:color w:val="000000"/>
                <w:sz w:val="16"/>
                <w:szCs w:val="16"/>
              </w:rPr>
              <w:t>1.98</w:t>
            </w:r>
          </w:p>
        </w:tc>
        <w:tc>
          <w:tcPr>
            <w:tcW w:w="708" w:type="dxa"/>
            <w:tcBorders>
              <w:top w:val="nil"/>
              <w:left w:val="nil"/>
              <w:bottom w:val="nil"/>
              <w:right w:val="nil"/>
            </w:tcBorders>
            <w:shd w:val="clear" w:color="000000" w:fill="E2EFDA"/>
            <w:vAlign w:val="center"/>
            <w:hideMark/>
          </w:tcPr>
          <w:p w14:paraId="0572E287" w14:textId="77777777" w:rsidR="00710FC1" w:rsidRPr="00BB4A7B" w:rsidRDefault="00710FC1" w:rsidP="00710FC1">
            <w:pPr>
              <w:spacing w:line="259" w:lineRule="auto"/>
              <w:jc w:val="right"/>
              <w:rPr>
                <w:rFonts w:ascii="Times New Roman" w:eastAsia="Times New Roman" w:hAnsi="Times New Roman" w:cs="Times New Roman"/>
                <w:b/>
                <w:bCs/>
                <w:color w:val="000000"/>
                <w:sz w:val="16"/>
                <w:szCs w:val="16"/>
              </w:rPr>
            </w:pPr>
            <w:r w:rsidRPr="00BB4A7B">
              <w:rPr>
                <w:rFonts w:ascii="Times New Roman" w:eastAsia="Times New Roman" w:hAnsi="Times New Roman" w:cs="Times New Roman"/>
                <w:b/>
                <w:bCs/>
                <w:color w:val="000000"/>
                <w:sz w:val="16"/>
                <w:szCs w:val="16"/>
              </w:rPr>
              <w:t>2.535</w:t>
            </w:r>
          </w:p>
        </w:tc>
        <w:tc>
          <w:tcPr>
            <w:tcW w:w="709" w:type="dxa"/>
            <w:tcBorders>
              <w:top w:val="nil"/>
              <w:left w:val="nil"/>
              <w:bottom w:val="nil"/>
              <w:right w:val="nil"/>
            </w:tcBorders>
            <w:shd w:val="clear" w:color="000000" w:fill="E2EFDA"/>
            <w:vAlign w:val="center"/>
            <w:hideMark/>
          </w:tcPr>
          <w:p w14:paraId="23690DD8" w14:textId="77777777" w:rsidR="00710FC1" w:rsidRPr="00BB4A7B" w:rsidRDefault="00710FC1" w:rsidP="00710FC1">
            <w:pPr>
              <w:spacing w:line="259" w:lineRule="auto"/>
              <w:jc w:val="right"/>
              <w:rPr>
                <w:rFonts w:ascii="Times New Roman" w:eastAsia="Times New Roman" w:hAnsi="Times New Roman" w:cs="Times New Roman"/>
                <w:b/>
                <w:bCs/>
                <w:color w:val="000000"/>
                <w:sz w:val="16"/>
                <w:szCs w:val="16"/>
              </w:rPr>
            </w:pPr>
            <w:r w:rsidRPr="00BB4A7B">
              <w:rPr>
                <w:rFonts w:ascii="Times New Roman" w:eastAsia="Times New Roman" w:hAnsi="Times New Roman" w:cs="Times New Roman"/>
                <w:b/>
                <w:bCs/>
                <w:color w:val="000000"/>
                <w:sz w:val="16"/>
                <w:szCs w:val="16"/>
              </w:rPr>
              <w:t>2.189</w:t>
            </w:r>
          </w:p>
        </w:tc>
        <w:tc>
          <w:tcPr>
            <w:tcW w:w="850" w:type="dxa"/>
            <w:tcBorders>
              <w:top w:val="nil"/>
              <w:left w:val="nil"/>
              <w:bottom w:val="nil"/>
              <w:right w:val="nil"/>
            </w:tcBorders>
            <w:shd w:val="clear" w:color="000000" w:fill="E2EFDA"/>
            <w:vAlign w:val="center"/>
            <w:hideMark/>
          </w:tcPr>
          <w:p w14:paraId="1044CA4E" w14:textId="77777777" w:rsidR="00710FC1" w:rsidRPr="00BB4A7B" w:rsidRDefault="00710FC1" w:rsidP="00710FC1">
            <w:pPr>
              <w:spacing w:line="259" w:lineRule="auto"/>
              <w:jc w:val="right"/>
              <w:rPr>
                <w:rFonts w:ascii="Times New Roman" w:eastAsia="Times New Roman" w:hAnsi="Times New Roman" w:cs="Times New Roman"/>
                <w:b/>
                <w:bCs/>
                <w:color w:val="000000"/>
                <w:sz w:val="16"/>
                <w:szCs w:val="16"/>
              </w:rPr>
            </w:pPr>
            <w:r w:rsidRPr="00BB4A7B">
              <w:rPr>
                <w:rFonts w:ascii="Times New Roman" w:eastAsia="Times New Roman" w:hAnsi="Times New Roman" w:cs="Times New Roman"/>
                <w:b/>
                <w:bCs/>
                <w:color w:val="000000"/>
                <w:sz w:val="16"/>
                <w:szCs w:val="16"/>
              </w:rPr>
              <w:t>2.028</w:t>
            </w:r>
          </w:p>
        </w:tc>
        <w:tc>
          <w:tcPr>
            <w:tcW w:w="849" w:type="dxa"/>
            <w:tcBorders>
              <w:top w:val="nil"/>
              <w:left w:val="nil"/>
              <w:bottom w:val="nil"/>
              <w:right w:val="nil"/>
            </w:tcBorders>
            <w:shd w:val="clear" w:color="000000" w:fill="E2EFDA"/>
            <w:vAlign w:val="center"/>
            <w:hideMark/>
          </w:tcPr>
          <w:p w14:paraId="3A11DAAE" w14:textId="77777777" w:rsidR="00710FC1" w:rsidRPr="00BB4A7B" w:rsidRDefault="00710FC1" w:rsidP="00710FC1">
            <w:pPr>
              <w:spacing w:line="259" w:lineRule="auto"/>
              <w:jc w:val="right"/>
              <w:rPr>
                <w:rFonts w:ascii="Times New Roman" w:eastAsia="Times New Roman" w:hAnsi="Times New Roman" w:cs="Times New Roman"/>
                <w:b/>
                <w:bCs/>
                <w:color w:val="000000"/>
                <w:sz w:val="16"/>
                <w:szCs w:val="16"/>
              </w:rPr>
            </w:pPr>
            <w:r w:rsidRPr="00BB4A7B">
              <w:rPr>
                <w:rFonts w:ascii="Times New Roman" w:eastAsia="Times New Roman" w:hAnsi="Times New Roman" w:cs="Times New Roman"/>
                <w:b/>
                <w:bCs/>
                <w:color w:val="000000"/>
                <w:sz w:val="16"/>
                <w:szCs w:val="16"/>
              </w:rPr>
              <w:t>2.3</w:t>
            </w:r>
          </w:p>
        </w:tc>
        <w:tc>
          <w:tcPr>
            <w:tcW w:w="709" w:type="dxa"/>
            <w:tcBorders>
              <w:top w:val="nil"/>
              <w:left w:val="nil"/>
              <w:bottom w:val="nil"/>
              <w:right w:val="nil"/>
            </w:tcBorders>
            <w:shd w:val="clear" w:color="000000" w:fill="E2EFDA"/>
            <w:vAlign w:val="center"/>
            <w:hideMark/>
          </w:tcPr>
          <w:p w14:paraId="59FF1A37" w14:textId="77777777" w:rsidR="00710FC1" w:rsidRPr="00BB4A7B" w:rsidRDefault="00710FC1" w:rsidP="00710FC1">
            <w:pPr>
              <w:spacing w:line="259" w:lineRule="auto"/>
              <w:jc w:val="right"/>
              <w:rPr>
                <w:rFonts w:ascii="Times New Roman" w:eastAsia="Times New Roman" w:hAnsi="Times New Roman" w:cs="Times New Roman"/>
                <w:b/>
                <w:bCs/>
                <w:color w:val="000000"/>
                <w:sz w:val="16"/>
                <w:szCs w:val="16"/>
              </w:rPr>
            </w:pPr>
            <w:r w:rsidRPr="00BB4A7B">
              <w:rPr>
                <w:rFonts w:ascii="Times New Roman" w:eastAsia="Times New Roman" w:hAnsi="Times New Roman" w:cs="Times New Roman"/>
                <w:b/>
                <w:bCs/>
                <w:color w:val="000000"/>
                <w:sz w:val="16"/>
                <w:szCs w:val="16"/>
              </w:rPr>
              <w:t>2.386</w:t>
            </w:r>
          </w:p>
        </w:tc>
        <w:tc>
          <w:tcPr>
            <w:tcW w:w="709" w:type="dxa"/>
            <w:tcBorders>
              <w:top w:val="nil"/>
              <w:left w:val="nil"/>
              <w:bottom w:val="nil"/>
              <w:right w:val="nil"/>
            </w:tcBorders>
            <w:shd w:val="clear" w:color="000000" w:fill="E2EFDA"/>
            <w:vAlign w:val="center"/>
            <w:hideMark/>
          </w:tcPr>
          <w:p w14:paraId="2A9D9FC6" w14:textId="77777777" w:rsidR="00710FC1" w:rsidRPr="00BB4A7B" w:rsidRDefault="00710FC1" w:rsidP="00710FC1">
            <w:pPr>
              <w:spacing w:line="259" w:lineRule="auto"/>
              <w:jc w:val="right"/>
              <w:rPr>
                <w:rFonts w:ascii="Times New Roman" w:eastAsia="Times New Roman" w:hAnsi="Times New Roman" w:cs="Times New Roman"/>
                <w:b/>
                <w:bCs/>
                <w:color w:val="000000"/>
                <w:sz w:val="16"/>
                <w:szCs w:val="16"/>
              </w:rPr>
            </w:pPr>
            <w:r w:rsidRPr="00BB4A7B">
              <w:rPr>
                <w:rFonts w:ascii="Times New Roman" w:eastAsia="Times New Roman" w:hAnsi="Times New Roman" w:cs="Times New Roman"/>
                <w:b/>
                <w:bCs/>
                <w:color w:val="000000"/>
                <w:sz w:val="16"/>
                <w:szCs w:val="16"/>
              </w:rPr>
              <w:t>2.564</w:t>
            </w:r>
          </w:p>
        </w:tc>
        <w:tc>
          <w:tcPr>
            <w:tcW w:w="708" w:type="dxa"/>
            <w:tcBorders>
              <w:top w:val="nil"/>
              <w:left w:val="nil"/>
              <w:bottom w:val="nil"/>
              <w:right w:val="nil"/>
            </w:tcBorders>
            <w:shd w:val="clear" w:color="000000" w:fill="E2EFDA"/>
            <w:vAlign w:val="center"/>
            <w:hideMark/>
          </w:tcPr>
          <w:p w14:paraId="7C074911" w14:textId="77777777" w:rsidR="00710FC1" w:rsidRPr="00BB4A7B" w:rsidRDefault="00710FC1" w:rsidP="00710FC1">
            <w:pPr>
              <w:spacing w:line="259" w:lineRule="auto"/>
              <w:jc w:val="right"/>
              <w:rPr>
                <w:rFonts w:ascii="Times New Roman" w:eastAsia="Times New Roman" w:hAnsi="Times New Roman" w:cs="Times New Roman"/>
                <w:b/>
                <w:bCs/>
                <w:color w:val="000000"/>
                <w:sz w:val="16"/>
                <w:szCs w:val="16"/>
              </w:rPr>
            </w:pPr>
            <w:r w:rsidRPr="00BB4A7B">
              <w:rPr>
                <w:rFonts w:ascii="Times New Roman" w:eastAsia="Times New Roman" w:hAnsi="Times New Roman" w:cs="Times New Roman"/>
                <w:b/>
                <w:bCs/>
                <w:color w:val="000000"/>
                <w:sz w:val="16"/>
                <w:szCs w:val="16"/>
              </w:rPr>
              <w:t>3.275</w:t>
            </w:r>
          </w:p>
        </w:tc>
        <w:tc>
          <w:tcPr>
            <w:tcW w:w="577" w:type="dxa"/>
            <w:tcBorders>
              <w:top w:val="nil"/>
              <w:left w:val="nil"/>
              <w:bottom w:val="nil"/>
              <w:right w:val="nil"/>
            </w:tcBorders>
            <w:shd w:val="clear" w:color="000000" w:fill="E2EFDA"/>
            <w:vAlign w:val="center"/>
            <w:hideMark/>
          </w:tcPr>
          <w:p w14:paraId="3E8AFEB9" w14:textId="77777777" w:rsidR="00710FC1" w:rsidRPr="00BB4A7B" w:rsidRDefault="00710FC1" w:rsidP="00710FC1">
            <w:pPr>
              <w:spacing w:line="259" w:lineRule="auto"/>
              <w:jc w:val="right"/>
              <w:rPr>
                <w:rFonts w:ascii="Times New Roman" w:eastAsia="Times New Roman" w:hAnsi="Times New Roman" w:cs="Times New Roman"/>
                <w:b/>
                <w:bCs/>
                <w:color w:val="000000"/>
                <w:sz w:val="16"/>
                <w:szCs w:val="16"/>
              </w:rPr>
            </w:pPr>
            <w:r w:rsidRPr="00BB4A7B">
              <w:rPr>
                <w:rFonts w:ascii="Times New Roman" w:eastAsia="Times New Roman" w:hAnsi="Times New Roman" w:cs="Times New Roman"/>
                <w:b/>
                <w:bCs/>
                <w:color w:val="000000"/>
                <w:sz w:val="16"/>
                <w:szCs w:val="16"/>
              </w:rPr>
              <w:t>2.644</w:t>
            </w:r>
          </w:p>
        </w:tc>
        <w:tc>
          <w:tcPr>
            <w:tcW w:w="563" w:type="dxa"/>
            <w:tcBorders>
              <w:top w:val="nil"/>
              <w:left w:val="nil"/>
              <w:bottom w:val="nil"/>
              <w:right w:val="nil"/>
            </w:tcBorders>
            <w:shd w:val="clear" w:color="000000" w:fill="E2EFDA"/>
            <w:vAlign w:val="center"/>
            <w:hideMark/>
          </w:tcPr>
          <w:p w14:paraId="755AC842" w14:textId="77777777" w:rsidR="00710FC1" w:rsidRPr="00BB4A7B" w:rsidRDefault="00710FC1" w:rsidP="00710FC1">
            <w:pPr>
              <w:spacing w:line="259" w:lineRule="auto"/>
              <w:jc w:val="right"/>
              <w:rPr>
                <w:rFonts w:ascii="Times New Roman" w:eastAsia="Times New Roman" w:hAnsi="Times New Roman" w:cs="Times New Roman"/>
                <w:b/>
                <w:bCs/>
                <w:color w:val="000000"/>
                <w:sz w:val="16"/>
                <w:szCs w:val="16"/>
              </w:rPr>
            </w:pPr>
            <w:r w:rsidRPr="00BB4A7B">
              <w:rPr>
                <w:rFonts w:ascii="Times New Roman" w:eastAsia="Times New Roman" w:hAnsi="Times New Roman" w:cs="Times New Roman"/>
                <w:b/>
                <w:bCs/>
                <w:color w:val="000000"/>
                <w:sz w:val="16"/>
                <w:szCs w:val="16"/>
              </w:rPr>
              <w:t>2.423</w:t>
            </w:r>
          </w:p>
        </w:tc>
        <w:tc>
          <w:tcPr>
            <w:tcW w:w="709" w:type="dxa"/>
            <w:tcBorders>
              <w:top w:val="nil"/>
              <w:left w:val="nil"/>
              <w:bottom w:val="nil"/>
              <w:right w:val="nil"/>
            </w:tcBorders>
            <w:shd w:val="clear" w:color="000000" w:fill="E2EFDA"/>
            <w:vAlign w:val="center"/>
            <w:hideMark/>
          </w:tcPr>
          <w:p w14:paraId="36C19000" w14:textId="77777777" w:rsidR="00710FC1" w:rsidRPr="00BB4A7B" w:rsidRDefault="00710FC1" w:rsidP="00710FC1">
            <w:pPr>
              <w:spacing w:line="259" w:lineRule="auto"/>
              <w:jc w:val="right"/>
              <w:rPr>
                <w:rFonts w:ascii="Times New Roman" w:eastAsia="Times New Roman" w:hAnsi="Times New Roman" w:cs="Times New Roman"/>
                <w:b/>
                <w:bCs/>
                <w:color w:val="000000"/>
                <w:sz w:val="16"/>
                <w:szCs w:val="16"/>
              </w:rPr>
            </w:pPr>
            <w:r w:rsidRPr="00BB4A7B">
              <w:rPr>
                <w:rFonts w:ascii="Times New Roman" w:eastAsia="Times New Roman" w:hAnsi="Times New Roman" w:cs="Times New Roman"/>
                <w:b/>
                <w:bCs/>
                <w:color w:val="000000"/>
                <w:sz w:val="16"/>
                <w:szCs w:val="16"/>
              </w:rPr>
              <w:t>1,367</w:t>
            </w:r>
          </w:p>
        </w:tc>
      </w:tr>
      <w:tr w:rsidR="00710FC1" w:rsidRPr="00BB4A7B" w14:paraId="5E55EB42" w14:textId="77777777" w:rsidTr="00E250FE">
        <w:trPr>
          <w:trHeight w:val="252"/>
          <w:jc w:val="center"/>
        </w:trPr>
        <w:tc>
          <w:tcPr>
            <w:tcW w:w="1840" w:type="dxa"/>
            <w:tcBorders>
              <w:top w:val="nil"/>
              <w:left w:val="nil"/>
              <w:bottom w:val="nil"/>
              <w:right w:val="nil"/>
            </w:tcBorders>
            <w:shd w:val="clear" w:color="000000" w:fill="FFFFFF"/>
            <w:vAlign w:val="center"/>
            <w:hideMark/>
          </w:tcPr>
          <w:p w14:paraId="2CA86B28" w14:textId="77777777" w:rsidR="00710FC1" w:rsidRPr="00BB4A7B" w:rsidRDefault="00710FC1" w:rsidP="00710FC1">
            <w:pPr>
              <w:spacing w:line="259" w:lineRule="auto"/>
              <w:jc w:val="left"/>
              <w:rPr>
                <w:rFonts w:ascii="Times New Roman" w:eastAsia="Times New Roman" w:hAnsi="Times New Roman" w:cs="Times New Roman"/>
                <w:color w:val="000000"/>
                <w:sz w:val="16"/>
                <w:szCs w:val="16"/>
              </w:rPr>
            </w:pPr>
            <w:r w:rsidRPr="00BB4A7B">
              <w:rPr>
                <w:rFonts w:ascii="Times New Roman" w:eastAsia="Times New Roman" w:hAnsi="Times New Roman" w:cs="Times New Roman"/>
                <w:color w:val="000000"/>
                <w:sz w:val="16"/>
                <w:szCs w:val="16"/>
              </w:rPr>
              <w:t>Especialización</w:t>
            </w:r>
          </w:p>
        </w:tc>
        <w:tc>
          <w:tcPr>
            <w:tcW w:w="718" w:type="dxa"/>
            <w:tcBorders>
              <w:top w:val="nil"/>
              <w:left w:val="nil"/>
              <w:bottom w:val="nil"/>
              <w:right w:val="nil"/>
            </w:tcBorders>
            <w:shd w:val="clear" w:color="000000" w:fill="FFFFFF"/>
            <w:vAlign w:val="center"/>
            <w:hideMark/>
          </w:tcPr>
          <w:p w14:paraId="5423B69F" w14:textId="77777777" w:rsidR="00710FC1" w:rsidRPr="00BB4A7B" w:rsidRDefault="00710FC1" w:rsidP="00710FC1">
            <w:pPr>
              <w:spacing w:line="259" w:lineRule="auto"/>
              <w:jc w:val="right"/>
              <w:rPr>
                <w:rFonts w:ascii="Times New Roman" w:eastAsia="Times New Roman" w:hAnsi="Times New Roman" w:cs="Times New Roman"/>
                <w:color w:val="000000"/>
                <w:sz w:val="16"/>
                <w:szCs w:val="16"/>
              </w:rPr>
            </w:pPr>
            <w:r w:rsidRPr="00BB4A7B">
              <w:rPr>
                <w:rFonts w:ascii="Times New Roman" w:eastAsia="Times New Roman" w:hAnsi="Times New Roman" w:cs="Times New Roman"/>
                <w:color w:val="000000"/>
                <w:sz w:val="16"/>
                <w:szCs w:val="16"/>
              </w:rPr>
              <w:t>2.308</w:t>
            </w:r>
          </w:p>
        </w:tc>
        <w:tc>
          <w:tcPr>
            <w:tcW w:w="699" w:type="dxa"/>
            <w:tcBorders>
              <w:top w:val="nil"/>
              <w:left w:val="nil"/>
              <w:bottom w:val="nil"/>
              <w:right w:val="nil"/>
            </w:tcBorders>
            <w:shd w:val="clear" w:color="000000" w:fill="FFFFFF"/>
            <w:vAlign w:val="center"/>
            <w:hideMark/>
          </w:tcPr>
          <w:p w14:paraId="7921CA79" w14:textId="77777777" w:rsidR="00710FC1" w:rsidRPr="00BB4A7B" w:rsidRDefault="00710FC1" w:rsidP="00710FC1">
            <w:pPr>
              <w:spacing w:line="259" w:lineRule="auto"/>
              <w:jc w:val="right"/>
              <w:rPr>
                <w:rFonts w:ascii="Times New Roman" w:eastAsia="Times New Roman" w:hAnsi="Times New Roman" w:cs="Times New Roman"/>
                <w:color w:val="000000"/>
                <w:sz w:val="16"/>
                <w:szCs w:val="16"/>
              </w:rPr>
            </w:pPr>
            <w:r w:rsidRPr="00BB4A7B">
              <w:rPr>
                <w:rFonts w:ascii="Times New Roman" w:eastAsia="Times New Roman" w:hAnsi="Times New Roman" w:cs="Times New Roman"/>
                <w:color w:val="000000"/>
                <w:sz w:val="16"/>
                <w:szCs w:val="16"/>
              </w:rPr>
              <w:t>1.647</w:t>
            </w:r>
          </w:p>
        </w:tc>
        <w:tc>
          <w:tcPr>
            <w:tcW w:w="708" w:type="dxa"/>
            <w:tcBorders>
              <w:top w:val="nil"/>
              <w:left w:val="nil"/>
              <w:bottom w:val="nil"/>
              <w:right w:val="nil"/>
            </w:tcBorders>
            <w:shd w:val="clear" w:color="000000" w:fill="FFFFFF"/>
            <w:vAlign w:val="center"/>
            <w:hideMark/>
          </w:tcPr>
          <w:p w14:paraId="2061868F" w14:textId="77777777" w:rsidR="00710FC1" w:rsidRPr="00BB4A7B" w:rsidRDefault="00710FC1" w:rsidP="00710FC1">
            <w:pPr>
              <w:spacing w:line="259" w:lineRule="auto"/>
              <w:jc w:val="right"/>
              <w:rPr>
                <w:rFonts w:ascii="Times New Roman" w:eastAsia="Times New Roman" w:hAnsi="Times New Roman" w:cs="Times New Roman"/>
                <w:color w:val="000000"/>
                <w:sz w:val="16"/>
                <w:szCs w:val="16"/>
              </w:rPr>
            </w:pPr>
            <w:r w:rsidRPr="00BB4A7B">
              <w:rPr>
                <w:rFonts w:ascii="Times New Roman" w:eastAsia="Times New Roman" w:hAnsi="Times New Roman" w:cs="Times New Roman"/>
                <w:color w:val="000000"/>
                <w:sz w:val="16"/>
                <w:szCs w:val="16"/>
              </w:rPr>
              <w:t>1.876</w:t>
            </w:r>
          </w:p>
        </w:tc>
        <w:tc>
          <w:tcPr>
            <w:tcW w:w="709" w:type="dxa"/>
            <w:tcBorders>
              <w:top w:val="nil"/>
              <w:left w:val="nil"/>
              <w:bottom w:val="nil"/>
              <w:right w:val="nil"/>
            </w:tcBorders>
            <w:shd w:val="clear" w:color="000000" w:fill="FFFFFF"/>
            <w:vAlign w:val="center"/>
            <w:hideMark/>
          </w:tcPr>
          <w:p w14:paraId="5873E680" w14:textId="77777777" w:rsidR="00710FC1" w:rsidRPr="00BB4A7B" w:rsidRDefault="00710FC1" w:rsidP="00710FC1">
            <w:pPr>
              <w:spacing w:line="259" w:lineRule="auto"/>
              <w:jc w:val="right"/>
              <w:rPr>
                <w:rFonts w:ascii="Times New Roman" w:eastAsia="Times New Roman" w:hAnsi="Times New Roman" w:cs="Times New Roman"/>
                <w:color w:val="000000"/>
                <w:sz w:val="16"/>
                <w:szCs w:val="16"/>
              </w:rPr>
            </w:pPr>
            <w:r w:rsidRPr="00BB4A7B">
              <w:rPr>
                <w:rFonts w:ascii="Times New Roman" w:eastAsia="Times New Roman" w:hAnsi="Times New Roman" w:cs="Times New Roman"/>
                <w:color w:val="000000"/>
                <w:sz w:val="16"/>
                <w:szCs w:val="16"/>
              </w:rPr>
              <w:t>1.24</w:t>
            </w:r>
          </w:p>
        </w:tc>
        <w:tc>
          <w:tcPr>
            <w:tcW w:w="850" w:type="dxa"/>
            <w:tcBorders>
              <w:top w:val="nil"/>
              <w:left w:val="nil"/>
              <w:bottom w:val="nil"/>
              <w:right w:val="nil"/>
            </w:tcBorders>
            <w:shd w:val="clear" w:color="000000" w:fill="FFFFFF"/>
            <w:vAlign w:val="center"/>
            <w:hideMark/>
          </w:tcPr>
          <w:p w14:paraId="715EB26F" w14:textId="77777777" w:rsidR="00710FC1" w:rsidRPr="00BB4A7B" w:rsidRDefault="00710FC1" w:rsidP="00710FC1">
            <w:pPr>
              <w:spacing w:line="259" w:lineRule="auto"/>
              <w:jc w:val="right"/>
              <w:rPr>
                <w:rFonts w:ascii="Times New Roman" w:eastAsia="Times New Roman" w:hAnsi="Times New Roman" w:cs="Times New Roman"/>
                <w:color w:val="000000"/>
                <w:sz w:val="16"/>
                <w:szCs w:val="16"/>
              </w:rPr>
            </w:pPr>
            <w:r w:rsidRPr="00BB4A7B">
              <w:rPr>
                <w:rFonts w:ascii="Times New Roman" w:eastAsia="Times New Roman" w:hAnsi="Times New Roman" w:cs="Times New Roman"/>
                <w:color w:val="000000"/>
                <w:sz w:val="16"/>
                <w:szCs w:val="16"/>
              </w:rPr>
              <w:t>1.193</w:t>
            </w:r>
          </w:p>
        </w:tc>
        <w:tc>
          <w:tcPr>
            <w:tcW w:w="849" w:type="dxa"/>
            <w:tcBorders>
              <w:top w:val="nil"/>
              <w:left w:val="nil"/>
              <w:bottom w:val="nil"/>
              <w:right w:val="nil"/>
            </w:tcBorders>
            <w:shd w:val="clear" w:color="000000" w:fill="FFFFFF"/>
            <w:vAlign w:val="center"/>
            <w:hideMark/>
          </w:tcPr>
          <w:p w14:paraId="58F048C7" w14:textId="77777777" w:rsidR="00710FC1" w:rsidRPr="00BB4A7B" w:rsidRDefault="00710FC1" w:rsidP="00710FC1">
            <w:pPr>
              <w:spacing w:line="259" w:lineRule="auto"/>
              <w:jc w:val="right"/>
              <w:rPr>
                <w:rFonts w:ascii="Times New Roman" w:eastAsia="Times New Roman" w:hAnsi="Times New Roman" w:cs="Times New Roman"/>
                <w:color w:val="000000"/>
                <w:sz w:val="16"/>
                <w:szCs w:val="16"/>
              </w:rPr>
            </w:pPr>
            <w:r w:rsidRPr="00BB4A7B">
              <w:rPr>
                <w:rFonts w:ascii="Times New Roman" w:eastAsia="Times New Roman" w:hAnsi="Times New Roman" w:cs="Times New Roman"/>
                <w:color w:val="000000"/>
                <w:sz w:val="16"/>
                <w:szCs w:val="16"/>
              </w:rPr>
              <w:t>1.389</w:t>
            </w:r>
          </w:p>
        </w:tc>
        <w:tc>
          <w:tcPr>
            <w:tcW w:w="709" w:type="dxa"/>
            <w:tcBorders>
              <w:top w:val="nil"/>
              <w:left w:val="nil"/>
              <w:bottom w:val="nil"/>
              <w:right w:val="nil"/>
            </w:tcBorders>
            <w:shd w:val="clear" w:color="000000" w:fill="FFFFFF"/>
            <w:vAlign w:val="center"/>
            <w:hideMark/>
          </w:tcPr>
          <w:p w14:paraId="1524EF42" w14:textId="77777777" w:rsidR="00710FC1" w:rsidRPr="00BB4A7B" w:rsidRDefault="00710FC1" w:rsidP="00710FC1">
            <w:pPr>
              <w:spacing w:line="259" w:lineRule="auto"/>
              <w:jc w:val="right"/>
              <w:rPr>
                <w:rFonts w:ascii="Times New Roman" w:eastAsia="Times New Roman" w:hAnsi="Times New Roman" w:cs="Times New Roman"/>
                <w:color w:val="000000"/>
                <w:sz w:val="16"/>
                <w:szCs w:val="16"/>
              </w:rPr>
            </w:pPr>
            <w:r w:rsidRPr="00BB4A7B">
              <w:rPr>
                <w:rFonts w:ascii="Times New Roman" w:eastAsia="Times New Roman" w:hAnsi="Times New Roman" w:cs="Times New Roman"/>
                <w:color w:val="000000"/>
                <w:sz w:val="16"/>
                <w:szCs w:val="16"/>
              </w:rPr>
              <w:t>1.444</w:t>
            </w:r>
          </w:p>
        </w:tc>
        <w:tc>
          <w:tcPr>
            <w:tcW w:w="709" w:type="dxa"/>
            <w:tcBorders>
              <w:top w:val="nil"/>
              <w:left w:val="nil"/>
              <w:bottom w:val="nil"/>
              <w:right w:val="nil"/>
            </w:tcBorders>
            <w:shd w:val="clear" w:color="000000" w:fill="FFFFFF"/>
            <w:vAlign w:val="center"/>
            <w:hideMark/>
          </w:tcPr>
          <w:p w14:paraId="44FB7F35" w14:textId="77777777" w:rsidR="00710FC1" w:rsidRPr="00BB4A7B" w:rsidRDefault="00710FC1" w:rsidP="00710FC1">
            <w:pPr>
              <w:spacing w:line="259" w:lineRule="auto"/>
              <w:jc w:val="right"/>
              <w:rPr>
                <w:rFonts w:ascii="Times New Roman" w:eastAsia="Times New Roman" w:hAnsi="Times New Roman" w:cs="Times New Roman"/>
                <w:color w:val="000000"/>
                <w:sz w:val="16"/>
                <w:szCs w:val="16"/>
              </w:rPr>
            </w:pPr>
            <w:r w:rsidRPr="00BB4A7B">
              <w:rPr>
                <w:rFonts w:ascii="Times New Roman" w:eastAsia="Times New Roman" w:hAnsi="Times New Roman" w:cs="Times New Roman"/>
                <w:color w:val="000000"/>
                <w:sz w:val="16"/>
                <w:szCs w:val="16"/>
              </w:rPr>
              <w:t>1.403</w:t>
            </w:r>
          </w:p>
        </w:tc>
        <w:tc>
          <w:tcPr>
            <w:tcW w:w="708" w:type="dxa"/>
            <w:tcBorders>
              <w:top w:val="nil"/>
              <w:left w:val="nil"/>
              <w:bottom w:val="nil"/>
              <w:right w:val="nil"/>
            </w:tcBorders>
            <w:shd w:val="clear" w:color="000000" w:fill="FFFFFF"/>
            <w:vAlign w:val="center"/>
            <w:hideMark/>
          </w:tcPr>
          <w:p w14:paraId="7F4BF1FC" w14:textId="77777777" w:rsidR="00710FC1" w:rsidRPr="00BB4A7B" w:rsidRDefault="00710FC1" w:rsidP="00710FC1">
            <w:pPr>
              <w:spacing w:line="259" w:lineRule="auto"/>
              <w:jc w:val="right"/>
              <w:rPr>
                <w:rFonts w:ascii="Times New Roman" w:eastAsia="Times New Roman" w:hAnsi="Times New Roman" w:cs="Times New Roman"/>
                <w:color w:val="000000"/>
                <w:sz w:val="16"/>
                <w:szCs w:val="16"/>
              </w:rPr>
            </w:pPr>
            <w:r w:rsidRPr="00BB4A7B">
              <w:rPr>
                <w:rFonts w:ascii="Times New Roman" w:eastAsia="Times New Roman" w:hAnsi="Times New Roman" w:cs="Times New Roman"/>
                <w:color w:val="000000"/>
                <w:sz w:val="16"/>
                <w:szCs w:val="16"/>
              </w:rPr>
              <w:t>1.812</w:t>
            </w:r>
          </w:p>
        </w:tc>
        <w:tc>
          <w:tcPr>
            <w:tcW w:w="577" w:type="dxa"/>
            <w:tcBorders>
              <w:top w:val="nil"/>
              <w:left w:val="nil"/>
              <w:bottom w:val="nil"/>
              <w:right w:val="nil"/>
            </w:tcBorders>
            <w:shd w:val="clear" w:color="000000" w:fill="FFFFFF"/>
            <w:vAlign w:val="center"/>
            <w:hideMark/>
          </w:tcPr>
          <w:p w14:paraId="1F8F59AB" w14:textId="77777777" w:rsidR="00710FC1" w:rsidRPr="00BB4A7B" w:rsidRDefault="00710FC1" w:rsidP="00710FC1">
            <w:pPr>
              <w:spacing w:line="259" w:lineRule="auto"/>
              <w:jc w:val="right"/>
              <w:rPr>
                <w:rFonts w:ascii="Times New Roman" w:eastAsia="Times New Roman" w:hAnsi="Times New Roman" w:cs="Times New Roman"/>
                <w:color w:val="000000"/>
                <w:sz w:val="16"/>
                <w:szCs w:val="16"/>
              </w:rPr>
            </w:pPr>
            <w:r w:rsidRPr="00BB4A7B">
              <w:rPr>
                <w:rFonts w:ascii="Times New Roman" w:eastAsia="Times New Roman" w:hAnsi="Times New Roman" w:cs="Times New Roman"/>
                <w:color w:val="000000"/>
                <w:sz w:val="16"/>
                <w:szCs w:val="16"/>
              </w:rPr>
              <w:t>1.52</w:t>
            </w:r>
          </w:p>
        </w:tc>
        <w:tc>
          <w:tcPr>
            <w:tcW w:w="563" w:type="dxa"/>
            <w:tcBorders>
              <w:top w:val="nil"/>
              <w:left w:val="nil"/>
              <w:bottom w:val="nil"/>
              <w:right w:val="nil"/>
            </w:tcBorders>
            <w:shd w:val="clear" w:color="000000" w:fill="FFFFFF"/>
            <w:vAlign w:val="center"/>
            <w:hideMark/>
          </w:tcPr>
          <w:p w14:paraId="596FB82E" w14:textId="77777777" w:rsidR="00710FC1" w:rsidRPr="00BB4A7B" w:rsidRDefault="00710FC1" w:rsidP="00710FC1">
            <w:pPr>
              <w:spacing w:line="259" w:lineRule="auto"/>
              <w:jc w:val="right"/>
              <w:rPr>
                <w:rFonts w:ascii="Times New Roman" w:eastAsia="Times New Roman" w:hAnsi="Times New Roman" w:cs="Times New Roman"/>
                <w:color w:val="000000"/>
                <w:sz w:val="16"/>
                <w:szCs w:val="16"/>
              </w:rPr>
            </w:pPr>
            <w:r w:rsidRPr="00BB4A7B">
              <w:rPr>
                <w:rFonts w:ascii="Times New Roman" w:eastAsia="Times New Roman" w:hAnsi="Times New Roman" w:cs="Times New Roman"/>
                <w:color w:val="000000"/>
                <w:sz w:val="16"/>
                <w:szCs w:val="16"/>
              </w:rPr>
              <w:t>1.426</w:t>
            </w:r>
          </w:p>
        </w:tc>
        <w:tc>
          <w:tcPr>
            <w:tcW w:w="709" w:type="dxa"/>
            <w:tcBorders>
              <w:top w:val="nil"/>
              <w:left w:val="nil"/>
              <w:bottom w:val="nil"/>
              <w:right w:val="nil"/>
            </w:tcBorders>
            <w:shd w:val="clear" w:color="000000" w:fill="FFFFFF"/>
            <w:vAlign w:val="center"/>
            <w:hideMark/>
          </w:tcPr>
          <w:p w14:paraId="2DF9AC5B" w14:textId="77777777" w:rsidR="00710FC1" w:rsidRPr="00BB4A7B" w:rsidRDefault="00710FC1" w:rsidP="00710FC1">
            <w:pPr>
              <w:spacing w:line="259" w:lineRule="auto"/>
              <w:jc w:val="right"/>
              <w:rPr>
                <w:rFonts w:ascii="Times New Roman" w:eastAsia="Times New Roman" w:hAnsi="Times New Roman" w:cs="Times New Roman"/>
                <w:color w:val="000000"/>
                <w:sz w:val="16"/>
                <w:szCs w:val="16"/>
              </w:rPr>
            </w:pPr>
            <w:r w:rsidRPr="00BB4A7B">
              <w:rPr>
                <w:rFonts w:ascii="Times New Roman" w:eastAsia="Times New Roman" w:hAnsi="Times New Roman" w:cs="Times New Roman"/>
                <w:color w:val="000000"/>
                <w:sz w:val="16"/>
                <w:szCs w:val="16"/>
              </w:rPr>
              <w:t>859</w:t>
            </w:r>
          </w:p>
        </w:tc>
      </w:tr>
      <w:tr w:rsidR="00710FC1" w:rsidRPr="00BB4A7B" w14:paraId="18A75051" w14:textId="77777777" w:rsidTr="00E250FE">
        <w:trPr>
          <w:trHeight w:val="315"/>
          <w:jc w:val="center"/>
        </w:trPr>
        <w:tc>
          <w:tcPr>
            <w:tcW w:w="1840" w:type="dxa"/>
            <w:tcBorders>
              <w:top w:val="nil"/>
              <w:left w:val="nil"/>
              <w:bottom w:val="nil"/>
              <w:right w:val="nil"/>
            </w:tcBorders>
            <w:shd w:val="clear" w:color="000000" w:fill="E2EFDA"/>
            <w:vAlign w:val="center"/>
            <w:hideMark/>
          </w:tcPr>
          <w:p w14:paraId="212F38C4" w14:textId="77777777" w:rsidR="00710FC1" w:rsidRPr="00BB4A7B" w:rsidRDefault="00710FC1" w:rsidP="00710FC1">
            <w:pPr>
              <w:spacing w:line="259" w:lineRule="auto"/>
              <w:jc w:val="left"/>
              <w:rPr>
                <w:rFonts w:ascii="Times New Roman" w:eastAsia="Times New Roman" w:hAnsi="Times New Roman" w:cs="Times New Roman"/>
                <w:color w:val="000000"/>
                <w:sz w:val="16"/>
                <w:szCs w:val="16"/>
              </w:rPr>
            </w:pPr>
            <w:r w:rsidRPr="00BB4A7B">
              <w:rPr>
                <w:rFonts w:ascii="Times New Roman" w:eastAsia="Times New Roman" w:hAnsi="Times New Roman" w:cs="Times New Roman"/>
                <w:color w:val="000000"/>
                <w:sz w:val="16"/>
                <w:szCs w:val="16"/>
              </w:rPr>
              <w:t>Maestría</w:t>
            </w:r>
          </w:p>
        </w:tc>
        <w:tc>
          <w:tcPr>
            <w:tcW w:w="718" w:type="dxa"/>
            <w:tcBorders>
              <w:top w:val="nil"/>
              <w:left w:val="nil"/>
              <w:bottom w:val="nil"/>
              <w:right w:val="nil"/>
            </w:tcBorders>
            <w:shd w:val="clear" w:color="000000" w:fill="E2EFDA"/>
            <w:vAlign w:val="center"/>
            <w:hideMark/>
          </w:tcPr>
          <w:p w14:paraId="2BA17F5C" w14:textId="77777777" w:rsidR="00710FC1" w:rsidRPr="00BB4A7B" w:rsidRDefault="00710FC1" w:rsidP="00710FC1">
            <w:pPr>
              <w:spacing w:line="259" w:lineRule="auto"/>
              <w:jc w:val="right"/>
              <w:rPr>
                <w:rFonts w:ascii="Times New Roman" w:eastAsia="Times New Roman" w:hAnsi="Times New Roman" w:cs="Times New Roman"/>
                <w:color w:val="000000"/>
                <w:sz w:val="16"/>
                <w:szCs w:val="16"/>
              </w:rPr>
            </w:pPr>
            <w:r w:rsidRPr="00BB4A7B">
              <w:rPr>
                <w:rFonts w:ascii="Times New Roman" w:eastAsia="Times New Roman" w:hAnsi="Times New Roman" w:cs="Times New Roman"/>
                <w:color w:val="000000"/>
                <w:sz w:val="16"/>
                <w:szCs w:val="16"/>
              </w:rPr>
              <w:t>403</w:t>
            </w:r>
          </w:p>
        </w:tc>
        <w:tc>
          <w:tcPr>
            <w:tcW w:w="699" w:type="dxa"/>
            <w:tcBorders>
              <w:top w:val="nil"/>
              <w:left w:val="nil"/>
              <w:bottom w:val="nil"/>
              <w:right w:val="nil"/>
            </w:tcBorders>
            <w:shd w:val="clear" w:color="000000" w:fill="E2EFDA"/>
            <w:vAlign w:val="center"/>
            <w:hideMark/>
          </w:tcPr>
          <w:p w14:paraId="6D9FC330" w14:textId="77777777" w:rsidR="00710FC1" w:rsidRPr="00BB4A7B" w:rsidRDefault="00710FC1" w:rsidP="00710FC1">
            <w:pPr>
              <w:spacing w:line="259" w:lineRule="auto"/>
              <w:jc w:val="right"/>
              <w:rPr>
                <w:rFonts w:ascii="Times New Roman" w:eastAsia="Times New Roman" w:hAnsi="Times New Roman" w:cs="Times New Roman"/>
                <w:color w:val="000000"/>
                <w:sz w:val="16"/>
                <w:szCs w:val="16"/>
              </w:rPr>
            </w:pPr>
            <w:r w:rsidRPr="00BB4A7B">
              <w:rPr>
                <w:rFonts w:ascii="Times New Roman" w:eastAsia="Times New Roman" w:hAnsi="Times New Roman" w:cs="Times New Roman"/>
                <w:color w:val="000000"/>
                <w:sz w:val="16"/>
                <w:szCs w:val="16"/>
              </w:rPr>
              <w:t>317</w:t>
            </w:r>
          </w:p>
        </w:tc>
        <w:tc>
          <w:tcPr>
            <w:tcW w:w="708" w:type="dxa"/>
            <w:tcBorders>
              <w:top w:val="nil"/>
              <w:left w:val="nil"/>
              <w:bottom w:val="nil"/>
              <w:right w:val="nil"/>
            </w:tcBorders>
            <w:shd w:val="clear" w:color="000000" w:fill="E2EFDA"/>
            <w:vAlign w:val="center"/>
            <w:hideMark/>
          </w:tcPr>
          <w:p w14:paraId="250FEF51" w14:textId="77777777" w:rsidR="00710FC1" w:rsidRPr="00BB4A7B" w:rsidRDefault="00710FC1" w:rsidP="00710FC1">
            <w:pPr>
              <w:spacing w:line="259" w:lineRule="auto"/>
              <w:jc w:val="right"/>
              <w:rPr>
                <w:rFonts w:ascii="Times New Roman" w:eastAsia="Times New Roman" w:hAnsi="Times New Roman" w:cs="Times New Roman"/>
                <w:color w:val="000000"/>
                <w:sz w:val="16"/>
                <w:szCs w:val="16"/>
              </w:rPr>
            </w:pPr>
            <w:r w:rsidRPr="00BB4A7B">
              <w:rPr>
                <w:rFonts w:ascii="Times New Roman" w:eastAsia="Times New Roman" w:hAnsi="Times New Roman" w:cs="Times New Roman"/>
                <w:color w:val="000000"/>
                <w:sz w:val="16"/>
                <w:szCs w:val="16"/>
              </w:rPr>
              <w:t>637</w:t>
            </w:r>
          </w:p>
        </w:tc>
        <w:tc>
          <w:tcPr>
            <w:tcW w:w="709" w:type="dxa"/>
            <w:tcBorders>
              <w:top w:val="nil"/>
              <w:left w:val="nil"/>
              <w:bottom w:val="nil"/>
              <w:right w:val="nil"/>
            </w:tcBorders>
            <w:shd w:val="clear" w:color="000000" w:fill="E2EFDA"/>
            <w:vAlign w:val="center"/>
            <w:hideMark/>
          </w:tcPr>
          <w:p w14:paraId="6F5CB909" w14:textId="77777777" w:rsidR="00710FC1" w:rsidRPr="00BB4A7B" w:rsidRDefault="00710FC1" w:rsidP="00710FC1">
            <w:pPr>
              <w:spacing w:line="259" w:lineRule="auto"/>
              <w:jc w:val="right"/>
              <w:rPr>
                <w:rFonts w:ascii="Times New Roman" w:eastAsia="Times New Roman" w:hAnsi="Times New Roman" w:cs="Times New Roman"/>
                <w:color w:val="000000"/>
                <w:sz w:val="16"/>
                <w:szCs w:val="16"/>
              </w:rPr>
            </w:pPr>
            <w:r w:rsidRPr="00BB4A7B">
              <w:rPr>
                <w:rFonts w:ascii="Times New Roman" w:eastAsia="Times New Roman" w:hAnsi="Times New Roman" w:cs="Times New Roman"/>
                <w:color w:val="000000"/>
                <w:sz w:val="16"/>
                <w:szCs w:val="16"/>
              </w:rPr>
              <w:t>925</w:t>
            </w:r>
          </w:p>
        </w:tc>
        <w:tc>
          <w:tcPr>
            <w:tcW w:w="850" w:type="dxa"/>
            <w:tcBorders>
              <w:top w:val="nil"/>
              <w:left w:val="nil"/>
              <w:bottom w:val="nil"/>
              <w:right w:val="nil"/>
            </w:tcBorders>
            <w:shd w:val="clear" w:color="000000" w:fill="E2EFDA"/>
            <w:vAlign w:val="center"/>
            <w:hideMark/>
          </w:tcPr>
          <w:p w14:paraId="53337A77" w14:textId="77777777" w:rsidR="00710FC1" w:rsidRPr="00BB4A7B" w:rsidRDefault="00710FC1" w:rsidP="00710FC1">
            <w:pPr>
              <w:spacing w:line="259" w:lineRule="auto"/>
              <w:jc w:val="right"/>
              <w:rPr>
                <w:rFonts w:ascii="Times New Roman" w:eastAsia="Times New Roman" w:hAnsi="Times New Roman" w:cs="Times New Roman"/>
                <w:color w:val="000000"/>
                <w:sz w:val="16"/>
                <w:szCs w:val="16"/>
              </w:rPr>
            </w:pPr>
            <w:r w:rsidRPr="00BB4A7B">
              <w:rPr>
                <w:rFonts w:ascii="Times New Roman" w:eastAsia="Times New Roman" w:hAnsi="Times New Roman" w:cs="Times New Roman"/>
                <w:color w:val="000000"/>
                <w:sz w:val="16"/>
                <w:szCs w:val="16"/>
              </w:rPr>
              <w:t>805</w:t>
            </w:r>
          </w:p>
        </w:tc>
        <w:tc>
          <w:tcPr>
            <w:tcW w:w="849" w:type="dxa"/>
            <w:tcBorders>
              <w:top w:val="nil"/>
              <w:left w:val="nil"/>
              <w:bottom w:val="nil"/>
              <w:right w:val="nil"/>
            </w:tcBorders>
            <w:shd w:val="clear" w:color="000000" w:fill="E2EFDA"/>
            <w:vAlign w:val="center"/>
            <w:hideMark/>
          </w:tcPr>
          <w:p w14:paraId="78EE0C28" w14:textId="77777777" w:rsidR="00710FC1" w:rsidRPr="00BB4A7B" w:rsidRDefault="00710FC1" w:rsidP="00710FC1">
            <w:pPr>
              <w:spacing w:line="259" w:lineRule="auto"/>
              <w:jc w:val="right"/>
              <w:rPr>
                <w:rFonts w:ascii="Times New Roman" w:eastAsia="Times New Roman" w:hAnsi="Times New Roman" w:cs="Times New Roman"/>
                <w:color w:val="000000"/>
                <w:sz w:val="16"/>
                <w:szCs w:val="16"/>
              </w:rPr>
            </w:pPr>
            <w:r w:rsidRPr="00BB4A7B">
              <w:rPr>
                <w:rFonts w:ascii="Times New Roman" w:eastAsia="Times New Roman" w:hAnsi="Times New Roman" w:cs="Times New Roman"/>
                <w:color w:val="000000"/>
                <w:sz w:val="16"/>
                <w:szCs w:val="16"/>
              </w:rPr>
              <w:t>887</w:t>
            </w:r>
          </w:p>
        </w:tc>
        <w:tc>
          <w:tcPr>
            <w:tcW w:w="709" w:type="dxa"/>
            <w:tcBorders>
              <w:top w:val="nil"/>
              <w:left w:val="nil"/>
              <w:bottom w:val="nil"/>
              <w:right w:val="nil"/>
            </w:tcBorders>
            <w:shd w:val="clear" w:color="000000" w:fill="E2EFDA"/>
            <w:vAlign w:val="center"/>
            <w:hideMark/>
          </w:tcPr>
          <w:p w14:paraId="5F554E12" w14:textId="77777777" w:rsidR="00710FC1" w:rsidRPr="00BB4A7B" w:rsidRDefault="00710FC1" w:rsidP="00710FC1">
            <w:pPr>
              <w:spacing w:line="259" w:lineRule="auto"/>
              <w:jc w:val="right"/>
              <w:rPr>
                <w:rFonts w:ascii="Times New Roman" w:eastAsia="Times New Roman" w:hAnsi="Times New Roman" w:cs="Times New Roman"/>
                <w:color w:val="000000"/>
                <w:sz w:val="16"/>
                <w:szCs w:val="16"/>
              </w:rPr>
            </w:pPr>
            <w:r w:rsidRPr="00BB4A7B">
              <w:rPr>
                <w:rFonts w:ascii="Times New Roman" w:eastAsia="Times New Roman" w:hAnsi="Times New Roman" w:cs="Times New Roman"/>
                <w:color w:val="000000"/>
                <w:sz w:val="16"/>
                <w:szCs w:val="16"/>
              </w:rPr>
              <w:t>893</w:t>
            </w:r>
          </w:p>
        </w:tc>
        <w:tc>
          <w:tcPr>
            <w:tcW w:w="709" w:type="dxa"/>
            <w:tcBorders>
              <w:top w:val="nil"/>
              <w:left w:val="nil"/>
              <w:bottom w:val="nil"/>
              <w:right w:val="nil"/>
            </w:tcBorders>
            <w:shd w:val="clear" w:color="000000" w:fill="E2EFDA"/>
            <w:vAlign w:val="center"/>
            <w:hideMark/>
          </w:tcPr>
          <w:p w14:paraId="66A0E5F9" w14:textId="77777777" w:rsidR="00710FC1" w:rsidRPr="00BB4A7B" w:rsidRDefault="00710FC1" w:rsidP="00710FC1">
            <w:pPr>
              <w:spacing w:line="259" w:lineRule="auto"/>
              <w:jc w:val="right"/>
              <w:rPr>
                <w:rFonts w:ascii="Times New Roman" w:eastAsia="Times New Roman" w:hAnsi="Times New Roman" w:cs="Times New Roman"/>
                <w:color w:val="000000"/>
                <w:sz w:val="16"/>
                <w:szCs w:val="16"/>
              </w:rPr>
            </w:pPr>
            <w:r w:rsidRPr="00BB4A7B">
              <w:rPr>
                <w:rFonts w:ascii="Times New Roman" w:eastAsia="Times New Roman" w:hAnsi="Times New Roman" w:cs="Times New Roman"/>
                <w:color w:val="000000"/>
                <w:sz w:val="16"/>
                <w:szCs w:val="16"/>
              </w:rPr>
              <w:t>1.119</w:t>
            </w:r>
          </w:p>
        </w:tc>
        <w:tc>
          <w:tcPr>
            <w:tcW w:w="708" w:type="dxa"/>
            <w:tcBorders>
              <w:top w:val="nil"/>
              <w:left w:val="nil"/>
              <w:bottom w:val="nil"/>
              <w:right w:val="nil"/>
            </w:tcBorders>
            <w:shd w:val="clear" w:color="000000" w:fill="E2EFDA"/>
            <w:vAlign w:val="center"/>
            <w:hideMark/>
          </w:tcPr>
          <w:p w14:paraId="45A36EB4" w14:textId="77777777" w:rsidR="00710FC1" w:rsidRPr="00BB4A7B" w:rsidRDefault="00710FC1" w:rsidP="00710FC1">
            <w:pPr>
              <w:spacing w:line="259" w:lineRule="auto"/>
              <w:jc w:val="right"/>
              <w:rPr>
                <w:rFonts w:ascii="Times New Roman" w:eastAsia="Times New Roman" w:hAnsi="Times New Roman" w:cs="Times New Roman"/>
                <w:color w:val="000000"/>
                <w:sz w:val="16"/>
                <w:szCs w:val="16"/>
              </w:rPr>
            </w:pPr>
            <w:r w:rsidRPr="00BB4A7B">
              <w:rPr>
                <w:rFonts w:ascii="Times New Roman" w:eastAsia="Times New Roman" w:hAnsi="Times New Roman" w:cs="Times New Roman"/>
                <w:color w:val="000000"/>
                <w:sz w:val="16"/>
                <w:szCs w:val="16"/>
              </w:rPr>
              <w:t>1.399</w:t>
            </w:r>
          </w:p>
        </w:tc>
        <w:tc>
          <w:tcPr>
            <w:tcW w:w="577" w:type="dxa"/>
            <w:tcBorders>
              <w:top w:val="nil"/>
              <w:left w:val="nil"/>
              <w:bottom w:val="nil"/>
              <w:right w:val="nil"/>
            </w:tcBorders>
            <w:shd w:val="clear" w:color="000000" w:fill="E2EFDA"/>
            <w:vAlign w:val="center"/>
            <w:hideMark/>
          </w:tcPr>
          <w:p w14:paraId="29DAC2CA" w14:textId="77777777" w:rsidR="00710FC1" w:rsidRPr="00BB4A7B" w:rsidRDefault="00710FC1" w:rsidP="00710FC1">
            <w:pPr>
              <w:spacing w:line="259" w:lineRule="auto"/>
              <w:jc w:val="right"/>
              <w:rPr>
                <w:rFonts w:ascii="Times New Roman" w:eastAsia="Times New Roman" w:hAnsi="Times New Roman" w:cs="Times New Roman"/>
                <w:color w:val="000000"/>
                <w:sz w:val="16"/>
                <w:szCs w:val="16"/>
              </w:rPr>
            </w:pPr>
            <w:r w:rsidRPr="00BB4A7B">
              <w:rPr>
                <w:rFonts w:ascii="Times New Roman" w:eastAsia="Times New Roman" w:hAnsi="Times New Roman" w:cs="Times New Roman"/>
                <w:color w:val="000000"/>
                <w:sz w:val="16"/>
                <w:szCs w:val="16"/>
              </w:rPr>
              <w:t>1.064</w:t>
            </w:r>
          </w:p>
        </w:tc>
        <w:tc>
          <w:tcPr>
            <w:tcW w:w="563" w:type="dxa"/>
            <w:tcBorders>
              <w:top w:val="nil"/>
              <w:left w:val="nil"/>
              <w:bottom w:val="nil"/>
              <w:right w:val="nil"/>
            </w:tcBorders>
            <w:shd w:val="clear" w:color="000000" w:fill="E2EFDA"/>
            <w:vAlign w:val="center"/>
            <w:hideMark/>
          </w:tcPr>
          <w:p w14:paraId="486F793A" w14:textId="77777777" w:rsidR="00710FC1" w:rsidRPr="00BB4A7B" w:rsidRDefault="00710FC1" w:rsidP="00710FC1">
            <w:pPr>
              <w:spacing w:line="259" w:lineRule="auto"/>
              <w:jc w:val="right"/>
              <w:rPr>
                <w:rFonts w:ascii="Times New Roman" w:eastAsia="Times New Roman" w:hAnsi="Times New Roman" w:cs="Times New Roman"/>
                <w:color w:val="000000"/>
                <w:sz w:val="16"/>
                <w:szCs w:val="16"/>
              </w:rPr>
            </w:pPr>
            <w:r w:rsidRPr="00BB4A7B">
              <w:rPr>
                <w:rFonts w:ascii="Times New Roman" w:eastAsia="Times New Roman" w:hAnsi="Times New Roman" w:cs="Times New Roman"/>
                <w:color w:val="000000"/>
                <w:sz w:val="16"/>
                <w:szCs w:val="16"/>
              </w:rPr>
              <w:t>922</w:t>
            </w:r>
          </w:p>
        </w:tc>
        <w:tc>
          <w:tcPr>
            <w:tcW w:w="709" w:type="dxa"/>
            <w:tcBorders>
              <w:top w:val="nil"/>
              <w:left w:val="nil"/>
              <w:bottom w:val="nil"/>
              <w:right w:val="nil"/>
            </w:tcBorders>
            <w:shd w:val="clear" w:color="000000" w:fill="E2EFDA"/>
            <w:vAlign w:val="center"/>
            <w:hideMark/>
          </w:tcPr>
          <w:p w14:paraId="778A8899" w14:textId="77777777" w:rsidR="00710FC1" w:rsidRPr="00BB4A7B" w:rsidRDefault="00710FC1" w:rsidP="00710FC1">
            <w:pPr>
              <w:spacing w:line="259" w:lineRule="auto"/>
              <w:jc w:val="right"/>
              <w:rPr>
                <w:rFonts w:ascii="Times New Roman" w:eastAsia="Times New Roman" w:hAnsi="Times New Roman" w:cs="Times New Roman"/>
                <w:color w:val="000000"/>
                <w:sz w:val="16"/>
                <w:szCs w:val="16"/>
              </w:rPr>
            </w:pPr>
            <w:r w:rsidRPr="00BB4A7B">
              <w:rPr>
                <w:rFonts w:ascii="Times New Roman" w:eastAsia="Times New Roman" w:hAnsi="Times New Roman" w:cs="Times New Roman"/>
                <w:color w:val="000000"/>
                <w:sz w:val="16"/>
                <w:szCs w:val="16"/>
              </w:rPr>
              <w:t>475</w:t>
            </w:r>
          </w:p>
        </w:tc>
      </w:tr>
      <w:tr w:rsidR="00710FC1" w:rsidRPr="00BB4A7B" w14:paraId="45C12D25" w14:textId="77777777" w:rsidTr="00E250FE">
        <w:trPr>
          <w:trHeight w:val="315"/>
          <w:jc w:val="center"/>
        </w:trPr>
        <w:tc>
          <w:tcPr>
            <w:tcW w:w="1840" w:type="dxa"/>
            <w:tcBorders>
              <w:top w:val="nil"/>
              <w:left w:val="nil"/>
              <w:bottom w:val="nil"/>
              <w:right w:val="nil"/>
            </w:tcBorders>
            <w:shd w:val="clear" w:color="000000" w:fill="FFFFFF"/>
            <w:vAlign w:val="center"/>
            <w:hideMark/>
          </w:tcPr>
          <w:p w14:paraId="65C0FB48" w14:textId="77777777" w:rsidR="00710FC1" w:rsidRPr="00BB4A7B" w:rsidRDefault="00710FC1" w:rsidP="00710FC1">
            <w:pPr>
              <w:spacing w:line="259" w:lineRule="auto"/>
              <w:jc w:val="left"/>
              <w:rPr>
                <w:rFonts w:ascii="Times New Roman" w:eastAsia="Times New Roman" w:hAnsi="Times New Roman" w:cs="Times New Roman"/>
                <w:color w:val="000000"/>
                <w:sz w:val="16"/>
                <w:szCs w:val="16"/>
              </w:rPr>
            </w:pPr>
            <w:r w:rsidRPr="00BB4A7B">
              <w:rPr>
                <w:rFonts w:ascii="Times New Roman" w:eastAsia="Times New Roman" w:hAnsi="Times New Roman" w:cs="Times New Roman"/>
                <w:color w:val="000000"/>
                <w:sz w:val="16"/>
                <w:szCs w:val="16"/>
              </w:rPr>
              <w:t>Doctorado</w:t>
            </w:r>
          </w:p>
        </w:tc>
        <w:tc>
          <w:tcPr>
            <w:tcW w:w="718" w:type="dxa"/>
            <w:tcBorders>
              <w:top w:val="nil"/>
              <w:left w:val="nil"/>
              <w:bottom w:val="nil"/>
              <w:right w:val="nil"/>
            </w:tcBorders>
            <w:shd w:val="clear" w:color="000000" w:fill="FFFFFF"/>
            <w:vAlign w:val="center"/>
            <w:hideMark/>
          </w:tcPr>
          <w:p w14:paraId="3774DA6A" w14:textId="77777777" w:rsidR="00710FC1" w:rsidRPr="00BB4A7B" w:rsidRDefault="00710FC1" w:rsidP="00710FC1">
            <w:pPr>
              <w:spacing w:line="259" w:lineRule="auto"/>
              <w:jc w:val="right"/>
              <w:rPr>
                <w:rFonts w:ascii="Times New Roman" w:eastAsia="Times New Roman" w:hAnsi="Times New Roman" w:cs="Times New Roman"/>
                <w:color w:val="000000"/>
                <w:sz w:val="16"/>
                <w:szCs w:val="16"/>
              </w:rPr>
            </w:pPr>
            <w:r w:rsidRPr="00BB4A7B">
              <w:rPr>
                <w:rFonts w:ascii="Times New Roman" w:eastAsia="Times New Roman" w:hAnsi="Times New Roman" w:cs="Times New Roman"/>
                <w:color w:val="000000"/>
                <w:sz w:val="16"/>
                <w:szCs w:val="16"/>
              </w:rPr>
              <w:t>9</w:t>
            </w:r>
          </w:p>
        </w:tc>
        <w:tc>
          <w:tcPr>
            <w:tcW w:w="699" w:type="dxa"/>
            <w:tcBorders>
              <w:top w:val="nil"/>
              <w:left w:val="nil"/>
              <w:bottom w:val="nil"/>
              <w:right w:val="nil"/>
            </w:tcBorders>
            <w:shd w:val="clear" w:color="000000" w:fill="FFFFFF"/>
            <w:vAlign w:val="center"/>
            <w:hideMark/>
          </w:tcPr>
          <w:p w14:paraId="18EBE582" w14:textId="77777777" w:rsidR="00710FC1" w:rsidRPr="00BB4A7B" w:rsidRDefault="00710FC1" w:rsidP="00710FC1">
            <w:pPr>
              <w:spacing w:line="259" w:lineRule="auto"/>
              <w:jc w:val="right"/>
              <w:rPr>
                <w:rFonts w:ascii="Times New Roman" w:eastAsia="Times New Roman" w:hAnsi="Times New Roman" w:cs="Times New Roman"/>
                <w:color w:val="000000"/>
                <w:sz w:val="16"/>
                <w:szCs w:val="16"/>
              </w:rPr>
            </w:pPr>
            <w:r w:rsidRPr="00BB4A7B">
              <w:rPr>
                <w:rFonts w:ascii="Times New Roman" w:eastAsia="Times New Roman" w:hAnsi="Times New Roman" w:cs="Times New Roman"/>
                <w:color w:val="000000"/>
                <w:sz w:val="16"/>
                <w:szCs w:val="16"/>
              </w:rPr>
              <w:t>16</w:t>
            </w:r>
          </w:p>
        </w:tc>
        <w:tc>
          <w:tcPr>
            <w:tcW w:w="708" w:type="dxa"/>
            <w:tcBorders>
              <w:top w:val="nil"/>
              <w:left w:val="nil"/>
              <w:bottom w:val="nil"/>
              <w:right w:val="nil"/>
            </w:tcBorders>
            <w:shd w:val="clear" w:color="000000" w:fill="FFFFFF"/>
            <w:vAlign w:val="center"/>
            <w:hideMark/>
          </w:tcPr>
          <w:p w14:paraId="2CD06D44" w14:textId="77777777" w:rsidR="00710FC1" w:rsidRPr="00BB4A7B" w:rsidRDefault="00710FC1" w:rsidP="00710FC1">
            <w:pPr>
              <w:spacing w:line="259" w:lineRule="auto"/>
              <w:jc w:val="right"/>
              <w:rPr>
                <w:rFonts w:ascii="Times New Roman" w:eastAsia="Times New Roman" w:hAnsi="Times New Roman" w:cs="Times New Roman"/>
                <w:color w:val="000000"/>
                <w:sz w:val="16"/>
                <w:szCs w:val="16"/>
              </w:rPr>
            </w:pPr>
            <w:r w:rsidRPr="00BB4A7B">
              <w:rPr>
                <w:rFonts w:ascii="Times New Roman" w:eastAsia="Times New Roman" w:hAnsi="Times New Roman" w:cs="Times New Roman"/>
                <w:color w:val="000000"/>
                <w:sz w:val="16"/>
                <w:szCs w:val="16"/>
              </w:rPr>
              <w:t>22</w:t>
            </w:r>
          </w:p>
        </w:tc>
        <w:tc>
          <w:tcPr>
            <w:tcW w:w="709" w:type="dxa"/>
            <w:tcBorders>
              <w:top w:val="nil"/>
              <w:left w:val="nil"/>
              <w:bottom w:val="nil"/>
              <w:right w:val="nil"/>
            </w:tcBorders>
            <w:shd w:val="clear" w:color="000000" w:fill="FFFFFF"/>
            <w:vAlign w:val="center"/>
            <w:hideMark/>
          </w:tcPr>
          <w:p w14:paraId="52FC96A7" w14:textId="77777777" w:rsidR="00710FC1" w:rsidRPr="00BB4A7B" w:rsidRDefault="00710FC1" w:rsidP="00710FC1">
            <w:pPr>
              <w:spacing w:line="259" w:lineRule="auto"/>
              <w:jc w:val="right"/>
              <w:rPr>
                <w:rFonts w:ascii="Times New Roman" w:eastAsia="Times New Roman" w:hAnsi="Times New Roman" w:cs="Times New Roman"/>
                <w:color w:val="000000"/>
                <w:sz w:val="16"/>
                <w:szCs w:val="16"/>
              </w:rPr>
            </w:pPr>
            <w:r w:rsidRPr="00BB4A7B">
              <w:rPr>
                <w:rFonts w:ascii="Times New Roman" w:eastAsia="Times New Roman" w:hAnsi="Times New Roman" w:cs="Times New Roman"/>
                <w:color w:val="000000"/>
                <w:sz w:val="16"/>
                <w:szCs w:val="16"/>
              </w:rPr>
              <w:t>24</w:t>
            </w:r>
          </w:p>
        </w:tc>
        <w:tc>
          <w:tcPr>
            <w:tcW w:w="850" w:type="dxa"/>
            <w:tcBorders>
              <w:top w:val="nil"/>
              <w:left w:val="nil"/>
              <w:bottom w:val="nil"/>
              <w:right w:val="nil"/>
            </w:tcBorders>
            <w:shd w:val="clear" w:color="000000" w:fill="FFFFFF"/>
            <w:vAlign w:val="center"/>
            <w:hideMark/>
          </w:tcPr>
          <w:p w14:paraId="3F2C736A" w14:textId="77777777" w:rsidR="00710FC1" w:rsidRPr="00BB4A7B" w:rsidRDefault="00710FC1" w:rsidP="00710FC1">
            <w:pPr>
              <w:spacing w:line="259" w:lineRule="auto"/>
              <w:jc w:val="right"/>
              <w:rPr>
                <w:rFonts w:ascii="Times New Roman" w:eastAsia="Times New Roman" w:hAnsi="Times New Roman" w:cs="Times New Roman"/>
                <w:color w:val="000000"/>
                <w:sz w:val="16"/>
                <w:szCs w:val="16"/>
              </w:rPr>
            </w:pPr>
            <w:r w:rsidRPr="00BB4A7B">
              <w:rPr>
                <w:rFonts w:ascii="Times New Roman" w:eastAsia="Times New Roman" w:hAnsi="Times New Roman" w:cs="Times New Roman"/>
                <w:color w:val="000000"/>
                <w:sz w:val="16"/>
                <w:szCs w:val="16"/>
              </w:rPr>
              <w:t>30</w:t>
            </w:r>
          </w:p>
        </w:tc>
        <w:tc>
          <w:tcPr>
            <w:tcW w:w="849" w:type="dxa"/>
            <w:tcBorders>
              <w:top w:val="nil"/>
              <w:left w:val="nil"/>
              <w:bottom w:val="nil"/>
              <w:right w:val="nil"/>
            </w:tcBorders>
            <w:shd w:val="clear" w:color="000000" w:fill="FFFFFF"/>
            <w:vAlign w:val="center"/>
            <w:hideMark/>
          </w:tcPr>
          <w:p w14:paraId="27546ED1" w14:textId="77777777" w:rsidR="00710FC1" w:rsidRPr="00BB4A7B" w:rsidRDefault="00710FC1" w:rsidP="00710FC1">
            <w:pPr>
              <w:spacing w:line="259" w:lineRule="auto"/>
              <w:jc w:val="right"/>
              <w:rPr>
                <w:rFonts w:ascii="Times New Roman" w:eastAsia="Times New Roman" w:hAnsi="Times New Roman" w:cs="Times New Roman"/>
                <w:color w:val="000000"/>
                <w:sz w:val="16"/>
                <w:szCs w:val="16"/>
              </w:rPr>
            </w:pPr>
            <w:r w:rsidRPr="00BB4A7B">
              <w:rPr>
                <w:rFonts w:ascii="Times New Roman" w:eastAsia="Times New Roman" w:hAnsi="Times New Roman" w:cs="Times New Roman"/>
                <w:color w:val="000000"/>
                <w:sz w:val="16"/>
                <w:szCs w:val="16"/>
              </w:rPr>
              <w:t>24</w:t>
            </w:r>
          </w:p>
        </w:tc>
        <w:tc>
          <w:tcPr>
            <w:tcW w:w="709" w:type="dxa"/>
            <w:tcBorders>
              <w:top w:val="nil"/>
              <w:left w:val="nil"/>
              <w:bottom w:val="nil"/>
              <w:right w:val="nil"/>
            </w:tcBorders>
            <w:shd w:val="clear" w:color="000000" w:fill="FFFFFF"/>
            <w:vAlign w:val="center"/>
            <w:hideMark/>
          </w:tcPr>
          <w:p w14:paraId="6D2C2270" w14:textId="77777777" w:rsidR="00710FC1" w:rsidRPr="00BB4A7B" w:rsidRDefault="00710FC1" w:rsidP="00710FC1">
            <w:pPr>
              <w:spacing w:line="259" w:lineRule="auto"/>
              <w:jc w:val="right"/>
              <w:rPr>
                <w:rFonts w:ascii="Times New Roman" w:eastAsia="Times New Roman" w:hAnsi="Times New Roman" w:cs="Times New Roman"/>
                <w:color w:val="000000"/>
                <w:sz w:val="16"/>
                <w:szCs w:val="16"/>
              </w:rPr>
            </w:pPr>
            <w:r w:rsidRPr="00BB4A7B">
              <w:rPr>
                <w:rFonts w:ascii="Times New Roman" w:eastAsia="Times New Roman" w:hAnsi="Times New Roman" w:cs="Times New Roman"/>
                <w:color w:val="000000"/>
                <w:sz w:val="16"/>
                <w:szCs w:val="16"/>
              </w:rPr>
              <w:t>49</w:t>
            </w:r>
          </w:p>
        </w:tc>
        <w:tc>
          <w:tcPr>
            <w:tcW w:w="709" w:type="dxa"/>
            <w:tcBorders>
              <w:top w:val="nil"/>
              <w:left w:val="nil"/>
              <w:bottom w:val="nil"/>
              <w:right w:val="nil"/>
            </w:tcBorders>
            <w:shd w:val="clear" w:color="000000" w:fill="FFFFFF"/>
            <w:vAlign w:val="center"/>
            <w:hideMark/>
          </w:tcPr>
          <w:p w14:paraId="51320CB6" w14:textId="77777777" w:rsidR="00710FC1" w:rsidRPr="00BB4A7B" w:rsidRDefault="00710FC1" w:rsidP="00710FC1">
            <w:pPr>
              <w:spacing w:line="259" w:lineRule="auto"/>
              <w:jc w:val="right"/>
              <w:rPr>
                <w:rFonts w:ascii="Times New Roman" w:eastAsia="Times New Roman" w:hAnsi="Times New Roman" w:cs="Times New Roman"/>
                <w:color w:val="000000"/>
                <w:sz w:val="16"/>
                <w:szCs w:val="16"/>
              </w:rPr>
            </w:pPr>
            <w:r w:rsidRPr="00BB4A7B">
              <w:rPr>
                <w:rFonts w:ascii="Times New Roman" w:eastAsia="Times New Roman" w:hAnsi="Times New Roman" w:cs="Times New Roman"/>
                <w:color w:val="000000"/>
                <w:sz w:val="16"/>
                <w:szCs w:val="16"/>
              </w:rPr>
              <w:t>42</w:t>
            </w:r>
          </w:p>
        </w:tc>
        <w:tc>
          <w:tcPr>
            <w:tcW w:w="708" w:type="dxa"/>
            <w:tcBorders>
              <w:top w:val="nil"/>
              <w:left w:val="nil"/>
              <w:bottom w:val="nil"/>
              <w:right w:val="nil"/>
            </w:tcBorders>
            <w:shd w:val="clear" w:color="000000" w:fill="FFFFFF"/>
            <w:vAlign w:val="center"/>
            <w:hideMark/>
          </w:tcPr>
          <w:p w14:paraId="081E7CDC" w14:textId="77777777" w:rsidR="00710FC1" w:rsidRPr="00BB4A7B" w:rsidRDefault="00710FC1" w:rsidP="00710FC1">
            <w:pPr>
              <w:spacing w:line="259" w:lineRule="auto"/>
              <w:jc w:val="right"/>
              <w:rPr>
                <w:rFonts w:ascii="Times New Roman" w:eastAsia="Times New Roman" w:hAnsi="Times New Roman" w:cs="Times New Roman"/>
                <w:color w:val="000000"/>
                <w:sz w:val="16"/>
                <w:szCs w:val="16"/>
              </w:rPr>
            </w:pPr>
            <w:r w:rsidRPr="00BB4A7B">
              <w:rPr>
                <w:rFonts w:ascii="Times New Roman" w:eastAsia="Times New Roman" w:hAnsi="Times New Roman" w:cs="Times New Roman"/>
                <w:color w:val="000000"/>
                <w:sz w:val="16"/>
                <w:szCs w:val="16"/>
              </w:rPr>
              <w:t>64</w:t>
            </w:r>
          </w:p>
        </w:tc>
        <w:tc>
          <w:tcPr>
            <w:tcW w:w="577" w:type="dxa"/>
            <w:tcBorders>
              <w:top w:val="nil"/>
              <w:left w:val="nil"/>
              <w:bottom w:val="nil"/>
              <w:right w:val="nil"/>
            </w:tcBorders>
            <w:shd w:val="clear" w:color="000000" w:fill="FFFFFF"/>
            <w:vAlign w:val="center"/>
            <w:hideMark/>
          </w:tcPr>
          <w:p w14:paraId="14A8B620" w14:textId="77777777" w:rsidR="00710FC1" w:rsidRPr="00BB4A7B" w:rsidRDefault="00710FC1" w:rsidP="00710FC1">
            <w:pPr>
              <w:spacing w:line="259" w:lineRule="auto"/>
              <w:jc w:val="right"/>
              <w:rPr>
                <w:rFonts w:ascii="Times New Roman" w:eastAsia="Times New Roman" w:hAnsi="Times New Roman" w:cs="Times New Roman"/>
                <w:color w:val="000000"/>
                <w:sz w:val="16"/>
                <w:szCs w:val="16"/>
              </w:rPr>
            </w:pPr>
            <w:r w:rsidRPr="00BB4A7B">
              <w:rPr>
                <w:rFonts w:ascii="Times New Roman" w:eastAsia="Times New Roman" w:hAnsi="Times New Roman" w:cs="Times New Roman"/>
                <w:color w:val="000000"/>
                <w:sz w:val="16"/>
                <w:szCs w:val="16"/>
              </w:rPr>
              <w:t>60</w:t>
            </w:r>
          </w:p>
        </w:tc>
        <w:tc>
          <w:tcPr>
            <w:tcW w:w="563" w:type="dxa"/>
            <w:tcBorders>
              <w:top w:val="nil"/>
              <w:left w:val="nil"/>
              <w:bottom w:val="nil"/>
              <w:right w:val="nil"/>
            </w:tcBorders>
            <w:shd w:val="clear" w:color="000000" w:fill="FFFFFF"/>
            <w:vAlign w:val="center"/>
            <w:hideMark/>
          </w:tcPr>
          <w:p w14:paraId="275FB7ED" w14:textId="77777777" w:rsidR="00710FC1" w:rsidRPr="00BB4A7B" w:rsidRDefault="00710FC1" w:rsidP="00710FC1">
            <w:pPr>
              <w:spacing w:line="259" w:lineRule="auto"/>
              <w:jc w:val="right"/>
              <w:rPr>
                <w:rFonts w:ascii="Times New Roman" w:eastAsia="Times New Roman" w:hAnsi="Times New Roman" w:cs="Times New Roman"/>
                <w:color w:val="000000"/>
                <w:sz w:val="16"/>
                <w:szCs w:val="16"/>
              </w:rPr>
            </w:pPr>
            <w:r w:rsidRPr="00BB4A7B">
              <w:rPr>
                <w:rFonts w:ascii="Times New Roman" w:eastAsia="Times New Roman" w:hAnsi="Times New Roman" w:cs="Times New Roman"/>
                <w:color w:val="000000"/>
                <w:sz w:val="16"/>
                <w:szCs w:val="16"/>
              </w:rPr>
              <w:t>75</w:t>
            </w:r>
          </w:p>
        </w:tc>
        <w:tc>
          <w:tcPr>
            <w:tcW w:w="709" w:type="dxa"/>
            <w:tcBorders>
              <w:top w:val="nil"/>
              <w:left w:val="nil"/>
              <w:bottom w:val="nil"/>
              <w:right w:val="nil"/>
            </w:tcBorders>
            <w:shd w:val="clear" w:color="000000" w:fill="FFFFFF"/>
            <w:vAlign w:val="center"/>
            <w:hideMark/>
          </w:tcPr>
          <w:p w14:paraId="1E1FD1D2" w14:textId="77777777" w:rsidR="00710FC1" w:rsidRPr="00BB4A7B" w:rsidRDefault="00710FC1" w:rsidP="00710FC1">
            <w:pPr>
              <w:spacing w:line="259" w:lineRule="auto"/>
              <w:jc w:val="right"/>
              <w:rPr>
                <w:rFonts w:ascii="Times New Roman" w:eastAsia="Times New Roman" w:hAnsi="Times New Roman" w:cs="Times New Roman"/>
                <w:color w:val="000000"/>
                <w:sz w:val="16"/>
                <w:szCs w:val="16"/>
              </w:rPr>
            </w:pPr>
            <w:r w:rsidRPr="00BB4A7B">
              <w:rPr>
                <w:rFonts w:ascii="Times New Roman" w:eastAsia="Times New Roman" w:hAnsi="Times New Roman" w:cs="Times New Roman"/>
                <w:color w:val="000000"/>
                <w:sz w:val="16"/>
                <w:szCs w:val="16"/>
              </w:rPr>
              <w:t>33</w:t>
            </w:r>
          </w:p>
        </w:tc>
      </w:tr>
      <w:tr w:rsidR="00710FC1" w:rsidRPr="00BB4A7B" w14:paraId="1A22753D" w14:textId="77777777" w:rsidTr="00E250FE">
        <w:trPr>
          <w:trHeight w:val="315"/>
          <w:jc w:val="center"/>
        </w:trPr>
        <w:tc>
          <w:tcPr>
            <w:tcW w:w="1840" w:type="dxa"/>
            <w:tcBorders>
              <w:top w:val="nil"/>
              <w:left w:val="nil"/>
              <w:bottom w:val="nil"/>
              <w:right w:val="nil"/>
            </w:tcBorders>
            <w:shd w:val="clear" w:color="000000" w:fill="E2EFDA"/>
            <w:vAlign w:val="center"/>
            <w:hideMark/>
          </w:tcPr>
          <w:p w14:paraId="1EEDC5B3" w14:textId="77777777" w:rsidR="00710FC1" w:rsidRPr="00BB4A7B" w:rsidRDefault="00710FC1" w:rsidP="00710FC1">
            <w:pPr>
              <w:spacing w:line="259" w:lineRule="auto"/>
              <w:jc w:val="left"/>
              <w:rPr>
                <w:rFonts w:ascii="Times New Roman" w:eastAsia="Times New Roman" w:hAnsi="Times New Roman" w:cs="Times New Roman"/>
                <w:b/>
                <w:bCs/>
                <w:color w:val="000000"/>
                <w:sz w:val="16"/>
                <w:szCs w:val="16"/>
              </w:rPr>
            </w:pPr>
            <w:r w:rsidRPr="00BB4A7B">
              <w:rPr>
                <w:rFonts w:ascii="Times New Roman" w:eastAsia="Times New Roman" w:hAnsi="Times New Roman" w:cs="Times New Roman"/>
                <w:b/>
                <w:bCs/>
                <w:color w:val="000000"/>
                <w:sz w:val="16"/>
                <w:szCs w:val="16"/>
              </w:rPr>
              <w:t>Total</w:t>
            </w:r>
          </w:p>
        </w:tc>
        <w:tc>
          <w:tcPr>
            <w:tcW w:w="718" w:type="dxa"/>
            <w:tcBorders>
              <w:top w:val="nil"/>
              <w:left w:val="nil"/>
              <w:bottom w:val="nil"/>
              <w:right w:val="nil"/>
            </w:tcBorders>
            <w:shd w:val="clear" w:color="000000" w:fill="E2EFDA"/>
            <w:vAlign w:val="center"/>
            <w:hideMark/>
          </w:tcPr>
          <w:p w14:paraId="22C63507" w14:textId="77777777" w:rsidR="00710FC1" w:rsidRPr="00BB4A7B" w:rsidRDefault="00710FC1" w:rsidP="00710FC1">
            <w:pPr>
              <w:spacing w:line="259" w:lineRule="auto"/>
              <w:jc w:val="right"/>
              <w:rPr>
                <w:rFonts w:ascii="Times New Roman" w:eastAsia="Times New Roman" w:hAnsi="Times New Roman" w:cs="Times New Roman"/>
                <w:b/>
                <w:bCs/>
                <w:color w:val="000000"/>
                <w:sz w:val="16"/>
                <w:szCs w:val="16"/>
              </w:rPr>
            </w:pPr>
            <w:r w:rsidRPr="00BB4A7B">
              <w:rPr>
                <w:rFonts w:ascii="Times New Roman" w:eastAsia="Times New Roman" w:hAnsi="Times New Roman" w:cs="Times New Roman"/>
                <w:b/>
                <w:bCs/>
                <w:color w:val="000000"/>
                <w:sz w:val="16"/>
                <w:szCs w:val="16"/>
              </w:rPr>
              <w:t>6.175</w:t>
            </w:r>
          </w:p>
        </w:tc>
        <w:tc>
          <w:tcPr>
            <w:tcW w:w="699" w:type="dxa"/>
            <w:tcBorders>
              <w:top w:val="nil"/>
              <w:left w:val="nil"/>
              <w:bottom w:val="nil"/>
              <w:right w:val="nil"/>
            </w:tcBorders>
            <w:shd w:val="clear" w:color="000000" w:fill="E2EFDA"/>
            <w:vAlign w:val="center"/>
            <w:hideMark/>
          </w:tcPr>
          <w:p w14:paraId="28ED0E95" w14:textId="77777777" w:rsidR="00710FC1" w:rsidRPr="00BB4A7B" w:rsidRDefault="00710FC1" w:rsidP="00710FC1">
            <w:pPr>
              <w:spacing w:line="259" w:lineRule="auto"/>
              <w:jc w:val="right"/>
              <w:rPr>
                <w:rFonts w:ascii="Times New Roman" w:eastAsia="Times New Roman" w:hAnsi="Times New Roman" w:cs="Times New Roman"/>
                <w:b/>
                <w:bCs/>
                <w:color w:val="000000"/>
                <w:sz w:val="16"/>
                <w:szCs w:val="16"/>
              </w:rPr>
            </w:pPr>
            <w:r w:rsidRPr="00BB4A7B">
              <w:rPr>
                <w:rFonts w:ascii="Times New Roman" w:eastAsia="Times New Roman" w:hAnsi="Times New Roman" w:cs="Times New Roman"/>
                <w:b/>
                <w:bCs/>
                <w:color w:val="000000"/>
                <w:sz w:val="16"/>
                <w:szCs w:val="16"/>
              </w:rPr>
              <w:t>5.944</w:t>
            </w:r>
          </w:p>
        </w:tc>
        <w:tc>
          <w:tcPr>
            <w:tcW w:w="708" w:type="dxa"/>
            <w:tcBorders>
              <w:top w:val="nil"/>
              <w:left w:val="nil"/>
              <w:bottom w:val="nil"/>
              <w:right w:val="nil"/>
            </w:tcBorders>
            <w:shd w:val="clear" w:color="000000" w:fill="E2EFDA"/>
            <w:vAlign w:val="center"/>
            <w:hideMark/>
          </w:tcPr>
          <w:p w14:paraId="29553715" w14:textId="77777777" w:rsidR="00710FC1" w:rsidRPr="00BB4A7B" w:rsidRDefault="00710FC1" w:rsidP="00710FC1">
            <w:pPr>
              <w:spacing w:line="259" w:lineRule="auto"/>
              <w:jc w:val="right"/>
              <w:rPr>
                <w:rFonts w:ascii="Times New Roman" w:eastAsia="Times New Roman" w:hAnsi="Times New Roman" w:cs="Times New Roman"/>
                <w:b/>
                <w:bCs/>
                <w:color w:val="000000"/>
                <w:sz w:val="16"/>
                <w:szCs w:val="16"/>
              </w:rPr>
            </w:pPr>
            <w:r w:rsidRPr="00BB4A7B">
              <w:rPr>
                <w:rFonts w:ascii="Times New Roman" w:eastAsia="Times New Roman" w:hAnsi="Times New Roman" w:cs="Times New Roman"/>
                <w:b/>
                <w:bCs/>
                <w:color w:val="000000"/>
                <w:sz w:val="16"/>
                <w:szCs w:val="16"/>
              </w:rPr>
              <w:t>8.241</w:t>
            </w:r>
          </w:p>
        </w:tc>
        <w:tc>
          <w:tcPr>
            <w:tcW w:w="709" w:type="dxa"/>
            <w:tcBorders>
              <w:top w:val="nil"/>
              <w:left w:val="nil"/>
              <w:bottom w:val="nil"/>
              <w:right w:val="nil"/>
            </w:tcBorders>
            <w:shd w:val="clear" w:color="000000" w:fill="E2EFDA"/>
            <w:vAlign w:val="center"/>
            <w:hideMark/>
          </w:tcPr>
          <w:p w14:paraId="452EE902" w14:textId="77777777" w:rsidR="00710FC1" w:rsidRPr="00BB4A7B" w:rsidRDefault="00710FC1" w:rsidP="00710FC1">
            <w:pPr>
              <w:spacing w:line="259" w:lineRule="auto"/>
              <w:jc w:val="right"/>
              <w:rPr>
                <w:rFonts w:ascii="Times New Roman" w:eastAsia="Times New Roman" w:hAnsi="Times New Roman" w:cs="Times New Roman"/>
                <w:b/>
                <w:bCs/>
                <w:color w:val="000000"/>
                <w:sz w:val="16"/>
                <w:szCs w:val="16"/>
              </w:rPr>
            </w:pPr>
            <w:r w:rsidRPr="00BB4A7B">
              <w:rPr>
                <w:rFonts w:ascii="Times New Roman" w:eastAsia="Times New Roman" w:hAnsi="Times New Roman" w:cs="Times New Roman"/>
                <w:b/>
                <w:bCs/>
                <w:color w:val="000000"/>
                <w:sz w:val="16"/>
                <w:szCs w:val="16"/>
              </w:rPr>
              <w:t>7.901</w:t>
            </w:r>
          </w:p>
        </w:tc>
        <w:tc>
          <w:tcPr>
            <w:tcW w:w="850" w:type="dxa"/>
            <w:tcBorders>
              <w:top w:val="nil"/>
              <w:left w:val="nil"/>
              <w:bottom w:val="nil"/>
              <w:right w:val="nil"/>
            </w:tcBorders>
            <w:shd w:val="clear" w:color="000000" w:fill="E2EFDA"/>
            <w:vAlign w:val="center"/>
            <w:hideMark/>
          </w:tcPr>
          <w:p w14:paraId="33ADDD66" w14:textId="77777777" w:rsidR="00710FC1" w:rsidRPr="00BB4A7B" w:rsidRDefault="00710FC1" w:rsidP="00710FC1">
            <w:pPr>
              <w:spacing w:line="259" w:lineRule="auto"/>
              <w:jc w:val="right"/>
              <w:rPr>
                <w:rFonts w:ascii="Times New Roman" w:eastAsia="Times New Roman" w:hAnsi="Times New Roman" w:cs="Times New Roman"/>
                <w:b/>
                <w:bCs/>
                <w:color w:val="000000"/>
                <w:sz w:val="16"/>
                <w:szCs w:val="16"/>
              </w:rPr>
            </w:pPr>
            <w:r w:rsidRPr="00BB4A7B">
              <w:rPr>
                <w:rFonts w:ascii="Times New Roman" w:eastAsia="Times New Roman" w:hAnsi="Times New Roman" w:cs="Times New Roman"/>
                <w:b/>
                <w:bCs/>
                <w:color w:val="000000"/>
                <w:sz w:val="16"/>
                <w:szCs w:val="16"/>
              </w:rPr>
              <w:t>7.965</w:t>
            </w:r>
          </w:p>
        </w:tc>
        <w:tc>
          <w:tcPr>
            <w:tcW w:w="849" w:type="dxa"/>
            <w:tcBorders>
              <w:top w:val="nil"/>
              <w:left w:val="nil"/>
              <w:bottom w:val="nil"/>
              <w:right w:val="nil"/>
            </w:tcBorders>
            <w:shd w:val="clear" w:color="000000" w:fill="E2EFDA"/>
            <w:vAlign w:val="center"/>
            <w:hideMark/>
          </w:tcPr>
          <w:p w14:paraId="30136C92" w14:textId="77777777" w:rsidR="00710FC1" w:rsidRPr="00BB4A7B" w:rsidRDefault="00710FC1" w:rsidP="00710FC1">
            <w:pPr>
              <w:spacing w:line="259" w:lineRule="auto"/>
              <w:jc w:val="right"/>
              <w:rPr>
                <w:rFonts w:ascii="Times New Roman" w:eastAsia="Times New Roman" w:hAnsi="Times New Roman" w:cs="Times New Roman"/>
                <w:b/>
                <w:bCs/>
                <w:color w:val="000000"/>
                <w:sz w:val="16"/>
                <w:szCs w:val="16"/>
              </w:rPr>
            </w:pPr>
            <w:r w:rsidRPr="00BB4A7B">
              <w:rPr>
                <w:rFonts w:ascii="Times New Roman" w:eastAsia="Times New Roman" w:hAnsi="Times New Roman" w:cs="Times New Roman"/>
                <w:b/>
                <w:bCs/>
                <w:color w:val="000000"/>
                <w:sz w:val="16"/>
                <w:szCs w:val="16"/>
              </w:rPr>
              <w:t>8.158</w:t>
            </w:r>
          </w:p>
        </w:tc>
        <w:tc>
          <w:tcPr>
            <w:tcW w:w="709" w:type="dxa"/>
            <w:tcBorders>
              <w:top w:val="nil"/>
              <w:left w:val="nil"/>
              <w:bottom w:val="nil"/>
              <w:right w:val="nil"/>
            </w:tcBorders>
            <w:shd w:val="clear" w:color="000000" w:fill="E2EFDA"/>
            <w:vAlign w:val="center"/>
            <w:hideMark/>
          </w:tcPr>
          <w:p w14:paraId="7438E0B2" w14:textId="77777777" w:rsidR="00710FC1" w:rsidRPr="00BB4A7B" w:rsidRDefault="00710FC1" w:rsidP="00710FC1">
            <w:pPr>
              <w:spacing w:line="259" w:lineRule="auto"/>
              <w:jc w:val="right"/>
              <w:rPr>
                <w:rFonts w:ascii="Times New Roman" w:eastAsia="Times New Roman" w:hAnsi="Times New Roman" w:cs="Times New Roman"/>
                <w:b/>
                <w:bCs/>
                <w:color w:val="000000"/>
                <w:sz w:val="16"/>
                <w:szCs w:val="16"/>
              </w:rPr>
            </w:pPr>
            <w:r w:rsidRPr="00BB4A7B">
              <w:rPr>
                <w:rFonts w:ascii="Times New Roman" w:eastAsia="Times New Roman" w:hAnsi="Times New Roman" w:cs="Times New Roman"/>
                <w:b/>
                <w:bCs/>
                <w:color w:val="000000"/>
                <w:sz w:val="16"/>
                <w:szCs w:val="16"/>
              </w:rPr>
              <w:t>9.125</w:t>
            </w:r>
          </w:p>
        </w:tc>
        <w:tc>
          <w:tcPr>
            <w:tcW w:w="709" w:type="dxa"/>
            <w:tcBorders>
              <w:top w:val="nil"/>
              <w:left w:val="nil"/>
              <w:bottom w:val="nil"/>
              <w:right w:val="nil"/>
            </w:tcBorders>
            <w:shd w:val="clear" w:color="000000" w:fill="E2EFDA"/>
            <w:vAlign w:val="center"/>
            <w:hideMark/>
          </w:tcPr>
          <w:p w14:paraId="45110DB1" w14:textId="77777777" w:rsidR="00710FC1" w:rsidRPr="00BB4A7B" w:rsidRDefault="00710FC1" w:rsidP="00710FC1">
            <w:pPr>
              <w:spacing w:line="259" w:lineRule="auto"/>
              <w:jc w:val="right"/>
              <w:rPr>
                <w:rFonts w:ascii="Times New Roman" w:eastAsia="Times New Roman" w:hAnsi="Times New Roman" w:cs="Times New Roman"/>
                <w:b/>
                <w:bCs/>
                <w:color w:val="000000"/>
                <w:sz w:val="16"/>
                <w:szCs w:val="16"/>
              </w:rPr>
            </w:pPr>
            <w:r w:rsidRPr="00BB4A7B">
              <w:rPr>
                <w:rFonts w:ascii="Times New Roman" w:eastAsia="Times New Roman" w:hAnsi="Times New Roman" w:cs="Times New Roman"/>
                <w:b/>
                <w:bCs/>
                <w:color w:val="000000"/>
                <w:sz w:val="16"/>
                <w:szCs w:val="16"/>
              </w:rPr>
              <w:t>9.735</w:t>
            </w:r>
          </w:p>
        </w:tc>
        <w:tc>
          <w:tcPr>
            <w:tcW w:w="708" w:type="dxa"/>
            <w:tcBorders>
              <w:top w:val="nil"/>
              <w:left w:val="nil"/>
              <w:bottom w:val="nil"/>
              <w:right w:val="nil"/>
            </w:tcBorders>
            <w:shd w:val="clear" w:color="000000" w:fill="E2EFDA"/>
            <w:vAlign w:val="center"/>
            <w:hideMark/>
          </w:tcPr>
          <w:p w14:paraId="3A47110C" w14:textId="77777777" w:rsidR="00710FC1" w:rsidRPr="00BB4A7B" w:rsidRDefault="00710FC1" w:rsidP="00710FC1">
            <w:pPr>
              <w:spacing w:line="259" w:lineRule="auto"/>
              <w:jc w:val="right"/>
              <w:rPr>
                <w:rFonts w:ascii="Times New Roman" w:eastAsia="Times New Roman" w:hAnsi="Times New Roman" w:cs="Times New Roman"/>
                <w:b/>
                <w:bCs/>
                <w:color w:val="000000"/>
                <w:sz w:val="16"/>
                <w:szCs w:val="16"/>
              </w:rPr>
            </w:pPr>
            <w:r w:rsidRPr="00BB4A7B">
              <w:rPr>
                <w:rFonts w:ascii="Times New Roman" w:eastAsia="Times New Roman" w:hAnsi="Times New Roman" w:cs="Times New Roman"/>
                <w:b/>
                <w:bCs/>
                <w:color w:val="000000"/>
                <w:sz w:val="16"/>
                <w:szCs w:val="16"/>
              </w:rPr>
              <w:t>10.956</w:t>
            </w:r>
          </w:p>
        </w:tc>
        <w:tc>
          <w:tcPr>
            <w:tcW w:w="577" w:type="dxa"/>
            <w:tcBorders>
              <w:top w:val="nil"/>
              <w:left w:val="nil"/>
              <w:bottom w:val="nil"/>
              <w:right w:val="nil"/>
            </w:tcBorders>
            <w:shd w:val="clear" w:color="000000" w:fill="E2EFDA"/>
            <w:vAlign w:val="center"/>
            <w:hideMark/>
          </w:tcPr>
          <w:p w14:paraId="5365D9B7" w14:textId="77777777" w:rsidR="00710FC1" w:rsidRPr="00BB4A7B" w:rsidRDefault="00710FC1" w:rsidP="00710FC1">
            <w:pPr>
              <w:spacing w:line="259" w:lineRule="auto"/>
              <w:jc w:val="right"/>
              <w:rPr>
                <w:rFonts w:ascii="Times New Roman" w:eastAsia="Times New Roman" w:hAnsi="Times New Roman" w:cs="Times New Roman"/>
                <w:b/>
                <w:bCs/>
                <w:color w:val="000000"/>
                <w:sz w:val="16"/>
                <w:szCs w:val="16"/>
              </w:rPr>
            </w:pPr>
            <w:r w:rsidRPr="00BB4A7B">
              <w:rPr>
                <w:rFonts w:ascii="Times New Roman" w:eastAsia="Times New Roman" w:hAnsi="Times New Roman" w:cs="Times New Roman"/>
                <w:b/>
                <w:bCs/>
                <w:color w:val="000000"/>
                <w:sz w:val="16"/>
                <w:szCs w:val="16"/>
              </w:rPr>
              <w:t>10.324</w:t>
            </w:r>
          </w:p>
        </w:tc>
        <w:tc>
          <w:tcPr>
            <w:tcW w:w="563" w:type="dxa"/>
            <w:tcBorders>
              <w:top w:val="nil"/>
              <w:left w:val="nil"/>
              <w:bottom w:val="nil"/>
              <w:right w:val="nil"/>
            </w:tcBorders>
            <w:shd w:val="clear" w:color="000000" w:fill="E2EFDA"/>
            <w:vAlign w:val="center"/>
            <w:hideMark/>
          </w:tcPr>
          <w:p w14:paraId="055E31F4" w14:textId="77777777" w:rsidR="00710FC1" w:rsidRPr="00BB4A7B" w:rsidRDefault="00710FC1" w:rsidP="00710FC1">
            <w:pPr>
              <w:spacing w:line="259" w:lineRule="auto"/>
              <w:jc w:val="right"/>
              <w:rPr>
                <w:rFonts w:ascii="Times New Roman" w:eastAsia="Times New Roman" w:hAnsi="Times New Roman" w:cs="Times New Roman"/>
                <w:b/>
                <w:bCs/>
                <w:color w:val="000000"/>
                <w:sz w:val="16"/>
                <w:szCs w:val="16"/>
              </w:rPr>
            </w:pPr>
            <w:r w:rsidRPr="00BB4A7B">
              <w:rPr>
                <w:rFonts w:ascii="Times New Roman" w:eastAsia="Times New Roman" w:hAnsi="Times New Roman" w:cs="Times New Roman"/>
                <w:b/>
                <w:bCs/>
                <w:color w:val="000000"/>
                <w:sz w:val="16"/>
                <w:szCs w:val="16"/>
              </w:rPr>
              <w:t>9.864</w:t>
            </w:r>
          </w:p>
        </w:tc>
        <w:tc>
          <w:tcPr>
            <w:tcW w:w="709" w:type="dxa"/>
            <w:tcBorders>
              <w:top w:val="nil"/>
              <w:left w:val="nil"/>
              <w:bottom w:val="nil"/>
              <w:right w:val="nil"/>
            </w:tcBorders>
            <w:shd w:val="clear" w:color="000000" w:fill="E2EFDA"/>
            <w:vAlign w:val="center"/>
            <w:hideMark/>
          </w:tcPr>
          <w:p w14:paraId="09AF0368" w14:textId="77777777" w:rsidR="00710FC1" w:rsidRPr="00BB4A7B" w:rsidRDefault="00710FC1" w:rsidP="00710FC1">
            <w:pPr>
              <w:spacing w:line="259" w:lineRule="auto"/>
              <w:jc w:val="right"/>
              <w:rPr>
                <w:rFonts w:ascii="Times New Roman" w:eastAsia="Times New Roman" w:hAnsi="Times New Roman" w:cs="Times New Roman"/>
                <w:b/>
                <w:bCs/>
                <w:color w:val="000000"/>
                <w:sz w:val="16"/>
                <w:szCs w:val="16"/>
              </w:rPr>
            </w:pPr>
            <w:r w:rsidRPr="00BB4A7B">
              <w:rPr>
                <w:rFonts w:ascii="Times New Roman" w:eastAsia="Times New Roman" w:hAnsi="Times New Roman" w:cs="Times New Roman"/>
                <w:b/>
                <w:bCs/>
                <w:color w:val="000000"/>
                <w:sz w:val="16"/>
                <w:szCs w:val="16"/>
              </w:rPr>
              <w:t>5,682</w:t>
            </w:r>
          </w:p>
        </w:tc>
      </w:tr>
    </w:tbl>
    <w:p w14:paraId="36F87170" w14:textId="77777777" w:rsidR="00710FC1" w:rsidRPr="00BB4A7B" w:rsidRDefault="00710FC1" w:rsidP="00710FC1">
      <w:pPr>
        <w:spacing w:line="259" w:lineRule="auto"/>
        <w:jc w:val="center"/>
        <w:rPr>
          <w:rFonts w:ascii="Times New Roman" w:hAnsi="Times New Roman" w:cs="Times New Roman"/>
          <w:color w:val="000000"/>
          <w:sz w:val="21"/>
          <w:szCs w:val="21"/>
        </w:rPr>
      </w:pPr>
      <w:r w:rsidRPr="00BB4A7B">
        <w:rPr>
          <w:rFonts w:ascii="Times New Roman" w:hAnsi="Times New Roman" w:cs="Times New Roman"/>
          <w:color w:val="000000"/>
          <w:sz w:val="21"/>
          <w:szCs w:val="21"/>
        </w:rPr>
        <w:t>Fuente: MEN-SNIES</w:t>
      </w:r>
    </w:p>
    <w:p w14:paraId="7424AC14" w14:textId="77777777" w:rsidR="00710FC1" w:rsidRPr="00BB4A7B" w:rsidRDefault="00710FC1" w:rsidP="00710FC1">
      <w:pPr>
        <w:spacing w:line="259" w:lineRule="auto"/>
        <w:rPr>
          <w:rFonts w:ascii="Times New Roman" w:hAnsi="Times New Roman" w:cs="Times New Roman"/>
          <w:color w:val="000000"/>
          <w:sz w:val="21"/>
          <w:szCs w:val="21"/>
        </w:rPr>
      </w:pPr>
    </w:p>
    <w:p w14:paraId="386B6D37" w14:textId="77777777" w:rsidR="00A41F4E" w:rsidRDefault="00A41F4E" w:rsidP="00A41F4E">
      <w:pPr>
        <w:rPr>
          <w:rFonts w:ascii="Times New Roman" w:hAnsi="Times New Roman" w:cs="Times New Roman"/>
          <w:sz w:val="24"/>
        </w:rPr>
      </w:pPr>
    </w:p>
    <w:p w14:paraId="3DEA65AA" w14:textId="43809F48" w:rsidR="00710FC1" w:rsidRPr="00A41F4E" w:rsidRDefault="00710FC1" w:rsidP="00A41F4E">
      <w:pPr>
        <w:rPr>
          <w:rFonts w:ascii="Times New Roman" w:hAnsi="Times New Roman" w:cs="Times New Roman"/>
          <w:sz w:val="24"/>
        </w:rPr>
      </w:pPr>
      <w:r w:rsidRPr="00A41F4E">
        <w:rPr>
          <w:rFonts w:ascii="Times New Roman" w:hAnsi="Times New Roman" w:cs="Times New Roman"/>
          <w:sz w:val="24"/>
        </w:rPr>
        <w:t xml:space="preserve">La siguiente gráfica muestra una recomposición de la población graduada a través de los años, especialmente en los niveles inferiores y superiores de la educación terciaria. En primer lugar, se observa una leve contracción de la población con grado universitario, cediendo espacio a la población con formación técnica y tecnológica pasando de representar el 7,9% en 2010 al 34,1% en 2021. En los niveles de posgrado, puede concluirse que cada vez </w:t>
      </w:r>
      <w:r w:rsidR="00A41F4E">
        <w:rPr>
          <w:rFonts w:ascii="Times New Roman" w:hAnsi="Times New Roman" w:cs="Times New Roman"/>
          <w:sz w:val="24"/>
        </w:rPr>
        <w:t xml:space="preserve">más </w:t>
      </w:r>
      <w:r w:rsidRPr="00A41F4E">
        <w:rPr>
          <w:rFonts w:ascii="Times New Roman" w:hAnsi="Times New Roman" w:cs="Times New Roman"/>
          <w:sz w:val="24"/>
        </w:rPr>
        <w:t>una mayor cantidad de población opta por cualificarse a través de la formación en maestría, por encima de la especialización. En efecto, esta última ha pasado de tener un peso relativo del 37,4% en 2010 al 15,1% en 2021. En este mismo período la población con título de maestría pasó de 6,5% al 8,4%:</w:t>
      </w:r>
    </w:p>
    <w:p w14:paraId="644B01E6" w14:textId="77777777" w:rsidR="00710FC1" w:rsidRPr="00BB4A7B" w:rsidRDefault="00710FC1" w:rsidP="00710FC1">
      <w:pPr>
        <w:spacing w:line="259" w:lineRule="auto"/>
        <w:rPr>
          <w:rFonts w:ascii="Times New Roman" w:hAnsi="Times New Roman" w:cs="Times New Roman"/>
          <w:color w:val="000000"/>
          <w:sz w:val="21"/>
          <w:szCs w:val="21"/>
        </w:rPr>
      </w:pPr>
    </w:p>
    <w:p w14:paraId="01480305" w14:textId="77777777" w:rsidR="00A41F4E" w:rsidRDefault="00A41F4E" w:rsidP="00710FC1">
      <w:pPr>
        <w:pStyle w:val="Grfica"/>
        <w:rPr>
          <w:rFonts w:ascii="Times New Roman" w:eastAsiaTheme="minorEastAsia" w:hAnsi="Times New Roman" w:cs="Times New Roman"/>
          <w:color w:val="auto"/>
          <w:sz w:val="20"/>
          <w:szCs w:val="20"/>
        </w:rPr>
      </w:pPr>
      <w:bookmarkStart w:id="4" w:name="_Toc121413947"/>
    </w:p>
    <w:p w14:paraId="53F9D182" w14:textId="77777777" w:rsidR="00A41F4E" w:rsidRDefault="00A41F4E" w:rsidP="00710FC1">
      <w:pPr>
        <w:pStyle w:val="Grfica"/>
        <w:rPr>
          <w:rFonts w:ascii="Times New Roman" w:eastAsiaTheme="minorEastAsia" w:hAnsi="Times New Roman" w:cs="Times New Roman"/>
          <w:color w:val="auto"/>
          <w:sz w:val="20"/>
          <w:szCs w:val="20"/>
        </w:rPr>
      </w:pPr>
    </w:p>
    <w:p w14:paraId="11EC602F" w14:textId="77777777" w:rsidR="00A41F4E" w:rsidRDefault="00A41F4E" w:rsidP="00710FC1">
      <w:pPr>
        <w:pStyle w:val="Grfica"/>
        <w:rPr>
          <w:rFonts w:ascii="Times New Roman" w:eastAsiaTheme="minorEastAsia" w:hAnsi="Times New Roman" w:cs="Times New Roman"/>
          <w:color w:val="auto"/>
          <w:sz w:val="20"/>
          <w:szCs w:val="20"/>
        </w:rPr>
      </w:pPr>
    </w:p>
    <w:p w14:paraId="16DF230B" w14:textId="77777777" w:rsidR="00A41F4E" w:rsidRDefault="00A41F4E" w:rsidP="00710FC1">
      <w:pPr>
        <w:pStyle w:val="Grfica"/>
        <w:rPr>
          <w:rFonts w:ascii="Times New Roman" w:eastAsiaTheme="minorEastAsia" w:hAnsi="Times New Roman" w:cs="Times New Roman"/>
          <w:color w:val="auto"/>
          <w:sz w:val="20"/>
          <w:szCs w:val="20"/>
        </w:rPr>
      </w:pPr>
    </w:p>
    <w:p w14:paraId="5EA06E9F" w14:textId="77777777" w:rsidR="00A41F4E" w:rsidRDefault="00A41F4E" w:rsidP="00710FC1">
      <w:pPr>
        <w:pStyle w:val="Grfica"/>
        <w:rPr>
          <w:rFonts w:ascii="Times New Roman" w:eastAsiaTheme="minorEastAsia" w:hAnsi="Times New Roman" w:cs="Times New Roman"/>
          <w:color w:val="auto"/>
          <w:sz w:val="20"/>
          <w:szCs w:val="20"/>
        </w:rPr>
      </w:pPr>
    </w:p>
    <w:p w14:paraId="390074BB" w14:textId="77777777" w:rsidR="00A41F4E" w:rsidRDefault="00A41F4E" w:rsidP="00710FC1">
      <w:pPr>
        <w:pStyle w:val="Grfica"/>
        <w:rPr>
          <w:rFonts w:ascii="Times New Roman" w:eastAsiaTheme="minorEastAsia" w:hAnsi="Times New Roman" w:cs="Times New Roman"/>
          <w:color w:val="auto"/>
          <w:sz w:val="20"/>
          <w:szCs w:val="20"/>
        </w:rPr>
      </w:pPr>
    </w:p>
    <w:p w14:paraId="29DDD9FA" w14:textId="77777777" w:rsidR="00A41F4E" w:rsidRDefault="00A41F4E" w:rsidP="00710FC1">
      <w:pPr>
        <w:pStyle w:val="Grfica"/>
        <w:rPr>
          <w:rFonts w:ascii="Times New Roman" w:eastAsiaTheme="minorEastAsia" w:hAnsi="Times New Roman" w:cs="Times New Roman"/>
          <w:color w:val="auto"/>
          <w:sz w:val="20"/>
          <w:szCs w:val="20"/>
        </w:rPr>
      </w:pPr>
    </w:p>
    <w:p w14:paraId="03E273DF" w14:textId="77777777" w:rsidR="00A41F4E" w:rsidRDefault="00A41F4E" w:rsidP="00710FC1">
      <w:pPr>
        <w:pStyle w:val="Grfica"/>
        <w:rPr>
          <w:rFonts w:ascii="Times New Roman" w:eastAsiaTheme="minorEastAsia" w:hAnsi="Times New Roman" w:cs="Times New Roman"/>
          <w:color w:val="auto"/>
          <w:sz w:val="20"/>
          <w:szCs w:val="20"/>
        </w:rPr>
      </w:pPr>
    </w:p>
    <w:p w14:paraId="5CF65359" w14:textId="77777777" w:rsidR="00A41F4E" w:rsidRDefault="00A41F4E" w:rsidP="00710FC1">
      <w:pPr>
        <w:pStyle w:val="Grfica"/>
        <w:rPr>
          <w:rFonts w:ascii="Times New Roman" w:eastAsiaTheme="minorEastAsia" w:hAnsi="Times New Roman" w:cs="Times New Roman"/>
          <w:color w:val="auto"/>
          <w:sz w:val="20"/>
          <w:szCs w:val="20"/>
        </w:rPr>
      </w:pPr>
    </w:p>
    <w:p w14:paraId="1CCF5FE0" w14:textId="77777777" w:rsidR="00A41F4E" w:rsidRDefault="00A41F4E" w:rsidP="00710FC1">
      <w:pPr>
        <w:pStyle w:val="Grfica"/>
        <w:rPr>
          <w:rFonts w:ascii="Times New Roman" w:eastAsiaTheme="minorEastAsia" w:hAnsi="Times New Roman" w:cs="Times New Roman"/>
          <w:color w:val="auto"/>
          <w:sz w:val="20"/>
          <w:szCs w:val="20"/>
        </w:rPr>
      </w:pPr>
    </w:p>
    <w:p w14:paraId="721FC6D4" w14:textId="77777777" w:rsidR="00A41F4E" w:rsidRDefault="00A41F4E" w:rsidP="00710FC1">
      <w:pPr>
        <w:pStyle w:val="Grfica"/>
        <w:rPr>
          <w:rFonts w:ascii="Times New Roman" w:eastAsiaTheme="minorEastAsia" w:hAnsi="Times New Roman" w:cs="Times New Roman"/>
          <w:color w:val="auto"/>
          <w:sz w:val="20"/>
          <w:szCs w:val="20"/>
        </w:rPr>
      </w:pPr>
    </w:p>
    <w:p w14:paraId="6A74F48E" w14:textId="77777777" w:rsidR="00A41F4E" w:rsidRDefault="00A41F4E" w:rsidP="00710FC1">
      <w:pPr>
        <w:pStyle w:val="Grfica"/>
        <w:rPr>
          <w:rFonts w:ascii="Times New Roman" w:eastAsiaTheme="minorEastAsia" w:hAnsi="Times New Roman" w:cs="Times New Roman"/>
          <w:color w:val="auto"/>
          <w:sz w:val="20"/>
          <w:szCs w:val="20"/>
        </w:rPr>
      </w:pPr>
    </w:p>
    <w:p w14:paraId="01D692F9" w14:textId="77777777" w:rsidR="00A41F4E" w:rsidRDefault="00A41F4E" w:rsidP="00710FC1">
      <w:pPr>
        <w:pStyle w:val="Grfica"/>
        <w:rPr>
          <w:rFonts w:ascii="Times New Roman" w:eastAsiaTheme="minorEastAsia" w:hAnsi="Times New Roman" w:cs="Times New Roman"/>
          <w:color w:val="auto"/>
          <w:sz w:val="20"/>
          <w:szCs w:val="20"/>
        </w:rPr>
      </w:pPr>
    </w:p>
    <w:p w14:paraId="2FAC170C" w14:textId="77777777" w:rsidR="00A41F4E" w:rsidRDefault="00A41F4E" w:rsidP="00710FC1">
      <w:pPr>
        <w:pStyle w:val="Grfica"/>
        <w:rPr>
          <w:rFonts w:ascii="Times New Roman" w:eastAsiaTheme="minorEastAsia" w:hAnsi="Times New Roman" w:cs="Times New Roman"/>
          <w:color w:val="auto"/>
          <w:sz w:val="20"/>
          <w:szCs w:val="20"/>
        </w:rPr>
      </w:pPr>
    </w:p>
    <w:p w14:paraId="3D15F660" w14:textId="77777777" w:rsidR="00A41F4E" w:rsidRDefault="00A41F4E" w:rsidP="00710FC1">
      <w:pPr>
        <w:pStyle w:val="Grfica"/>
        <w:rPr>
          <w:rFonts w:ascii="Times New Roman" w:eastAsiaTheme="minorEastAsia" w:hAnsi="Times New Roman" w:cs="Times New Roman"/>
          <w:color w:val="auto"/>
          <w:sz w:val="20"/>
          <w:szCs w:val="20"/>
        </w:rPr>
      </w:pPr>
    </w:p>
    <w:p w14:paraId="3707A230" w14:textId="77777777" w:rsidR="00A41F4E" w:rsidRDefault="00A41F4E" w:rsidP="00710FC1">
      <w:pPr>
        <w:pStyle w:val="Grfica"/>
        <w:rPr>
          <w:rFonts w:ascii="Times New Roman" w:eastAsiaTheme="minorEastAsia" w:hAnsi="Times New Roman" w:cs="Times New Roman"/>
          <w:color w:val="auto"/>
          <w:sz w:val="20"/>
          <w:szCs w:val="20"/>
        </w:rPr>
      </w:pPr>
    </w:p>
    <w:p w14:paraId="1D130F13" w14:textId="77777777" w:rsidR="00A41F4E" w:rsidRDefault="00A41F4E" w:rsidP="00710FC1">
      <w:pPr>
        <w:pStyle w:val="Grfica"/>
        <w:rPr>
          <w:rFonts w:ascii="Times New Roman" w:eastAsiaTheme="minorEastAsia" w:hAnsi="Times New Roman" w:cs="Times New Roman"/>
          <w:color w:val="auto"/>
          <w:sz w:val="20"/>
          <w:szCs w:val="20"/>
        </w:rPr>
      </w:pPr>
    </w:p>
    <w:p w14:paraId="2C94B7E9" w14:textId="7C67E696" w:rsidR="00710FC1" w:rsidRPr="00BB4A7B" w:rsidRDefault="00710FC1" w:rsidP="00710FC1">
      <w:pPr>
        <w:pStyle w:val="Grfica"/>
        <w:rPr>
          <w:rFonts w:ascii="Times New Roman" w:eastAsiaTheme="minorEastAsia" w:hAnsi="Times New Roman" w:cs="Times New Roman"/>
          <w:color w:val="auto"/>
          <w:sz w:val="20"/>
          <w:szCs w:val="20"/>
        </w:rPr>
      </w:pPr>
      <w:r w:rsidRPr="00BB4A7B">
        <w:rPr>
          <w:rFonts w:ascii="Times New Roman" w:eastAsiaTheme="minorEastAsia" w:hAnsi="Times New Roman" w:cs="Times New Roman"/>
          <w:color w:val="auto"/>
          <w:sz w:val="20"/>
          <w:szCs w:val="20"/>
        </w:rPr>
        <w:t xml:space="preserve">Gráfica </w:t>
      </w:r>
      <w:r w:rsidRPr="00BB4A7B">
        <w:rPr>
          <w:rFonts w:ascii="Times New Roman" w:eastAsiaTheme="minorEastAsia" w:hAnsi="Times New Roman" w:cs="Times New Roman"/>
          <w:color w:val="auto"/>
          <w:sz w:val="20"/>
          <w:szCs w:val="20"/>
        </w:rPr>
        <w:fldChar w:fldCharType="begin"/>
      </w:r>
      <w:r w:rsidRPr="00BB4A7B">
        <w:rPr>
          <w:rFonts w:ascii="Times New Roman" w:eastAsiaTheme="minorEastAsia" w:hAnsi="Times New Roman" w:cs="Times New Roman"/>
          <w:color w:val="auto"/>
          <w:sz w:val="20"/>
          <w:szCs w:val="20"/>
        </w:rPr>
        <w:instrText xml:space="preserve"> SEQ Gráfica \* ARABIC </w:instrText>
      </w:r>
      <w:r w:rsidRPr="00BB4A7B">
        <w:rPr>
          <w:rFonts w:ascii="Times New Roman" w:eastAsiaTheme="minorEastAsia" w:hAnsi="Times New Roman" w:cs="Times New Roman"/>
          <w:color w:val="auto"/>
          <w:sz w:val="20"/>
          <w:szCs w:val="20"/>
        </w:rPr>
        <w:fldChar w:fldCharType="separate"/>
      </w:r>
      <w:r w:rsidR="005177A8">
        <w:rPr>
          <w:rFonts w:ascii="Times New Roman" w:eastAsiaTheme="minorEastAsia" w:hAnsi="Times New Roman" w:cs="Times New Roman"/>
          <w:noProof/>
          <w:color w:val="auto"/>
          <w:sz w:val="20"/>
          <w:szCs w:val="20"/>
        </w:rPr>
        <w:t>5</w:t>
      </w:r>
      <w:r w:rsidRPr="00BB4A7B">
        <w:rPr>
          <w:rFonts w:ascii="Times New Roman" w:eastAsiaTheme="minorEastAsia" w:hAnsi="Times New Roman" w:cs="Times New Roman"/>
          <w:color w:val="auto"/>
          <w:sz w:val="20"/>
          <w:szCs w:val="20"/>
        </w:rPr>
        <w:fldChar w:fldCharType="end"/>
      </w:r>
      <w:r w:rsidRPr="00BB4A7B">
        <w:rPr>
          <w:rFonts w:ascii="Times New Roman" w:eastAsiaTheme="minorEastAsia" w:hAnsi="Times New Roman" w:cs="Times New Roman"/>
          <w:color w:val="auto"/>
          <w:sz w:val="20"/>
          <w:szCs w:val="20"/>
        </w:rPr>
        <w:t>. Manizales. Participación del nivel de formación en el número total de graduados, 2010 - 2021</w:t>
      </w:r>
      <w:bookmarkEnd w:id="4"/>
    </w:p>
    <w:p w14:paraId="606039F0" w14:textId="77777777" w:rsidR="00710FC1" w:rsidRPr="00BB4A7B" w:rsidRDefault="00710FC1" w:rsidP="00710FC1">
      <w:pPr>
        <w:spacing w:line="259" w:lineRule="auto"/>
        <w:jc w:val="center"/>
        <w:rPr>
          <w:rFonts w:ascii="Times New Roman" w:hAnsi="Times New Roman" w:cs="Times New Roman"/>
          <w:color w:val="000000"/>
          <w:sz w:val="21"/>
          <w:szCs w:val="21"/>
        </w:rPr>
      </w:pPr>
      <w:r w:rsidRPr="00BB4A7B">
        <w:rPr>
          <w:rFonts w:ascii="Times New Roman" w:hAnsi="Times New Roman" w:cs="Times New Roman"/>
          <w:noProof/>
          <w:lang w:eastAsia="es-CO"/>
        </w:rPr>
        <w:drawing>
          <wp:inline distT="0" distB="0" distL="0" distR="0" wp14:anchorId="5CC743DB" wp14:editId="63830A7D">
            <wp:extent cx="4572000" cy="2743200"/>
            <wp:effectExtent l="0" t="0" r="0" b="0"/>
            <wp:docPr id="24" name="Gráfico 24">
              <a:extLst xmlns:a="http://schemas.openxmlformats.org/drawingml/2006/main">
                <a:ext uri="{FF2B5EF4-FFF2-40B4-BE49-F238E27FC236}">
                  <a16:creationId xmlns:a16="http://schemas.microsoft.com/office/drawing/2014/main" id="{41794D28-D06F-D00E-380D-8500A63B28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BB4A7B">
        <w:rPr>
          <w:rFonts w:ascii="Times New Roman" w:hAnsi="Times New Roman" w:cs="Times New Roman"/>
          <w:color w:val="000000"/>
          <w:sz w:val="21"/>
          <w:szCs w:val="21"/>
        </w:rPr>
        <w:t xml:space="preserve"> </w:t>
      </w:r>
    </w:p>
    <w:p w14:paraId="669B9349" w14:textId="77777777" w:rsidR="00710FC1" w:rsidRPr="00BB4A7B" w:rsidRDefault="00710FC1" w:rsidP="00710FC1">
      <w:pPr>
        <w:spacing w:line="259" w:lineRule="auto"/>
        <w:jc w:val="center"/>
        <w:rPr>
          <w:rFonts w:ascii="Times New Roman" w:hAnsi="Times New Roman" w:cs="Times New Roman"/>
          <w:color w:val="000000"/>
          <w:sz w:val="21"/>
          <w:szCs w:val="21"/>
        </w:rPr>
      </w:pPr>
      <w:r w:rsidRPr="00BB4A7B">
        <w:rPr>
          <w:rFonts w:ascii="Times New Roman" w:hAnsi="Times New Roman" w:cs="Times New Roman"/>
          <w:color w:val="000000"/>
          <w:sz w:val="21"/>
          <w:szCs w:val="21"/>
        </w:rPr>
        <w:t>Fuente: Cálculos MCV con base en MEN - SNIES</w:t>
      </w:r>
    </w:p>
    <w:p w14:paraId="0FCFB81B" w14:textId="77777777" w:rsidR="00710FC1" w:rsidRPr="00BB4A7B" w:rsidRDefault="00710FC1" w:rsidP="00710FC1">
      <w:pPr>
        <w:spacing w:line="259" w:lineRule="auto"/>
        <w:rPr>
          <w:rFonts w:ascii="Times New Roman" w:hAnsi="Times New Roman" w:cs="Times New Roman"/>
          <w:color w:val="808080" w:themeColor="background1" w:themeShade="80"/>
          <w:szCs w:val="22"/>
        </w:rPr>
      </w:pPr>
    </w:p>
    <w:p w14:paraId="5BA9C6DA" w14:textId="186B6BC9" w:rsidR="00AC08A8" w:rsidRPr="00A41F4E" w:rsidRDefault="00AC08A8" w:rsidP="00A41F4E">
      <w:pPr>
        <w:rPr>
          <w:rFonts w:ascii="Times New Roman" w:hAnsi="Times New Roman" w:cs="Times New Roman"/>
          <w:sz w:val="24"/>
        </w:rPr>
      </w:pPr>
      <w:r w:rsidRPr="00A41F4E">
        <w:rPr>
          <w:rFonts w:ascii="Times New Roman" w:hAnsi="Times New Roman" w:cs="Times New Roman"/>
          <w:sz w:val="24"/>
        </w:rPr>
        <w:t>Un análisis a través de los años revela que la proporción de estudiantes foráneos viene ganando peso en términos relativos. Mientras que en 2016 representaban el 43%, en 2020 aumentó cuatro puntos porcentuales. La distribución entre estudiantes de otros municipios de Caldas y otros departamentos ha permanecido relativamente estable, con una tercera parte de estudiantes que llegan desde otras regiones del país a cursar sus estudios de pregrado en nuestra ciudad.</w:t>
      </w:r>
    </w:p>
    <w:p w14:paraId="465DEA32" w14:textId="77777777" w:rsidR="00710FC1" w:rsidRPr="00A41F4E" w:rsidRDefault="00710FC1" w:rsidP="00A41F4E">
      <w:pPr>
        <w:rPr>
          <w:rFonts w:ascii="Times New Roman" w:hAnsi="Times New Roman" w:cs="Times New Roman"/>
          <w:sz w:val="24"/>
        </w:rPr>
      </w:pPr>
    </w:p>
    <w:p w14:paraId="153E25EA" w14:textId="2AE0AE43" w:rsidR="00710FC1" w:rsidRPr="00A41F4E" w:rsidRDefault="00710FC1" w:rsidP="00A41F4E">
      <w:pPr>
        <w:rPr>
          <w:rFonts w:ascii="Times New Roman" w:hAnsi="Times New Roman" w:cs="Times New Roman"/>
          <w:sz w:val="24"/>
        </w:rPr>
      </w:pPr>
      <w:r w:rsidRPr="00A41F4E">
        <w:rPr>
          <w:rFonts w:ascii="Times New Roman" w:hAnsi="Times New Roman" w:cs="Times New Roman"/>
          <w:sz w:val="24"/>
        </w:rPr>
        <w:t xml:space="preserve">Manizales Como Vamos (2020), menciona </w:t>
      </w:r>
      <w:r w:rsidR="00A41F4E">
        <w:rPr>
          <w:rFonts w:ascii="Times New Roman" w:hAnsi="Times New Roman" w:cs="Times New Roman"/>
          <w:sz w:val="24"/>
        </w:rPr>
        <w:t xml:space="preserve">que </w:t>
      </w:r>
      <w:r w:rsidRPr="00A41F4E">
        <w:rPr>
          <w:rFonts w:ascii="Times New Roman" w:hAnsi="Times New Roman" w:cs="Times New Roman"/>
          <w:sz w:val="24"/>
        </w:rPr>
        <w:t>el análisis del origen de los estudiantes da cuenta de la valoración de Manizales como ciudad con vocación universitaria con casi la mitad de sus estudiantes provenientes de otras partes del país e incluso del extranjero. Como muestra la siguiente gráfica, el 53,7% de los estudiantes que se encuentran matriculados en algún nivel de pregrado de la ciudad, reportaron como su lugar de origen a Manizales. Una proporción levemente inferior (46,3%), se distribuye entre quienes provienen de otros municipios del departamento (16,8%), otros departamentos (29,3%) y el extranjero (0,2%).</w:t>
      </w:r>
    </w:p>
    <w:p w14:paraId="0C413C01" w14:textId="77777777" w:rsidR="00710FC1" w:rsidRPr="00BB4A7B" w:rsidRDefault="00710FC1" w:rsidP="00710FC1">
      <w:pPr>
        <w:spacing w:line="259" w:lineRule="auto"/>
        <w:rPr>
          <w:rFonts w:ascii="Times New Roman" w:hAnsi="Times New Roman" w:cs="Times New Roman"/>
        </w:rPr>
      </w:pPr>
    </w:p>
    <w:p w14:paraId="59B4CE51" w14:textId="77777777" w:rsidR="00A41F4E" w:rsidRDefault="00A41F4E" w:rsidP="00710FC1">
      <w:pPr>
        <w:spacing w:line="259" w:lineRule="auto"/>
        <w:rPr>
          <w:rFonts w:ascii="Times New Roman" w:hAnsi="Times New Roman" w:cs="Times New Roman"/>
          <w:b/>
        </w:rPr>
      </w:pPr>
      <w:bookmarkStart w:id="5" w:name="_Toc63666813"/>
    </w:p>
    <w:p w14:paraId="3DA7BC78" w14:textId="486B0ADB" w:rsidR="00710FC1" w:rsidRPr="00BB4A7B" w:rsidRDefault="00710FC1" w:rsidP="00A41F4E">
      <w:pPr>
        <w:spacing w:line="259" w:lineRule="auto"/>
        <w:jc w:val="center"/>
        <w:rPr>
          <w:rFonts w:ascii="Times New Roman" w:hAnsi="Times New Roman" w:cs="Times New Roman"/>
          <w:b/>
        </w:rPr>
      </w:pPr>
      <w:r w:rsidRPr="00BB4A7B">
        <w:rPr>
          <w:rFonts w:ascii="Times New Roman" w:hAnsi="Times New Roman" w:cs="Times New Roman"/>
          <w:b/>
        </w:rPr>
        <w:t xml:space="preserve">Gráfica </w:t>
      </w:r>
      <w:r w:rsidR="00A41F4E">
        <w:rPr>
          <w:rFonts w:ascii="Times New Roman" w:hAnsi="Times New Roman" w:cs="Times New Roman"/>
          <w:b/>
        </w:rPr>
        <w:t>6</w:t>
      </w:r>
      <w:r w:rsidRPr="00BB4A7B">
        <w:rPr>
          <w:rFonts w:ascii="Times New Roman" w:hAnsi="Times New Roman" w:cs="Times New Roman"/>
          <w:b/>
        </w:rPr>
        <w:t>. Lugar de origen de los estudiantes de pregrado en Manizales (2020)</w:t>
      </w:r>
      <w:bookmarkEnd w:id="5"/>
    </w:p>
    <w:p w14:paraId="66F613B8" w14:textId="77777777" w:rsidR="00710FC1" w:rsidRPr="00BB4A7B" w:rsidRDefault="00710FC1" w:rsidP="00710FC1">
      <w:pPr>
        <w:spacing w:line="259" w:lineRule="auto"/>
        <w:jc w:val="center"/>
        <w:rPr>
          <w:rFonts w:ascii="Times New Roman" w:hAnsi="Times New Roman" w:cs="Times New Roman"/>
        </w:rPr>
      </w:pPr>
      <w:r w:rsidRPr="00BB4A7B">
        <w:rPr>
          <w:rFonts w:ascii="Times New Roman" w:hAnsi="Times New Roman" w:cs="Times New Roman"/>
          <w:noProof/>
          <w:lang w:eastAsia="es-CO"/>
        </w:rPr>
        <w:drawing>
          <wp:inline distT="0" distB="0" distL="0" distR="0" wp14:anchorId="2C3F0E09" wp14:editId="0A0A45AA">
            <wp:extent cx="3619500" cy="2171700"/>
            <wp:effectExtent l="0" t="0" r="0" b="0"/>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95F68AB" w14:textId="77777777" w:rsidR="00710FC1" w:rsidRPr="00BB4A7B" w:rsidRDefault="00710FC1" w:rsidP="00710FC1">
      <w:pPr>
        <w:spacing w:line="259" w:lineRule="auto"/>
        <w:rPr>
          <w:rStyle w:val="Referenciasutil"/>
          <w:rFonts w:ascii="Times New Roman" w:hAnsi="Times New Roman" w:cs="Times New Roman"/>
        </w:rPr>
      </w:pPr>
      <w:r w:rsidRPr="00BB4A7B">
        <w:rPr>
          <w:rStyle w:val="Referenciasutil"/>
          <w:rFonts w:ascii="Times New Roman" w:hAnsi="Times New Roman" w:cs="Times New Roman"/>
        </w:rPr>
        <w:t>Fuente: Cálculos MCV con base en información de las Oficinas de Registro Académico y de Planeación de las universidades de la ciudad</w:t>
      </w:r>
    </w:p>
    <w:p w14:paraId="1DC7CE32" w14:textId="77777777" w:rsidR="00710FC1" w:rsidRPr="00BB4A7B" w:rsidRDefault="00710FC1" w:rsidP="00710FC1">
      <w:pPr>
        <w:spacing w:line="259" w:lineRule="auto"/>
        <w:rPr>
          <w:rFonts w:ascii="Times New Roman" w:hAnsi="Times New Roman" w:cs="Times New Roman"/>
        </w:rPr>
      </w:pPr>
    </w:p>
    <w:p w14:paraId="680B89B9" w14:textId="79E2D367" w:rsidR="00AC08A8" w:rsidRPr="00A41F4E" w:rsidRDefault="00AC08A8" w:rsidP="00A41F4E">
      <w:pPr>
        <w:rPr>
          <w:rFonts w:ascii="Times New Roman" w:hAnsi="Times New Roman" w:cs="Times New Roman"/>
          <w:sz w:val="24"/>
        </w:rPr>
      </w:pPr>
      <w:r w:rsidRPr="00A41F4E">
        <w:rPr>
          <w:rFonts w:ascii="Times New Roman" w:hAnsi="Times New Roman" w:cs="Times New Roman"/>
          <w:sz w:val="24"/>
        </w:rPr>
        <w:t>La ciudad sigue siendo una plaza atractiva para estudiantes de todo el país, al encontrarse una procedencia de todos los departamentos, así como extranjeros provenientes de España, Aruba, Estados Unidos, Venezuela, Argentina y México. Sin embargo, como se ha constatado anteriormente, la ciudad es un destino importante para estudiantes de Nariño, Risaralda y Valle del Cauca, especialmente. Estos tres departamentos participan con casi el 50% de la matrícula foránea.</w:t>
      </w:r>
    </w:p>
    <w:p w14:paraId="0DD51247" w14:textId="77777777" w:rsidR="00DE534C" w:rsidRPr="00A41F4E" w:rsidRDefault="00DE534C" w:rsidP="00A41F4E">
      <w:pPr>
        <w:rPr>
          <w:rFonts w:ascii="Times New Roman" w:hAnsi="Times New Roman" w:cs="Times New Roman"/>
          <w:sz w:val="24"/>
        </w:rPr>
      </w:pPr>
    </w:p>
    <w:p w14:paraId="32E55CF2" w14:textId="5EF93B4D" w:rsidR="00AC08A8" w:rsidRPr="00A41F4E" w:rsidRDefault="00AC08A8" w:rsidP="00A41F4E">
      <w:pPr>
        <w:rPr>
          <w:rFonts w:ascii="Times New Roman" w:hAnsi="Times New Roman" w:cs="Times New Roman"/>
          <w:sz w:val="24"/>
        </w:rPr>
      </w:pPr>
      <w:r w:rsidRPr="00A41F4E">
        <w:rPr>
          <w:rFonts w:ascii="Times New Roman" w:hAnsi="Times New Roman" w:cs="Times New Roman"/>
          <w:sz w:val="24"/>
        </w:rPr>
        <w:t>En el nivel de posgrado, se invierte la participación entre estudiantes locales y foráneos. Según se observa, mientras que una tercera parte corresponde a estudiantes de la ciudad, casi el 70% pertenece a otras regiones del país o son extranjeros. Este resultado puede deberse a que este año las universidades reportaron también la matrícula bajo la metodología virtual, la cual tiende a tener una participación alta de estudiantes foráneos aprovechando las tecnologías de la información y la</w:t>
      </w:r>
      <w:r w:rsidR="009B2B57">
        <w:rPr>
          <w:rFonts w:ascii="Times New Roman" w:hAnsi="Times New Roman" w:cs="Times New Roman"/>
          <w:sz w:val="24"/>
        </w:rPr>
        <w:t>s</w:t>
      </w:r>
      <w:r w:rsidRPr="00A41F4E">
        <w:rPr>
          <w:rFonts w:ascii="Times New Roman" w:hAnsi="Times New Roman" w:cs="Times New Roman"/>
          <w:sz w:val="24"/>
        </w:rPr>
        <w:t xml:space="preserve"> comunicaci</w:t>
      </w:r>
      <w:r w:rsidR="009B2B57">
        <w:rPr>
          <w:rFonts w:ascii="Times New Roman" w:hAnsi="Times New Roman" w:cs="Times New Roman"/>
          <w:sz w:val="24"/>
        </w:rPr>
        <w:t>ones</w:t>
      </w:r>
      <w:r w:rsidRPr="00A41F4E">
        <w:rPr>
          <w:rFonts w:ascii="Times New Roman" w:hAnsi="Times New Roman" w:cs="Times New Roman"/>
          <w:sz w:val="24"/>
        </w:rPr>
        <w:t>.</w:t>
      </w:r>
    </w:p>
    <w:p w14:paraId="5F6D3BA7" w14:textId="77777777" w:rsidR="00AC08A8" w:rsidRPr="00A41F4E" w:rsidRDefault="00AC08A8" w:rsidP="00A41F4E">
      <w:pPr>
        <w:rPr>
          <w:rFonts w:ascii="Times New Roman" w:hAnsi="Times New Roman" w:cs="Times New Roman"/>
          <w:sz w:val="24"/>
        </w:rPr>
      </w:pPr>
    </w:p>
    <w:p w14:paraId="50988F59" w14:textId="77777777" w:rsidR="00AC08A8" w:rsidRPr="00A41F4E" w:rsidRDefault="00AC08A8" w:rsidP="00A41F4E">
      <w:pPr>
        <w:rPr>
          <w:rFonts w:ascii="Times New Roman" w:hAnsi="Times New Roman" w:cs="Times New Roman"/>
          <w:sz w:val="24"/>
        </w:rPr>
      </w:pPr>
      <w:r w:rsidRPr="00A41F4E">
        <w:rPr>
          <w:rFonts w:ascii="Times New Roman" w:hAnsi="Times New Roman" w:cs="Times New Roman"/>
          <w:sz w:val="24"/>
        </w:rPr>
        <w:t xml:space="preserve">De acuerdo con Manizales Como Vamos (2021), con la acreditación de las cinco universidades con domicilio en la ciudad, Manizales se convierte en la ciudad con la mayor proporción de estudiantes matriculados en IES de acreditación de alta calidad, llegando casi al 100%. En efecto, como muestra la siguiente gráfica, el 92,7% de los estudiantes universitarios se encuentran matriculados en instituciones que cuentan con este reconocimiento y la proporción restante, son estudiantes que en 2019 se encontraban estudiando en IES que cuentan con una oferta educativa en la ciudad, pero su domicilio principal está ubicado en una ciudad distinta a Manizales. </w:t>
      </w:r>
    </w:p>
    <w:p w14:paraId="07C02DD1" w14:textId="77777777" w:rsidR="00AC08A8" w:rsidRPr="00A41F4E" w:rsidRDefault="00AC08A8" w:rsidP="00A41F4E">
      <w:pPr>
        <w:rPr>
          <w:rFonts w:ascii="Times New Roman" w:hAnsi="Times New Roman" w:cs="Times New Roman"/>
          <w:sz w:val="24"/>
        </w:rPr>
      </w:pPr>
    </w:p>
    <w:p w14:paraId="72AA654B" w14:textId="42D35728" w:rsidR="00AC08A8" w:rsidRPr="00A41F4E" w:rsidRDefault="00AC08A8" w:rsidP="00A41F4E">
      <w:pPr>
        <w:rPr>
          <w:rFonts w:ascii="Times New Roman" w:hAnsi="Times New Roman" w:cs="Times New Roman"/>
          <w:sz w:val="24"/>
        </w:rPr>
      </w:pPr>
      <w:r w:rsidRPr="00A41F4E">
        <w:rPr>
          <w:rFonts w:ascii="Times New Roman" w:hAnsi="Times New Roman" w:cs="Times New Roman"/>
          <w:sz w:val="24"/>
        </w:rPr>
        <w:t>Nueve ciudades presentaron un avance importante en este indicador, destacándose especialmente Montería</w:t>
      </w:r>
      <w:r w:rsidR="009B2B57">
        <w:rPr>
          <w:rFonts w:ascii="Times New Roman" w:hAnsi="Times New Roman" w:cs="Times New Roman"/>
          <w:sz w:val="24"/>
        </w:rPr>
        <w:t>, mientras</w:t>
      </w:r>
      <w:r w:rsidRPr="00A41F4E">
        <w:rPr>
          <w:rFonts w:ascii="Times New Roman" w:hAnsi="Times New Roman" w:cs="Times New Roman"/>
          <w:sz w:val="24"/>
        </w:rPr>
        <w:t xml:space="preserve"> Manizales ocupó el segundo lugar con el 81,9%. Manizales presentó un crecimiento de 5,8 puntos porcentuales, siendo plausible esperar un estancamiento en este indicador, el cual se movería de aquí adelante por cambios en la matrícula o por la acreditación de alguna IES con oferta en la ciudad, pero con domicilio por fuera de ella.</w:t>
      </w:r>
    </w:p>
    <w:p w14:paraId="0DFCDB32" w14:textId="77777777" w:rsidR="00AC08A8" w:rsidRPr="00A41F4E" w:rsidRDefault="00AC08A8" w:rsidP="00A41F4E">
      <w:pPr>
        <w:rPr>
          <w:rFonts w:ascii="Times New Roman" w:hAnsi="Times New Roman" w:cs="Times New Roman"/>
          <w:sz w:val="24"/>
        </w:rPr>
      </w:pPr>
    </w:p>
    <w:p w14:paraId="3871C4D6" w14:textId="77777777" w:rsidR="00AC08A8" w:rsidRPr="00A41F4E" w:rsidRDefault="00AC08A8" w:rsidP="00A41F4E">
      <w:pPr>
        <w:rPr>
          <w:rFonts w:ascii="Times New Roman" w:hAnsi="Times New Roman" w:cs="Times New Roman"/>
          <w:sz w:val="24"/>
        </w:rPr>
      </w:pPr>
      <w:r w:rsidRPr="00A41F4E">
        <w:rPr>
          <w:rFonts w:ascii="Times New Roman" w:hAnsi="Times New Roman" w:cs="Times New Roman"/>
          <w:sz w:val="24"/>
        </w:rPr>
        <w:t>Pereira, Cali y Cúcuta presentaron un retroceso en el indicador de -3,1 y -5,5 y -4,2 puntos porcentuales. En el resto de las ciudades, el indicador permaneció relativamente estable con leves variaciones entre los años analizados.</w:t>
      </w:r>
    </w:p>
    <w:p w14:paraId="5CD0C842" w14:textId="77777777" w:rsidR="00AC08A8" w:rsidRPr="00BB4A7B" w:rsidRDefault="00AC08A8" w:rsidP="00710FC1">
      <w:pPr>
        <w:spacing w:line="259" w:lineRule="auto"/>
        <w:rPr>
          <w:rFonts w:ascii="Times New Roman" w:hAnsi="Times New Roman" w:cs="Times New Roman"/>
        </w:rPr>
      </w:pPr>
    </w:p>
    <w:p w14:paraId="30210B85" w14:textId="11D292FE" w:rsidR="00AC08A8" w:rsidRPr="00BB4A7B" w:rsidRDefault="00AC08A8" w:rsidP="009B2B57">
      <w:pPr>
        <w:spacing w:line="259" w:lineRule="auto"/>
        <w:jc w:val="center"/>
        <w:rPr>
          <w:rFonts w:ascii="Times New Roman" w:hAnsi="Times New Roman" w:cs="Times New Roman"/>
          <w:b/>
          <w:sz w:val="20"/>
          <w:szCs w:val="22"/>
        </w:rPr>
      </w:pPr>
      <w:bookmarkStart w:id="6" w:name="_Toc63666820"/>
      <w:r w:rsidRPr="00BB4A7B">
        <w:rPr>
          <w:rFonts w:ascii="Times New Roman" w:hAnsi="Times New Roman" w:cs="Times New Roman"/>
          <w:b/>
          <w:sz w:val="20"/>
          <w:szCs w:val="22"/>
        </w:rPr>
        <w:t xml:space="preserve">Gráfica </w:t>
      </w:r>
      <w:r w:rsidRPr="00BB4A7B">
        <w:rPr>
          <w:rFonts w:ascii="Times New Roman" w:hAnsi="Times New Roman" w:cs="Times New Roman"/>
          <w:b/>
          <w:sz w:val="20"/>
          <w:szCs w:val="22"/>
        </w:rPr>
        <w:fldChar w:fldCharType="begin"/>
      </w:r>
      <w:r w:rsidRPr="00BB4A7B">
        <w:rPr>
          <w:rFonts w:ascii="Times New Roman" w:hAnsi="Times New Roman" w:cs="Times New Roman"/>
          <w:b/>
          <w:sz w:val="20"/>
          <w:szCs w:val="22"/>
        </w:rPr>
        <w:instrText xml:space="preserve"> SEQ Gráfica \* ARABIC </w:instrText>
      </w:r>
      <w:r w:rsidRPr="00BB4A7B">
        <w:rPr>
          <w:rFonts w:ascii="Times New Roman" w:hAnsi="Times New Roman" w:cs="Times New Roman"/>
          <w:b/>
          <w:sz w:val="20"/>
          <w:szCs w:val="22"/>
        </w:rPr>
        <w:fldChar w:fldCharType="separate"/>
      </w:r>
      <w:r w:rsidR="005177A8">
        <w:rPr>
          <w:rFonts w:ascii="Times New Roman" w:hAnsi="Times New Roman" w:cs="Times New Roman"/>
          <w:b/>
          <w:noProof/>
          <w:sz w:val="20"/>
          <w:szCs w:val="22"/>
        </w:rPr>
        <w:t>6</w:t>
      </w:r>
      <w:r w:rsidRPr="00BB4A7B">
        <w:rPr>
          <w:rFonts w:ascii="Times New Roman" w:hAnsi="Times New Roman" w:cs="Times New Roman"/>
          <w:sz w:val="20"/>
          <w:szCs w:val="22"/>
        </w:rPr>
        <w:fldChar w:fldCharType="end"/>
      </w:r>
      <w:r w:rsidRPr="00BB4A7B">
        <w:rPr>
          <w:rFonts w:ascii="Times New Roman" w:hAnsi="Times New Roman" w:cs="Times New Roman"/>
          <w:b/>
          <w:sz w:val="20"/>
          <w:szCs w:val="22"/>
        </w:rPr>
        <w:t>. Proporción de estudiantes del nivel universitario presencial matriculados en IES con acreditación institucional por ciudad (2016 y 2019)</w:t>
      </w:r>
      <w:bookmarkEnd w:id="6"/>
    </w:p>
    <w:p w14:paraId="7EC3AA3B" w14:textId="77777777" w:rsidR="00AC08A8" w:rsidRPr="00BB4A7B" w:rsidRDefault="00AC08A8" w:rsidP="009B2B57">
      <w:pPr>
        <w:spacing w:line="259" w:lineRule="auto"/>
        <w:jc w:val="center"/>
        <w:rPr>
          <w:rFonts w:ascii="Times New Roman" w:hAnsi="Times New Roman" w:cs="Times New Roman"/>
        </w:rPr>
      </w:pPr>
      <w:r w:rsidRPr="00BB4A7B">
        <w:rPr>
          <w:rFonts w:ascii="Times New Roman" w:hAnsi="Times New Roman" w:cs="Times New Roman"/>
          <w:noProof/>
          <w:lang w:eastAsia="es-CO"/>
        </w:rPr>
        <w:drawing>
          <wp:inline distT="0" distB="0" distL="0" distR="0" wp14:anchorId="76DAE257" wp14:editId="53586892">
            <wp:extent cx="4614315" cy="3574472"/>
            <wp:effectExtent l="0" t="0" r="0" b="0"/>
            <wp:docPr id="36" name="Gráfico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3668D20" w14:textId="644C3BBE" w:rsidR="00AC08A8" w:rsidRPr="00BB4A7B" w:rsidRDefault="00AC08A8" w:rsidP="00710FC1">
      <w:pPr>
        <w:spacing w:line="259" w:lineRule="auto"/>
        <w:rPr>
          <w:rStyle w:val="Referenciasutil"/>
          <w:rFonts w:ascii="Times New Roman" w:hAnsi="Times New Roman" w:cs="Times New Roman"/>
        </w:rPr>
      </w:pPr>
      <w:r w:rsidRPr="00BB4A7B">
        <w:rPr>
          <w:rStyle w:val="Referenciasutil"/>
          <w:rFonts w:ascii="Times New Roman" w:hAnsi="Times New Roman" w:cs="Times New Roman"/>
        </w:rPr>
        <w:t>Fuente: Cálculos MCV con base en MEN-SNIES</w:t>
      </w:r>
      <w:r w:rsidR="009B2B57">
        <w:rPr>
          <w:rStyle w:val="Referenciasutil"/>
          <w:rFonts w:ascii="Times New Roman" w:hAnsi="Times New Roman" w:cs="Times New Roman"/>
        </w:rPr>
        <w:t>.</w:t>
      </w:r>
    </w:p>
    <w:p w14:paraId="196AD641" w14:textId="77777777" w:rsidR="00DE534C" w:rsidRPr="00BB4A7B" w:rsidRDefault="00DE534C" w:rsidP="00710FC1">
      <w:pPr>
        <w:spacing w:line="259" w:lineRule="auto"/>
        <w:rPr>
          <w:rFonts w:ascii="Times New Roman" w:hAnsi="Times New Roman" w:cs="Times New Roman"/>
        </w:rPr>
      </w:pPr>
    </w:p>
    <w:p w14:paraId="5D567FB6" w14:textId="0C49F85E" w:rsidR="00710FC1" w:rsidRPr="009B2B57" w:rsidRDefault="00DE534C" w:rsidP="009B2B57">
      <w:pPr>
        <w:rPr>
          <w:rFonts w:ascii="Times New Roman" w:hAnsi="Times New Roman" w:cs="Times New Roman"/>
          <w:sz w:val="24"/>
        </w:rPr>
      </w:pPr>
      <w:r w:rsidRPr="009B2B57">
        <w:rPr>
          <w:rFonts w:ascii="Times New Roman" w:hAnsi="Times New Roman" w:cs="Times New Roman"/>
          <w:sz w:val="24"/>
        </w:rPr>
        <w:t>En cuanto a la calidad de la educación superior en la ciudad, Manizales C</w:t>
      </w:r>
      <w:r w:rsidR="009B2B57">
        <w:rPr>
          <w:rFonts w:ascii="Times New Roman" w:hAnsi="Times New Roman" w:cs="Times New Roman"/>
          <w:sz w:val="24"/>
        </w:rPr>
        <w:t>ó</w:t>
      </w:r>
      <w:r w:rsidRPr="009B2B57">
        <w:rPr>
          <w:rFonts w:ascii="Times New Roman" w:hAnsi="Times New Roman" w:cs="Times New Roman"/>
          <w:sz w:val="24"/>
        </w:rPr>
        <w:t>mo Vamos (2021) afirma que a</w:t>
      </w:r>
      <w:r w:rsidR="00710FC1" w:rsidRPr="009B2B57">
        <w:rPr>
          <w:rFonts w:ascii="Times New Roman" w:hAnsi="Times New Roman" w:cs="Times New Roman"/>
          <w:sz w:val="24"/>
        </w:rPr>
        <w:t>unque se esperaría una evolución favorable año a año y una tendencia creciente en el puntaje promedio global obtenido por los estudiantes universitarios de Manizales, los resultados muestran una tendencia poco clara e incluso una caída de seis puntos en dicho puntaje entre 2020 y 2021. El comportamiento del último año, puede ser producto de un rezago de las consecuencias que a nivel del sector educativo originó la pandemia del COVID-19. Este es otro aspecto sobre el que deben seguir trabajando las universidades de la ciudad y sus estudiantes, con el fin de alcanzar esos estándares de competencias deseados.</w:t>
      </w:r>
    </w:p>
    <w:p w14:paraId="5A6E5D68" w14:textId="77777777" w:rsidR="00710FC1" w:rsidRPr="00BB4A7B" w:rsidRDefault="00710FC1" w:rsidP="00710FC1">
      <w:pPr>
        <w:spacing w:line="259" w:lineRule="auto"/>
        <w:rPr>
          <w:rFonts w:ascii="Times New Roman" w:hAnsi="Times New Roman" w:cs="Times New Roman"/>
        </w:rPr>
      </w:pPr>
    </w:p>
    <w:p w14:paraId="57023506" w14:textId="1990B42B" w:rsidR="00710FC1" w:rsidRPr="00BB4A7B" w:rsidRDefault="00710FC1" w:rsidP="00DE534C">
      <w:pPr>
        <w:pStyle w:val="Grfica"/>
        <w:keepNext/>
        <w:keepLines/>
        <w:rPr>
          <w:rFonts w:ascii="Times New Roman" w:hAnsi="Times New Roman" w:cs="Times New Roman"/>
          <w:sz w:val="20"/>
          <w:szCs w:val="24"/>
        </w:rPr>
      </w:pPr>
      <w:bookmarkStart w:id="7" w:name="_Toc121413952"/>
      <w:r w:rsidRPr="00BB4A7B">
        <w:rPr>
          <w:rFonts w:ascii="Times New Roman" w:hAnsi="Times New Roman" w:cs="Times New Roman"/>
          <w:sz w:val="20"/>
          <w:szCs w:val="24"/>
        </w:rPr>
        <w:t xml:space="preserve">Gráfica </w:t>
      </w:r>
      <w:r w:rsidRPr="00BB4A7B">
        <w:rPr>
          <w:rFonts w:ascii="Times New Roman" w:hAnsi="Times New Roman" w:cs="Times New Roman"/>
          <w:sz w:val="20"/>
          <w:szCs w:val="24"/>
        </w:rPr>
        <w:fldChar w:fldCharType="begin"/>
      </w:r>
      <w:r w:rsidRPr="00BB4A7B">
        <w:rPr>
          <w:rFonts w:ascii="Times New Roman" w:hAnsi="Times New Roman" w:cs="Times New Roman"/>
          <w:sz w:val="20"/>
          <w:szCs w:val="24"/>
        </w:rPr>
        <w:instrText xml:space="preserve"> SEQ Gráfica \* ARABIC </w:instrText>
      </w:r>
      <w:r w:rsidRPr="00BB4A7B">
        <w:rPr>
          <w:rFonts w:ascii="Times New Roman" w:hAnsi="Times New Roman" w:cs="Times New Roman"/>
          <w:sz w:val="20"/>
          <w:szCs w:val="24"/>
        </w:rPr>
        <w:fldChar w:fldCharType="separate"/>
      </w:r>
      <w:r w:rsidR="005177A8">
        <w:rPr>
          <w:rFonts w:ascii="Times New Roman" w:hAnsi="Times New Roman" w:cs="Times New Roman"/>
          <w:noProof/>
          <w:sz w:val="20"/>
          <w:szCs w:val="24"/>
        </w:rPr>
        <w:t>7</w:t>
      </w:r>
      <w:r w:rsidRPr="00BB4A7B">
        <w:rPr>
          <w:rFonts w:ascii="Times New Roman" w:hAnsi="Times New Roman" w:cs="Times New Roman"/>
          <w:noProof/>
          <w:sz w:val="20"/>
          <w:szCs w:val="24"/>
        </w:rPr>
        <w:fldChar w:fldCharType="end"/>
      </w:r>
      <w:r w:rsidRPr="00BB4A7B">
        <w:rPr>
          <w:rFonts w:ascii="Times New Roman" w:hAnsi="Times New Roman" w:cs="Times New Roman"/>
          <w:sz w:val="20"/>
          <w:szCs w:val="24"/>
        </w:rPr>
        <w:t>. Evolución del puntaje global. 2018 - 2021</w:t>
      </w:r>
      <w:bookmarkEnd w:id="7"/>
    </w:p>
    <w:p w14:paraId="0AB903A5" w14:textId="77777777" w:rsidR="00710FC1" w:rsidRPr="00BB4A7B" w:rsidRDefault="00710FC1" w:rsidP="00DE534C">
      <w:pPr>
        <w:keepNext/>
        <w:keepLines/>
        <w:spacing w:line="259" w:lineRule="auto"/>
        <w:jc w:val="center"/>
        <w:rPr>
          <w:rFonts w:ascii="Times New Roman" w:hAnsi="Times New Roman" w:cs="Times New Roman"/>
        </w:rPr>
      </w:pPr>
      <w:r w:rsidRPr="00BB4A7B">
        <w:rPr>
          <w:rFonts w:ascii="Times New Roman" w:hAnsi="Times New Roman" w:cs="Times New Roman"/>
          <w:noProof/>
          <w:lang w:eastAsia="es-CO"/>
        </w:rPr>
        <w:drawing>
          <wp:inline distT="0" distB="0" distL="0" distR="0" wp14:anchorId="53E498B2" wp14:editId="03C2B85D">
            <wp:extent cx="3810000" cy="2076450"/>
            <wp:effectExtent l="0" t="0" r="0" b="0"/>
            <wp:docPr id="5" name="Gráfico 5">
              <a:extLst xmlns:a="http://schemas.openxmlformats.org/drawingml/2006/main">
                <a:ext uri="{FF2B5EF4-FFF2-40B4-BE49-F238E27FC236}">
                  <a16:creationId xmlns:a16="http://schemas.microsoft.com/office/drawing/2014/main" id="{509D8AF3-FDF9-748E-AD28-F6D0EDE3CB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6CD89F5" w14:textId="77777777" w:rsidR="00710FC1" w:rsidRPr="00BB4A7B" w:rsidRDefault="00710FC1" w:rsidP="00DE534C">
      <w:pPr>
        <w:keepNext/>
        <w:keepLines/>
        <w:spacing w:line="259" w:lineRule="auto"/>
        <w:jc w:val="center"/>
        <w:rPr>
          <w:rFonts w:ascii="Times New Roman" w:hAnsi="Times New Roman" w:cs="Times New Roman"/>
          <w:sz w:val="18"/>
        </w:rPr>
      </w:pPr>
      <w:r w:rsidRPr="00BB4A7B">
        <w:rPr>
          <w:rFonts w:ascii="Times New Roman" w:hAnsi="Times New Roman" w:cs="Times New Roman"/>
          <w:sz w:val="18"/>
        </w:rPr>
        <w:t>Fuente:</w:t>
      </w:r>
      <w:r w:rsidRPr="00BB4A7B">
        <w:rPr>
          <w:rFonts w:ascii="Times New Roman" w:hAnsi="Times New Roman" w:cs="Times New Roman"/>
          <w:b/>
          <w:sz w:val="18"/>
        </w:rPr>
        <w:t xml:space="preserve"> </w:t>
      </w:r>
      <w:r w:rsidRPr="00BB4A7B">
        <w:rPr>
          <w:rFonts w:ascii="Times New Roman" w:hAnsi="Times New Roman" w:cs="Times New Roman"/>
          <w:sz w:val="18"/>
        </w:rPr>
        <w:t>Cálculos MCV con base en ICFES</w:t>
      </w:r>
    </w:p>
    <w:p w14:paraId="463284F9" w14:textId="77777777" w:rsidR="00710FC1" w:rsidRPr="00BB4A7B" w:rsidRDefault="00710FC1" w:rsidP="00710FC1">
      <w:pPr>
        <w:spacing w:line="259" w:lineRule="auto"/>
        <w:rPr>
          <w:rFonts w:ascii="Times New Roman" w:hAnsi="Times New Roman" w:cs="Times New Roman"/>
        </w:rPr>
      </w:pPr>
    </w:p>
    <w:p w14:paraId="1B241FCC" w14:textId="77777777" w:rsidR="00710FC1" w:rsidRPr="009B2B57" w:rsidRDefault="00710FC1" w:rsidP="009B2B57">
      <w:pPr>
        <w:rPr>
          <w:rFonts w:ascii="Times New Roman" w:hAnsi="Times New Roman" w:cs="Times New Roman"/>
          <w:sz w:val="24"/>
        </w:rPr>
      </w:pPr>
      <w:r w:rsidRPr="009B2B57">
        <w:rPr>
          <w:rFonts w:ascii="Times New Roman" w:hAnsi="Times New Roman" w:cs="Times New Roman"/>
          <w:sz w:val="24"/>
        </w:rPr>
        <w:t>La caída observada en el puntaje global de las pruebas Saber Pro, obedecen a un retroceso en el puntaje alcanzado en cada uno de sus módulos específicos. Como muestra la siguiente tabla, la mayor disminución se dio en el módulo de competencias ciudadanas, equivalente a 9.7 puntos, módulo en el que había logrado obtener uno de los mayores puntajes en 2020. La segunda mayor caída se observó en el módulo de lectura crítica, equivalente a 7,5 puntos.</w:t>
      </w:r>
    </w:p>
    <w:p w14:paraId="0D1D3083" w14:textId="065481B7" w:rsidR="00AC08A8" w:rsidRPr="009B2B57" w:rsidRDefault="00AC08A8" w:rsidP="009B2B57">
      <w:pPr>
        <w:rPr>
          <w:rFonts w:ascii="Times New Roman" w:hAnsi="Times New Roman" w:cs="Times New Roman"/>
          <w:sz w:val="24"/>
        </w:rPr>
      </w:pPr>
    </w:p>
    <w:p w14:paraId="07683B04" w14:textId="03F393CE" w:rsidR="00710FC1" w:rsidRPr="009B2B57" w:rsidRDefault="00DE534C" w:rsidP="009B2B57">
      <w:pPr>
        <w:rPr>
          <w:rFonts w:ascii="Times New Roman" w:hAnsi="Times New Roman" w:cs="Times New Roman"/>
          <w:sz w:val="24"/>
        </w:rPr>
      </w:pPr>
      <w:r w:rsidRPr="009B2B57">
        <w:rPr>
          <w:rFonts w:ascii="Times New Roman" w:hAnsi="Times New Roman" w:cs="Times New Roman"/>
          <w:sz w:val="24"/>
        </w:rPr>
        <w:t>Otro indicador de la calidad de la educación superior en Manizales se da a partir d</w:t>
      </w:r>
      <w:r w:rsidR="00710FC1" w:rsidRPr="009B2B57">
        <w:rPr>
          <w:rFonts w:ascii="Times New Roman" w:hAnsi="Times New Roman" w:cs="Times New Roman"/>
          <w:sz w:val="24"/>
        </w:rPr>
        <w:t>e</w:t>
      </w:r>
      <w:r w:rsidRPr="009B2B57">
        <w:rPr>
          <w:rFonts w:ascii="Times New Roman" w:hAnsi="Times New Roman" w:cs="Times New Roman"/>
          <w:sz w:val="24"/>
        </w:rPr>
        <w:t xml:space="preserve"> </w:t>
      </w:r>
      <w:r w:rsidR="00710FC1" w:rsidRPr="009B2B57">
        <w:rPr>
          <w:rFonts w:ascii="Times New Roman" w:hAnsi="Times New Roman" w:cs="Times New Roman"/>
          <w:sz w:val="24"/>
        </w:rPr>
        <w:t>l</w:t>
      </w:r>
      <w:r w:rsidRPr="009B2B57">
        <w:rPr>
          <w:rFonts w:ascii="Times New Roman" w:hAnsi="Times New Roman" w:cs="Times New Roman"/>
          <w:sz w:val="24"/>
        </w:rPr>
        <w:t xml:space="preserve">os esfuerzos de las universidades en promover la </w:t>
      </w:r>
      <w:r w:rsidR="00710FC1" w:rsidRPr="009B2B57">
        <w:rPr>
          <w:rFonts w:ascii="Times New Roman" w:hAnsi="Times New Roman" w:cs="Times New Roman"/>
          <w:sz w:val="24"/>
        </w:rPr>
        <w:t>investigación</w:t>
      </w:r>
      <w:r w:rsidRPr="009B2B57">
        <w:rPr>
          <w:rFonts w:ascii="Times New Roman" w:hAnsi="Times New Roman" w:cs="Times New Roman"/>
          <w:sz w:val="24"/>
        </w:rPr>
        <w:t>. Manizales Como Vamos (2021)</w:t>
      </w:r>
      <w:r w:rsidR="00710FC1" w:rsidRPr="009B2B57">
        <w:rPr>
          <w:rFonts w:ascii="Times New Roman" w:hAnsi="Times New Roman" w:cs="Times New Roman"/>
          <w:sz w:val="24"/>
        </w:rPr>
        <w:t xml:space="preserve">,  recurre a la clasificación que hace </w:t>
      </w:r>
      <w:r w:rsidR="009B2B57">
        <w:rPr>
          <w:rFonts w:ascii="Times New Roman" w:hAnsi="Times New Roman" w:cs="Times New Roman"/>
          <w:sz w:val="24"/>
        </w:rPr>
        <w:t>el Ministerio de Ciencia, Tecnología e Innovación</w:t>
      </w:r>
      <w:r w:rsidR="00710FC1" w:rsidRPr="009B2B57">
        <w:rPr>
          <w:rFonts w:ascii="Times New Roman" w:hAnsi="Times New Roman" w:cs="Times New Roman"/>
          <w:sz w:val="24"/>
        </w:rPr>
        <w:t xml:space="preserve"> para los Grupos de Investigación, Desarrollo Tecnológico o de Innovación. De acuerdo con los resultados de la última convocatoria efectuada en 2021 (Convocatoria 894 de 2021), la ciudad contaba con 171 grupos de investigación reconocidos. Del total de grupos de investigación, un poco más de la mitad (51,4%), se encuentran clasificados en las categorías A1 y A, posicionando a la ciudad en el primer lugar con el mayor peso relativo de grupos de la mayor calidad investigativa en el total.</w:t>
      </w:r>
    </w:p>
    <w:p w14:paraId="44ACC5AB" w14:textId="77777777" w:rsidR="00710FC1" w:rsidRPr="00BB4A7B" w:rsidRDefault="00710FC1" w:rsidP="00710FC1">
      <w:pPr>
        <w:spacing w:line="259" w:lineRule="auto"/>
        <w:rPr>
          <w:rFonts w:ascii="Times New Roman" w:hAnsi="Times New Roman" w:cs="Times New Roman"/>
        </w:rPr>
      </w:pPr>
    </w:p>
    <w:p w14:paraId="33281A52" w14:textId="409D69FF" w:rsidR="00710FC1" w:rsidRPr="00BB4A7B" w:rsidRDefault="00710FC1" w:rsidP="00710FC1">
      <w:pPr>
        <w:pStyle w:val="Tabla"/>
        <w:spacing w:line="259" w:lineRule="auto"/>
        <w:rPr>
          <w:rFonts w:ascii="Times New Roman" w:hAnsi="Times New Roman" w:cs="Times New Roman"/>
        </w:rPr>
      </w:pPr>
      <w:bookmarkStart w:id="8" w:name="_Toc121414010"/>
      <w:r w:rsidRPr="00BB4A7B">
        <w:rPr>
          <w:rFonts w:ascii="Times New Roman" w:hAnsi="Times New Roman" w:cs="Times New Roman"/>
        </w:rPr>
        <w:t xml:space="preserve">Tabla </w:t>
      </w:r>
      <w:r w:rsidR="00FA3E62" w:rsidRPr="00BB4A7B">
        <w:rPr>
          <w:rFonts w:ascii="Times New Roman" w:hAnsi="Times New Roman" w:cs="Times New Roman"/>
        </w:rPr>
        <w:fldChar w:fldCharType="begin"/>
      </w:r>
      <w:r w:rsidR="00FA3E62" w:rsidRPr="00BB4A7B">
        <w:rPr>
          <w:rFonts w:ascii="Times New Roman" w:hAnsi="Times New Roman" w:cs="Times New Roman"/>
        </w:rPr>
        <w:instrText xml:space="preserve"> SEQ Tabla \* ARABIC </w:instrText>
      </w:r>
      <w:r w:rsidR="00FA3E62" w:rsidRPr="00BB4A7B">
        <w:rPr>
          <w:rFonts w:ascii="Times New Roman" w:hAnsi="Times New Roman" w:cs="Times New Roman"/>
        </w:rPr>
        <w:fldChar w:fldCharType="separate"/>
      </w:r>
      <w:r w:rsidR="005177A8">
        <w:rPr>
          <w:rFonts w:ascii="Times New Roman" w:hAnsi="Times New Roman" w:cs="Times New Roman"/>
          <w:noProof/>
        </w:rPr>
        <w:t>3</w:t>
      </w:r>
      <w:r w:rsidR="00FA3E62" w:rsidRPr="00BB4A7B">
        <w:rPr>
          <w:rFonts w:ascii="Times New Roman" w:hAnsi="Times New Roman" w:cs="Times New Roman"/>
          <w:noProof/>
        </w:rPr>
        <w:fldChar w:fldCharType="end"/>
      </w:r>
      <w:r w:rsidRPr="00BB4A7B">
        <w:rPr>
          <w:rFonts w:ascii="Times New Roman" w:hAnsi="Times New Roman" w:cs="Times New Roman"/>
        </w:rPr>
        <w:t>. Grupos reconocidos por Minciencias según clasificación. Convocatoria 894 de 2021</w:t>
      </w:r>
      <w:bookmarkEnd w:id="8"/>
    </w:p>
    <w:tbl>
      <w:tblPr>
        <w:tblW w:w="8838" w:type="dxa"/>
        <w:jc w:val="center"/>
        <w:tblCellMar>
          <w:left w:w="70" w:type="dxa"/>
          <w:right w:w="70" w:type="dxa"/>
        </w:tblCellMar>
        <w:tblLook w:val="04A0" w:firstRow="1" w:lastRow="0" w:firstColumn="1" w:lastColumn="0" w:noHBand="0" w:noVBand="1"/>
      </w:tblPr>
      <w:tblGrid>
        <w:gridCol w:w="1764"/>
        <w:gridCol w:w="1179"/>
        <w:gridCol w:w="1179"/>
        <w:gridCol w:w="1179"/>
        <w:gridCol w:w="1179"/>
        <w:gridCol w:w="1179"/>
        <w:gridCol w:w="1179"/>
      </w:tblGrid>
      <w:tr w:rsidR="00710FC1" w:rsidRPr="00BB4A7B" w14:paraId="7F633DC3" w14:textId="77777777" w:rsidTr="00E250FE">
        <w:trPr>
          <w:trHeight w:val="300"/>
          <w:jc w:val="center"/>
        </w:trPr>
        <w:tc>
          <w:tcPr>
            <w:tcW w:w="1764" w:type="dxa"/>
            <w:tcBorders>
              <w:top w:val="nil"/>
              <w:left w:val="nil"/>
              <w:bottom w:val="single" w:sz="4" w:space="0" w:color="95B3D7"/>
              <w:right w:val="nil"/>
            </w:tcBorders>
            <w:shd w:val="clear" w:color="DCE6F1" w:fill="DCE6F1"/>
            <w:noWrap/>
            <w:vAlign w:val="bottom"/>
            <w:hideMark/>
          </w:tcPr>
          <w:p w14:paraId="24869687" w14:textId="77777777" w:rsidR="00710FC1" w:rsidRPr="00BB4A7B" w:rsidRDefault="00710FC1" w:rsidP="00710FC1">
            <w:pPr>
              <w:spacing w:line="259" w:lineRule="auto"/>
              <w:jc w:val="center"/>
              <w:rPr>
                <w:rFonts w:ascii="Times New Roman" w:eastAsia="Times New Roman" w:hAnsi="Times New Roman" w:cs="Times New Roman"/>
                <w:b/>
                <w:bCs/>
                <w:color w:val="000000"/>
                <w:sz w:val="18"/>
                <w:szCs w:val="18"/>
              </w:rPr>
            </w:pPr>
            <w:r w:rsidRPr="00BB4A7B">
              <w:rPr>
                <w:rFonts w:ascii="Times New Roman" w:eastAsia="Times New Roman" w:hAnsi="Times New Roman" w:cs="Times New Roman"/>
                <w:b/>
                <w:bCs/>
                <w:color w:val="000000"/>
                <w:sz w:val="18"/>
                <w:szCs w:val="18"/>
              </w:rPr>
              <w:t>Ciudad</w:t>
            </w:r>
          </w:p>
        </w:tc>
        <w:tc>
          <w:tcPr>
            <w:tcW w:w="1179" w:type="dxa"/>
            <w:tcBorders>
              <w:top w:val="nil"/>
              <w:left w:val="nil"/>
              <w:bottom w:val="single" w:sz="4" w:space="0" w:color="95B3D7"/>
              <w:right w:val="nil"/>
            </w:tcBorders>
            <w:shd w:val="clear" w:color="DCE6F1" w:fill="DCE6F1"/>
            <w:noWrap/>
            <w:vAlign w:val="bottom"/>
            <w:hideMark/>
          </w:tcPr>
          <w:p w14:paraId="5A49919B" w14:textId="77777777" w:rsidR="00710FC1" w:rsidRPr="00BB4A7B" w:rsidRDefault="00710FC1" w:rsidP="00710FC1">
            <w:pPr>
              <w:spacing w:line="259" w:lineRule="auto"/>
              <w:jc w:val="center"/>
              <w:rPr>
                <w:rFonts w:ascii="Times New Roman" w:eastAsia="Times New Roman" w:hAnsi="Times New Roman" w:cs="Times New Roman"/>
                <w:b/>
                <w:bCs/>
                <w:color w:val="000000"/>
                <w:sz w:val="18"/>
                <w:szCs w:val="18"/>
              </w:rPr>
            </w:pPr>
            <w:r w:rsidRPr="00BB4A7B">
              <w:rPr>
                <w:rFonts w:ascii="Times New Roman" w:eastAsia="Times New Roman" w:hAnsi="Times New Roman" w:cs="Times New Roman"/>
                <w:b/>
                <w:bCs/>
                <w:color w:val="000000"/>
                <w:sz w:val="18"/>
                <w:szCs w:val="18"/>
              </w:rPr>
              <w:t>A1</w:t>
            </w:r>
          </w:p>
        </w:tc>
        <w:tc>
          <w:tcPr>
            <w:tcW w:w="1179" w:type="dxa"/>
            <w:tcBorders>
              <w:top w:val="nil"/>
              <w:left w:val="nil"/>
              <w:bottom w:val="single" w:sz="4" w:space="0" w:color="95B3D7"/>
              <w:right w:val="nil"/>
            </w:tcBorders>
            <w:shd w:val="clear" w:color="DCE6F1" w:fill="DCE6F1"/>
            <w:noWrap/>
            <w:vAlign w:val="bottom"/>
            <w:hideMark/>
          </w:tcPr>
          <w:p w14:paraId="5363DBF9" w14:textId="77777777" w:rsidR="00710FC1" w:rsidRPr="00BB4A7B" w:rsidRDefault="00710FC1" w:rsidP="00710FC1">
            <w:pPr>
              <w:spacing w:line="259" w:lineRule="auto"/>
              <w:jc w:val="center"/>
              <w:rPr>
                <w:rFonts w:ascii="Times New Roman" w:eastAsia="Times New Roman" w:hAnsi="Times New Roman" w:cs="Times New Roman"/>
                <w:b/>
                <w:bCs/>
                <w:color w:val="000000"/>
                <w:sz w:val="18"/>
                <w:szCs w:val="18"/>
              </w:rPr>
            </w:pPr>
            <w:r w:rsidRPr="00BB4A7B">
              <w:rPr>
                <w:rFonts w:ascii="Times New Roman" w:eastAsia="Times New Roman" w:hAnsi="Times New Roman" w:cs="Times New Roman"/>
                <w:b/>
                <w:bCs/>
                <w:color w:val="000000"/>
                <w:sz w:val="18"/>
                <w:szCs w:val="18"/>
              </w:rPr>
              <w:t>A</w:t>
            </w:r>
          </w:p>
        </w:tc>
        <w:tc>
          <w:tcPr>
            <w:tcW w:w="1179" w:type="dxa"/>
            <w:tcBorders>
              <w:top w:val="nil"/>
              <w:left w:val="nil"/>
              <w:bottom w:val="single" w:sz="4" w:space="0" w:color="95B3D7"/>
              <w:right w:val="nil"/>
            </w:tcBorders>
            <w:shd w:val="clear" w:color="DCE6F1" w:fill="DCE6F1"/>
            <w:noWrap/>
            <w:vAlign w:val="bottom"/>
            <w:hideMark/>
          </w:tcPr>
          <w:p w14:paraId="38FAB22E" w14:textId="77777777" w:rsidR="00710FC1" w:rsidRPr="00BB4A7B" w:rsidRDefault="00710FC1" w:rsidP="00710FC1">
            <w:pPr>
              <w:spacing w:line="259" w:lineRule="auto"/>
              <w:jc w:val="center"/>
              <w:rPr>
                <w:rFonts w:ascii="Times New Roman" w:eastAsia="Times New Roman" w:hAnsi="Times New Roman" w:cs="Times New Roman"/>
                <w:b/>
                <w:bCs/>
                <w:color w:val="000000"/>
                <w:sz w:val="18"/>
                <w:szCs w:val="18"/>
              </w:rPr>
            </w:pPr>
            <w:r w:rsidRPr="00BB4A7B">
              <w:rPr>
                <w:rFonts w:ascii="Times New Roman" w:eastAsia="Times New Roman" w:hAnsi="Times New Roman" w:cs="Times New Roman"/>
                <w:b/>
                <w:bCs/>
                <w:color w:val="000000"/>
                <w:sz w:val="18"/>
                <w:szCs w:val="18"/>
              </w:rPr>
              <w:t>B</w:t>
            </w:r>
          </w:p>
        </w:tc>
        <w:tc>
          <w:tcPr>
            <w:tcW w:w="1179" w:type="dxa"/>
            <w:tcBorders>
              <w:top w:val="nil"/>
              <w:left w:val="nil"/>
              <w:bottom w:val="single" w:sz="4" w:space="0" w:color="95B3D7"/>
              <w:right w:val="nil"/>
            </w:tcBorders>
            <w:shd w:val="clear" w:color="DCE6F1" w:fill="DCE6F1"/>
            <w:noWrap/>
            <w:vAlign w:val="bottom"/>
            <w:hideMark/>
          </w:tcPr>
          <w:p w14:paraId="04925692" w14:textId="77777777" w:rsidR="00710FC1" w:rsidRPr="00BB4A7B" w:rsidRDefault="00710FC1" w:rsidP="00710FC1">
            <w:pPr>
              <w:spacing w:line="259" w:lineRule="auto"/>
              <w:jc w:val="center"/>
              <w:rPr>
                <w:rFonts w:ascii="Times New Roman" w:eastAsia="Times New Roman" w:hAnsi="Times New Roman" w:cs="Times New Roman"/>
                <w:b/>
                <w:bCs/>
                <w:color w:val="000000"/>
                <w:sz w:val="18"/>
                <w:szCs w:val="18"/>
              </w:rPr>
            </w:pPr>
            <w:r w:rsidRPr="00BB4A7B">
              <w:rPr>
                <w:rFonts w:ascii="Times New Roman" w:eastAsia="Times New Roman" w:hAnsi="Times New Roman" w:cs="Times New Roman"/>
                <w:b/>
                <w:bCs/>
                <w:color w:val="000000"/>
                <w:sz w:val="18"/>
                <w:szCs w:val="18"/>
              </w:rPr>
              <w:t>C</w:t>
            </w:r>
          </w:p>
        </w:tc>
        <w:tc>
          <w:tcPr>
            <w:tcW w:w="1179" w:type="dxa"/>
            <w:tcBorders>
              <w:top w:val="nil"/>
              <w:left w:val="nil"/>
              <w:bottom w:val="single" w:sz="4" w:space="0" w:color="95B3D7"/>
              <w:right w:val="nil"/>
            </w:tcBorders>
            <w:shd w:val="clear" w:color="DCE6F1" w:fill="DCE6F1"/>
            <w:noWrap/>
            <w:vAlign w:val="bottom"/>
            <w:hideMark/>
          </w:tcPr>
          <w:p w14:paraId="7D0FD9EE" w14:textId="77777777" w:rsidR="00710FC1" w:rsidRPr="00BB4A7B" w:rsidRDefault="00710FC1" w:rsidP="00710FC1">
            <w:pPr>
              <w:spacing w:line="259" w:lineRule="auto"/>
              <w:jc w:val="center"/>
              <w:rPr>
                <w:rFonts w:ascii="Times New Roman" w:eastAsia="Times New Roman" w:hAnsi="Times New Roman" w:cs="Times New Roman"/>
                <w:b/>
                <w:bCs/>
                <w:color w:val="000000"/>
                <w:sz w:val="18"/>
                <w:szCs w:val="18"/>
              </w:rPr>
            </w:pPr>
            <w:r w:rsidRPr="00BB4A7B">
              <w:rPr>
                <w:rFonts w:ascii="Times New Roman" w:eastAsia="Times New Roman" w:hAnsi="Times New Roman" w:cs="Times New Roman"/>
                <w:b/>
                <w:bCs/>
                <w:color w:val="000000"/>
                <w:sz w:val="18"/>
                <w:szCs w:val="18"/>
              </w:rPr>
              <w:t>Reconocido</w:t>
            </w:r>
          </w:p>
        </w:tc>
        <w:tc>
          <w:tcPr>
            <w:tcW w:w="1179" w:type="dxa"/>
            <w:tcBorders>
              <w:top w:val="nil"/>
              <w:left w:val="nil"/>
              <w:bottom w:val="single" w:sz="4" w:space="0" w:color="95B3D7"/>
              <w:right w:val="nil"/>
            </w:tcBorders>
            <w:shd w:val="clear" w:color="DCE6F1" w:fill="DCE6F1"/>
            <w:noWrap/>
            <w:vAlign w:val="bottom"/>
            <w:hideMark/>
          </w:tcPr>
          <w:p w14:paraId="642876D2" w14:textId="77777777" w:rsidR="00710FC1" w:rsidRPr="00BB4A7B" w:rsidRDefault="00710FC1" w:rsidP="00710FC1">
            <w:pPr>
              <w:spacing w:line="259" w:lineRule="auto"/>
              <w:jc w:val="center"/>
              <w:rPr>
                <w:rFonts w:ascii="Times New Roman" w:eastAsia="Times New Roman" w:hAnsi="Times New Roman" w:cs="Times New Roman"/>
                <w:b/>
                <w:bCs/>
                <w:color w:val="000000"/>
                <w:sz w:val="18"/>
                <w:szCs w:val="18"/>
              </w:rPr>
            </w:pPr>
            <w:r w:rsidRPr="00BB4A7B">
              <w:rPr>
                <w:rFonts w:ascii="Times New Roman" w:eastAsia="Times New Roman" w:hAnsi="Times New Roman" w:cs="Times New Roman"/>
                <w:b/>
                <w:bCs/>
                <w:color w:val="000000"/>
                <w:sz w:val="18"/>
                <w:szCs w:val="18"/>
              </w:rPr>
              <w:t>Total general</w:t>
            </w:r>
          </w:p>
        </w:tc>
      </w:tr>
      <w:tr w:rsidR="00710FC1" w:rsidRPr="00BB4A7B" w14:paraId="488C4062" w14:textId="77777777" w:rsidTr="00E250FE">
        <w:trPr>
          <w:trHeight w:val="300"/>
          <w:jc w:val="center"/>
        </w:trPr>
        <w:tc>
          <w:tcPr>
            <w:tcW w:w="1764" w:type="dxa"/>
            <w:tcBorders>
              <w:top w:val="nil"/>
              <w:left w:val="nil"/>
              <w:bottom w:val="nil"/>
              <w:right w:val="nil"/>
            </w:tcBorders>
            <w:shd w:val="clear" w:color="auto" w:fill="auto"/>
            <w:noWrap/>
            <w:vAlign w:val="bottom"/>
            <w:hideMark/>
          </w:tcPr>
          <w:p w14:paraId="1D455C20" w14:textId="77777777" w:rsidR="00710FC1" w:rsidRPr="00BB4A7B" w:rsidRDefault="00710FC1" w:rsidP="00710FC1">
            <w:pPr>
              <w:spacing w:line="259" w:lineRule="auto"/>
              <w:jc w:val="lef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Armenia</w:t>
            </w:r>
          </w:p>
        </w:tc>
        <w:tc>
          <w:tcPr>
            <w:tcW w:w="1179" w:type="dxa"/>
            <w:tcBorders>
              <w:top w:val="nil"/>
              <w:left w:val="nil"/>
              <w:bottom w:val="nil"/>
              <w:right w:val="nil"/>
            </w:tcBorders>
            <w:shd w:val="clear" w:color="auto" w:fill="auto"/>
            <w:noWrap/>
            <w:vAlign w:val="bottom"/>
            <w:hideMark/>
          </w:tcPr>
          <w:p w14:paraId="08EBFBE3"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4.5%</w:t>
            </w:r>
          </w:p>
        </w:tc>
        <w:tc>
          <w:tcPr>
            <w:tcW w:w="1179" w:type="dxa"/>
            <w:tcBorders>
              <w:top w:val="nil"/>
              <w:left w:val="nil"/>
              <w:bottom w:val="nil"/>
              <w:right w:val="nil"/>
            </w:tcBorders>
            <w:shd w:val="clear" w:color="auto" w:fill="auto"/>
            <w:noWrap/>
            <w:vAlign w:val="bottom"/>
            <w:hideMark/>
          </w:tcPr>
          <w:p w14:paraId="602AF926"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6.8%</w:t>
            </w:r>
          </w:p>
        </w:tc>
        <w:tc>
          <w:tcPr>
            <w:tcW w:w="1179" w:type="dxa"/>
            <w:tcBorders>
              <w:top w:val="nil"/>
              <w:left w:val="nil"/>
              <w:bottom w:val="nil"/>
              <w:right w:val="nil"/>
            </w:tcBorders>
            <w:shd w:val="clear" w:color="auto" w:fill="auto"/>
            <w:noWrap/>
            <w:vAlign w:val="bottom"/>
            <w:hideMark/>
          </w:tcPr>
          <w:p w14:paraId="6BA4FDCB"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27.3%</w:t>
            </w:r>
          </w:p>
        </w:tc>
        <w:tc>
          <w:tcPr>
            <w:tcW w:w="1179" w:type="dxa"/>
            <w:tcBorders>
              <w:top w:val="nil"/>
              <w:left w:val="nil"/>
              <w:bottom w:val="nil"/>
              <w:right w:val="nil"/>
            </w:tcBorders>
            <w:shd w:val="clear" w:color="auto" w:fill="auto"/>
            <w:noWrap/>
            <w:vAlign w:val="bottom"/>
            <w:hideMark/>
          </w:tcPr>
          <w:p w14:paraId="33A95087"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42.0%</w:t>
            </w:r>
          </w:p>
        </w:tc>
        <w:tc>
          <w:tcPr>
            <w:tcW w:w="1179" w:type="dxa"/>
            <w:tcBorders>
              <w:top w:val="nil"/>
              <w:left w:val="nil"/>
              <w:bottom w:val="nil"/>
              <w:right w:val="nil"/>
            </w:tcBorders>
            <w:shd w:val="clear" w:color="auto" w:fill="auto"/>
            <w:noWrap/>
            <w:vAlign w:val="bottom"/>
            <w:hideMark/>
          </w:tcPr>
          <w:p w14:paraId="01832795"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19.3%</w:t>
            </w:r>
          </w:p>
        </w:tc>
        <w:tc>
          <w:tcPr>
            <w:tcW w:w="1179" w:type="dxa"/>
            <w:tcBorders>
              <w:top w:val="nil"/>
              <w:left w:val="nil"/>
              <w:bottom w:val="nil"/>
              <w:right w:val="nil"/>
            </w:tcBorders>
            <w:shd w:val="clear" w:color="auto" w:fill="auto"/>
            <w:noWrap/>
            <w:vAlign w:val="bottom"/>
            <w:hideMark/>
          </w:tcPr>
          <w:p w14:paraId="1F923F1F"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100.0%</w:t>
            </w:r>
          </w:p>
        </w:tc>
      </w:tr>
      <w:tr w:rsidR="00710FC1" w:rsidRPr="00BB4A7B" w14:paraId="617AAF43" w14:textId="77777777" w:rsidTr="00E250FE">
        <w:trPr>
          <w:trHeight w:val="300"/>
          <w:jc w:val="center"/>
        </w:trPr>
        <w:tc>
          <w:tcPr>
            <w:tcW w:w="1764" w:type="dxa"/>
            <w:tcBorders>
              <w:top w:val="nil"/>
              <w:left w:val="nil"/>
              <w:bottom w:val="nil"/>
              <w:right w:val="nil"/>
            </w:tcBorders>
            <w:shd w:val="clear" w:color="auto" w:fill="auto"/>
            <w:noWrap/>
            <w:vAlign w:val="bottom"/>
            <w:hideMark/>
          </w:tcPr>
          <w:p w14:paraId="478ED6D1" w14:textId="77777777" w:rsidR="00710FC1" w:rsidRPr="00BB4A7B" w:rsidRDefault="00710FC1" w:rsidP="00710FC1">
            <w:pPr>
              <w:spacing w:line="259" w:lineRule="auto"/>
              <w:jc w:val="lef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Barranquilla</w:t>
            </w:r>
          </w:p>
        </w:tc>
        <w:tc>
          <w:tcPr>
            <w:tcW w:w="1179" w:type="dxa"/>
            <w:tcBorders>
              <w:top w:val="nil"/>
              <w:left w:val="nil"/>
              <w:bottom w:val="nil"/>
              <w:right w:val="nil"/>
            </w:tcBorders>
            <w:shd w:val="clear" w:color="auto" w:fill="auto"/>
            <w:noWrap/>
            <w:vAlign w:val="bottom"/>
            <w:hideMark/>
          </w:tcPr>
          <w:p w14:paraId="4DD3DE9A"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23.5%</w:t>
            </w:r>
          </w:p>
        </w:tc>
        <w:tc>
          <w:tcPr>
            <w:tcW w:w="1179" w:type="dxa"/>
            <w:tcBorders>
              <w:top w:val="nil"/>
              <w:left w:val="nil"/>
              <w:bottom w:val="nil"/>
              <w:right w:val="nil"/>
            </w:tcBorders>
            <w:shd w:val="clear" w:color="auto" w:fill="auto"/>
            <w:noWrap/>
            <w:vAlign w:val="bottom"/>
            <w:hideMark/>
          </w:tcPr>
          <w:p w14:paraId="540F8925"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23.5%</w:t>
            </w:r>
          </w:p>
        </w:tc>
        <w:tc>
          <w:tcPr>
            <w:tcW w:w="1179" w:type="dxa"/>
            <w:tcBorders>
              <w:top w:val="nil"/>
              <w:left w:val="nil"/>
              <w:bottom w:val="nil"/>
              <w:right w:val="nil"/>
            </w:tcBorders>
            <w:shd w:val="clear" w:color="auto" w:fill="auto"/>
            <w:noWrap/>
            <w:vAlign w:val="bottom"/>
            <w:hideMark/>
          </w:tcPr>
          <w:p w14:paraId="730D2A0E"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16.5%</w:t>
            </w:r>
          </w:p>
        </w:tc>
        <w:tc>
          <w:tcPr>
            <w:tcW w:w="1179" w:type="dxa"/>
            <w:tcBorders>
              <w:top w:val="nil"/>
              <w:left w:val="nil"/>
              <w:bottom w:val="nil"/>
              <w:right w:val="nil"/>
            </w:tcBorders>
            <w:shd w:val="clear" w:color="auto" w:fill="auto"/>
            <w:noWrap/>
            <w:vAlign w:val="bottom"/>
            <w:hideMark/>
          </w:tcPr>
          <w:p w14:paraId="5B133E37"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31.2%</w:t>
            </w:r>
          </w:p>
        </w:tc>
        <w:tc>
          <w:tcPr>
            <w:tcW w:w="1179" w:type="dxa"/>
            <w:tcBorders>
              <w:top w:val="nil"/>
              <w:left w:val="nil"/>
              <w:bottom w:val="nil"/>
              <w:right w:val="nil"/>
            </w:tcBorders>
            <w:shd w:val="clear" w:color="auto" w:fill="auto"/>
            <w:noWrap/>
            <w:vAlign w:val="bottom"/>
            <w:hideMark/>
          </w:tcPr>
          <w:p w14:paraId="0C46A9D0"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5.3%</w:t>
            </w:r>
          </w:p>
        </w:tc>
        <w:tc>
          <w:tcPr>
            <w:tcW w:w="1179" w:type="dxa"/>
            <w:tcBorders>
              <w:top w:val="nil"/>
              <w:left w:val="nil"/>
              <w:bottom w:val="nil"/>
              <w:right w:val="nil"/>
            </w:tcBorders>
            <w:shd w:val="clear" w:color="auto" w:fill="auto"/>
            <w:noWrap/>
            <w:vAlign w:val="bottom"/>
            <w:hideMark/>
          </w:tcPr>
          <w:p w14:paraId="0DED3E46"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100.0%</w:t>
            </w:r>
          </w:p>
        </w:tc>
      </w:tr>
      <w:tr w:rsidR="00710FC1" w:rsidRPr="00BB4A7B" w14:paraId="46EEC574" w14:textId="77777777" w:rsidTr="00E250FE">
        <w:trPr>
          <w:trHeight w:val="300"/>
          <w:jc w:val="center"/>
        </w:trPr>
        <w:tc>
          <w:tcPr>
            <w:tcW w:w="1764" w:type="dxa"/>
            <w:tcBorders>
              <w:top w:val="nil"/>
              <w:left w:val="nil"/>
              <w:bottom w:val="nil"/>
              <w:right w:val="nil"/>
            </w:tcBorders>
            <w:shd w:val="clear" w:color="auto" w:fill="auto"/>
            <w:noWrap/>
            <w:vAlign w:val="bottom"/>
            <w:hideMark/>
          </w:tcPr>
          <w:p w14:paraId="3AA28125" w14:textId="77777777" w:rsidR="00710FC1" w:rsidRPr="00BB4A7B" w:rsidRDefault="00710FC1" w:rsidP="00710FC1">
            <w:pPr>
              <w:spacing w:line="259" w:lineRule="auto"/>
              <w:jc w:val="lef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Bogotá, D.C.</w:t>
            </w:r>
          </w:p>
        </w:tc>
        <w:tc>
          <w:tcPr>
            <w:tcW w:w="1179" w:type="dxa"/>
            <w:tcBorders>
              <w:top w:val="nil"/>
              <w:left w:val="nil"/>
              <w:bottom w:val="nil"/>
              <w:right w:val="nil"/>
            </w:tcBorders>
            <w:shd w:val="clear" w:color="auto" w:fill="auto"/>
            <w:noWrap/>
            <w:vAlign w:val="bottom"/>
            <w:hideMark/>
          </w:tcPr>
          <w:p w14:paraId="07414030"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16.1%</w:t>
            </w:r>
          </w:p>
        </w:tc>
        <w:tc>
          <w:tcPr>
            <w:tcW w:w="1179" w:type="dxa"/>
            <w:tcBorders>
              <w:top w:val="nil"/>
              <w:left w:val="nil"/>
              <w:bottom w:val="nil"/>
              <w:right w:val="nil"/>
            </w:tcBorders>
            <w:shd w:val="clear" w:color="auto" w:fill="auto"/>
            <w:noWrap/>
            <w:vAlign w:val="bottom"/>
            <w:hideMark/>
          </w:tcPr>
          <w:p w14:paraId="6D481972"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18.8%</w:t>
            </w:r>
          </w:p>
        </w:tc>
        <w:tc>
          <w:tcPr>
            <w:tcW w:w="1179" w:type="dxa"/>
            <w:tcBorders>
              <w:top w:val="nil"/>
              <w:left w:val="nil"/>
              <w:bottom w:val="nil"/>
              <w:right w:val="nil"/>
            </w:tcBorders>
            <w:shd w:val="clear" w:color="auto" w:fill="auto"/>
            <w:noWrap/>
            <w:vAlign w:val="bottom"/>
            <w:hideMark/>
          </w:tcPr>
          <w:p w14:paraId="02052A78"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21.0%</w:t>
            </w:r>
          </w:p>
        </w:tc>
        <w:tc>
          <w:tcPr>
            <w:tcW w:w="1179" w:type="dxa"/>
            <w:tcBorders>
              <w:top w:val="nil"/>
              <w:left w:val="nil"/>
              <w:bottom w:val="nil"/>
              <w:right w:val="nil"/>
            </w:tcBorders>
            <w:shd w:val="clear" w:color="auto" w:fill="auto"/>
            <w:noWrap/>
            <w:vAlign w:val="bottom"/>
            <w:hideMark/>
          </w:tcPr>
          <w:p w14:paraId="1B3B0168"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35.7%</w:t>
            </w:r>
          </w:p>
        </w:tc>
        <w:tc>
          <w:tcPr>
            <w:tcW w:w="1179" w:type="dxa"/>
            <w:tcBorders>
              <w:top w:val="nil"/>
              <w:left w:val="nil"/>
              <w:bottom w:val="nil"/>
              <w:right w:val="nil"/>
            </w:tcBorders>
            <w:shd w:val="clear" w:color="auto" w:fill="auto"/>
            <w:noWrap/>
            <w:vAlign w:val="bottom"/>
            <w:hideMark/>
          </w:tcPr>
          <w:p w14:paraId="41B1B505"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8.4%</w:t>
            </w:r>
          </w:p>
        </w:tc>
        <w:tc>
          <w:tcPr>
            <w:tcW w:w="1179" w:type="dxa"/>
            <w:tcBorders>
              <w:top w:val="nil"/>
              <w:left w:val="nil"/>
              <w:bottom w:val="nil"/>
              <w:right w:val="nil"/>
            </w:tcBorders>
            <w:shd w:val="clear" w:color="auto" w:fill="auto"/>
            <w:noWrap/>
            <w:vAlign w:val="bottom"/>
            <w:hideMark/>
          </w:tcPr>
          <w:p w14:paraId="597A612C"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100.0%</w:t>
            </w:r>
          </w:p>
        </w:tc>
      </w:tr>
      <w:tr w:rsidR="00710FC1" w:rsidRPr="00BB4A7B" w14:paraId="7F9AD610" w14:textId="77777777" w:rsidTr="00E250FE">
        <w:trPr>
          <w:trHeight w:val="300"/>
          <w:jc w:val="center"/>
        </w:trPr>
        <w:tc>
          <w:tcPr>
            <w:tcW w:w="1764" w:type="dxa"/>
            <w:tcBorders>
              <w:top w:val="nil"/>
              <w:left w:val="nil"/>
              <w:bottom w:val="nil"/>
              <w:right w:val="nil"/>
            </w:tcBorders>
            <w:shd w:val="clear" w:color="auto" w:fill="auto"/>
            <w:noWrap/>
            <w:vAlign w:val="bottom"/>
            <w:hideMark/>
          </w:tcPr>
          <w:p w14:paraId="5119BF44" w14:textId="77777777" w:rsidR="00710FC1" w:rsidRPr="00BB4A7B" w:rsidRDefault="00710FC1" w:rsidP="00710FC1">
            <w:pPr>
              <w:spacing w:line="259" w:lineRule="auto"/>
              <w:jc w:val="lef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Bucaramanga</w:t>
            </w:r>
          </w:p>
        </w:tc>
        <w:tc>
          <w:tcPr>
            <w:tcW w:w="1179" w:type="dxa"/>
            <w:tcBorders>
              <w:top w:val="nil"/>
              <w:left w:val="nil"/>
              <w:bottom w:val="nil"/>
              <w:right w:val="nil"/>
            </w:tcBorders>
            <w:shd w:val="clear" w:color="auto" w:fill="auto"/>
            <w:noWrap/>
            <w:vAlign w:val="bottom"/>
            <w:hideMark/>
          </w:tcPr>
          <w:p w14:paraId="63CB8285"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11.6%</w:t>
            </w:r>
          </w:p>
        </w:tc>
        <w:tc>
          <w:tcPr>
            <w:tcW w:w="1179" w:type="dxa"/>
            <w:tcBorders>
              <w:top w:val="nil"/>
              <w:left w:val="nil"/>
              <w:bottom w:val="nil"/>
              <w:right w:val="nil"/>
            </w:tcBorders>
            <w:shd w:val="clear" w:color="auto" w:fill="auto"/>
            <w:noWrap/>
            <w:vAlign w:val="bottom"/>
            <w:hideMark/>
          </w:tcPr>
          <w:p w14:paraId="115B1AF6"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25.1%</w:t>
            </w:r>
          </w:p>
        </w:tc>
        <w:tc>
          <w:tcPr>
            <w:tcW w:w="1179" w:type="dxa"/>
            <w:tcBorders>
              <w:top w:val="nil"/>
              <w:left w:val="nil"/>
              <w:bottom w:val="nil"/>
              <w:right w:val="nil"/>
            </w:tcBorders>
            <w:shd w:val="clear" w:color="auto" w:fill="auto"/>
            <w:noWrap/>
            <w:vAlign w:val="bottom"/>
            <w:hideMark/>
          </w:tcPr>
          <w:p w14:paraId="6F25FF65"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24.7%</w:t>
            </w:r>
          </w:p>
        </w:tc>
        <w:tc>
          <w:tcPr>
            <w:tcW w:w="1179" w:type="dxa"/>
            <w:tcBorders>
              <w:top w:val="nil"/>
              <w:left w:val="nil"/>
              <w:bottom w:val="nil"/>
              <w:right w:val="nil"/>
            </w:tcBorders>
            <w:shd w:val="clear" w:color="auto" w:fill="auto"/>
            <w:noWrap/>
            <w:vAlign w:val="bottom"/>
            <w:hideMark/>
          </w:tcPr>
          <w:p w14:paraId="1FC3B018"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31.6%</w:t>
            </w:r>
          </w:p>
        </w:tc>
        <w:tc>
          <w:tcPr>
            <w:tcW w:w="1179" w:type="dxa"/>
            <w:tcBorders>
              <w:top w:val="nil"/>
              <w:left w:val="nil"/>
              <w:bottom w:val="nil"/>
              <w:right w:val="nil"/>
            </w:tcBorders>
            <w:shd w:val="clear" w:color="auto" w:fill="auto"/>
            <w:noWrap/>
            <w:vAlign w:val="bottom"/>
            <w:hideMark/>
          </w:tcPr>
          <w:p w14:paraId="31473980"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7.0%</w:t>
            </w:r>
          </w:p>
        </w:tc>
        <w:tc>
          <w:tcPr>
            <w:tcW w:w="1179" w:type="dxa"/>
            <w:tcBorders>
              <w:top w:val="nil"/>
              <w:left w:val="nil"/>
              <w:bottom w:val="nil"/>
              <w:right w:val="nil"/>
            </w:tcBorders>
            <w:shd w:val="clear" w:color="auto" w:fill="auto"/>
            <w:noWrap/>
            <w:vAlign w:val="bottom"/>
            <w:hideMark/>
          </w:tcPr>
          <w:p w14:paraId="1475A07F"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100.0%</w:t>
            </w:r>
          </w:p>
        </w:tc>
      </w:tr>
      <w:tr w:rsidR="00710FC1" w:rsidRPr="00BB4A7B" w14:paraId="71DC3007" w14:textId="77777777" w:rsidTr="00E250FE">
        <w:trPr>
          <w:trHeight w:val="300"/>
          <w:jc w:val="center"/>
        </w:trPr>
        <w:tc>
          <w:tcPr>
            <w:tcW w:w="1764" w:type="dxa"/>
            <w:tcBorders>
              <w:top w:val="nil"/>
              <w:left w:val="nil"/>
              <w:bottom w:val="nil"/>
              <w:right w:val="nil"/>
            </w:tcBorders>
            <w:shd w:val="clear" w:color="auto" w:fill="auto"/>
            <w:noWrap/>
            <w:vAlign w:val="bottom"/>
            <w:hideMark/>
          </w:tcPr>
          <w:p w14:paraId="72133146" w14:textId="77777777" w:rsidR="00710FC1" w:rsidRPr="00BB4A7B" w:rsidRDefault="00710FC1" w:rsidP="00710FC1">
            <w:pPr>
              <w:spacing w:line="259" w:lineRule="auto"/>
              <w:jc w:val="lef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Cali</w:t>
            </w:r>
          </w:p>
        </w:tc>
        <w:tc>
          <w:tcPr>
            <w:tcW w:w="1179" w:type="dxa"/>
            <w:tcBorders>
              <w:top w:val="nil"/>
              <w:left w:val="nil"/>
              <w:bottom w:val="nil"/>
              <w:right w:val="nil"/>
            </w:tcBorders>
            <w:shd w:val="clear" w:color="auto" w:fill="auto"/>
            <w:noWrap/>
            <w:vAlign w:val="bottom"/>
            <w:hideMark/>
          </w:tcPr>
          <w:p w14:paraId="6556483B"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18.0%</w:t>
            </w:r>
          </w:p>
        </w:tc>
        <w:tc>
          <w:tcPr>
            <w:tcW w:w="1179" w:type="dxa"/>
            <w:tcBorders>
              <w:top w:val="nil"/>
              <w:left w:val="nil"/>
              <w:bottom w:val="nil"/>
              <w:right w:val="nil"/>
            </w:tcBorders>
            <w:shd w:val="clear" w:color="auto" w:fill="auto"/>
            <w:noWrap/>
            <w:vAlign w:val="bottom"/>
            <w:hideMark/>
          </w:tcPr>
          <w:p w14:paraId="3A1DFEBD"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23.0%</w:t>
            </w:r>
          </w:p>
        </w:tc>
        <w:tc>
          <w:tcPr>
            <w:tcW w:w="1179" w:type="dxa"/>
            <w:tcBorders>
              <w:top w:val="nil"/>
              <w:left w:val="nil"/>
              <w:bottom w:val="nil"/>
              <w:right w:val="nil"/>
            </w:tcBorders>
            <w:shd w:val="clear" w:color="auto" w:fill="auto"/>
            <w:noWrap/>
            <w:vAlign w:val="bottom"/>
            <w:hideMark/>
          </w:tcPr>
          <w:p w14:paraId="2BC26371"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18.3%</w:t>
            </w:r>
          </w:p>
        </w:tc>
        <w:tc>
          <w:tcPr>
            <w:tcW w:w="1179" w:type="dxa"/>
            <w:tcBorders>
              <w:top w:val="nil"/>
              <w:left w:val="nil"/>
              <w:bottom w:val="nil"/>
              <w:right w:val="nil"/>
            </w:tcBorders>
            <w:shd w:val="clear" w:color="auto" w:fill="auto"/>
            <w:noWrap/>
            <w:vAlign w:val="bottom"/>
            <w:hideMark/>
          </w:tcPr>
          <w:p w14:paraId="5B6DA42A"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33.3%</w:t>
            </w:r>
          </w:p>
        </w:tc>
        <w:tc>
          <w:tcPr>
            <w:tcW w:w="1179" w:type="dxa"/>
            <w:tcBorders>
              <w:top w:val="nil"/>
              <w:left w:val="nil"/>
              <w:bottom w:val="nil"/>
              <w:right w:val="nil"/>
            </w:tcBorders>
            <w:shd w:val="clear" w:color="auto" w:fill="auto"/>
            <w:noWrap/>
            <w:vAlign w:val="bottom"/>
            <w:hideMark/>
          </w:tcPr>
          <w:p w14:paraId="183FCF5A"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7.5%</w:t>
            </w:r>
          </w:p>
        </w:tc>
        <w:tc>
          <w:tcPr>
            <w:tcW w:w="1179" w:type="dxa"/>
            <w:tcBorders>
              <w:top w:val="nil"/>
              <w:left w:val="nil"/>
              <w:bottom w:val="nil"/>
              <w:right w:val="nil"/>
            </w:tcBorders>
            <w:shd w:val="clear" w:color="auto" w:fill="auto"/>
            <w:noWrap/>
            <w:vAlign w:val="bottom"/>
            <w:hideMark/>
          </w:tcPr>
          <w:p w14:paraId="63027F58"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100.0%</w:t>
            </w:r>
          </w:p>
        </w:tc>
      </w:tr>
      <w:tr w:rsidR="00710FC1" w:rsidRPr="00BB4A7B" w14:paraId="06F7F413" w14:textId="77777777" w:rsidTr="00E250FE">
        <w:trPr>
          <w:trHeight w:val="300"/>
          <w:jc w:val="center"/>
        </w:trPr>
        <w:tc>
          <w:tcPr>
            <w:tcW w:w="1764" w:type="dxa"/>
            <w:tcBorders>
              <w:top w:val="nil"/>
              <w:left w:val="nil"/>
              <w:bottom w:val="nil"/>
              <w:right w:val="nil"/>
            </w:tcBorders>
            <w:shd w:val="clear" w:color="auto" w:fill="auto"/>
            <w:noWrap/>
            <w:vAlign w:val="bottom"/>
            <w:hideMark/>
          </w:tcPr>
          <w:p w14:paraId="272B6D50" w14:textId="77777777" w:rsidR="00710FC1" w:rsidRPr="00BB4A7B" w:rsidRDefault="00710FC1" w:rsidP="00710FC1">
            <w:pPr>
              <w:spacing w:line="259" w:lineRule="auto"/>
              <w:jc w:val="lef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Cartagena de Indias</w:t>
            </w:r>
          </w:p>
        </w:tc>
        <w:tc>
          <w:tcPr>
            <w:tcW w:w="1179" w:type="dxa"/>
            <w:tcBorders>
              <w:top w:val="nil"/>
              <w:left w:val="nil"/>
              <w:bottom w:val="nil"/>
              <w:right w:val="nil"/>
            </w:tcBorders>
            <w:shd w:val="clear" w:color="auto" w:fill="auto"/>
            <w:noWrap/>
            <w:vAlign w:val="bottom"/>
            <w:hideMark/>
          </w:tcPr>
          <w:p w14:paraId="480D57C6"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7.5%</w:t>
            </w:r>
          </w:p>
        </w:tc>
        <w:tc>
          <w:tcPr>
            <w:tcW w:w="1179" w:type="dxa"/>
            <w:tcBorders>
              <w:top w:val="nil"/>
              <w:left w:val="nil"/>
              <w:bottom w:val="nil"/>
              <w:right w:val="nil"/>
            </w:tcBorders>
            <w:shd w:val="clear" w:color="auto" w:fill="auto"/>
            <w:noWrap/>
            <w:vAlign w:val="bottom"/>
            <w:hideMark/>
          </w:tcPr>
          <w:p w14:paraId="42ED2C3C"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16.9%</w:t>
            </w:r>
          </w:p>
        </w:tc>
        <w:tc>
          <w:tcPr>
            <w:tcW w:w="1179" w:type="dxa"/>
            <w:tcBorders>
              <w:top w:val="nil"/>
              <w:left w:val="nil"/>
              <w:bottom w:val="nil"/>
              <w:right w:val="nil"/>
            </w:tcBorders>
            <w:shd w:val="clear" w:color="auto" w:fill="auto"/>
            <w:noWrap/>
            <w:vAlign w:val="bottom"/>
            <w:hideMark/>
          </w:tcPr>
          <w:p w14:paraId="1FC6C374"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23.4%</w:t>
            </w:r>
          </w:p>
        </w:tc>
        <w:tc>
          <w:tcPr>
            <w:tcW w:w="1179" w:type="dxa"/>
            <w:tcBorders>
              <w:top w:val="nil"/>
              <w:left w:val="nil"/>
              <w:bottom w:val="nil"/>
              <w:right w:val="nil"/>
            </w:tcBorders>
            <w:shd w:val="clear" w:color="auto" w:fill="auto"/>
            <w:noWrap/>
            <w:vAlign w:val="bottom"/>
            <w:hideMark/>
          </w:tcPr>
          <w:p w14:paraId="274501D3"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37.3%</w:t>
            </w:r>
          </w:p>
        </w:tc>
        <w:tc>
          <w:tcPr>
            <w:tcW w:w="1179" w:type="dxa"/>
            <w:tcBorders>
              <w:top w:val="nil"/>
              <w:left w:val="nil"/>
              <w:bottom w:val="nil"/>
              <w:right w:val="nil"/>
            </w:tcBorders>
            <w:shd w:val="clear" w:color="auto" w:fill="auto"/>
            <w:noWrap/>
            <w:vAlign w:val="bottom"/>
            <w:hideMark/>
          </w:tcPr>
          <w:p w14:paraId="1D63B679"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14.9%</w:t>
            </w:r>
          </w:p>
        </w:tc>
        <w:tc>
          <w:tcPr>
            <w:tcW w:w="1179" w:type="dxa"/>
            <w:tcBorders>
              <w:top w:val="nil"/>
              <w:left w:val="nil"/>
              <w:bottom w:val="nil"/>
              <w:right w:val="nil"/>
            </w:tcBorders>
            <w:shd w:val="clear" w:color="auto" w:fill="auto"/>
            <w:noWrap/>
            <w:vAlign w:val="bottom"/>
            <w:hideMark/>
          </w:tcPr>
          <w:p w14:paraId="155C09FD"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100.0%</w:t>
            </w:r>
          </w:p>
        </w:tc>
      </w:tr>
      <w:tr w:rsidR="00710FC1" w:rsidRPr="00BB4A7B" w14:paraId="54AF31C5" w14:textId="77777777" w:rsidTr="00E250FE">
        <w:trPr>
          <w:trHeight w:val="300"/>
          <w:jc w:val="center"/>
        </w:trPr>
        <w:tc>
          <w:tcPr>
            <w:tcW w:w="1764" w:type="dxa"/>
            <w:tcBorders>
              <w:top w:val="nil"/>
              <w:left w:val="nil"/>
              <w:bottom w:val="nil"/>
              <w:right w:val="nil"/>
            </w:tcBorders>
            <w:shd w:val="clear" w:color="auto" w:fill="auto"/>
            <w:noWrap/>
            <w:vAlign w:val="bottom"/>
            <w:hideMark/>
          </w:tcPr>
          <w:p w14:paraId="715B231D" w14:textId="77777777" w:rsidR="00710FC1" w:rsidRPr="00BB4A7B" w:rsidRDefault="00710FC1" w:rsidP="00710FC1">
            <w:pPr>
              <w:spacing w:line="259" w:lineRule="auto"/>
              <w:jc w:val="lef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Cúcuta</w:t>
            </w:r>
          </w:p>
        </w:tc>
        <w:tc>
          <w:tcPr>
            <w:tcW w:w="1179" w:type="dxa"/>
            <w:tcBorders>
              <w:top w:val="nil"/>
              <w:left w:val="nil"/>
              <w:bottom w:val="nil"/>
              <w:right w:val="nil"/>
            </w:tcBorders>
            <w:shd w:val="clear" w:color="auto" w:fill="auto"/>
            <w:noWrap/>
            <w:vAlign w:val="bottom"/>
            <w:hideMark/>
          </w:tcPr>
          <w:p w14:paraId="505F01CD"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4.9%</w:t>
            </w:r>
          </w:p>
        </w:tc>
        <w:tc>
          <w:tcPr>
            <w:tcW w:w="1179" w:type="dxa"/>
            <w:tcBorders>
              <w:top w:val="nil"/>
              <w:left w:val="nil"/>
              <w:bottom w:val="nil"/>
              <w:right w:val="nil"/>
            </w:tcBorders>
            <w:shd w:val="clear" w:color="auto" w:fill="auto"/>
            <w:noWrap/>
            <w:vAlign w:val="bottom"/>
            <w:hideMark/>
          </w:tcPr>
          <w:p w14:paraId="67D4EF76"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25.9%</w:t>
            </w:r>
          </w:p>
        </w:tc>
        <w:tc>
          <w:tcPr>
            <w:tcW w:w="1179" w:type="dxa"/>
            <w:tcBorders>
              <w:top w:val="nil"/>
              <w:left w:val="nil"/>
              <w:bottom w:val="nil"/>
              <w:right w:val="nil"/>
            </w:tcBorders>
            <w:shd w:val="clear" w:color="auto" w:fill="auto"/>
            <w:noWrap/>
            <w:vAlign w:val="bottom"/>
            <w:hideMark/>
          </w:tcPr>
          <w:p w14:paraId="6EF36179"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24.7%</w:t>
            </w:r>
          </w:p>
        </w:tc>
        <w:tc>
          <w:tcPr>
            <w:tcW w:w="1179" w:type="dxa"/>
            <w:tcBorders>
              <w:top w:val="nil"/>
              <w:left w:val="nil"/>
              <w:bottom w:val="nil"/>
              <w:right w:val="nil"/>
            </w:tcBorders>
            <w:shd w:val="clear" w:color="auto" w:fill="auto"/>
            <w:noWrap/>
            <w:vAlign w:val="bottom"/>
            <w:hideMark/>
          </w:tcPr>
          <w:p w14:paraId="09EF5679"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38.3%</w:t>
            </w:r>
          </w:p>
        </w:tc>
        <w:tc>
          <w:tcPr>
            <w:tcW w:w="1179" w:type="dxa"/>
            <w:tcBorders>
              <w:top w:val="nil"/>
              <w:left w:val="nil"/>
              <w:bottom w:val="nil"/>
              <w:right w:val="nil"/>
            </w:tcBorders>
            <w:shd w:val="clear" w:color="auto" w:fill="auto"/>
            <w:noWrap/>
            <w:vAlign w:val="bottom"/>
            <w:hideMark/>
          </w:tcPr>
          <w:p w14:paraId="3DD508A5"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6.2%</w:t>
            </w:r>
          </w:p>
        </w:tc>
        <w:tc>
          <w:tcPr>
            <w:tcW w:w="1179" w:type="dxa"/>
            <w:tcBorders>
              <w:top w:val="nil"/>
              <w:left w:val="nil"/>
              <w:bottom w:val="nil"/>
              <w:right w:val="nil"/>
            </w:tcBorders>
            <w:shd w:val="clear" w:color="auto" w:fill="auto"/>
            <w:noWrap/>
            <w:vAlign w:val="bottom"/>
            <w:hideMark/>
          </w:tcPr>
          <w:p w14:paraId="30B96D9F"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100.0%</w:t>
            </w:r>
          </w:p>
        </w:tc>
      </w:tr>
      <w:tr w:rsidR="00710FC1" w:rsidRPr="00BB4A7B" w14:paraId="50836F59" w14:textId="77777777" w:rsidTr="00E250FE">
        <w:trPr>
          <w:trHeight w:val="300"/>
          <w:jc w:val="center"/>
        </w:trPr>
        <w:tc>
          <w:tcPr>
            <w:tcW w:w="1764" w:type="dxa"/>
            <w:tcBorders>
              <w:top w:val="nil"/>
              <w:left w:val="nil"/>
              <w:bottom w:val="nil"/>
              <w:right w:val="nil"/>
            </w:tcBorders>
            <w:shd w:val="clear" w:color="auto" w:fill="auto"/>
            <w:noWrap/>
            <w:vAlign w:val="bottom"/>
            <w:hideMark/>
          </w:tcPr>
          <w:p w14:paraId="60153791" w14:textId="77777777" w:rsidR="00710FC1" w:rsidRPr="00BB4A7B" w:rsidRDefault="00710FC1" w:rsidP="00710FC1">
            <w:pPr>
              <w:spacing w:line="259" w:lineRule="auto"/>
              <w:jc w:val="lef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Florencia</w:t>
            </w:r>
          </w:p>
        </w:tc>
        <w:tc>
          <w:tcPr>
            <w:tcW w:w="1179" w:type="dxa"/>
            <w:tcBorders>
              <w:top w:val="nil"/>
              <w:left w:val="nil"/>
              <w:bottom w:val="nil"/>
              <w:right w:val="nil"/>
            </w:tcBorders>
            <w:shd w:val="clear" w:color="auto" w:fill="auto"/>
            <w:noWrap/>
            <w:vAlign w:val="bottom"/>
            <w:hideMark/>
          </w:tcPr>
          <w:p w14:paraId="2901B02F"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2.7%</w:t>
            </w:r>
          </w:p>
        </w:tc>
        <w:tc>
          <w:tcPr>
            <w:tcW w:w="1179" w:type="dxa"/>
            <w:tcBorders>
              <w:top w:val="nil"/>
              <w:left w:val="nil"/>
              <w:bottom w:val="nil"/>
              <w:right w:val="nil"/>
            </w:tcBorders>
            <w:shd w:val="clear" w:color="auto" w:fill="auto"/>
            <w:noWrap/>
            <w:vAlign w:val="bottom"/>
            <w:hideMark/>
          </w:tcPr>
          <w:p w14:paraId="40D0D43D"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10.8%</w:t>
            </w:r>
          </w:p>
        </w:tc>
        <w:tc>
          <w:tcPr>
            <w:tcW w:w="1179" w:type="dxa"/>
            <w:tcBorders>
              <w:top w:val="nil"/>
              <w:left w:val="nil"/>
              <w:bottom w:val="nil"/>
              <w:right w:val="nil"/>
            </w:tcBorders>
            <w:shd w:val="clear" w:color="auto" w:fill="auto"/>
            <w:noWrap/>
            <w:vAlign w:val="bottom"/>
            <w:hideMark/>
          </w:tcPr>
          <w:p w14:paraId="266B07D8"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16.2%</w:t>
            </w:r>
          </w:p>
        </w:tc>
        <w:tc>
          <w:tcPr>
            <w:tcW w:w="1179" w:type="dxa"/>
            <w:tcBorders>
              <w:top w:val="nil"/>
              <w:left w:val="nil"/>
              <w:bottom w:val="nil"/>
              <w:right w:val="nil"/>
            </w:tcBorders>
            <w:shd w:val="clear" w:color="auto" w:fill="auto"/>
            <w:noWrap/>
            <w:vAlign w:val="bottom"/>
            <w:hideMark/>
          </w:tcPr>
          <w:p w14:paraId="7318C195"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45.9%</w:t>
            </w:r>
          </w:p>
        </w:tc>
        <w:tc>
          <w:tcPr>
            <w:tcW w:w="1179" w:type="dxa"/>
            <w:tcBorders>
              <w:top w:val="nil"/>
              <w:left w:val="nil"/>
              <w:bottom w:val="nil"/>
              <w:right w:val="nil"/>
            </w:tcBorders>
            <w:shd w:val="clear" w:color="auto" w:fill="auto"/>
            <w:noWrap/>
            <w:vAlign w:val="bottom"/>
            <w:hideMark/>
          </w:tcPr>
          <w:p w14:paraId="17C76259"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24.3%</w:t>
            </w:r>
          </w:p>
        </w:tc>
        <w:tc>
          <w:tcPr>
            <w:tcW w:w="1179" w:type="dxa"/>
            <w:tcBorders>
              <w:top w:val="nil"/>
              <w:left w:val="nil"/>
              <w:bottom w:val="nil"/>
              <w:right w:val="nil"/>
            </w:tcBorders>
            <w:shd w:val="clear" w:color="auto" w:fill="auto"/>
            <w:noWrap/>
            <w:vAlign w:val="bottom"/>
            <w:hideMark/>
          </w:tcPr>
          <w:p w14:paraId="5714B57D"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100.0%</w:t>
            </w:r>
          </w:p>
        </w:tc>
      </w:tr>
      <w:tr w:rsidR="00710FC1" w:rsidRPr="00BB4A7B" w14:paraId="092DA044" w14:textId="77777777" w:rsidTr="00E250FE">
        <w:trPr>
          <w:trHeight w:val="300"/>
          <w:jc w:val="center"/>
        </w:trPr>
        <w:tc>
          <w:tcPr>
            <w:tcW w:w="1764" w:type="dxa"/>
            <w:tcBorders>
              <w:top w:val="nil"/>
              <w:left w:val="nil"/>
              <w:bottom w:val="nil"/>
              <w:right w:val="nil"/>
            </w:tcBorders>
            <w:shd w:val="clear" w:color="auto" w:fill="auto"/>
            <w:noWrap/>
            <w:vAlign w:val="bottom"/>
            <w:hideMark/>
          </w:tcPr>
          <w:p w14:paraId="5D539B99" w14:textId="77777777" w:rsidR="00710FC1" w:rsidRPr="00BB4A7B" w:rsidRDefault="00710FC1" w:rsidP="00710FC1">
            <w:pPr>
              <w:spacing w:line="259" w:lineRule="auto"/>
              <w:jc w:val="lef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Ibagué</w:t>
            </w:r>
          </w:p>
        </w:tc>
        <w:tc>
          <w:tcPr>
            <w:tcW w:w="1179" w:type="dxa"/>
            <w:tcBorders>
              <w:top w:val="nil"/>
              <w:left w:val="nil"/>
              <w:bottom w:val="nil"/>
              <w:right w:val="nil"/>
            </w:tcBorders>
            <w:shd w:val="clear" w:color="auto" w:fill="auto"/>
            <w:noWrap/>
            <w:vAlign w:val="bottom"/>
            <w:hideMark/>
          </w:tcPr>
          <w:p w14:paraId="6B85167E"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6.3%</w:t>
            </w:r>
          </w:p>
        </w:tc>
        <w:tc>
          <w:tcPr>
            <w:tcW w:w="1179" w:type="dxa"/>
            <w:tcBorders>
              <w:top w:val="nil"/>
              <w:left w:val="nil"/>
              <w:bottom w:val="nil"/>
              <w:right w:val="nil"/>
            </w:tcBorders>
            <w:shd w:val="clear" w:color="auto" w:fill="auto"/>
            <w:noWrap/>
            <w:vAlign w:val="bottom"/>
            <w:hideMark/>
          </w:tcPr>
          <w:p w14:paraId="6BBCDEC6"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14.7%</w:t>
            </w:r>
          </w:p>
        </w:tc>
        <w:tc>
          <w:tcPr>
            <w:tcW w:w="1179" w:type="dxa"/>
            <w:tcBorders>
              <w:top w:val="nil"/>
              <w:left w:val="nil"/>
              <w:bottom w:val="nil"/>
              <w:right w:val="nil"/>
            </w:tcBorders>
            <w:shd w:val="clear" w:color="auto" w:fill="auto"/>
            <w:noWrap/>
            <w:vAlign w:val="bottom"/>
            <w:hideMark/>
          </w:tcPr>
          <w:p w14:paraId="47BB4DA3"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21.1%</w:t>
            </w:r>
          </w:p>
        </w:tc>
        <w:tc>
          <w:tcPr>
            <w:tcW w:w="1179" w:type="dxa"/>
            <w:tcBorders>
              <w:top w:val="nil"/>
              <w:left w:val="nil"/>
              <w:bottom w:val="nil"/>
              <w:right w:val="nil"/>
            </w:tcBorders>
            <w:shd w:val="clear" w:color="auto" w:fill="auto"/>
            <w:noWrap/>
            <w:vAlign w:val="bottom"/>
            <w:hideMark/>
          </w:tcPr>
          <w:p w14:paraId="779E3BDB"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47.4%</w:t>
            </w:r>
          </w:p>
        </w:tc>
        <w:tc>
          <w:tcPr>
            <w:tcW w:w="1179" w:type="dxa"/>
            <w:tcBorders>
              <w:top w:val="nil"/>
              <w:left w:val="nil"/>
              <w:bottom w:val="nil"/>
              <w:right w:val="nil"/>
            </w:tcBorders>
            <w:shd w:val="clear" w:color="auto" w:fill="auto"/>
            <w:noWrap/>
            <w:vAlign w:val="bottom"/>
            <w:hideMark/>
          </w:tcPr>
          <w:p w14:paraId="0C6B3201"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10.5%</w:t>
            </w:r>
          </w:p>
        </w:tc>
        <w:tc>
          <w:tcPr>
            <w:tcW w:w="1179" w:type="dxa"/>
            <w:tcBorders>
              <w:top w:val="nil"/>
              <w:left w:val="nil"/>
              <w:bottom w:val="nil"/>
              <w:right w:val="nil"/>
            </w:tcBorders>
            <w:shd w:val="clear" w:color="auto" w:fill="auto"/>
            <w:noWrap/>
            <w:vAlign w:val="bottom"/>
            <w:hideMark/>
          </w:tcPr>
          <w:p w14:paraId="076A0424"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100.0%</w:t>
            </w:r>
          </w:p>
        </w:tc>
      </w:tr>
      <w:tr w:rsidR="00710FC1" w:rsidRPr="00BB4A7B" w14:paraId="3FAEAEF7" w14:textId="77777777" w:rsidTr="00E250FE">
        <w:trPr>
          <w:trHeight w:val="300"/>
          <w:jc w:val="center"/>
        </w:trPr>
        <w:tc>
          <w:tcPr>
            <w:tcW w:w="1764" w:type="dxa"/>
            <w:tcBorders>
              <w:top w:val="nil"/>
              <w:left w:val="nil"/>
              <w:bottom w:val="nil"/>
              <w:right w:val="nil"/>
            </w:tcBorders>
            <w:shd w:val="clear" w:color="auto" w:fill="B4C6E7" w:themeFill="accent1" w:themeFillTint="66"/>
            <w:noWrap/>
            <w:vAlign w:val="bottom"/>
            <w:hideMark/>
          </w:tcPr>
          <w:p w14:paraId="3669F33F" w14:textId="77777777" w:rsidR="00710FC1" w:rsidRPr="00BB4A7B" w:rsidRDefault="00710FC1" w:rsidP="00710FC1">
            <w:pPr>
              <w:spacing w:line="259" w:lineRule="auto"/>
              <w:jc w:val="left"/>
              <w:rPr>
                <w:rFonts w:ascii="Times New Roman" w:eastAsia="Times New Roman" w:hAnsi="Times New Roman" w:cs="Times New Roman"/>
                <w:b/>
                <w:bCs/>
                <w:color w:val="000000"/>
                <w:sz w:val="18"/>
                <w:szCs w:val="18"/>
              </w:rPr>
            </w:pPr>
            <w:r w:rsidRPr="00BB4A7B">
              <w:rPr>
                <w:rFonts w:ascii="Times New Roman" w:eastAsia="Times New Roman" w:hAnsi="Times New Roman" w:cs="Times New Roman"/>
                <w:b/>
                <w:bCs/>
                <w:color w:val="000000"/>
                <w:sz w:val="18"/>
                <w:szCs w:val="18"/>
              </w:rPr>
              <w:t>Manizales</w:t>
            </w:r>
          </w:p>
        </w:tc>
        <w:tc>
          <w:tcPr>
            <w:tcW w:w="1179" w:type="dxa"/>
            <w:tcBorders>
              <w:top w:val="nil"/>
              <w:left w:val="nil"/>
              <w:bottom w:val="nil"/>
              <w:right w:val="nil"/>
            </w:tcBorders>
            <w:shd w:val="clear" w:color="auto" w:fill="B4C6E7" w:themeFill="accent1" w:themeFillTint="66"/>
            <w:noWrap/>
            <w:vAlign w:val="bottom"/>
            <w:hideMark/>
          </w:tcPr>
          <w:p w14:paraId="19A5879D" w14:textId="77777777" w:rsidR="00710FC1" w:rsidRPr="00BB4A7B" w:rsidRDefault="00710FC1" w:rsidP="00710FC1">
            <w:pPr>
              <w:spacing w:line="259" w:lineRule="auto"/>
              <w:jc w:val="right"/>
              <w:rPr>
                <w:rFonts w:ascii="Times New Roman" w:eastAsia="Times New Roman" w:hAnsi="Times New Roman" w:cs="Times New Roman"/>
                <w:b/>
                <w:bCs/>
                <w:color w:val="000000"/>
                <w:sz w:val="18"/>
                <w:szCs w:val="18"/>
              </w:rPr>
            </w:pPr>
            <w:r w:rsidRPr="00BB4A7B">
              <w:rPr>
                <w:rFonts w:ascii="Times New Roman" w:eastAsia="Times New Roman" w:hAnsi="Times New Roman" w:cs="Times New Roman"/>
                <w:b/>
                <w:bCs/>
                <w:color w:val="000000"/>
                <w:sz w:val="18"/>
                <w:szCs w:val="18"/>
              </w:rPr>
              <w:t>21.6%</w:t>
            </w:r>
          </w:p>
        </w:tc>
        <w:tc>
          <w:tcPr>
            <w:tcW w:w="1179" w:type="dxa"/>
            <w:tcBorders>
              <w:top w:val="nil"/>
              <w:left w:val="nil"/>
              <w:bottom w:val="nil"/>
              <w:right w:val="nil"/>
            </w:tcBorders>
            <w:shd w:val="clear" w:color="auto" w:fill="B4C6E7" w:themeFill="accent1" w:themeFillTint="66"/>
            <w:noWrap/>
            <w:vAlign w:val="bottom"/>
            <w:hideMark/>
          </w:tcPr>
          <w:p w14:paraId="7E504FB3" w14:textId="77777777" w:rsidR="00710FC1" w:rsidRPr="00BB4A7B" w:rsidRDefault="00710FC1" w:rsidP="00710FC1">
            <w:pPr>
              <w:spacing w:line="259" w:lineRule="auto"/>
              <w:jc w:val="right"/>
              <w:rPr>
                <w:rFonts w:ascii="Times New Roman" w:eastAsia="Times New Roman" w:hAnsi="Times New Roman" w:cs="Times New Roman"/>
                <w:b/>
                <w:bCs/>
                <w:color w:val="000000"/>
                <w:sz w:val="18"/>
                <w:szCs w:val="18"/>
              </w:rPr>
            </w:pPr>
            <w:r w:rsidRPr="00BB4A7B">
              <w:rPr>
                <w:rFonts w:ascii="Times New Roman" w:eastAsia="Times New Roman" w:hAnsi="Times New Roman" w:cs="Times New Roman"/>
                <w:b/>
                <w:bCs/>
                <w:color w:val="000000"/>
                <w:sz w:val="18"/>
                <w:szCs w:val="18"/>
              </w:rPr>
              <w:t>29.8%</w:t>
            </w:r>
          </w:p>
        </w:tc>
        <w:tc>
          <w:tcPr>
            <w:tcW w:w="1179" w:type="dxa"/>
            <w:tcBorders>
              <w:top w:val="nil"/>
              <w:left w:val="nil"/>
              <w:bottom w:val="nil"/>
              <w:right w:val="nil"/>
            </w:tcBorders>
            <w:shd w:val="clear" w:color="auto" w:fill="B4C6E7" w:themeFill="accent1" w:themeFillTint="66"/>
            <w:noWrap/>
            <w:vAlign w:val="bottom"/>
            <w:hideMark/>
          </w:tcPr>
          <w:p w14:paraId="6A0E72AC" w14:textId="77777777" w:rsidR="00710FC1" w:rsidRPr="00BB4A7B" w:rsidRDefault="00710FC1" w:rsidP="00710FC1">
            <w:pPr>
              <w:spacing w:line="259" w:lineRule="auto"/>
              <w:jc w:val="right"/>
              <w:rPr>
                <w:rFonts w:ascii="Times New Roman" w:eastAsia="Times New Roman" w:hAnsi="Times New Roman" w:cs="Times New Roman"/>
                <w:b/>
                <w:bCs/>
                <w:color w:val="000000"/>
                <w:sz w:val="18"/>
                <w:szCs w:val="18"/>
              </w:rPr>
            </w:pPr>
            <w:r w:rsidRPr="00BB4A7B">
              <w:rPr>
                <w:rFonts w:ascii="Times New Roman" w:eastAsia="Times New Roman" w:hAnsi="Times New Roman" w:cs="Times New Roman"/>
                <w:b/>
                <w:bCs/>
                <w:color w:val="000000"/>
                <w:sz w:val="18"/>
                <w:szCs w:val="18"/>
              </w:rPr>
              <w:t>23.4%</w:t>
            </w:r>
          </w:p>
        </w:tc>
        <w:tc>
          <w:tcPr>
            <w:tcW w:w="1179" w:type="dxa"/>
            <w:tcBorders>
              <w:top w:val="nil"/>
              <w:left w:val="nil"/>
              <w:bottom w:val="nil"/>
              <w:right w:val="nil"/>
            </w:tcBorders>
            <w:shd w:val="clear" w:color="auto" w:fill="B4C6E7" w:themeFill="accent1" w:themeFillTint="66"/>
            <w:noWrap/>
            <w:vAlign w:val="bottom"/>
            <w:hideMark/>
          </w:tcPr>
          <w:p w14:paraId="47521902" w14:textId="77777777" w:rsidR="00710FC1" w:rsidRPr="00BB4A7B" w:rsidRDefault="00710FC1" w:rsidP="00710FC1">
            <w:pPr>
              <w:spacing w:line="259" w:lineRule="auto"/>
              <w:jc w:val="right"/>
              <w:rPr>
                <w:rFonts w:ascii="Times New Roman" w:eastAsia="Times New Roman" w:hAnsi="Times New Roman" w:cs="Times New Roman"/>
                <w:b/>
                <w:bCs/>
                <w:color w:val="000000"/>
                <w:sz w:val="18"/>
                <w:szCs w:val="18"/>
              </w:rPr>
            </w:pPr>
            <w:r w:rsidRPr="00BB4A7B">
              <w:rPr>
                <w:rFonts w:ascii="Times New Roman" w:eastAsia="Times New Roman" w:hAnsi="Times New Roman" w:cs="Times New Roman"/>
                <w:b/>
                <w:bCs/>
                <w:color w:val="000000"/>
                <w:sz w:val="18"/>
                <w:szCs w:val="18"/>
              </w:rPr>
              <w:t>21.1%</w:t>
            </w:r>
          </w:p>
        </w:tc>
        <w:tc>
          <w:tcPr>
            <w:tcW w:w="1179" w:type="dxa"/>
            <w:tcBorders>
              <w:top w:val="nil"/>
              <w:left w:val="nil"/>
              <w:bottom w:val="nil"/>
              <w:right w:val="nil"/>
            </w:tcBorders>
            <w:shd w:val="clear" w:color="auto" w:fill="B4C6E7" w:themeFill="accent1" w:themeFillTint="66"/>
            <w:noWrap/>
            <w:vAlign w:val="bottom"/>
            <w:hideMark/>
          </w:tcPr>
          <w:p w14:paraId="33964A7A" w14:textId="77777777" w:rsidR="00710FC1" w:rsidRPr="00BB4A7B" w:rsidRDefault="00710FC1" w:rsidP="00710FC1">
            <w:pPr>
              <w:spacing w:line="259" w:lineRule="auto"/>
              <w:jc w:val="right"/>
              <w:rPr>
                <w:rFonts w:ascii="Times New Roman" w:eastAsia="Times New Roman" w:hAnsi="Times New Roman" w:cs="Times New Roman"/>
                <w:b/>
                <w:bCs/>
                <w:color w:val="000000"/>
                <w:sz w:val="18"/>
                <w:szCs w:val="18"/>
              </w:rPr>
            </w:pPr>
            <w:r w:rsidRPr="00BB4A7B">
              <w:rPr>
                <w:rFonts w:ascii="Times New Roman" w:eastAsia="Times New Roman" w:hAnsi="Times New Roman" w:cs="Times New Roman"/>
                <w:b/>
                <w:bCs/>
                <w:color w:val="000000"/>
                <w:sz w:val="18"/>
                <w:szCs w:val="18"/>
              </w:rPr>
              <w:t>4.1%</w:t>
            </w:r>
          </w:p>
        </w:tc>
        <w:tc>
          <w:tcPr>
            <w:tcW w:w="1179" w:type="dxa"/>
            <w:tcBorders>
              <w:top w:val="nil"/>
              <w:left w:val="nil"/>
              <w:bottom w:val="nil"/>
              <w:right w:val="nil"/>
            </w:tcBorders>
            <w:shd w:val="clear" w:color="auto" w:fill="B4C6E7" w:themeFill="accent1" w:themeFillTint="66"/>
            <w:noWrap/>
            <w:vAlign w:val="bottom"/>
            <w:hideMark/>
          </w:tcPr>
          <w:p w14:paraId="27B4019D" w14:textId="77777777" w:rsidR="00710FC1" w:rsidRPr="00BB4A7B" w:rsidRDefault="00710FC1" w:rsidP="00710FC1">
            <w:pPr>
              <w:spacing w:line="259" w:lineRule="auto"/>
              <w:jc w:val="right"/>
              <w:rPr>
                <w:rFonts w:ascii="Times New Roman" w:eastAsia="Times New Roman" w:hAnsi="Times New Roman" w:cs="Times New Roman"/>
                <w:b/>
                <w:bCs/>
                <w:color w:val="000000"/>
                <w:sz w:val="18"/>
                <w:szCs w:val="18"/>
              </w:rPr>
            </w:pPr>
            <w:r w:rsidRPr="00BB4A7B">
              <w:rPr>
                <w:rFonts w:ascii="Times New Roman" w:eastAsia="Times New Roman" w:hAnsi="Times New Roman" w:cs="Times New Roman"/>
                <w:b/>
                <w:bCs/>
                <w:color w:val="000000"/>
                <w:sz w:val="18"/>
                <w:szCs w:val="18"/>
              </w:rPr>
              <w:t>100.0%</w:t>
            </w:r>
          </w:p>
        </w:tc>
      </w:tr>
      <w:tr w:rsidR="00710FC1" w:rsidRPr="00BB4A7B" w14:paraId="0C14F66D" w14:textId="77777777" w:rsidTr="00E250FE">
        <w:trPr>
          <w:trHeight w:val="300"/>
          <w:jc w:val="center"/>
        </w:trPr>
        <w:tc>
          <w:tcPr>
            <w:tcW w:w="1764" w:type="dxa"/>
            <w:tcBorders>
              <w:top w:val="nil"/>
              <w:left w:val="nil"/>
              <w:bottom w:val="nil"/>
              <w:right w:val="nil"/>
            </w:tcBorders>
            <w:shd w:val="clear" w:color="auto" w:fill="auto"/>
            <w:noWrap/>
            <w:vAlign w:val="bottom"/>
            <w:hideMark/>
          </w:tcPr>
          <w:p w14:paraId="2B7B05C9" w14:textId="77777777" w:rsidR="00710FC1" w:rsidRPr="00BB4A7B" w:rsidRDefault="00710FC1" w:rsidP="00710FC1">
            <w:pPr>
              <w:spacing w:line="259" w:lineRule="auto"/>
              <w:jc w:val="lef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Medellín</w:t>
            </w:r>
          </w:p>
        </w:tc>
        <w:tc>
          <w:tcPr>
            <w:tcW w:w="1179" w:type="dxa"/>
            <w:tcBorders>
              <w:top w:val="nil"/>
              <w:left w:val="nil"/>
              <w:bottom w:val="nil"/>
              <w:right w:val="nil"/>
            </w:tcBorders>
            <w:shd w:val="clear" w:color="auto" w:fill="auto"/>
            <w:noWrap/>
            <w:vAlign w:val="bottom"/>
            <w:hideMark/>
          </w:tcPr>
          <w:p w14:paraId="2999B182"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25.8%</w:t>
            </w:r>
          </w:p>
        </w:tc>
        <w:tc>
          <w:tcPr>
            <w:tcW w:w="1179" w:type="dxa"/>
            <w:tcBorders>
              <w:top w:val="nil"/>
              <w:left w:val="nil"/>
              <w:bottom w:val="nil"/>
              <w:right w:val="nil"/>
            </w:tcBorders>
            <w:shd w:val="clear" w:color="auto" w:fill="auto"/>
            <w:noWrap/>
            <w:vAlign w:val="bottom"/>
            <w:hideMark/>
          </w:tcPr>
          <w:p w14:paraId="083B98A1"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24.8%</w:t>
            </w:r>
          </w:p>
        </w:tc>
        <w:tc>
          <w:tcPr>
            <w:tcW w:w="1179" w:type="dxa"/>
            <w:tcBorders>
              <w:top w:val="nil"/>
              <w:left w:val="nil"/>
              <w:bottom w:val="nil"/>
              <w:right w:val="nil"/>
            </w:tcBorders>
            <w:shd w:val="clear" w:color="auto" w:fill="auto"/>
            <w:noWrap/>
            <w:vAlign w:val="bottom"/>
            <w:hideMark/>
          </w:tcPr>
          <w:p w14:paraId="715B0824"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18.7%</w:t>
            </w:r>
          </w:p>
        </w:tc>
        <w:tc>
          <w:tcPr>
            <w:tcW w:w="1179" w:type="dxa"/>
            <w:tcBorders>
              <w:top w:val="nil"/>
              <w:left w:val="nil"/>
              <w:bottom w:val="nil"/>
              <w:right w:val="nil"/>
            </w:tcBorders>
            <w:shd w:val="clear" w:color="auto" w:fill="auto"/>
            <w:noWrap/>
            <w:vAlign w:val="bottom"/>
            <w:hideMark/>
          </w:tcPr>
          <w:p w14:paraId="4C543AFF"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26.0%</w:t>
            </w:r>
          </w:p>
        </w:tc>
        <w:tc>
          <w:tcPr>
            <w:tcW w:w="1179" w:type="dxa"/>
            <w:tcBorders>
              <w:top w:val="nil"/>
              <w:left w:val="nil"/>
              <w:bottom w:val="nil"/>
              <w:right w:val="nil"/>
            </w:tcBorders>
            <w:shd w:val="clear" w:color="auto" w:fill="auto"/>
            <w:noWrap/>
            <w:vAlign w:val="bottom"/>
            <w:hideMark/>
          </w:tcPr>
          <w:p w14:paraId="56683475"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4.7%</w:t>
            </w:r>
          </w:p>
        </w:tc>
        <w:tc>
          <w:tcPr>
            <w:tcW w:w="1179" w:type="dxa"/>
            <w:tcBorders>
              <w:top w:val="nil"/>
              <w:left w:val="nil"/>
              <w:bottom w:val="nil"/>
              <w:right w:val="nil"/>
            </w:tcBorders>
            <w:shd w:val="clear" w:color="auto" w:fill="auto"/>
            <w:noWrap/>
            <w:vAlign w:val="bottom"/>
            <w:hideMark/>
          </w:tcPr>
          <w:p w14:paraId="76B154F3"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100.0%</w:t>
            </w:r>
          </w:p>
        </w:tc>
      </w:tr>
      <w:tr w:rsidR="00710FC1" w:rsidRPr="00BB4A7B" w14:paraId="5FB65B45" w14:textId="77777777" w:rsidTr="00E250FE">
        <w:trPr>
          <w:trHeight w:val="300"/>
          <w:jc w:val="center"/>
        </w:trPr>
        <w:tc>
          <w:tcPr>
            <w:tcW w:w="1764" w:type="dxa"/>
            <w:tcBorders>
              <w:top w:val="nil"/>
              <w:left w:val="nil"/>
              <w:bottom w:val="nil"/>
              <w:right w:val="nil"/>
            </w:tcBorders>
            <w:shd w:val="clear" w:color="auto" w:fill="auto"/>
            <w:noWrap/>
            <w:vAlign w:val="bottom"/>
            <w:hideMark/>
          </w:tcPr>
          <w:p w14:paraId="1B3E68B9" w14:textId="77777777" w:rsidR="00710FC1" w:rsidRPr="00BB4A7B" w:rsidRDefault="00710FC1" w:rsidP="00710FC1">
            <w:pPr>
              <w:spacing w:line="259" w:lineRule="auto"/>
              <w:jc w:val="lef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Montería</w:t>
            </w:r>
          </w:p>
        </w:tc>
        <w:tc>
          <w:tcPr>
            <w:tcW w:w="1179" w:type="dxa"/>
            <w:tcBorders>
              <w:top w:val="nil"/>
              <w:left w:val="nil"/>
              <w:bottom w:val="nil"/>
              <w:right w:val="nil"/>
            </w:tcBorders>
            <w:shd w:val="clear" w:color="auto" w:fill="auto"/>
            <w:noWrap/>
            <w:vAlign w:val="bottom"/>
            <w:hideMark/>
          </w:tcPr>
          <w:p w14:paraId="444452BB"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12.5%</w:t>
            </w:r>
          </w:p>
        </w:tc>
        <w:tc>
          <w:tcPr>
            <w:tcW w:w="1179" w:type="dxa"/>
            <w:tcBorders>
              <w:top w:val="nil"/>
              <w:left w:val="nil"/>
              <w:bottom w:val="nil"/>
              <w:right w:val="nil"/>
            </w:tcBorders>
            <w:shd w:val="clear" w:color="auto" w:fill="auto"/>
            <w:noWrap/>
            <w:vAlign w:val="bottom"/>
            <w:hideMark/>
          </w:tcPr>
          <w:p w14:paraId="0C269B64"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21.3%</w:t>
            </w:r>
          </w:p>
        </w:tc>
        <w:tc>
          <w:tcPr>
            <w:tcW w:w="1179" w:type="dxa"/>
            <w:tcBorders>
              <w:top w:val="nil"/>
              <w:left w:val="nil"/>
              <w:bottom w:val="nil"/>
              <w:right w:val="nil"/>
            </w:tcBorders>
            <w:shd w:val="clear" w:color="auto" w:fill="auto"/>
            <w:noWrap/>
            <w:vAlign w:val="bottom"/>
            <w:hideMark/>
          </w:tcPr>
          <w:p w14:paraId="4023FB6F"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27.5%</w:t>
            </w:r>
          </w:p>
        </w:tc>
        <w:tc>
          <w:tcPr>
            <w:tcW w:w="1179" w:type="dxa"/>
            <w:tcBorders>
              <w:top w:val="nil"/>
              <w:left w:val="nil"/>
              <w:bottom w:val="nil"/>
              <w:right w:val="nil"/>
            </w:tcBorders>
            <w:shd w:val="clear" w:color="auto" w:fill="auto"/>
            <w:noWrap/>
            <w:vAlign w:val="bottom"/>
            <w:hideMark/>
          </w:tcPr>
          <w:p w14:paraId="3F719C54"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35.0%</w:t>
            </w:r>
          </w:p>
        </w:tc>
        <w:tc>
          <w:tcPr>
            <w:tcW w:w="1179" w:type="dxa"/>
            <w:tcBorders>
              <w:top w:val="nil"/>
              <w:left w:val="nil"/>
              <w:bottom w:val="nil"/>
              <w:right w:val="nil"/>
            </w:tcBorders>
            <w:shd w:val="clear" w:color="auto" w:fill="auto"/>
            <w:noWrap/>
            <w:vAlign w:val="bottom"/>
            <w:hideMark/>
          </w:tcPr>
          <w:p w14:paraId="0487158A"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3.8%</w:t>
            </w:r>
          </w:p>
        </w:tc>
        <w:tc>
          <w:tcPr>
            <w:tcW w:w="1179" w:type="dxa"/>
            <w:tcBorders>
              <w:top w:val="nil"/>
              <w:left w:val="nil"/>
              <w:bottom w:val="nil"/>
              <w:right w:val="nil"/>
            </w:tcBorders>
            <w:shd w:val="clear" w:color="auto" w:fill="auto"/>
            <w:noWrap/>
            <w:vAlign w:val="bottom"/>
            <w:hideMark/>
          </w:tcPr>
          <w:p w14:paraId="4D520C80"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100.0%</w:t>
            </w:r>
          </w:p>
        </w:tc>
      </w:tr>
      <w:tr w:rsidR="00710FC1" w:rsidRPr="00BB4A7B" w14:paraId="725E09D2" w14:textId="77777777" w:rsidTr="00E250FE">
        <w:trPr>
          <w:trHeight w:val="300"/>
          <w:jc w:val="center"/>
        </w:trPr>
        <w:tc>
          <w:tcPr>
            <w:tcW w:w="1764" w:type="dxa"/>
            <w:tcBorders>
              <w:top w:val="nil"/>
              <w:left w:val="nil"/>
              <w:bottom w:val="nil"/>
              <w:right w:val="nil"/>
            </w:tcBorders>
            <w:shd w:val="clear" w:color="auto" w:fill="auto"/>
            <w:noWrap/>
            <w:vAlign w:val="bottom"/>
            <w:hideMark/>
          </w:tcPr>
          <w:p w14:paraId="71D85EEC" w14:textId="77777777" w:rsidR="00710FC1" w:rsidRPr="00BB4A7B" w:rsidRDefault="00710FC1" w:rsidP="00710FC1">
            <w:pPr>
              <w:spacing w:line="259" w:lineRule="auto"/>
              <w:jc w:val="lef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Neiva</w:t>
            </w:r>
          </w:p>
        </w:tc>
        <w:tc>
          <w:tcPr>
            <w:tcW w:w="1179" w:type="dxa"/>
            <w:tcBorders>
              <w:top w:val="nil"/>
              <w:left w:val="nil"/>
              <w:bottom w:val="nil"/>
              <w:right w:val="nil"/>
            </w:tcBorders>
            <w:shd w:val="clear" w:color="auto" w:fill="auto"/>
            <w:noWrap/>
            <w:vAlign w:val="bottom"/>
            <w:hideMark/>
          </w:tcPr>
          <w:p w14:paraId="14BE836A"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4.2%</w:t>
            </w:r>
          </w:p>
        </w:tc>
        <w:tc>
          <w:tcPr>
            <w:tcW w:w="1179" w:type="dxa"/>
            <w:tcBorders>
              <w:top w:val="nil"/>
              <w:left w:val="nil"/>
              <w:bottom w:val="nil"/>
              <w:right w:val="nil"/>
            </w:tcBorders>
            <w:shd w:val="clear" w:color="auto" w:fill="auto"/>
            <w:noWrap/>
            <w:vAlign w:val="bottom"/>
            <w:hideMark/>
          </w:tcPr>
          <w:p w14:paraId="6BC440C3"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12.7%</w:t>
            </w:r>
          </w:p>
        </w:tc>
        <w:tc>
          <w:tcPr>
            <w:tcW w:w="1179" w:type="dxa"/>
            <w:tcBorders>
              <w:top w:val="nil"/>
              <w:left w:val="nil"/>
              <w:bottom w:val="nil"/>
              <w:right w:val="nil"/>
            </w:tcBorders>
            <w:shd w:val="clear" w:color="auto" w:fill="auto"/>
            <w:noWrap/>
            <w:vAlign w:val="bottom"/>
            <w:hideMark/>
          </w:tcPr>
          <w:p w14:paraId="62F56F13"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25.4%</w:t>
            </w:r>
          </w:p>
        </w:tc>
        <w:tc>
          <w:tcPr>
            <w:tcW w:w="1179" w:type="dxa"/>
            <w:tcBorders>
              <w:top w:val="nil"/>
              <w:left w:val="nil"/>
              <w:bottom w:val="nil"/>
              <w:right w:val="nil"/>
            </w:tcBorders>
            <w:shd w:val="clear" w:color="auto" w:fill="auto"/>
            <w:noWrap/>
            <w:vAlign w:val="bottom"/>
            <w:hideMark/>
          </w:tcPr>
          <w:p w14:paraId="7CB31E04"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52.1%</w:t>
            </w:r>
          </w:p>
        </w:tc>
        <w:tc>
          <w:tcPr>
            <w:tcW w:w="1179" w:type="dxa"/>
            <w:tcBorders>
              <w:top w:val="nil"/>
              <w:left w:val="nil"/>
              <w:bottom w:val="nil"/>
              <w:right w:val="nil"/>
            </w:tcBorders>
            <w:shd w:val="clear" w:color="auto" w:fill="auto"/>
            <w:noWrap/>
            <w:vAlign w:val="bottom"/>
            <w:hideMark/>
          </w:tcPr>
          <w:p w14:paraId="7E9371CA"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5.6%</w:t>
            </w:r>
          </w:p>
        </w:tc>
        <w:tc>
          <w:tcPr>
            <w:tcW w:w="1179" w:type="dxa"/>
            <w:tcBorders>
              <w:top w:val="nil"/>
              <w:left w:val="nil"/>
              <w:bottom w:val="nil"/>
              <w:right w:val="nil"/>
            </w:tcBorders>
            <w:shd w:val="clear" w:color="auto" w:fill="auto"/>
            <w:noWrap/>
            <w:vAlign w:val="bottom"/>
            <w:hideMark/>
          </w:tcPr>
          <w:p w14:paraId="798159C6"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100.0%</w:t>
            </w:r>
          </w:p>
        </w:tc>
      </w:tr>
      <w:tr w:rsidR="00710FC1" w:rsidRPr="00BB4A7B" w14:paraId="73B0E6C1" w14:textId="77777777" w:rsidTr="00E250FE">
        <w:trPr>
          <w:trHeight w:val="300"/>
          <w:jc w:val="center"/>
        </w:trPr>
        <w:tc>
          <w:tcPr>
            <w:tcW w:w="1764" w:type="dxa"/>
            <w:tcBorders>
              <w:top w:val="nil"/>
              <w:left w:val="nil"/>
              <w:bottom w:val="nil"/>
              <w:right w:val="nil"/>
            </w:tcBorders>
            <w:shd w:val="clear" w:color="auto" w:fill="auto"/>
            <w:noWrap/>
            <w:vAlign w:val="bottom"/>
            <w:hideMark/>
          </w:tcPr>
          <w:p w14:paraId="1CABB819" w14:textId="77777777" w:rsidR="00710FC1" w:rsidRPr="00BB4A7B" w:rsidRDefault="00710FC1" w:rsidP="00710FC1">
            <w:pPr>
              <w:spacing w:line="259" w:lineRule="auto"/>
              <w:jc w:val="lef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Pasto</w:t>
            </w:r>
          </w:p>
        </w:tc>
        <w:tc>
          <w:tcPr>
            <w:tcW w:w="1179" w:type="dxa"/>
            <w:tcBorders>
              <w:top w:val="nil"/>
              <w:left w:val="nil"/>
              <w:bottom w:val="nil"/>
              <w:right w:val="nil"/>
            </w:tcBorders>
            <w:shd w:val="clear" w:color="auto" w:fill="auto"/>
            <w:noWrap/>
            <w:vAlign w:val="bottom"/>
            <w:hideMark/>
          </w:tcPr>
          <w:p w14:paraId="02C265D6"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1.7%</w:t>
            </w:r>
          </w:p>
        </w:tc>
        <w:tc>
          <w:tcPr>
            <w:tcW w:w="1179" w:type="dxa"/>
            <w:tcBorders>
              <w:top w:val="nil"/>
              <w:left w:val="nil"/>
              <w:bottom w:val="nil"/>
              <w:right w:val="nil"/>
            </w:tcBorders>
            <w:shd w:val="clear" w:color="auto" w:fill="auto"/>
            <w:noWrap/>
            <w:vAlign w:val="bottom"/>
            <w:hideMark/>
          </w:tcPr>
          <w:p w14:paraId="76C9728B"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7.8%</w:t>
            </w:r>
          </w:p>
        </w:tc>
        <w:tc>
          <w:tcPr>
            <w:tcW w:w="1179" w:type="dxa"/>
            <w:tcBorders>
              <w:top w:val="nil"/>
              <w:left w:val="nil"/>
              <w:bottom w:val="nil"/>
              <w:right w:val="nil"/>
            </w:tcBorders>
            <w:shd w:val="clear" w:color="auto" w:fill="auto"/>
            <w:noWrap/>
            <w:vAlign w:val="bottom"/>
            <w:hideMark/>
          </w:tcPr>
          <w:p w14:paraId="293C3A5B"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26.7%</w:t>
            </w:r>
          </w:p>
        </w:tc>
        <w:tc>
          <w:tcPr>
            <w:tcW w:w="1179" w:type="dxa"/>
            <w:tcBorders>
              <w:top w:val="nil"/>
              <w:left w:val="nil"/>
              <w:bottom w:val="nil"/>
              <w:right w:val="nil"/>
            </w:tcBorders>
            <w:shd w:val="clear" w:color="auto" w:fill="auto"/>
            <w:noWrap/>
            <w:vAlign w:val="bottom"/>
            <w:hideMark/>
          </w:tcPr>
          <w:p w14:paraId="06978935"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57.8%</w:t>
            </w:r>
          </w:p>
        </w:tc>
        <w:tc>
          <w:tcPr>
            <w:tcW w:w="1179" w:type="dxa"/>
            <w:tcBorders>
              <w:top w:val="nil"/>
              <w:left w:val="nil"/>
              <w:bottom w:val="nil"/>
              <w:right w:val="nil"/>
            </w:tcBorders>
            <w:shd w:val="clear" w:color="auto" w:fill="auto"/>
            <w:noWrap/>
            <w:vAlign w:val="bottom"/>
            <w:hideMark/>
          </w:tcPr>
          <w:p w14:paraId="7E77690D"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6.0%</w:t>
            </w:r>
          </w:p>
        </w:tc>
        <w:tc>
          <w:tcPr>
            <w:tcW w:w="1179" w:type="dxa"/>
            <w:tcBorders>
              <w:top w:val="nil"/>
              <w:left w:val="nil"/>
              <w:bottom w:val="nil"/>
              <w:right w:val="nil"/>
            </w:tcBorders>
            <w:shd w:val="clear" w:color="auto" w:fill="auto"/>
            <w:noWrap/>
            <w:vAlign w:val="bottom"/>
            <w:hideMark/>
          </w:tcPr>
          <w:p w14:paraId="46061DC5"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100.0%</w:t>
            </w:r>
          </w:p>
        </w:tc>
      </w:tr>
      <w:tr w:rsidR="00710FC1" w:rsidRPr="00BB4A7B" w14:paraId="43DD3E7B" w14:textId="77777777" w:rsidTr="00E250FE">
        <w:trPr>
          <w:trHeight w:val="300"/>
          <w:jc w:val="center"/>
        </w:trPr>
        <w:tc>
          <w:tcPr>
            <w:tcW w:w="1764" w:type="dxa"/>
            <w:tcBorders>
              <w:top w:val="nil"/>
              <w:left w:val="nil"/>
              <w:bottom w:val="nil"/>
              <w:right w:val="nil"/>
            </w:tcBorders>
            <w:shd w:val="clear" w:color="auto" w:fill="auto"/>
            <w:noWrap/>
            <w:vAlign w:val="bottom"/>
            <w:hideMark/>
          </w:tcPr>
          <w:p w14:paraId="6491724C" w14:textId="77777777" w:rsidR="00710FC1" w:rsidRPr="00BB4A7B" w:rsidRDefault="00710FC1" w:rsidP="00710FC1">
            <w:pPr>
              <w:spacing w:line="259" w:lineRule="auto"/>
              <w:jc w:val="lef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Pereira</w:t>
            </w:r>
          </w:p>
        </w:tc>
        <w:tc>
          <w:tcPr>
            <w:tcW w:w="1179" w:type="dxa"/>
            <w:tcBorders>
              <w:top w:val="nil"/>
              <w:left w:val="nil"/>
              <w:bottom w:val="nil"/>
              <w:right w:val="nil"/>
            </w:tcBorders>
            <w:shd w:val="clear" w:color="auto" w:fill="auto"/>
            <w:noWrap/>
            <w:vAlign w:val="bottom"/>
            <w:hideMark/>
          </w:tcPr>
          <w:p w14:paraId="3ADAB4F0"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10.8%</w:t>
            </w:r>
          </w:p>
        </w:tc>
        <w:tc>
          <w:tcPr>
            <w:tcW w:w="1179" w:type="dxa"/>
            <w:tcBorders>
              <w:top w:val="nil"/>
              <w:left w:val="nil"/>
              <w:bottom w:val="nil"/>
              <w:right w:val="nil"/>
            </w:tcBorders>
            <w:shd w:val="clear" w:color="auto" w:fill="auto"/>
            <w:noWrap/>
            <w:vAlign w:val="bottom"/>
            <w:hideMark/>
          </w:tcPr>
          <w:p w14:paraId="735C212B"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19.1%</w:t>
            </w:r>
          </w:p>
        </w:tc>
        <w:tc>
          <w:tcPr>
            <w:tcW w:w="1179" w:type="dxa"/>
            <w:tcBorders>
              <w:top w:val="nil"/>
              <w:left w:val="nil"/>
              <w:bottom w:val="nil"/>
              <w:right w:val="nil"/>
            </w:tcBorders>
            <w:shd w:val="clear" w:color="auto" w:fill="auto"/>
            <w:noWrap/>
            <w:vAlign w:val="bottom"/>
            <w:hideMark/>
          </w:tcPr>
          <w:p w14:paraId="3071617D"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26.1%</w:t>
            </w:r>
          </w:p>
        </w:tc>
        <w:tc>
          <w:tcPr>
            <w:tcW w:w="1179" w:type="dxa"/>
            <w:tcBorders>
              <w:top w:val="nil"/>
              <w:left w:val="nil"/>
              <w:bottom w:val="nil"/>
              <w:right w:val="nil"/>
            </w:tcBorders>
            <w:shd w:val="clear" w:color="auto" w:fill="auto"/>
            <w:noWrap/>
            <w:vAlign w:val="bottom"/>
            <w:hideMark/>
          </w:tcPr>
          <w:p w14:paraId="08B5BD6C"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36.3%</w:t>
            </w:r>
          </w:p>
        </w:tc>
        <w:tc>
          <w:tcPr>
            <w:tcW w:w="1179" w:type="dxa"/>
            <w:tcBorders>
              <w:top w:val="nil"/>
              <w:left w:val="nil"/>
              <w:bottom w:val="nil"/>
              <w:right w:val="nil"/>
            </w:tcBorders>
            <w:shd w:val="clear" w:color="auto" w:fill="auto"/>
            <w:noWrap/>
            <w:vAlign w:val="bottom"/>
            <w:hideMark/>
          </w:tcPr>
          <w:p w14:paraId="3F3096E0"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7.6%</w:t>
            </w:r>
          </w:p>
        </w:tc>
        <w:tc>
          <w:tcPr>
            <w:tcW w:w="1179" w:type="dxa"/>
            <w:tcBorders>
              <w:top w:val="nil"/>
              <w:left w:val="nil"/>
              <w:bottom w:val="nil"/>
              <w:right w:val="nil"/>
            </w:tcBorders>
            <w:shd w:val="clear" w:color="auto" w:fill="auto"/>
            <w:noWrap/>
            <w:vAlign w:val="bottom"/>
            <w:hideMark/>
          </w:tcPr>
          <w:p w14:paraId="4618E385"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100.0%</w:t>
            </w:r>
          </w:p>
        </w:tc>
      </w:tr>
      <w:tr w:rsidR="00710FC1" w:rsidRPr="00BB4A7B" w14:paraId="41BDFFC5" w14:textId="77777777" w:rsidTr="00E250FE">
        <w:trPr>
          <w:trHeight w:val="300"/>
          <w:jc w:val="center"/>
        </w:trPr>
        <w:tc>
          <w:tcPr>
            <w:tcW w:w="1764" w:type="dxa"/>
            <w:tcBorders>
              <w:top w:val="nil"/>
              <w:left w:val="nil"/>
              <w:bottom w:val="nil"/>
              <w:right w:val="nil"/>
            </w:tcBorders>
            <w:shd w:val="clear" w:color="auto" w:fill="auto"/>
            <w:noWrap/>
            <w:vAlign w:val="bottom"/>
            <w:hideMark/>
          </w:tcPr>
          <w:p w14:paraId="19B2D45F" w14:textId="77777777" w:rsidR="00710FC1" w:rsidRPr="00BB4A7B" w:rsidRDefault="00710FC1" w:rsidP="00710FC1">
            <w:pPr>
              <w:spacing w:line="259" w:lineRule="auto"/>
              <w:jc w:val="lef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Popayán</w:t>
            </w:r>
          </w:p>
        </w:tc>
        <w:tc>
          <w:tcPr>
            <w:tcW w:w="1179" w:type="dxa"/>
            <w:tcBorders>
              <w:top w:val="nil"/>
              <w:left w:val="nil"/>
              <w:bottom w:val="nil"/>
              <w:right w:val="nil"/>
            </w:tcBorders>
            <w:shd w:val="clear" w:color="auto" w:fill="auto"/>
            <w:noWrap/>
            <w:vAlign w:val="bottom"/>
            <w:hideMark/>
          </w:tcPr>
          <w:p w14:paraId="7C89F243"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4.3%</w:t>
            </w:r>
          </w:p>
        </w:tc>
        <w:tc>
          <w:tcPr>
            <w:tcW w:w="1179" w:type="dxa"/>
            <w:tcBorders>
              <w:top w:val="nil"/>
              <w:left w:val="nil"/>
              <w:bottom w:val="nil"/>
              <w:right w:val="nil"/>
            </w:tcBorders>
            <w:shd w:val="clear" w:color="auto" w:fill="auto"/>
            <w:noWrap/>
            <w:vAlign w:val="bottom"/>
            <w:hideMark/>
          </w:tcPr>
          <w:p w14:paraId="531FE58E"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18.8%</w:t>
            </w:r>
          </w:p>
        </w:tc>
        <w:tc>
          <w:tcPr>
            <w:tcW w:w="1179" w:type="dxa"/>
            <w:tcBorders>
              <w:top w:val="nil"/>
              <w:left w:val="nil"/>
              <w:bottom w:val="nil"/>
              <w:right w:val="nil"/>
            </w:tcBorders>
            <w:shd w:val="clear" w:color="auto" w:fill="auto"/>
            <w:noWrap/>
            <w:vAlign w:val="bottom"/>
            <w:hideMark/>
          </w:tcPr>
          <w:p w14:paraId="09B6641D"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27.4%</w:t>
            </w:r>
          </w:p>
        </w:tc>
        <w:tc>
          <w:tcPr>
            <w:tcW w:w="1179" w:type="dxa"/>
            <w:tcBorders>
              <w:top w:val="nil"/>
              <w:left w:val="nil"/>
              <w:bottom w:val="nil"/>
              <w:right w:val="nil"/>
            </w:tcBorders>
            <w:shd w:val="clear" w:color="auto" w:fill="auto"/>
            <w:noWrap/>
            <w:vAlign w:val="bottom"/>
            <w:hideMark/>
          </w:tcPr>
          <w:p w14:paraId="352B52C0"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40.2%</w:t>
            </w:r>
          </w:p>
        </w:tc>
        <w:tc>
          <w:tcPr>
            <w:tcW w:w="1179" w:type="dxa"/>
            <w:tcBorders>
              <w:top w:val="nil"/>
              <w:left w:val="nil"/>
              <w:bottom w:val="nil"/>
              <w:right w:val="nil"/>
            </w:tcBorders>
            <w:shd w:val="clear" w:color="auto" w:fill="auto"/>
            <w:noWrap/>
            <w:vAlign w:val="bottom"/>
            <w:hideMark/>
          </w:tcPr>
          <w:p w14:paraId="5A125BA7"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9.4%</w:t>
            </w:r>
          </w:p>
        </w:tc>
        <w:tc>
          <w:tcPr>
            <w:tcW w:w="1179" w:type="dxa"/>
            <w:tcBorders>
              <w:top w:val="nil"/>
              <w:left w:val="nil"/>
              <w:bottom w:val="nil"/>
              <w:right w:val="nil"/>
            </w:tcBorders>
            <w:shd w:val="clear" w:color="auto" w:fill="auto"/>
            <w:noWrap/>
            <w:vAlign w:val="bottom"/>
            <w:hideMark/>
          </w:tcPr>
          <w:p w14:paraId="0D52EF96"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100.0%</w:t>
            </w:r>
          </w:p>
        </w:tc>
      </w:tr>
      <w:tr w:rsidR="00710FC1" w:rsidRPr="00BB4A7B" w14:paraId="6FC443A0" w14:textId="77777777" w:rsidTr="00E250FE">
        <w:trPr>
          <w:trHeight w:val="300"/>
          <w:jc w:val="center"/>
        </w:trPr>
        <w:tc>
          <w:tcPr>
            <w:tcW w:w="1764" w:type="dxa"/>
            <w:tcBorders>
              <w:top w:val="nil"/>
              <w:left w:val="nil"/>
              <w:bottom w:val="nil"/>
              <w:right w:val="nil"/>
            </w:tcBorders>
            <w:shd w:val="clear" w:color="auto" w:fill="auto"/>
            <w:noWrap/>
            <w:vAlign w:val="bottom"/>
            <w:hideMark/>
          </w:tcPr>
          <w:p w14:paraId="3109FDD6" w14:textId="77777777" w:rsidR="00710FC1" w:rsidRPr="00BB4A7B" w:rsidRDefault="00710FC1" w:rsidP="00710FC1">
            <w:pPr>
              <w:spacing w:line="259" w:lineRule="auto"/>
              <w:jc w:val="lef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Quibdó</w:t>
            </w:r>
          </w:p>
        </w:tc>
        <w:tc>
          <w:tcPr>
            <w:tcW w:w="1179" w:type="dxa"/>
            <w:tcBorders>
              <w:top w:val="nil"/>
              <w:left w:val="nil"/>
              <w:bottom w:val="nil"/>
              <w:right w:val="nil"/>
            </w:tcBorders>
            <w:shd w:val="clear" w:color="auto" w:fill="auto"/>
            <w:noWrap/>
            <w:vAlign w:val="bottom"/>
            <w:hideMark/>
          </w:tcPr>
          <w:p w14:paraId="675BC957"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0.0%</w:t>
            </w:r>
          </w:p>
        </w:tc>
        <w:tc>
          <w:tcPr>
            <w:tcW w:w="1179" w:type="dxa"/>
            <w:tcBorders>
              <w:top w:val="nil"/>
              <w:left w:val="nil"/>
              <w:bottom w:val="nil"/>
              <w:right w:val="nil"/>
            </w:tcBorders>
            <w:shd w:val="clear" w:color="auto" w:fill="auto"/>
            <w:noWrap/>
            <w:vAlign w:val="bottom"/>
            <w:hideMark/>
          </w:tcPr>
          <w:p w14:paraId="4747FD33"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5.7%</w:t>
            </w:r>
          </w:p>
        </w:tc>
        <w:tc>
          <w:tcPr>
            <w:tcW w:w="1179" w:type="dxa"/>
            <w:tcBorders>
              <w:top w:val="nil"/>
              <w:left w:val="nil"/>
              <w:bottom w:val="nil"/>
              <w:right w:val="nil"/>
            </w:tcBorders>
            <w:shd w:val="clear" w:color="auto" w:fill="auto"/>
            <w:noWrap/>
            <w:vAlign w:val="bottom"/>
            <w:hideMark/>
          </w:tcPr>
          <w:p w14:paraId="2FC96B44"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5.7%</w:t>
            </w:r>
          </w:p>
        </w:tc>
        <w:tc>
          <w:tcPr>
            <w:tcW w:w="1179" w:type="dxa"/>
            <w:tcBorders>
              <w:top w:val="nil"/>
              <w:left w:val="nil"/>
              <w:bottom w:val="nil"/>
              <w:right w:val="nil"/>
            </w:tcBorders>
            <w:shd w:val="clear" w:color="auto" w:fill="auto"/>
            <w:noWrap/>
            <w:vAlign w:val="bottom"/>
            <w:hideMark/>
          </w:tcPr>
          <w:p w14:paraId="5D24CC18"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57.1%</w:t>
            </w:r>
          </w:p>
        </w:tc>
        <w:tc>
          <w:tcPr>
            <w:tcW w:w="1179" w:type="dxa"/>
            <w:tcBorders>
              <w:top w:val="nil"/>
              <w:left w:val="nil"/>
              <w:bottom w:val="nil"/>
              <w:right w:val="nil"/>
            </w:tcBorders>
            <w:shd w:val="clear" w:color="auto" w:fill="auto"/>
            <w:noWrap/>
            <w:vAlign w:val="bottom"/>
            <w:hideMark/>
          </w:tcPr>
          <w:p w14:paraId="67B69DFE"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31.4%</w:t>
            </w:r>
          </w:p>
        </w:tc>
        <w:tc>
          <w:tcPr>
            <w:tcW w:w="1179" w:type="dxa"/>
            <w:tcBorders>
              <w:top w:val="nil"/>
              <w:left w:val="nil"/>
              <w:bottom w:val="nil"/>
              <w:right w:val="nil"/>
            </w:tcBorders>
            <w:shd w:val="clear" w:color="auto" w:fill="auto"/>
            <w:noWrap/>
            <w:vAlign w:val="bottom"/>
            <w:hideMark/>
          </w:tcPr>
          <w:p w14:paraId="63D7FAFA"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100.0%</w:t>
            </w:r>
          </w:p>
        </w:tc>
      </w:tr>
      <w:tr w:rsidR="00710FC1" w:rsidRPr="00BB4A7B" w14:paraId="0F38A011" w14:textId="77777777" w:rsidTr="00E250FE">
        <w:trPr>
          <w:trHeight w:val="300"/>
          <w:jc w:val="center"/>
        </w:trPr>
        <w:tc>
          <w:tcPr>
            <w:tcW w:w="1764" w:type="dxa"/>
            <w:tcBorders>
              <w:top w:val="nil"/>
              <w:left w:val="nil"/>
              <w:bottom w:val="nil"/>
              <w:right w:val="nil"/>
            </w:tcBorders>
            <w:shd w:val="clear" w:color="auto" w:fill="auto"/>
            <w:noWrap/>
            <w:vAlign w:val="bottom"/>
            <w:hideMark/>
          </w:tcPr>
          <w:p w14:paraId="57634629" w14:textId="77777777" w:rsidR="00710FC1" w:rsidRPr="00BB4A7B" w:rsidRDefault="00710FC1" w:rsidP="00710FC1">
            <w:pPr>
              <w:spacing w:line="259" w:lineRule="auto"/>
              <w:jc w:val="lef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Riohacha</w:t>
            </w:r>
          </w:p>
        </w:tc>
        <w:tc>
          <w:tcPr>
            <w:tcW w:w="1179" w:type="dxa"/>
            <w:tcBorders>
              <w:top w:val="nil"/>
              <w:left w:val="nil"/>
              <w:bottom w:val="nil"/>
              <w:right w:val="nil"/>
            </w:tcBorders>
            <w:shd w:val="clear" w:color="auto" w:fill="auto"/>
            <w:noWrap/>
            <w:vAlign w:val="bottom"/>
            <w:hideMark/>
          </w:tcPr>
          <w:p w14:paraId="1687889C"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0.0%</w:t>
            </w:r>
          </w:p>
        </w:tc>
        <w:tc>
          <w:tcPr>
            <w:tcW w:w="1179" w:type="dxa"/>
            <w:tcBorders>
              <w:top w:val="nil"/>
              <w:left w:val="nil"/>
              <w:bottom w:val="nil"/>
              <w:right w:val="nil"/>
            </w:tcBorders>
            <w:shd w:val="clear" w:color="auto" w:fill="auto"/>
            <w:noWrap/>
            <w:vAlign w:val="bottom"/>
            <w:hideMark/>
          </w:tcPr>
          <w:p w14:paraId="689089DB"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17.4%</w:t>
            </w:r>
          </w:p>
        </w:tc>
        <w:tc>
          <w:tcPr>
            <w:tcW w:w="1179" w:type="dxa"/>
            <w:tcBorders>
              <w:top w:val="nil"/>
              <w:left w:val="nil"/>
              <w:bottom w:val="nil"/>
              <w:right w:val="nil"/>
            </w:tcBorders>
            <w:shd w:val="clear" w:color="auto" w:fill="auto"/>
            <w:noWrap/>
            <w:vAlign w:val="bottom"/>
            <w:hideMark/>
          </w:tcPr>
          <w:p w14:paraId="0C0597D0"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28.3%</w:t>
            </w:r>
          </w:p>
        </w:tc>
        <w:tc>
          <w:tcPr>
            <w:tcW w:w="1179" w:type="dxa"/>
            <w:tcBorders>
              <w:top w:val="nil"/>
              <w:left w:val="nil"/>
              <w:bottom w:val="nil"/>
              <w:right w:val="nil"/>
            </w:tcBorders>
            <w:shd w:val="clear" w:color="auto" w:fill="auto"/>
            <w:noWrap/>
            <w:vAlign w:val="bottom"/>
            <w:hideMark/>
          </w:tcPr>
          <w:p w14:paraId="4D9DC6B3"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39.1%</w:t>
            </w:r>
          </w:p>
        </w:tc>
        <w:tc>
          <w:tcPr>
            <w:tcW w:w="1179" w:type="dxa"/>
            <w:tcBorders>
              <w:top w:val="nil"/>
              <w:left w:val="nil"/>
              <w:bottom w:val="nil"/>
              <w:right w:val="nil"/>
            </w:tcBorders>
            <w:shd w:val="clear" w:color="auto" w:fill="auto"/>
            <w:noWrap/>
            <w:vAlign w:val="bottom"/>
            <w:hideMark/>
          </w:tcPr>
          <w:p w14:paraId="38DCAD73"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15.2%</w:t>
            </w:r>
          </w:p>
        </w:tc>
        <w:tc>
          <w:tcPr>
            <w:tcW w:w="1179" w:type="dxa"/>
            <w:tcBorders>
              <w:top w:val="nil"/>
              <w:left w:val="nil"/>
              <w:bottom w:val="nil"/>
              <w:right w:val="nil"/>
            </w:tcBorders>
            <w:shd w:val="clear" w:color="auto" w:fill="auto"/>
            <w:noWrap/>
            <w:vAlign w:val="bottom"/>
            <w:hideMark/>
          </w:tcPr>
          <w:p w14:paraId="04F6E840"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100.0%</w:t>
            </w:r>
          </w:p>
        </w:tc>
      </w:tr>
      <w:tr w:rsidR="00710FC1" w:rsidRPr="00BB4A7B" w14:paraId="35ADC36A" w14:textId="77777777" w:rsidTr="00E250FE">
        <w:trPr>
          <w:trHeight w:val="300"/>
          <w:jc w:val="center"/>
        </w:trPr>
        <w:tc>
          <w:tcPr>
            <w:tcW w:w="1764" w:type="dxa"/>
            <w:tcBorders>
              <w:top w:val="nil"/>
              <w:left w:val="nil"/>
              <w:bottom w:val="nil"/>
              <w:right w:val="nil"/>
            </w:tcBorders>
            <w:shd w:val="clear" w:color="auto" w:fill="auto"/>
            <w:noWrap/>
            <w:vAlign w:val="bottom"/>
            <w:hideMark/>
          </w:tcPr>
          <w:p w14:paraId="0A61643A" w14:textId="77777777" w:rsidR="00710FC1" w:rsidRPr="00BB4A7B" w:rsidRDefault="00710FC1" w:rsidP="00710FC1">
            <w:pPr>
              <w:spacing w:line="259" w:lineRule="auto"/>
              <w:jc w:val="lef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Santa Marta</w:t>
            </w:r>
          </w:p>
        </w:tc>
        <w:tc>
          <w:tcPr>
            <w:tcW w:w="1179" w:type="dxa"/>
            <w:tcBorders>
              <w:top w:val="nil"/>
              <w:left w:val="nil"/>
              <w:bottom w:val="nil"/>
              <w:right w:val="nil"/>
            </w:tcBorders>
            <w:shd w:val="clear" w:color="auto" w:fill="auto"/>
            <w:noWrap/>
            <w:vAlign w:val="bottom"/>
            <w:hideMark/>
          </w:tcPr>
          <w:p w14:paraId="554EB373"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21.3%</w:t>
            </w:r>
          </w:p>
        </w:tc>
        <w:tc>
          <w:tcPr>
            <w:tcW w:w="1179" w:type="dxa"/>
            <w:tcBorders>
              <w:top w:val="nil"/>
              <w:left w:val="nil"/>
              <w:bottom w:val="nil"/>
              <w:right w:val="nil"/>
            </w:tcBorders>
            <w:shd w:val="clear" w:color="auto" w:fill="auto"/>
            <w:noWrap/>
            <w:vAlign w:val="bottom"/>
            <w:hideMark/>
          </w:tcPr>
          <w:p w14:paraId="47472D53"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26.7%</w:t>
            </w:r>
          </w:p>
        </w:tc>
        <w:tc>
          <w:tcPr>
            <w:tcW w:w="1179" w:type="dxa"/>
            <w:tcBorders>
              <w:top w:val="nil"/>
              <w:left w:val="nil"/>
              <w:bottom w:val="nil"/>
              <w:right w:val="nil"/>
            </w:tcBorders>
            <w:shd w:val="clear" w:color="auto" w:fill="auto"/>
            <w:noWrap/>
            <w:vAlign w:val="bottom"/>
            <w:hideMark/>
          </w:tcPr>
          <w:p w14:paraId="10A2AE3C"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25.3%</w:t>
            </w:r>
          </w:p>
        </w:tc>
        <w:tc>
          <w:tcPr>
            <w:tcW w:w="1179" w:type="dxa"/>
            <w:tcBorders>
              <w:top w:val="nil"/>
              <w:left w:val="nil"/>
              <w:bottom w:val="nil"/>
              <w:right w:val="nil"/>
            </w:tcBorders>
            <w:shd w:val="clear" w:color="auto" w:fill="auto"/>
            <w:noWrap/>
            <w:vAlign w:val="bottom"/>
            <w:hideMark/>
          </w:tcPr>
          <w:p w14:paraId="4C02E88C"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24.0%</w:t>
            </w:r>
          </w:p>
        </w:tc>
        <w:tc>
          <w:tcPr>
            <w:tcW w:w="1179" w:type="dxa"/>
            <w:tcBorders>
              <w:top w:val="nil"/>
              <w:left w:val="nil"/>
              <w:bottom w:val="nil"/>
              <w:right w:val="nil"/>
            </w:tcBorders>
            <w:shd w:val="clear" w:color="auto" w:fill="auto"/>
            <w:noWrap/>
            <w:vAlign w:val="bottom"/>
            <w:hideMark/>
          </w:tcPr>
          <w:p w14:paraId="26A017E8"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2.7%</w:t>
            </w:r>
          </w:p>
        </w:tc>
        <w:tc>
          <w:tcPr>
            <w:tcW w:w="1179" w:type="dxa"/>
            <w:tcBorders>
              <w:top w:val="nil"/>
              <w:left w:val="nil"/>
              <w:bottom w:val="nil"/>
              <w:right w:val="nil"/>
            </w:tcBorders>
            <w:shd w:val="clear" w:color="auto" w:fill="auto"/>
            <w:noWrap/>
            <w:vAlign w:val="bottom"/>
            <w:hideMark/>
          </w:tcPr>
          <w:p w14:paraId="66C1D8F9"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100.0%</w:t>
            </w:r>
          </w:p>
        </w:tc>
      </w:tr>
      <w:tr w:rsidR="00710FC1" w:rsidRPr="00BB4A7B" w14:paraId="61FEB8DC" w14:textId="77777777" w:rsidTr="00E250FE">
        <w:trPr>
          <w:trHeight w:val="300"/>
          <w:jc w:val="center"/>
        </w:trPr>
        <w:tc>
          <w:tcPr>
            <w:tcW w:w="1764" w:type="dxa"/>
            <w:tcBorders>
              <w:top w:val="nil"/>
              <w:left w:val="nil"/>
              <w:bottom w:val="nil"/>
              <w:right w:val="nil"/>
            </w:tcBorders>
            <w:shd w:val="clear" w:color="auto" w:fill="auto"/>
            <w:noWrap/>
            <w:vAlign w:val="bottom"/>
            <w:hideMark/>
          </w:tcPr>
          <w:p w14:paraId="662E961E" w14:textId="77777777" w:rsidR="00710FC1" w:rsidRPr="00BB4A7B" w:rsidRDefault="00710FC1" w:rsidP="00710FC1">
            <w:pPr>
              <w:spacing w:line="259" w:lineRule="auto"/>
              <w:jc w:val="lef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Sincelejo</w:t>
            </w:r>
          </w:p>
        </w:tc>
        <w:tc>
          <w:tcPr>
            <w:tcW w:w="1179" w:type="dxa"/>
            <w:tcBorders>
              <w:top w:val="nil"/>
              <w:left w:val="nil"/>
              <w:bottom w:val="nil"/>
              <w:right w:val="nil"/>
            </w:tcBorders>
            <w:shd w:val="clear" w:color="auto" w:fill="auto"/>
            <w:noWrap/>
            <w:vAlign w:val="bottom"/>
            <w:hideMark/>
          </w:tcPr>
          <w:p w14:paraId="2441EA39"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6.1%</w:t>
            </w:r>
          </w:p>
        </w:tc>
        <w:tc>
          <w:tcPr>
            <w:tcW w:w="1179" w:type="dxa"/>
            <w:tcBorders>
              <w:top w:val="nil"/>
              <w:left w:val="nil"/>
              <w:bottom w:val="nil"/>
              <w:right w:val="nil"/>
            </w:tcBorders>
            <w:shd w:val="clear" w:color="auto" w:fill="auto"/>
            <w:noWrap/>
            <w:vAlign w:val="bottom"/>
            <w:hideMark/>
          </w:tcPr>
          <w:p w14:paraId="0FC340B6"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16.3%</w:t>
            </w:r>
          </w:p>
        </w:tc>
        <w:tc>
          <w:tcPr>
            <w:tcW w:w="1179" w:type="dxa"/>
            <w:tcBorders>
              <w:top w:val="nil"/>
              <w:left w:val="nil"/>
              <w:bottom w:val="nil"/>
              <w:right w:val="nil"/>
            </w:tcBorders>
            <w:shd w:val="clear" w:color="auto" w:fill="auto"/>
            <w:noWrap/>
            <w:vAlign w:val="bottom"/>
            <w:hideMark/>
          </w:tcPr>
          <w:p w14:paraId="50963BD7"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26.5%</w:t>
            </w:r>
          </w:p>
        </w:tc>
        <w:tc>
          <w:tcPr>
            <w:tcW w:w="1179" w:type="dxa"/>
            <w:tcBorders>
              <w:top w:val="nil"/>
              <w:left w:val="nil"/>
              <w:bottom w:val="nil"/>
              <w:right w:val="nil"/>
            </w:tcBorders>
            <w:shd w:val="clear" w:color="auto" w:fill="auto"/>
            <w:noWrap/>
            <w:vAlign w:val="bottom"/>
            <w:hideMark/>
          </w:tcPr>
          <w:p w14:paraId="2E828A03"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46.9%</w:t>
            </w:r>
          </w:p>
        </w:tc>
        <w:tc>
          <w:tcPr>
            <w:tcW w:w="1179" w:type="dxa"/>
            <w:tcBorders>
              <w:top w:val="nil"/>
              <w:left w:val="nil"/>
              <w:bottom w:val="nil"/>
              <w:right w:val="nil"/>
            </w:tcBorders>
            <w:shd w:val="clear" w:color="auto" w:fill="auto"/>
            <w:noWrap/>
            <w:vAlign w:val="bottom"/>
            <w:hideMark/>
          </w:tcPr>
          <w:p w14:paraId="60F565F0"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4.1%</w:t>
            </w:r>
          </w:p>
        </w:tc>
        <w:tc>
          <w:tcPr>
            <w:tcW w:w="1179" w:type="dxa"/>
            <w:tcBorders>
              <w:top w:val="nil"/>
              <w:left w:val="nil"/>
              <w:bottom w:val="nil"/>
              <w:right w:val="nil"/>
            </w:tcBorders>
            <w:shd w:val="clear" w:color="auto" w:fill="auto"/>
            <w:noWrap/>
            <w:vAlign w:val="bottom"/>
            <w:hideMark/>
          </w:tcPr>
          <w:p w14:paraId="415481A7"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100.0%</w:t>
            </w:r>
          </w:p>
        </w:tc>
      </w:tr>
      <w:tr w:rsidR="00710FC1" w:rsidRPr="00BB4A7B" w14:paraId="38DADBAA" w14:textId="77777777" w:rsidTr="00E250FE">
        <w:trPr>
          <w:trHeight w:val="300"/>
          <w:jc w:val="center"/>
        </w:trPr>
        <w:tc>
          <w:tcPr>
            <w:tcW w:w="1764" w:type="dxa"/>
            <w:tcBorders>
              <w:top w:val="nil"/>
              <w:left w:val="nil"/>
              <w:bottom w:val="nil"/>
              <w:right w:val="nil"/>
            </w:tcBorders>
            <w:shd w:val="clear" w:color="auto" w:fill="auto"/>
            <w:noWrap/>
            <w:vAlign w:val="bottom"/>
            <w:hideMark/>
          </w:tcPr>
          <w:p w14:paraId="0406BDEC" w14:textId="77777777" w:rsidR="00710FC1" w:rsidRPr="00BB4A7B" w:rsidRDefault="00710FC1" w:rsidP="00710FC1">
            <w:pPr>
              <w:spacing w:line="259" w:lineRule="auto"/>
              <w:jc w:val="lef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Tunja</w:t>
            </w:r>
          </w:p>
        </w:tc>
        <w:tc>
          <w:tcPr>
            <w:tcW w:w="1179" w:type="dxa"/>
            <w:tcBorders>
              <w:top w:val="nil"/>
              <w:left w:val="nil"/>
              <w:bottom w:val="nil"/>
              <w:right w:val="nil"/>
            </w:tcBorders>
            <w:shd w:val="clear" w:color="auto" w:fill="auto"/>
            <w:noWrap/>
            <w:vAlign w:val="bottom"/>
            <w:hideMark/>
          </w:tcPr>
          <w:p w14:paraId="11B0ACBA"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4.8%</w:t>
            </w:r>
          </w:p>
        </w:tc>
        <w:tc>
          <w:tcPr>
            <w:tcW w:w="1179" w:type="dxa"/>
            <w:tcBorders>
              <w:top w:val="nil"/>
              <w:left w:val="nil"/>
              <w:bottom w:val="nil"/>
              <w:right w:val="nil"/>
            </w:tcBorders>
            <w:shd w:val="clear" w:color="auto" w:fill="auto"/>
            <w:noWrap/>
            <w:vAlign w:val="bottom"/>
            <w:hideMark/>
          </w:tcPr>
          <w:p w14:paraId="41DF1291"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15.1%</w:t>
            </w:r>
          </w:p>
        </w:tc>
        <w:tc>
          <w:tcPr>
            <w:tcW w:w="1179" w:type="dxa"/>
            <w:tcBorders>
              <w:top w:val="nil"/>
              <w:left w:val="nil"/>
              <w:bottom w:val="nil"/>
              <w:right w:val="nil"/>
            </w:tcBorders>
            <w:shd w:val="clear" w:color="auto" w:fill="auto"/>
            <w:noWrap/>
            <w:vAlign w:val="bottom"/>
            <w:hideMark/>
          </w:tcPr>
          <w:p w14:paraId="25D82AF4"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33.7%</w:t>
            </w:r>
          </w:p>
        </w:tc>
        <w:tc>
          <w:tcPr>
            <w:tcW w:w="1179" w:type="dxa"/>
            <w:tcBorders>
              <w:top w:val="nil"/>
              <w:left w:val="nil"/>
              <w:bottom w:val="nil"/>
              <w:right w:val="nil"/>
            </w:tcBorders>
            <w:shd w:val="clear" w:color="auto" w:fill="auto"/>
            <w:noWrap/>
            <w:vAlign w:val="bottom"/>
            <w:hideMark/>
          </w:tcPr>
          <w:p w14:paraId="70F4AA27"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41.0%</w:t>
            </w:r>
          </w:p>
        </w:tc>
        <w:tc>
          <w:tcPr>
            <w:tcW w:w="1179" w:type="dxa"/>
            <w:tcBorders>
              <w:top w:val="nil"/>
              <w:left w:val="nil"/>
              <w:bottom w:val="nil"/>
              <w:right w:val="nil"/>
            </w:tcBorders>
            <w:shd w:val="clear" w:color="auto" w:fill="auto"/>
            <w:noWrap/>
            <w:vAlign w:val="bottom"/>
            <w:hideMark/>
          </w:tcPr>
          <w:p w14:paraId="7530A05D"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5.4%</w:t>
            </w:r>
          </w:p>
        </w:tc>
        <w:tc>
          <w:tcPr>
            <w:tcW w:w="1179" w:type="dxa"/>
            <w:tcBorders>
              <w:top w:val="nil"/>
              <w:left w:val="nil"/>
              <w:bottom w:val="nil"/>
              <w:right w:val="nil"/>
            </w:tcBorders>
            <w:shd w:val="clear" w:color="auto" w:fill="auto"/>
            <w:noWrap/>
            <w:vAlign w:val="bottom"/>
            <w:hideMark/>
          </w:tcPr>
          <w:p w14:paraId="6584F5E9"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100.0%</w:t>
            </w:r>
          </w:p>
        </w:tc>
      </w:tr>
      <w:tr w:rsidR="00710FC1" w:rsidRPr="00BB4A7B" w14:paraId="1DC74B92" w14:textId="77777777" w:rsidTr="00E250FE">
        <w:trPr>
          <w:trHeight w:val="300"/>
          <w:jc w:val="center"/>
        </w:trPr>
        <w:tc>
          <w:tcPr>
            <w:tcW w:w="1764" w:type="dxa"/>
            <w:tcBorders>
              <w:top w:val="nil"/>
              <w:left w:val="nil"/>
              <w:bottom w:val="nil"/>
              <w:right w:val="nil"/>
            </w:tcBorders>
            <w:shd w:val="clear" w:color="auto" w:fill="auto"/>
            <w:noWrap/>
            <w:vAlign w:val="bottom"/>
            <w:hideMark/>
          </w:tcPr>
          <w:p w14:paraId="3F29D170" w14:textId="77777777" w:rsidR="00710FC1" w:rsidRPr="00BB4A7B" w:rsidRDefault="00710FC1" w:rsidP="00710FC1">
            <w:pPr>
              <w:spacing w:line="259" w:lineRule="auto"/>
              <w:jc w:val="lef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Valledupar</w:t>
            </w:r>
          </w:p>
        </w:tc>
        <w:tc>
          <w:tcPr>
            <w:tcW w:w="1179" w:type="dxa"/>
            <w:tcBorders>
              <w:top w:val="nil"/>
              <w:left w:val="nil"/>
              <w:bottom w:val="nil"/>
              <w:right w:val="nil"/>
            </w:tcBorders>
            <w:shd w:val="clear" w:color="auto" w:fill="auto"/>
            <w:noWrap/>
            <w:vAlign w:val="bottom"/>
            <w:hideMark/>
          </w:tcPr>
          <w:p w14:paraId="425496DF"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0.0%</w:t>
            </w:r>
          </w:p>
        </w:tc>
        <w:tc>
          <w:tcPr>
            <w:tcW w:w="1179" w:type="dxa"/>
            <w:tcBorders>
              <w:top w:val="nil"/>
              <w:left w:val="nil"/>
              <w:bottom w:val="nil"/>
              <w:right w:val="nil"/>
            </w:tcBorders>
            <w:shd w:val="clear" w:color="auto" w:fill="auto"/>
            <w:noWrap/>
            <w:vAlign w:val="bottom"/>
            <w:hideMark/>
          </w:tcPr>
          <w:p w14:paraId="422CB30B"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15.7%</w:t>
            </w:r>
          </w:p>
        </w:tc>
        <w:tc>
          <w:tcPr>
            <w:tcW w:w="1179" w:type="dxa"/>
            <w:tcBorders>
              <w:top w:val="nil"/>
              <w:left w:val="nil"/>
              <w:bottom w:val="nil"/>
              <w:right w:val="nil"/>
            </w:tcBorders>
            <w:shd w:val="clear" w:color="auto" w:fill="auto"/>
            <w:noWrap/>
            <w:vAlign w:val="bottom"/>
            <w:hideMark/>
          </w:tcPr>
          <w:p w14:paraId="47DD7228"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33.3%</w:t>
            </w:r>
          </w:p>
        </w:tc>
        <w:tc>
          <w:tcPr>
            <w:tcW w:w="1179" w:type="dxa"/>
            <w:tcBorders>
              <w:top w:val="nil"/>
              <w:left w:val="nil"/>
              <w:bottom w:val="nil"/>
              <w:right w:val="nil"/>
            </w:tcBorders>
            <w:shd w:val="clear" w:color="auto" w:fill="auto"/>
            <w:noWrap/>
            <w:vAlign w:val="bottom"/>
            <w:hideMark/>
          </w:tcPr>
          <w:p w14:paraId="1571351C"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35.3%</w:t>
            </w:r>
          </w:p>
        </w:tc>
        <w:tc>
          <w:tcPr>
            <w:tcW w:w="1179" w:type="dxa"/>
            <w:tcBorders>
              <w:top w:val="nil"/>
              <w:left w:val="nil"/>
              <w:bottom w:val="nil"/>
              <w:right w:val="nil"/>
            </w:tcBorders>
            <w:shd w:val="clear" w:color="auto" w:fill="auto"/>
            <w:noWrap/>
            <w:vAlign w:val="bottom"/>
            <w:hideMark/>
          </w:tcPr>
          <w:p w14:paraId="330F3F13"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15.7%</w:t>
            </w:r>
          </w:p>
        </w:tc>
        <w:tc>
          <w:tcPr>
            <w:tcW w:w="1179" w:type="dxa"/>
            <w:tcBorders>
              <w:top w:val="nil"/>
              <w:left w:val="nil"/>
              <w:bottom w:val="nil"/>
              <w:right w:val="nil"/>
            </w:tcBorders>
            <w:shd w:val="clear" w:color="auto" w:fill="auto"/>
            <w:noWrap/>
            <w:vAlign w:val="bottom"/>
            <w:hideMark/>
          </w:tcPr>
          <w:p w14:paraId="6AF395D0"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100.0%</w:t>
            </w:r>
          </w:p>
        </w:tc>
      </w:tr>
      <w:tr w:rsidR="00710FC1" w:rsidRPr="00BB4A7B" w14:paraId="756F0220" w14:textId="77777777" w:rsidTr="00E250FE">
        <w:trPr>
          <w:trHeight w:val="300"/>
          <w:jc w:val="center"/>
        </w:trPr>
        <w:tc>
          <w:tcPr>
            <w:tcW w:w="1764" w:type="dxa"/>
            <w:tcBorders>
              <w:top w:val="nil"/>
              <w:left w:val="nil"/>
              <w:bottom w:val="nil"/>
              <w:right w:val="nil"/>
            </w:tcBorders>
            <w:shd w:val="clear" w:color="auto" w:fill="auto"/>
            <w:noWrap/>
            <w:vAlign w:val="bottom"/>
            <w:hideMark/>
          </w:tcPr>
          <w:p w14:paraId="01AACF06" w14:textId="77777777" w:rsidR="00710FC1" w:rsidRPr="00BB4A7B" w:rsidRDefault="00710FC1" w:rsidP="00710FC1">
            <w:pPr>
              <w:spacing w:line="259" w:lineRule="auto"/>
              <w:jc w:val="lef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Villavicencio</w:t>
            </w:r>
          </w:p>
        </w:tc>
        <w:tc>
          <w:tcPr>
            <w:tcW w:w="1179" w:type="dxa"/>
            <w:tcBorders>
              <w:top w:val="nil"/>
              <w:left w:val="nil"/>
              <w:bottom w:val="nil"/>
              <w:right w:val="nil"/>
            </w:tcBorders>
            <w:shd w:val="clear" w:color="auto" w:fill="auto"/>
            <w:noWrap/>
            <w:vAlign w:val="bottom"/>
            <w:hideMark/>
          </w:tcPr>
          <w:p w14:paraId="10D4C863"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1.2%</w:t>
            </w:r>
          </w:p>
        </w:tc>
        <w:tc>
          <w:tcPr>
            <w:tcW w:w="1179" w:type="dxa"/>
            <w:tcBorders>
              <w:top w:val="nil"/>
              <w:left w:val="nil"/>
              <w:bottom w:val="nil"/>
              <w:right w:val="nil"/>
            </w:tcBorders>
            <w:shd w:val="clear" w:color="auto" w:fill="auto"/>
            <w:noWrap/>
            <w:vAlign w:val="bottom"/>
            <w:hideMark/>
          </w:tcPr>
          <w:p w14:paraId="4E184214"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6.1%</w:t>
            </w:r>
          </w:p>
        </w:tc>
        <w:tc>
          <w:tcPr>
            <w:tcW w:w="1179" w:type="dxa"/>
            <w:tcBorders>
              <w:top w:val="nil"/>
              <w:left w:val="nil"/>
              <w:bottom w:val="nil"/>
              <w:right w:val="nil"/>
            </w:tcBorders>
            <w:shd w:val="clear" w:color="auto" w:fill="auto"/>
            <w:noWrap/>
            <w:vAlign w:val="bottom"/>
            <w:hideMark/>
          </w:tcPr>
          <w:p w14:paraId="13ABC805"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28.0%</w:t>
            </w:r>
          </w:p>
        </w:tc>
        <w:tc>
          <w:tcPr>
            <w:tcW w:w="1179" w:type="dxa"/>
            <w:tcBorders>
              <w:top w:val="nil"/>
              <w:left w:val="nil"/>
              <w:bottom w:val="nil"/>
              <w:right w:val="nil"/>
            </w:tcBorders>
            <w:shd w:val="clear" w:color="auto" w:fill="auto"/>
            <w:noWrap/>
            <w:vAlign w:val="bottom"/>
            <w:hideMark/>
          </w:tcPr>
          <w:p w14:paraId="4025179F"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54.9%</w:t>
            </w:r>
          </w:p>
        </w:tc>
        <w:tc>
          <w:tcPr>
            <w:tcW w:w="1179" w:type="dxa"/>
            <w:tcBorders>
              <w:top w:val="nil"/>
              <w:left w:val="nil"/>
              <w:bottom w:val="nil"/>
              <w:right w:val="nil"/>
            </w:tcBorders>
            <w:shd w:val="clear" w:color="auto" w:fill="auto"/>
            <w:noWrap/>
            <w:vAlign w:val="bottom"/>
            <w:hideMark/>
          </w:tcPr>
          <w:p w14:paraId="6A080441"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9.8%</w:t>
            </w:r>
          </w:p>
        </w:tc>
        <w:tc>
          <w:tcPr>
            <w:tcW w:w="1179" w:type="dxa"/>
            <w:tcBorders>
              <w:top w:val="nil"/>
              <w:left w:val="nil"/>
              <w:bottom w:val="nil"/>
              <w:right w:val="nil"/>
            </w:tcBorders>
            <w:shd w:val="clear" w:color="auto" w:fill="auto"/>
            <w:noWrap/>
            <w:vAlign w:val="bottom"/>
            <w:hideMark/>
          </w:tcPr>
          <w:p w14:paraId="5098151E" w14:textId="77777777" w:rsidR="00710FC1" w:rsidRPr="00BB4A7B" w:rsidRDefault="00710FC1" w:rsidP="00710FC1">
            <w:pPr>
              <w:spacing w:line="259" w:lineRule="auto"/>
              <w:jc w:val="right"/>
              <w:rPr>
                <w:rFonts w:ascii="Times New Roman" w:eastAsia="Times New Roman" w:hAnsi="Times New Roman" w:cs="Times New Roman"/>
                <w:color w:val="000000"/>
                <w:sz w:val="18"/>
                <w:szCs w:val="18"/>
              </w:rPr>
            </w:pPr>
            <w:r w:rsidRPr="00BB4A7B">
              <w:rPr>
                <w:rFonts w:ascii="Times New Roman" w:eastAsia="Times New Roman" w:hAnsi="Times New Roman" w:cs="Times New Roman"/>
                <w:color w:val="000000"/>
                <w:sz w:val="18"/>
                <w:szCs w:val="18"/>
              </w:rPr>
              <w:t>100.0%</w:t>
            </w:r>
          </w:p>
        </w:tc>
      </w:tr>
    </w:tbl>
    <w:p w14:paraId="3EB18AD9" w14:textId="77777777" w:rsidR="00710FC1" w:rsidRPr="00BB4A7B" w:rsidRDefault="00710FC1" w:rsidP="00710FC1">
      <w:pPr>
        <w:spacing w:line="259" w:lineRule="auto"/>
        <w:jc w:val="center"/>
        <w:rPr>
          <w:rFonts w:ascii="Times New Roman" w:hAnsi="Times New Roman" w:cs="Times New Roman"/>
          <w:sz w:val="18"/>
          <w:szCs w:val="18"/>
        </w:rPr>
      </w:pPr>
      <w:r w:rsidRPr="00BB4A7B">
        <w:rPr>
          <w:rFonts w:ascii="Times New Roman" w:hAnsi="Times New Roman" w:cs="Times New Roman"/>
          <w:sz w:val="18"/>
          <w:szCs w:val="18"/>
        </w:rPr>
        <w:t>Fuente: cálculos MCV con base en MINCIENCIAS</w:t>
      </w:r>
    </w:p>
    <w:p w14:paraId="3C287F2C" w14:textId="77777777" w:rsidR="00710FC1" w:rsidRPr="00BB4A7B" w:rsidRDefault="00710FC1" w:rsidP="00710FC1">
      <w:pPr>
        <w:spacing w:line="259" w:lineRule="auto"/>
        <w:rPr>
          <w:rFonts w:ascii="Times New Roman" w:hAnsi="Times New Roman" w:cs="Times New Roman"/>
        </w:rPr>
      </w:pPr>
    </w:p>
    <w:p w14:paraId="78A39ABD" w14:textId="399EE9C0" w:rsidR="00710FC1" w:rsidRDefault="00710FC1" w:rsidP="009B2B57">
      <w:pPr>
        <w:rPr>
          <w:rFonts w:ascii="Times New Roman" w:hAnsi="Times New Roman" w:cs="Times New Roman"/>
          <w:sz w:val="24"/>
        </w:rPr>
      </w:pPr>
      <w:r w:rsidRPr="009B2B57">
        <w:rPr>
          <w:rFonts w:ascii="Times New Roman" w:hAnsi="Times New Roman" w:cs="Times New Roman"/>
          <w:sz w:val="24"/>
        </w:rPr>
        <w:t>Los esfuerzos de la ciudad por posicionarse como una ciudad con calidad educativa desde el enfoque de la investigación, se ven reflejados en la evolución favorable que a través de las diferentes convocatorias de</w:t>
      </w:r>
      <w:r w:rsidR="009B2B57">
        <w:rPr>
          <w:rFonts w:ascii="Times New Roman" w:hAnsi="Times New Roman" w:cs="Times New Roman"/>
          <w:sz w:val="24"/>
        </w:rPr>
        <w:t xml:space="preserve">l Ministerio de Ciencia, Tecnología e Innovación </w:t>
      </w:r>
      <w:r w:rsidRPr="009B2B57">
        <w:rPr>
          <w:rFonts w:ascii="Times New Roman" w:hAnsi="Times New Roman" w:cs="Times New Roman"/>
          <w:sz w:val="24"/>
        </w:rPr>
        <w:t>ha tenido la participación de los grupos clasificados en las categorías A y A1. En efecto, como muestra la siguiente gráfica, mientras que en 2013 un poco menos de una cuarta parte de los grupos de investigación con los que contaban las universidades de la ciudad pertenecían a las más altas categorías, en 2021 supera el 50%. Esto representa un crecimiento de 25 puntos porcentuales a lo largo de cinco convocatorias.</w:t>
      </w:r>
    </w:p>
    <w:p w14:paraId="0DE81205" w14:textId="77777777" w:rsidR="009B2B57" w:rsidRPr="009B2B57" w:rsidRDefault="009B2B57" w:rsidP="009B2B57">
      <w:pPr>
        <w:rPr>
          <w:rFonts w:ascii="Times New Roman" w:hAnsi="Times New Roman" w:cs="Times New Roman"/>
          <w:sz w:val="24"/>
        </w:rPr>
      </w:pPr>
    </w:p>
    <w:p w14:paraId="034BDAFC" w14:textId="44E9779C" w:rsidR="00710FC1" w:rsidRPr="00BB4A7B" w:rsidRDefault="00710FC1" w:rsidP="00DE534C">
      <w:pPr>
        <w:pStyle w:val="Grfica"/>
        <w:keepNext/>
        <w:keepLines/>
        <w:rPr>
          <w:rFonts w:ascii="Times New Roman" w:hAnsi="Times New Roman" w:cs="Times New Roman"/>
          <w:color w:val="000000" w:themeColor="text1"/>
        </w:rPr>
      </w:pPr>
      <w:bookmarkStart w:id="9" w:name="_Toc121413954"/>
      <w:r w:rsidRPr="00BB4A7B">
        <w:rPr>
          <w:rFonts w:ascii="Times New Roman" w:hAnsi="Times New Roman" w:cs="Times New Roman"/>
          <w:color w:val="000000" w:themeColor="text1"/>
        </w:rPr>
        <w:t xml:space="preserve">Gráfica </w:t>
      </w:r>
      <w:r w:rsidRPr="00BB4A7B">
        <w:rPr>
          <w:rFonts w:ascii="Times New Roman" w:hAnsi="Times New Roman" w:cs="Times New Roman"/>
          <w:color w:val="000000" w:themeColor="text1"/>
        </w:rPr>
        <w:fldChar w:fldCharType="begin"/>
      </w:r>
      <w:r w:rsidRPr="00BB4A7B">
        <w:rPr>
          <w:rFonts w:ascii="Times New Roman" w:hAnsi="Times New Roman" w:cs="Times New Roman"/>
          <w:color w:val="000000" w:themeColor="text1"/>
        </w:rPr>
        <w:instrText xml:space="preserve"> SEQ Gráfica \* ARABIC </w:instrText>
      </w:r>
      <w:r w:rsidRPr="00BB4A7B">
        <w:rPr>
          <w:rFonts w:ascii="Times New Roman" w:hAnsi="Times New Roman" w:cs="Times New Roman"/>
          <w:color w:val="000000" w:themeColor="text1"/>
        </w:rPr>
        <w:fldChar w:fldCharType="separate"/>
      </w:r>
      <w:r w:rsidR="005177A8">
        <w:rPr>
          <w:rFonts w:ascii="Times New Roman" w:hAnsi="Times New Roman" w:cs="Times New Roman"/>
          <w:noProof/>
          <w:color w:val="000000" w:themeColor="text1"/>
        </w:rPr>
        <w:t>8</w:t>
      </w:r>
      <w:r w:rsidRPr="00BB4A7B">
        <w:rPr>
          <w:rFonts w:ascii="Times New Roman" w:hAnsi="Times New Roman" w:cs="Times New Roman"/>
          <w:noProof/>
          <w:color w:val="000000" w:themeColor="text1"/>
        </w:rPr>
        <w:fldChar w:fldCharType="end"/>
      </w:r>
      <w:r w:rsidRPr="00BB4A7B">
        <w:rPr>
          <w:rFonts w:ascii="Times New Roman" w:hAnsi="Times New Roman" w:cs="Times New Roman"/>
          <w:color w:val="000000" w:themeColor="text1"/>
        </w:rPr>
        <w:t>. Proporción de grupos de investigación en categoría A y A1. 2013 - 2021</w:t>
      </w:r>
      <w:bookmarkEnd w:id="9"/>
    </w:p>
    <w:p w14:paraId="101C9B9D" w14:textId="77777777" w:rsidR="00710FC1" w:rsidRPr="00BB4A7B" w:rsidRDefault="00710FC1" w:rsidP="00DE534C">
      <w:pPr>
        <w:keepNext/>
        <w:keepLines/>
        <w:spacing w:line="259" w:lineRule="auto"/>
        <w:jc w:val="center"/>
        <w:rPr>
          <w:rFonts w:ascii="Times New Roman" w:hAnsi="Times New Roman" w:cs="Times New Roman"/>
        </w:rPr>
      </w:pPr>
      <w:r w:rsidRPr="00BB4A7B">
        <w:rPr>
          <w:rFonts w:ascii="Times New Roman" w:hAnsi="Times New Roman" w:cs="Times New Roman"/>
          <w:noProof/>
          <w:lang w:eastAsia="es-CO"/>
        </w:rPr>
        <w:drawing>
          <wp:inline distT="0" distB="0" distL="0" distR="0" wp14:anchorId="435CBD29" wp14:editId="06997344">
            <wp:extent cx="4162349" cy="1799540"/>
            <wp:effectExtent l="0" t="0" r="0" b="0"/>
            <wp:docPr id="6" name="Gráfico 6">
              <a:extLst xmlns:a="http://schemas.openxmlformats.org/drawingml/2006/main">
                <a:ext uri="{FF2B5EF4-FFF2-40B4-BE49-F238E27FC236}">
                  <a16:creationId xmlns:a16="http://schemas.microsoft.com/office/drawing/2014/main" id="{4F044963-3FF2-E74A-8299-B81DE8CB7F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300F948" w14:textId="348A9401" w:rsidR="00710FC1" w:rsidRPr="00BB4A7B" w:rsidRDefault="00710FC1" w:rsidP="00DE534C">
      <w:pPr>
        <w:keepNext/>
        <w:keepLines/>
        <w:spacing w:line="259" w:lineRule="auto"/>
        <w:jc w:val="center"/>
        <w:rPr>
          <w:rFonts w:ascii="Times New Roman" w:hAnsi="Times New Roman" w:cs="Times New Roman"/>
        </w:rPr>
      </w:pPr>
      <w:r w:rsidRPr="00BB4A7B">
        <w:rPr>
          <w:rFonts w:ascii="Times New Roman" w:hAnsi="Times New Roman" w:cs="Times New Roman"/>
          <w:sz w:val="21"/>
          <w:szCs w:val="21"/>
        </w:rPr>
        <w:t xml:space="preserve">Fuente: </w:t>
      </w:r>
      <w:r w:rsidRPr="00BB4A7B">
        <w:rPr>
          <w:rFonts w:ascii="Times New Roman" w:hAnsi="Times New Roman" w:cs="Times New Roman"/>
          <w:szCs w:val="21"/>
        </w:rPr>
        <w:t xml:space="preserve">cálculos MCV con base en </w:t>
      </w:r>
      <w:r w:rsidRPr="00BB4A7B">
        <w:rPr>
          <w:rFonts w:ascii="Times New Roman" w:hAnsi="Times New Roman" w:cs="Times New Roman"/>
          <w:sz w:val="21"/>
          <w:szCs w:val="21"/>
        </w:rPr>
        <w:t>MINCIENCIAS</w:t>
      </w:r>
    </w:p>
    <w:p w14:paraId="17F3C82E" w14:textId="23DBC42A" w:rsidR="00AC08A8" w:rsidRPr="00BB4A7B" w:rsidRDefault="00AC08A8" w:rsidP="00710FC1">
      <w:pPr>
        <w:spacing w:line="259" w:lineRule="auto"/>
        <w:jc w:val="center"/>
        <w:rPr>
          <w:rStyle w:val="Referenciasutil"/>
          <w:rFonts w:ascii="Times New Roman" w:hAnsi="Times New Roman" w:cs="Times New Roman"/>
        </w:rPr>
      </w:pPr>
    </w:p>
    <w:p w14:paraId="7E535CCE" w14:textId="77777777" w:rsidR="00AC08A8" w:rsidRPr="00BB4A7B" w:rsidRDefault="00AC08A8" w:rsidP="00710FC1">
      <w:pPr>
        <w:spacing w:line="259" w:lineRule="auto"/>
        <w:rPr>
          <w:rFonts w:ascii="Times New Roman" w:hAnsi="Times New Roman" w:cs="Times New Roman"/>
        </w:rPr>
      </w:pPr>
    </w:p>
    <w:p w14:paraId="5F1C51B5" w14:textId="207A40B2" w:rsidR="00AC08A8" w:rsidRPr="009B2B57" w:rsidRDefault="00AC08A8" w:rsidP="009B2B57">
      <w:pPr>
        <w:pStyle w:val="Ttulo1"/>
        <w:spacing w:before="0"/>
        <w:ind w:left="0"/>
        <w:jc w:val="left"/>
        <w:rPr>
          <w:rFonts w:ascii="Times New Roman" w:hAnsi="Times New Roman" w:cs="Times New Roman"/>
          <w:color w:val="4472C4" w:themeColor="accent1"/>
          <w:sz w:val="24"/>
          <w:szCs w:val="24"/>
        </w:rPr>
      </w:pPr>
      <w:r w:rsidRPr="009B2B57">
        <w:rPr>
          <w:rFonts w:ascii="Times New Roman" w:hAnsi="Times New Roman" w:cs="Times New Roman"/>
          <w:color w:val="4472C4" w:themeColor="accent1"/>
          <w:sz w:val="24"/>
          <w:szCs w:val="24"/>
        </w:rPr>
        <w:t>Las estrategias de Manizales campus universitario y alianza suma</w:t>
      </w:r>
      <w:r w:rsidR="009B2B57">
        <w:rPr>
          <w:rFonts w:ascii="Times New Roman" w:hAnsi="Times New Roman" w:cs="Times New Roman"/>
          <w:color w:val="4472C4" w:themeColor="accent1"/>
          <w:sz w:val="24"/>
          <w:szCs w:val="24"/>
        </w:rPr>
        <w:t>:</w:t>
      </w:r>
    </w:p>
    <w:p w14:paraId="5C7764CB" w14:textId="77777777" w:rsidR="00AC08A8" w:rsidRPr="009B2B57" w:rsidRDefault="00AC08A8" w:rsidP="009B2B57">
      <w:pPr>
        <w:rPr>
          <w:rFonts w:ascii="Times New Roman" w:hAnsi="Times New Roman" w:cs="Times New Roman"/>
          <w:sz w:val="24"/>
        </w:rPr>
      </w:pPr>
    </w:p>
    <w:p w14:paraId="6B62A9FE" w14:textId="77777777" w:rsidR="00AC08A8" w:rsidRPr="009B2B57" w:rsidRDefault="00AC08A8" w:rsidP="009B2B57">
      <w:pPr>
        <w:rPr>
          <w:rFonts w:ascii="Times New Roman" w:hAnsi="Times New Roman" w:cs="Times New Roman"/>
          <w:sz w:val="24"/>
        </w:rPr>
      </w:pPr>
      <w:r w:rsidRPr="009B2B57">
        <w:rPr>
          <w:rFonts w:ascii="Times New Roman" w:hAnsi="Times New Roman" w:cs="Times New Roman"/>
          <w:sz w:val="24"/>
        </w:rPr>
        <w:t>Campus Manizales se constituye como un proyecto que suma diferentes iniciativas de transformación urbana y de movilidad de la ciudad mediante las cuales se desea “cambiarle la cara la ciudad” para generar “dinámicas de participación ciudadana y democrática” en el espacio público, como estrategia para materializar el proyecto de construir en Manizales una ciudad universitaria. A partir de este objetivo, se reconocieron las siguientes necesidades: (i) mejorar la conectividad de la población universitaria con los centros de estudio, (ii) transformar la movilidad de la ciudad según cánones de sostenibilidad medioambiental, y (iii) transformar el espacio público para mejorar su apropiación por parte de la ciudadanía.</w:t>
      </w:r>
    </w:p>
    <w:p w14:paraId="432064D8" w14:textId="77777777" w:rsidR="00AC08A8" w:rsidRPr="009B2B57" w:rsidRDefault="00AC08A8" w:rsidP="009B2B57">
      <w:pPr>
        <w:rPr>
          <w:rFonts w:ascii="Times New Roman" w:hAnsi="Times New Roman" w:cs="Times New Roman"/>
          <w:sz w:val="24"/>
        </w:rPr>
      </w:pPr>
    </w:p>
    <w:p w14:paraId="4CC977C7" w14:textId="77777777" w:rsidR="00AC08A8" w:rsidRPr="009B2B57" w:rsidRDefault="00AC08A8" w:rsidP="009B2B57">
      <w:pPr>
        <w:rPr>
          <w:rFonts w:ascii="Times New Roman" w:hAnsi="Times New Roman" w:cs="Times New Roman"/>
          <w:sz w:val="24"/>
        </w:rPr>
      </w:pPr>
      <w:r w:rsidRPr="009B2B57">
        <w:rPr>
          <w:rFonts w:ascii="Times New Roman" w:hAnsi="Times New Roman" w:cs="Times New Roman"/>
          <w:sz w:val="24"/>
        </w:rPr>
        <w:t>Vale la pena resaltar que, en el Pacto por la Reactivación y el Crecimiento, la Alcaldía de Manizales propone otros productos adicionales del proyecto Campus Manizales, como, por ejemplo, (i) la intervención integral del sector fundadores, (ii) otros modos alternativos de transporte, o (iii) el fortalecimiento de la red de ecoparques.</w:t>
      </w:r>
    </w:p>
    <w:p w14:paraId="6804E7CE" w14:textId="77777777" w:rsidR="00AC08A8" w:rsidRPr="009B2B57" w:rsidRDefault="00AC08A8" w:rsidP="009B2B57">
      <w:pPr>
        <w:rPr>
          <w:rFonts w:ascii="Times New Roman" w:hAnsi="Times New Roman" w:cs="Times New Roman"/>
          <w:sz w:val="24"/>
        </w:rPr>
      </w:pPr>
    </w:p>
    <w:p w14:paraId="1F3DB3DD" w14:textId="0D10AD41" w:rsidR="00AC08A8" w:rsidRPr="009B2B57" w:rsidRDefault="00AC08A8" w:rsidP="009B2B57">
      <w:pPr>
        <w:rPr>
          <w:rFonts w:ascii="Times New Roman" w:hAnsi="Times New Roman" w:cs="Times New Roman"/>
          <w:sz w:val="24"/>
        </w:rPr>
      </w:pPr>
      <w:r w:rsidRPr="009B2B57">
        <w:rPr>
          <w:rFonts w:ascii="Times New Roman" w:hAnsi="Times New Roman" w:cs="Times New Roman"/>
          <w:sz w:val="24"/>
        </w:rPr>
        <w:t>Eafit (2022)</w:t>
      </w:r>
      <w:r w:rsidR="009B2B57">
        <w:rPr>
          <w:rFonts w:ascii="Times New Roman" w:hAnsi="Times New Roman" w:cs="Times New Roman"/>
          <w:sz w:val="24"/>
        </w:rPr>
        <w:t>,</w:t>
      </w:r>
      <w:r w:rsidRPr="009B2B57">
        <w:rPr>
          <w:rFonts w:ascii="Times New Roman" w:hAnsi="Times New Roman" w:cs="Times New Roman"/>
          <w:sz w:val="24"/>
        </w:rPr>
        <w:t xml:space="preserve"> encontró que los residentes de las áreas intervenidas por el proyecto Campus Manizales tienen un nivel de educación mayor y una mayor probabilidad de estar empleados que los residentes del resto de la ciudad, lo cual se traduce en mayores ingresos promedio (medidos por el estrato socioeconómico de la vivienda). Adicionalmente, es más probable que vivan en apartamentos, que cuenten con acceso a internet y que vivan en hogares de una o dos personas. Por último, en estas áreas hay una mayor proporción de personas con más de 60 años, personas de minorías étnicas y personas nacidas fuera de Manizales, así como una menor proporción de niños.</w:t>
      </w:r>
    </w:p>
    <w:p w14:paraId="1D29D996" w14:textId="77777777" w:rsidR="00AC08A8" w:rsidRPr="009B2B57" w:rsidRDefault="00AC08A8" w:rsidP="009B2B57">
      <w:pPr>
        <w:rPr>
          <w:rFonts w:ascii="Times New Roman" w:hAnsi="Times New Roman" w:cs="Times New Roman"/>
          <w:sz w:val="24"/>
        </w:rPr>
      </w:pPr>
    </w:p>
    <w:p w14:paraId="698D2116" w14:textId="77777777" w:rsidR="00AC08A8" w:rsidRPr="009B2B57" w:rsidRDefault="00AC08A8" w:rsidP="009B2B57">
      <w:pPr>
        <w:rPr>
          <w:rFonts w:ascii="Times New Roman" w:hAnsi="Times New Roman" w:cs="Times New Roman"/>
          <w:sz w:val="24"/>
        </w:rPr>
      </w:pPr>
      <w:r w:rsidRPr="009B2B57">
        <w:rPr>
          <w:rFonts w:ascii="Times New Roman" w:hAnsi="Times New Roman" w:cs="Times New Roman"/>
          <w:sz w:val="24"/>
        </w:rPr>
        <w:t>En cuanto a la dinámica empresarial, los resultados muestran que, dentro de Campus Manizales, las zonas que más presentan establecimientos comerciales son aquellas áreas de influencia de las intervenciones de la Av. Santander y del Bulevar de la Calle 19. Esto no debería sorprender dado que estas dos áreas son relativamente extensas (lo que lleva a altos niveles) y céntricas (lo que lleva a alta densidad). Sin embargo, resalta la zona de influencia de las Calles 45 y 48, las cuales concentran un 6.4% de los establecimientos comerciales en un 1.1% del área de la ciudad.</w:t>
      </w:r>
    </w:p>
    <w:p w14:paraId="663B41C6" w14:textId="77777777" w:rsidR="00AC08A8" w:rsidRPr="009B2B57" w:rsidRDefault="00AC08A8" w:rsidP="009B2B57">
      <w:pPr>
        <w:rPr>
          <w:rFonts w:ascii="Times New Roman" w:hAnsi="Times New Roman" w:cs="Times New Roman"/>
          <w:sz w:val="24"/>
        </w:rPr>
      </w:pPr>
    </w:p>
    <w:p w14:paraId="0A5741A5" w14:textId="77777777" w:rsidR="00AC08A8" w:rsidRPr="009B2B57" w:rsidRDefault="00AC08A8" w:rsidP="009B2B57">
      <w:pPr>
        <w:rPr>
          <w:rFonts w:ascii="Times New Roman" w:hAnsi="Times New Roman" w:cs="Times New Roman"/>
          <w:sz w:val="24"/>
        </w:rPr>
      </w:pPr>
      <w:r w:rsidRPr="009B2B57">
        <w:rPr>
          <w:rFonts w:ascii="Times New Roman" w:hAnsi="Times New Roman" w:cs="Times New Roman"/>
          <w:sz w:val="24"/>
        </w:rPr>
        <w:t>En las zonas de influencia de la Av. Santander y de la Calle 19, las finanzas y actividades de seguros son los sectores más importantes, concentrando alrededor del 80% de los activos, seguidos por el comercio (con un 15% en la Calle 19, y un 6.1% en la Av. Santander), y de tercer lugar los servicios de transporte y almacenamiento en el Calle 19 (1.9%) y los servicios de salud alrededor de la Av. Santander (5.6%). Para las zonas de influencia de las calles 45 y 48, el principal sector es el manufacturero con un 75.3% de los activos, seguido por el comercio con un 13.4% y por alojamiento y servicios de comida con un 2.9%. Por último, para el área de influencia de La Gotera, el 71.5% de los activos están concentrados en las actividades profesionales, científicas y de apoyo, el 13.5% en comercio y el 11.7% en servicios de información y comunicaciones. Vale la pena recordar el pequeño número de establecimientos alrededor del Parque La Gotera. Estos resultados contrastan un poco con la estructura sectorial del resto de la ciudad en donde el sector de la construcción concentra el mayor valor de activos con un 36.4%, seguidos por las finanzas y seguros con un 18% y por la industria manufacturera con un 15.5%.</w:t>
      </w:r>
    </w:p>
    <w:p w14:paraId="507DFBF5" w14:textId="77777777" w:rsidR="00AC08A8" w:rsidRPr="009B2B57" w:rsidRDefault="00AC08A8" w:rsidP="009B2B57">
      <w:pPr>
        <w:rPr>
          <w:rFonts w:ascii="Times New Roman" w:hAnsi="Times New Roman" w:cs="Times New Roman"/>
          <w:sz w:val="24"/>
        </w:rPr>
      </w:pPr>
    </w:p>
    <w:p w14:paraId="0C37B582" w14:textId="77777777" w:rsidR="00AC08A8" w:rsidRPr="009B2B57" w:rsidRDefault="00AC08A8" w:rsidP="009B2B57">
      <w:pPr>
        <w:rPr>
          <w:rFonts w:ascii="Times New Roman" w:hAnsi="Times New Roman" w:cs="Times New Roman"/>
          <w:sz w:val="24"/>
        </w:rPr>
      </w:pPr>
      <w:r w:rsidRPr="009B2B57">
        <w:rPr>
          <w:rFonts w:ascii="Times New Roman" w:hAnsi="Times New Roman" w:cs="Times New Roman"/>
          <w:sz w:val="24"/>
        </w:rPr>
        <w:t>Por su parte, El Sistema Universitario de Manizales (SUMA) es una alianza entre las 6 principales universidades de la ciudad que trabajan permanentemente en la generación de esfuerzos conjuntos de cooperación hacia la ejecución de proyectos de investigación, formación y extensión.</w:t>
      </w:r>
    </w:p>
    <w:p w14:paraId="503AE4FD" w14:textId="77777777" w:rsidR="00AC08A8" w:rsidRPr="009B2B57" w:rsidRDefault="00AC08A8" w:rsidP="009B2B57">
      <w:pPr>
        <w:rPr>
          <w:rFonts w:ascii="Times New Roman" w:hAnsi="Times New Roman" w:cs="Times New Roman"/>
          <w:sz w:val="24"/>
        </w:rPr>
      </w:pPr>
    </w:p>
    <w:p w14:paraId="7E6F908D" w14:textId="77777777" w:rsidR="00AC08A8" w:rsidRPr="009B2B57" w:rsidRDefault="00AC08A8" w:rsidP="009B2B57">
      <w:pPr>
        <w:rPr>
          <w:rFonts w:ascii="Times New Roman" w:hAnsi="Times New Roman" w:cs="Times New Roman"/>
          <w:sz w:val="24"/>
        </w:rPr>
      </w:pPr>
      <w:r w:rsidRPr="009B2B57">
        <w:rPr>
          <w:rFonts w:ascii="Times New Roman" w:hAnsi="Times New Roman" w:cs="Times New Roman"/>
          <w:sz w:val="24"/>
        </w:rPr>
        <w:t>La alianza SUMA es altamente beneficiosa para la comunidad, pues la integración de recursos humanos, técnicos y físicos con que cuenta cada universidad, genera mayor calidad, cobertura y eficiencia para el cumplimiento de sus objetivos. El Sistema Universitario de Manizales está constituido por: Universidad Nacional de Colombia, sede Manizales; Universidad de Caldas; Universidad Católica Luis Amigó; Universidad Católica de Manizales; Universidad Autónoma de Manizales y Universidad de Manizales.</w:t>
      </w:r>
    </w:p>
    <w:p w14:paraId="19097ED7" w14:textId="77777777" w:rsidR="00AC08A8" w:rsidRPr="009B2B57" w:rsidRDefault="00AC08A8" w:rsidP="009B2B57">
      <w:pPr>
        <w:rPr>
          <w:rFonts w:ascii="Times New Roman" w:hAnsi="Times New Roman" w:cs="Times New Roman"/>
          <w:sz w:val="24"/>
        </w:rPr>
      </w:pPr>
    </w:p>
    <w:p w14:paraId="1C53BD46" w14:textId="3FD09CD6" w:rsidR="00AC08A8" w:rsidRPr="009B2B57" w:rsidRDefault="00AC08A8" w:rsidP="009B2B57">
      <w:pPr>
        <w:rPr>
          <w:rFonts w:ascii="Times New Roman" w:hAnsi="Times New Roman" w:cs="Times New Roman"/>
          <w:sz w:val="24"/>
        </w:rPr>
      </w:pPr>
      <w:r w:rsidRPr="009B2B57">
        <w:rPr>
          <w:rFonts w:ascii="Times New Roman" w:hAnsi="Times New Roman" w:cs="Times New Roman"/>
          <w:sz w:val="24"/>
        </w:rPr>
        <w:t xml:space="preserve">Otras iniciativas importantes de destacar en la ciudad es el Programa Universidad en Tu Colegio, a cargo de la Fundación Luker, el cual facilita el acceso a programas de formación técnica y tecnológica a jóvenes de colegios oficiales con Universidades e Instituciones para el trabajo y el desarrollo humano de la región. Los programas son pertinentes a las necesidades del sector empresarial y se desarrollan mientras los estudiantes cursan grado 10° y 11° en </w:t>
      </w:r>
      <w:r w:rsidR="009B2B57" w:rsidRPr="009B2B57">
        <w:rPr>
          <w:rFonts w:ascii="Times New Roman" w:hAnsi="Times New Roman" w:cs="Times New Roman"/>
          <w:sz w:val="24"/>
        </w:rPr>
        <w:t>contra jornada</w:t>
      </w:r>
      <w:r w:rsidRPr="009B2B57">
        <w:rPr>
          <w:rFonts w:ascii="Times New Roman" w:hAnsi="Times New Roman" w:cs="Times New Roman"/>
          <w:sz w:val="24"/>
        </w:rPr>
        <w:t xml:space="preserve"> en los colegios, pues los profesores universitarios se desplazan a éstos.</w:t>
      </w:r>
    </w:p>
    <w:p w14:paraId="5390DEA0" w14:textId="77777777" w:rsidR="00AC08A8" w:rsidRPr="009B2B57" w:rsidRDefault="00AC08A8" w:rsidP="009B2B57">
      <w:pPr>
        <w:rPr>
          <w:rFonts w:ascii="Times New Roman" w:hAnsi="Times New Roman" w:cs="Times New Roman"/>
          <w:sz w:val="24"/>
        </w:rPr>
      </w:pPr>
    </w:p>
    <w:p w14:paraId="77B982CD" w14:textId="77777777" w:rsidR="00AC08A8" w:rsidRPr="009B2B57" w:rsidRDefault="00AC08A8" w:rsidP="009B2B57">
      <w:pPr>
        <w:rPr>
          <w:rFonts w:ascii="Times New Roman" w:hAnsi="Times New Roman" w:cs="Times New Roman"/>
          <w:sz w:val="24"/>
        </w:rPr>
      </w:pPr>
      <w:r w:rsidRPr="009B2B57">
        <w:rPr>
          <w:rFonts w:ascii="Times New Roman" w:hAnsi="Times New Roman" w:cs="Times New Roman"/>
          <w:sz w:val="24"/>
        </w:rPr>
        <w:t>Para la zona rural, se tiene el Programa Universidad en el Campo que se desarrolla a través de una alianza público-privada con el objetivo de facilitar el acceso a programas de formación técnica y tecnológica a jóvenes de las zonas rurales del departamento, desarrollados mientras los estudiantes cursan grado 10° y 11°, sin la necesidad de salir de su entorno, pues los profesores universitarios se desplazan hacia las instituciones educativas.</w:t>
      </w:r>
    </w:p>
    <w:p w14:paraId="22DBFB25" w14:textId="0446B949" w:rsidR="00AC08A8" w:rsidRPr="009B2B57" w:rsidRDefault="00AC08A8" w:rsidP="009B2B57">
      <w:pPr>
        <w:rPr>
          <w:rFonts w:ascii="Times New Roman" w:hAnsi="Times New Roman" w:cs="Times New Roman"/>
          <w:sz w:val="24"/>
        </w:rPr>
      </w:pPr>
    </w:p>
    <w:p w14:paraId="0EBE38D0" w14:textId="25BD42D5" w:rsidR="004F18E0" w:rsidRPr="009B2B57" w:rsidRDefault="004F18E0" w:rsidP="009B2B57">
      <w:pPr>
        <w:pStyle w:val="Ttulo1"/>
        <w:spacing w:before="0"/>
        <w:ind w:left="0"/>
        <w:jc w:val="both"/>
        <w:rPr>
          <w:rFonts w:ascii="Times New Roman" w:hAnsi="Times New Roman" w:cs="Times New Roman"/>
          <w:color w:val="4472C4" w:themeColor="accent1"/>
          <w:sz w:val="24"/>
          <w:szCs w:val="24"/>
        </w:rPr>
      </w:pPr>
      <w:r w:rsidRPr="009B2B57">
        <w:rPr>
          <w:rFonts w:ascii="Times New Roman" w:hAnsi="Times New Roman" w:cs="Times New Roman"/>
          <w:color w:val="4472C4" w:themeColor="accent1"/>
          <w:sz w:val="24"/>
          <w:szCs w:val="24"/>
        </w:rPr>
        <w:t xml:space="preserve">El desempeño de la educación superior de Manizales en el </w:t>
      </w:r>
      <w:r w:rsidR="009B2B57" w:rsidRPr="009B2B57">
        <w:rPr>
          <w:rFonts w:ascii="Times New Roman" w:hAnsi="Times New Roman" w:cs="Times New Roman"/>
          <w:color w:val="4472C4" w:themeColor="accent1"/>
          <w:sz w:val="24"/>
          <w:szCs w:val="24"/>
        </w:rPr>
        <w:t>Índice</w:t>
      </w:r>
      <w:r w:rsidRPr="009B2B57">
        <w:rPr>
          <w:rFonts w:ascii="Times New Roman" w:hAnsi="Times New Roman" w:cs="Times New Roman"/>
          <w:color w:val="4472C4" w:themeColor="accent1"/>
          <w:sz w:val="24"/>
          <w:szCs w:val="24"/>
        </w:rPr>
        <w:t xml:space="preserve"> de Competitividad de Ciudades</w:t>
      </w:r>
      <w:r w:rsidR="009B2B57">
        <w:rPr>
          <w:rFonts w:ascii="Times New Roman" w:hAnsi="Times New Roman" w:cs="Times New Roman"/>
          <w:color w:val="4472C4" w:themeColor="accent1"/>
          <w:sz w:val="24"/>
          <w:szCs w:val="24"/>
        </w:rPr>
        <w:t>:</w:t>
      </w:r>
    </w:p>
    <w:p w14:paraId="492FC29C" w14:textId="4849B170" w:rsidR="004F18E0" w:rsidRPr="009B2B57" w:rsidRDefault="004F18E0" w:rsidP="009B2B57">
      <w:pPr>
        <w:rPr>
          <w:rFonts w:ascii="Times New Roman" w:hAnsi="Times New Roman" w:cs="Times New Roman"/>
          <w:sz w:val="24"/>
        </w:rPr>
      </w:pPr>
    </w:p>
    <w:p w14:paraId="4E28FC90" w14:textId="26476C92" w:rsidR="004F18E0" w:rsidRPr="009B2B57" w:rsidRDefault="004F18E0" w:rsidP="009B2B57">
      <w:pPr>
        <w:rPr>
          <w:rFonts w:ascii="Times New Roman" w:hAnsi="Times New Roman" w:cs="Times New Roman"/>
          <w:sz w:val="24"/>
        </w:rPr>
      </w:pPr>
      <w:r w:rsidRPr="009B2B57">
        <w:rPr>
          <w:rFonts w:ascii="Times New Roman" w:hAnsi="Times New Roman" w:cs="Times New Roman"/>
          <w:sz w:val="24"/>
        </w:rPr>
        <w:t xml:space="preserve">En la última medición del </w:t>
      </w:r>
      <w:r w:rsidR="009B2B57" w:rsidRPr="009B2B57">
        <w:rPr>
          <w:rFonts w:ascii="Times New Roman" w:hAnsi="Times New Roman" w:cs="Times New Roman"/>
          <w:sz w:val="24"/>
        </w:rPr>
        <w:t>Índice</w:t>
      </w:r>
      <w:r w:rsidRPr="009B2B57">
        <w:rPr>
          <w:rFonts w:ascii="Times New Roman" w:hAnsi="Times New Roman" w:cs="Times New Roman"/>
          <w:sz w:val="24"/>
        </w:rPr>
        <w:t xml:space="preserve"> de Competitividad de Ciudades, Manizales ocupa el cuarto lugar con un puntaje de 6,52 sobre 10.</w:t>
      </w:r>
    </w:p>
    <w:p w14:paraId="26649500" w14:textId="10117741" w:rsidR="004F18E0" w:rsidRPr="00BB4A7B" w:rsidRDefault="004F18E0" w:rsidP="004F18E0">
      <w:pPr>
        <w:rPr>
          <w:rFonts w:ascii="Times New Roman" w:hAnsi="Times New Roman" w:cs="Times New Roman"/>
        </w:rPr>
      </w:pPr>
    </w:p>
    <w:p w14:paraId="09189FCE" w14:textId="29D76D58" w:rsidR="00AF2CF4" w:rsidRPr="00BB4A7B" w:rsidRDefault="00AF2CF4" w:rsidP="00AF2CF4">
      <w:pPr>
        <w:jc w:val="center"/>
        <w:rPr>
          <w:rFonts w:ascii="Times New Roman" w:hAnsi="Times New Roman" w:cs="Times New Roman"/>
        </w:rPr>
      </w:pPr>
      <w:r w:rsidRPr="00BB4A7B">
        <w:rPr>
          <w:rFonts w:ascii="Times New Roman" w:hAnsi="Times New Roman" w:cs="Times New Roman"/>
          <w:noProof/>
          <w:lang w:eastAsia="es-CO"/>
        </w:rPr>
        <mc:AlternateContent>
          <mc:Choice Requires="wps">
            <w:drawing>
              <wp:anchor distT="0" distB="0" distL="114300" distR="114300" simplePos="0" relativeHeight="251659264" behindDoc="0" locked="0" layoutInCell="1" allowOverlap="1" wp14:anchorId="488A9924" wp14:editId="7CA9B231">
                <wp:simplePos x="0" y="0"/>
                <wp:positionH relativeFrom="column">
                  <wp:posOffset>1058766</wp:posOffset>
                </wp:positionH>
                <wp:positionV relativeFrom="paragraph">
                  <wp:posOffset>1561713</wp:posOffset>
                </wp:positionV>
                <wp:extent cx="3816626" cy="206734"/>
                <wp:effectExtent l="0" t="0" r="12700" b="22225"/>
                <wp:wrapNone/>
                <wp:docPr id="3" name="Rectángulo 3"/>
                <wp:cNvGraphicFramePr/>
                <a:graphic xmlns:a="http://schemas.openxmlformats.org/drawingml/2006/main">
                  <a:graphicData uri="http://schemas.microsoft.com/office/word/2010/wordprocessingShape">
                    <wps:wsp>
                      <wps:cNvSpPr/>
                      <wps:spPr>
                        <a:xfrm>
                          <a:off x="0" y="0"/>
                          <a:ext cx="3816626" cy="206734"/>
                        </a:xfrm>
                        <a:prstGeom prst="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6D570F8" id="Rectángulo 3" o:spid="_x0000_s1026" style="position:absolute;margin-left:83.35pt;margin-top:122.95pt;width:300.5pt;height:16.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" filled="f" strokecolor="#c00000" strokeweight="1pt"/>
            </w:pict>
          </mc:Fallback>
        </mc:AlternateContent>
      </w:r>
      <w:r w:rsidRPr="00BB4A7B">
        <w:rPr>
          <w:rFonts w:ascii="Times New Roman" w:hAnsi="Times New Roman" w:cs="Times New Roman"/>
          <w:noProof/>
          <w:lang w:eastAsia="es-CO"/>
        </w:rPr>
        <w:drawing>
          <wp:inline distT="0" distB="0" distL="0" distR="0" wp14:anchorId="6EAD32C8" wp14:editId="6A9716B9">
            <wp:extent cx="4409428" cy="332328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416960" cy="3328963"/>
                    </a:xfrm>
                    <a:prstGeom prst="rect">
                      <a:avLst/>
                    </a:prstGeom>
                  </pic:spPr>
                </pic:pic>
              </a:graphicData>
            </a:graphic>
          </wp:inline>
        </w:drawing>
      </w:r>
    </w:p>
    <w:p w14:paraId="6F1B4001" w14:textId="77777777" w:rsidR="009B2B57" w:rsidRDefault="009B2B57" w:rsidP="00D5365F">
      <w:pPr>
        <w:rPr>
          <w:rFonts w:ascii="Times New Roman" w:hAnsi="Times New Roman" w:cs="Times New Roman"/>
        </w:rPr>
      </w:pPr>
    </w:p>
    <w:p w14:paraId="6DB4B748" w14:textId="53D3601E" w:rsidR="00AF2CF4" w:rsidRPr="009B2B57" w:rsidRDefault="00AF2CF4" w:rsidP="00D5365F">
      <w:pPr>
        <w:rPr>
          <w:rFonts w:ascii="Times New Roman" w:hAnsi="Times New Roman" w:cs="Times New Roman"/>
          <w:sz w:val="24"/>
        </w:rPr>
      </w:pPr>
      <w:r w:rsidRPr="009B2B57">
        <w:rPr>
          <w:rFonts w:ascii="Times New Roman" w:hAnsi="Times New Roman" w:cs="Times New Roman"/>
          <w:sz w:val="24"/>
        </w:rPr>
        <w:t xml:space="preserve">Como se observa, es uno de los pilares en los que obtiene </w:t>
      </w:r>
      <w:r w:rsidR="006D6357" w:rsidRPr="009B2B57">
        <w:rPr>
          <w:rFonts w:ascii="Times New Roman" w:hAnsi="Times New Roman" w:cs="Times New Roman"/>
          <w:sz w:val="24"/>
        </w:rPr>
        <w:t>las mejores posiciones entre las ciudades del país, junto con el pilar de innovación en el que obtiene la posición 2, el pilar de mercado laboral con la posición 3 y el pilar de adopción TIC (posición 4)</w:t>
      </w:r>
    </w:p>
    <w:p w14:paraId="73F8686A" w14:textId="77777777" w:rsidR="00AF2CF4" w:rsidRPr="009B2B57" w:rsidRDefault="00AF2CF4" w:rsidP="00D5365F">
      <w:pPr>
        <w:rPr>
          <w:rFonts w:ascii="Times New Roman" w:hAnsi="Times New Roman" w:cs="Times New Roman"/>
          <w:sz w:val="24"/>
        </w:rPr>
      </w:pPr>
    </w:p>
    <w:p w14:paraId="243D970C" w14:textId="4EE897BD" w:rsidR="00D5365F" w:rsidRDefault="00D5365F" w:rsidP="00D5365F">
      <w:pPr>
        <w:rPr>
          <w:rFonts w:ascii="Times New Roman" w:hAnsi="Times New Roman" w:cs="Times New Roman"/>
          <w:sz w:val="24"/>
        </w:rPr>
      </w:pPr>
      <w:r w:rsidRPr="009B2B57">
        <w:rPr>
          <w:rFonts w:ascii="Times New Roman" w:hAnsi="Times New Roman" w:cs="Times New Roman"/>
          <w:sz w:val="24"/>
        </w:rPr>
        <w:t xml:space="preserve">A este resultado contribuyen especialmente la calidad de la educación superior con un puntaje de 8.57, la variable calidad de docentes de educación superior obtiene un puntaje de 10 sobre 10, mientras que el puntaje en las pruebas Saber Pro es de 8,26. </w:t>
      </w:r>
      <w:r w:rsidR="00AF2CF4" w:rsidRPr="009B2B57">
        <w:rPr>
          <w:rFonts w:ascii="Times New Roman" w:hAnsi="Times New Roman" w:cs="Times New Roman"/>
          <w:sz w:val="24"/>
        </w:rPr>
        <w:t xml:space="preserve">En contraste, de acuerdo con los resultados del </w:t>
      </w:r>
      <w:r w:rsidR="009B2B57" w:rsidRPr="009B2B57">
        <w:rPr>
          <w:rFonts w:ascii="Times New Roman" w:hAnsi="Times New Roman" w:cs="Times New Roman"/>
          <w:sz w:val="24"/>
        </w:rPr>
        <w:t>Índice</w:t>
      </w:r>
      <w:r w:rsidR="00AF2CF4" w:rsidRPr="009B2B57">
        <w:rPr>
          <w:rFonts w:ascii="Times New Roman" w:hAnsi="Times New Roman" w:cs="Times New Roman"/>
          <w:sz w:val="24"/>
        </w:rPr>
        <w:t xml:space="preserve"> se deben mejorar aspectos como la cobertura bruta en formación universitaria, que obtuvo un puntaje de 3,84, el número de graduados de posgrado (4,40) y la cobertura bruta en educación técnica y tecnológica (5,40).</w:t>
      </w:r>
    </w:p>
    <w:p w14:paraId="4C121FA0" w14:textId="6E542CFE" w:rsidR="009B2B57" w:rsidRDefault="009B2B57" w:rsidP="00D5365F">
      <w:pPr>
        <w:rPr>
          <w:rFonts w:ascii="Times New Roman" w:hAnsi="Times New Roman" w:cs="Times New Roman"/>
          <w:sz w:val="24"/>
        </w:rPr>
      </w:pPr>
    </w:p>
    <w:p w14:paraId="60DC83A5" w14:textId="50EBCF15" w:rsidR="009B2B57" w:rsidRDefault="009B2B57" w:rsidP="009B2B57">
      <w:pPr>
        <w:pStyle w:val="Ttulo1"/>
        <w:spacing w:before="0"/>
        <w:ind w:left="0"/>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Conclusión:</w:t>
      </w:r>
    </w:p>
    <w:p w14:paraId="017434DF" w14:textId="621CF320" w:rsidR="009B2B57" w:rsidRDefault="009B2B57" w:rsidP="009B2B57"/>
    <w:p w14:paraId="0ED4A3B3" w14:textId="5E819502" w:rsidR="009B2B57" w:rsidRDefault="009B2B57" w:rsidP="009B2B57">
      <w:pPr>
        <w:rPr>
          <w:rFonts w:ascii="Times New Roman" w:hAnsi="Times New Roman" w:cs="Times New Roman"/>
          <w:sz w:val="24"/>
        </w:rPr>
      </w:pPr>
      <w:r w:rsidRPr="009B2B57">
        <w:rPr>
          <w:rFonts w:ascii="Times New Roman" w:hAnsi="Times New Roman" w:cs="Times New Roman"/>
          <w:sz w:val="24"/>
        </w:rPr>
        <w:t>Por las cons</w:t>
      </w:r>
      <w:r>
        <w:rPr>
          <w:rFonts w:ascii="Times New Roman" w:hAnsi="Times New Roman" w:cs="Times New Roman"/>
          <w:sz w:val="24"/>
        </w:rPr>
        <w:t>ideraciones presentadas, se pone a consideración de la Honorable Cámara de Representantes, un proyecto de ley cuyo objeto es la creación</w:t>
      </w:r>
      <w:r w:rsidRPr="009B2B57">
        <w:rPr>
          <w:rFonts w:ascii="Times New Roman" w:hAnsi="Times New Roman" w:cs="Times New Roman"/>
          <w:sz w:val="24"/>
        </w:rPr>
        <w:t xml:space="preserve"> </w:t>
      </w:r>
      <w:r>
        <w:rPr>
          <w:rFonts w:ascii="Times New Roman" w:hAnsi="Times New Roman" w:cs="Times New Roman"/>
          <w:sz w:val="24"/>
        </w:rPr>
        <w:t>d</w:t>
      </w:r>
      <w:r w:rsidRPr="009B2B57">
        <w:rPr>
          <w:rFonts w:ascii="Times New Roman" w:hAnsi="Times New Roman" w:cs="Times New Roman"/>
          <w:sz w:val="24"/>
        </w:rPr>
        <w:t>el fondo Manizales Ciudad Eje del Conocimiento, cuyo fin será promover el acceso y la permanencia en el sistema de educación superior en los niveles de pregrado (tecnólogo, tecnológico y universitario) y posgrado (especialización, maestría y doctorado), así como también la promoción y ejecución de alianzas, convenios y/o contratos con instituciones de educación superior y entidades públicas o personas jurídicas con competencia en ciencia y tecnología, para la financiación de proyectos de investigación y desarrollo, la transferencia del conocimiento y el mejoramiento de la calidad de vida de la población.</w:t>
      </w:r>
    </w:p>
    <w:p w14:paraId="2C3E44CB" w14:textId="6BE1FC21" w:rsidR="009B2B57" w:rsidRDefault="009B2B57" w:rsidP="009B2B57">
      <w:pPr>
        <w:rPr>
          <w:rFonts w:ascii="Times New Roman" w:hAnsi="Times New Roman" w:cs="Times New Roman"/>
          <w:sz w:val="24"/>
        </w:rPr>
      </w:pPr>
    </w:p>
    <w:p w14:paraId="57927CC4" w14:textId="29C951EE" w:rsidR="009B2B57" w:rsidRDefault="009B2B57" w:rsidP="009B2B57">
      <w:pPr>
        <w:rPr>
          <w:rFonts w:ascii="Times New Roman" w:hAnsi="Times New Roman" w:cs="Times New Roman"/>
          <w:sz w:val="24"/>
        </w:rPr>
      </w:pPr>
    </w:p>
    <w:p w14:paraId="74D785EC" w14:textId="4AA9108C" w:rsidR="00362F88" w:rsidRDefault="00362F88" w:rsidP="00362F88">
      <w:r>
        <w:t>Firma,</w:t>
      </w:r>
    </w:p>
    <w:p w14:paraId="0B39A8DF" w14:textId="77777777" w:rsidR="00362F88" w:rsidRDefault="00362F88" w:rsidP="00362F88"/>
    <w:p w14:paraId="3E10297C" w14:textId="77777777" w:rsidR="00362F88" w:rsidRDefault="00362F88" w:rsidP="00362F88"/>
    <w:p w14:paraId="0D1455EA" w14:textId="77777777" w:rsidR="00362F88" w:rsidRDefault="00362F88" w:rsidP="00362F88"/>
    <w:p w14:paraId="603099A5" w14:textId="77777777" w:rsidR="00362F88" w:rsidRDefault="00362F88" w:rsidP="00362F88"/>
    <w:p w14:paraId="43832C27" w14:textId="77777777" w:rsidR="00362F88" w:rsidRPr="004F271A" w:rsidRDefault="00362F88" w:rsidP="00362F88">
      <w:pPr>
        <w:rPr>
          <w:b/>
          <w:bCs/>
        </w:rPr>
      </w:pPr>
      <w:r w:rsidRPr="004F271A">
        <w:rPr>
          <w:b/>
          <w:bCs/>
        </w:rPr>
        <w:t>GUIDO ECHEVERRI PIEDRAHITA</w:t>
      </w:r>
    </w:p>
    <w:p w14:paraId="1A41AC83" w14:textId="77777777" w:rsidR="00362F88" w:rsidRDefault="00362F88" w:rsidP="00362F88">
      <w:r>
        <w:t>Senador de la República</w:t>
      </w:r>
    </w:p>
    <w:p w14:paraId="0BA80199" w14:textId="0E98CAD8" w:rsidR="009B2B57" w:rsidRPr="009B2B57" w:rsidRDefault="009B2B57" w:rsidP="009B2B57">
      <w:pPr>
        <w:rPr>
          <w:rFonts w:ascii="Times New Roman" w:hAnsi="Times New Roman" w:cs="Times New Roman"/>
          <w:sz w:val="24"/>
        </w:rPr>
      </w:pPr>
    </w:p>
    <w:p w14:paraId="2E4EED62" w14:textId="3A65723E" w:rsidR="009B2B57" w:rsidRPr="009B2B57" w:rsidRDefault="009B2B57" w:rsidP="00D5365F">
      <w:pPr>
        <w:rPr>
          <w:rFonts w:ascii="Times New Roman" w:hAnsi="Times New Roman" w:cs="Times New Roman"/>
          <w:sz w:val="24"/>
        </w:rPr>
      </w:pPr>
    </w:p>
    <w:p w14:paraId="283EDD58" w14:textId="77777777" w:rsidR="004F18E0" w:rsidRPr="00BB4A7B" w:rsidRDefault="004F18E0" w:rsidP="00710FC1">
      <w:pPr>
        <w:spacing w:line="259" w:lineRule="auto"/>
        <w:rPr>
          <w:rFonts w:ascii="Times New Roman" w:hAnsi="Times New Roman" w:cs="Times New Roman"/>
        </w:rPr>
      </w:pPr>
    </w:p>
    <w:p w14:paraId="4AEC6A1C" w14:textId="77777777" w:rsidR="00295D19" w:rsidRPr="00BB4A7B" w:rsidRDefault="00296E04" w:rsidP="00710FC1">
      <w:pPr>
        <w:spacing w:line="259" w:lineRule="auto"/>
        <w:rPr>
          <w:rFonts w:ascii="Times New Roman" w:hAnsi="Times New Roman" w:cs="Times New Roman"/>
        </w:rPr>
      </w:pPr>
    </w:p>
    <w:sectPr w:rsidR="00295D19" w:rsidRPr="00BB4A7B" w:rsidSect="004F271A">
      <w:headerReference w:type="default" r:id="rId18"/>
      <w:footerReference w:type="default" r:id="rId19"/>
      <w:pgSz w:w="11900" w:h="16840"/>
      <w:pgMar w:top="2268" w:right="1701" w:bottom="213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68BD4" w14:textId="77777777" w:rsidR="00296E04" w:rsidRDefault="00296E04" w:rsidP="00AC08A8">
      <w:pPr>
        <w:spacing w:line="240" w:lineRule="auto"/>
      </w:pPr>
      <w:r>
        <w:separator/>
      </w:r>
    </w:p>
  </w:endnote>
  <w:endnote w:type="continuationSeparator" w:id="0">
    <w:p w14:paraId="3134A5B7" w14:textId="77777777" w:rsidR="00296E04" w:rsidRDefault="00296E04" w:rsidP="00AC08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Light">
    <w:charset w:val="4D"/>
    <w:family w:val="auto"/>
    <w:pitch w:val="variable"/>
    <w:sig w:usb0="00008007" w:usb1="00000000"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enorite">
    <w:charset w:val="00"/>
    <w:family w:val="auto"/>
    <w:pitch w:val="variable"/>
    <w:sig w:usb0="80000003" w:usb1="00000001" w:usb2="00000000" w:usb3="00000000" w:csb0="00000001" w:csb1="00000000"/>
  </w:font>
  <w:font w:name="Quattrocento Sans">
    <w:charset w:val="00"/>
    <w:family w:val="swiss"/>
    <w:pitch w:val="variable"/>
    <w:sig w:usb0="800000BF" w:usb1="4000005B"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620E6" w14:textId="245D126F" w:rsidR="004F271A" w:rsidRDefault="004F271A">
    <w:pPr>
      <w:pStyle w:val="Piedepgina"/>
    </w:pPr>
    <w:r>
      <w:rPr>
        <w:noProof/>
        <w:bdr w:val="none" w:sz="0" w:space="0" w:color="auto" w:frame="1"/>
        <w:lang w:eastAsia="es-CO"/>
      </w:rPr>
      <w:drawing>
        <wp:anchor distT="0" distB="0" distL="114300" distR="114300" simplePos="0" relativeHeight="251659264" behindDoc="0" locked="0" layoutInCell="1" allowOverlap="1" wp14:anchorId="7F32A8C6" wp14:editId="549047CA">
          <wp:simplePos x="0" y="0"/>
          <wp:positionH relativeFrom="column">
            <wp:posOffset>2374265</wp:posOffset>
          </wp:positionH>
          <wp:positionV relativeFrom="paragraph">
            <wp:posOffset>-235874</wp:posOffset>
          </wp:positionV>
          <wp:extent cx="3167380" cy="470535"/>
          <wp:effectExtent l="0" t="0" r="0" b="0"/>
          <wp:wrapSquare wrapText="bothSides"/>
          <wp:docPr id="8" name="Imagen 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Icon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738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000000"/>
        <w:bdr w:val="none" w:sz="0" w:space="0" w:color="auto" w:frame="1"/>
        <w:lang w:eastAsia="es-CO"/>
      </w:rPr>
      <w:drawing>
        <wp:anchor distT="0" distB="0" distL="114300" distR="114300" simplePos="0" relativeHeight="251658240" behindDoc="0" locked="0" layoutInCell="1" allowOverlap="1" wp14:anchorId="079525A7" wp14:editId="49BA0698">
          <wp:simplePos x="0" y="0"/>
          <wp:positionH relativeFrom="column">
            <wp:posOffset>5542280</wp:posOffset>
          </wp:positionH>
          <wp:positionV relativeFrom="paragraph">
            <wp:posOffset>205105</wp:posOffset>
          </wp:positionV>
          <wp:extent cx="923290" cy="475615"/>
          <wp:effectExtent l="0" t="0" r="3810" b="0"/>
          <wp:wrapSquare wrapText="bothSides"/>
          <wp:docPr id="7" name="Imagen 7" descr="Imagen que contiene Diagrama de Ven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Diagrama de Venn&#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290" cy="475615"/>
                  </a:xfrm>
                  <a:prstGeom prst="rect">
                    <a:avLst/>
                  </a:prstGeom>
                  <a:noFill/>
                  <a:ln>
                    <a:noFill/>
                  </a:ln>
                </pic:spPr>
              </pic:pic>
            </a:graphicData>
          </a:graphic>
          <wp14:sizeRelH relativeFrom="page">
            <wp14:pctWidth>0</wp14:pctWidth>
          </wp14:sizeRelH>
          <wp14:sizeRelV relativeFrom="page">
            <wp14:pctHeight>0</wp14:pctHeight>
          </wp14:sizeRelV>
        </wp:anchor>
      </w:drawing>
    </w:r>
    <w:r>
      <w:rPr>
        <w:bdr w:val="none" w:sz="0" w:space="0" w:color="auto" w:frame="1"/>
      </w:rPr>
      <w:fldChar w:fldCharType="begin"/>
    </w:r>
    <w:r>
      <w:rPr>
        <w:bdr w:val="none" w:sz="0" w:space="0" w:color="auto" w:frame="1"/>
      </w:rPr>
      <w:instrText xml:space="preserve"> INCLUDEPICTURE "https://lh3.googleusercontent.com/wGye8ujCoaUvJElpunayH7UIYNNWjmid4BbDriHnNAGskmb9mLeaaup8MvXd54XkgDAVkE3waBU7pGVlGYj3VuiFNEwAqusPV_tElqsgI1pDmQo0NemeEg11IWy87iLuZRcCIesHKPYrq2BnKWKv6iU" \* MERGEFORMATINET </w:instrText>
    </w:r>
    <w:r>
      <w:rPr>
        <w:bdr w:val="none" w:sz="0" w:space="0" w:color="auto" w:frame="1"/>
      </w:rPr>
      <w:fldChar w:fldCharType="end"/>
    </w:r>
    <w:r>
      <w:rPr>
        <w:rFonts w:ascii="Arial" w:hAnsi="Arial" w:cs="Arial"/>
        <w:noProof/>
        <w:color w:val="000000"/>
        <w:bdr w:val="none" w:sz="0" w:space="0" w:color="auto" w:frame="1"/>
      </w:rPr>
      <w:t xml:space="preserve"> </w:t>
    </w:r>
    <w:r>
      <w:rPr>
        <w:rFonts w:ascii="Arial" w:hAnsi="Arial" w:cs="Arial"/>
        <w:color w:val="000000"/>
        <w:bdr w:val="none" w:sz="0" w:space="0" w:color="auto" w:frame="1"/>
      </w:rPr>
      <w:fldChar w:fldCharType="begin"/>
    </w:r>
    <w:r>
      <w:rPr>
        <w:rFonts w:ascii="Arial" w:hAnsi="Arial" w:cs="Arial"/>
        <w:color w:val="000000"/>
        <w:bdr w:val="none" w:sz="0" w:space="0" w:color="auto" w:frame="1"/>
      </w:rPr>
      <w:instrText xml:space="preserve"> INCLUDEPICTURE "https://lh5.googleusercontent.com/acsugTDfdgRGobbzOeY7kgKTagV5B5wKfikX7gEG3btCR0SDfggeAztoCzQL0uAXwFgqAGSjl4CA2VV3GEq-GX1csx8hOYZ0BJBgH798_IU4flTHSHnJKu-XKj3CCPOSHLkQbdT8BI0zdaD-QHjAr_k" \* MERGEFORMATINET </w:instrText>
    </w:r>
    <w:r>
      <w:rPr>
        <w:rFonts w:ascii="Arial" w:hAnsi="Arial" w:cs="Arial"/>
        <w:color w:val="000000"/>
        <w:bdr w:val="none" w:sz="0" w:space="0" w:color="auto" w:frame="1"/>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80B42" w14:textId="77777777" w:rsidR="00296E04" w:rsidRDefault="00296E04" w:rsidP="00AC08A8">
      <w:pPr>
        <w:spacing w:line="240" w:lineRule="auto"/>
      </w:pPr>
      <w:r>
        <w:separator/>
      </w:r>
    </w:p>
  </w:footnote>
  <w:footnote w:type="continuationSeparator" w:id="0">
    <w:p w14:paraId="78156013" w14:textId="77777777" w:rsidR="00296E04" w:rsidRDefault="00296E04" w:rsidP="00AC08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92DD6" w14:textId="0AB8CE35" w:rsidR="004F271A" w:rsidRDefault="004F271A">
    <w:pPr>
      <w:pStyle w:val="Encabezado"/>
    </w:pPr>
    <w:r>
      <w:rPr>
        <w:noProof/>
        <w:bdr w:val="none" w:sz="0" w:space="0" w:color="auto" w:frame="1"/>
        <w:lang w:eastAsia="es-CO"/>
      </w:rPr>
      <w:drawing>
        <wp:anchor distT="0" distB="0" distL="114300" distR="114300" simplePos="0" relativeHeight="251660288" behindDoc="0" locked="0" layoutInCell="1" allowOverlap="1" wp14:anchorId="4A27F9B3" wp14:editId="3200C7BF">
          <wp:simplePos x="0" y="0"/>
          <wp:positionH relativeFrom="column">
            <wp:posOffset>-35849</wp:posOffset>
          </wp:positionH>
          <wp:positionV relativeFrom="paragraph">
            <wp:posOffset>-173355</wp:posOffset>
          </wp:positionV>
          <wp:extent cx="2068830" cy="968375"/>
          <wp:effectExtent l="0" t="0" r="127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8830" cy="968375"/>
                  </a:xfrm>
                  <a:prstGeom prst="rect">
                    <a:avLst/>
                  </a:prstGeom>
                  <a:noFill/>
                  <a:ln>
                    <a:noFill/>
                  </a:ln>
                </pic:spPr>
              </pic:pic>
            </a:graphicData>
          </a:graphic>
          <wp14:sizeRelH relativeFrom="page">
            <wp14:pctWidth>0</wp14:pctWidth>
          </wp14:sizeRelH>
          <wp14:sizeRelV relativeFrom="page">
            <wp14:pctHeight>0</wp14:pctHeight>
          </wp14:sizeRelV>
        </wp:anchor>
      </w:drawing>
    </w:r>
    <w:r>
      <w:rPr>
        <w:bdr w:val="none" w:sz="0" w:space="0" w:color="auto" w:frame="1"/>
      </w:rPr>
      <w:fldChar w:fldCharType="begin"/>
    </w:r>
    <w:r>
      <w:rPr>
        <w:bdr w:val="none" w:sz="0" w:space="0" w:color="auto" w:frame="1"/>
      </w:rPr>
      <w:instrText xml:space="preserve"> INCLUDEPICTURE "https://lh5.googleusercontent.com/BHuhYvv7HMokC_wxc3Y1JnFU21VmPHdSTFYuwgM-eZuZm2MC6HevEYvClEXP11VwoD2vq9njXLGovc_JfdBOS3Mc2woyS778uPgdqLCEmu_PWPuI0GW_bQG-cJxs-bTAVtkqEExjQyTBxHk9ZLUOykc" \* MERGEFORMATINET </w:instrText>
    </w:r>
    <w:r>
      <w:rPr>
        <w:bdr w:val="none" w:sz="0" w:space="0" w:color="auto" w:frame="1"/>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7644"/>
    <w:multiLevelType w:val="multilevel"/>
    <w:tmpl w:val="C4B4AAF8"/>
    <w:lvl w:ilvl="0">
      <w:start w:val="1"/>
      <w:numFmt w:val="decimal"/>
      <w:lvlText w:val="%1."/>
      <w:lvlJc w:val="left"/>
      <w:pPr>
        <w:ind w:left="1080" w:hanging="360"/>
      </w:pPr>
      <w:rPr>
        <w:b/>
      </w:rPr>
    </w:lvl>
    <w:lvl w:ilvl="1">
      <w:start w:val="2"/>
      <w:numFmt w:val="decimal"/>
      <w:lvlText w:val="%1.%2"/>
      <w:lvlJc w:val="left"/>
      <w:pPr>
        <w:ind w:left="1080" w:hanging="360"/>
      </w:pPr>
      <w:rPr>
        <w:b/>
      </w:r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520" w:hanging="1800"/>
      </w:pPr>
    </w:lvl>
    <w:lvl w:ilvl="8">
      <w:start w:val="1"/>
      <w:numFmt w:val="decimal"/>
      <w:lvlText w:val="%1.%2.%3.%4.%5.%6.%7.%8.%9"/>
      <w:lvlJc w:val="left"/>
      <w:pPr>
        <w:ind w:left="2520" w:hanging="1800"/>
      </w:pPr>
    </w:lvl>
  </w:abstractNum>
  <w:abstractNum w:abstractNumId="1" w15:restartNumberingAfterBreak="0">
    <w:nsid w:val="096637A0"/>
    <w:multiLevelType w:val="hybridMultilevel"/>
    <w:tmpl w:val="50E037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D7923CC"/>
    <w:multiLevelType w:val="hybridMultilevel"/>
    <w:tmpl w:val="1C567B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D0F6B4A"/>
    <w:multiLevelType w:val="hybridMultilevel"/>
    <w:tmpl w:val="34CA8C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FD444D2"/>
    <w:multiLevelType w:val="multilevel"/>
    <w:tmpl w:val="DB4A6170"/>
    <w:lvl w:ilvl="0">
      <w:start w:val="2"/>
      <w:numFmt w:val="decimal"/>
      <w:lvlText w:val="%1."/>
      <w:lvlJc w:val="left"/>
      <w:pPr>
        <w:ind w:left="570" w:hanging="570"/>
      </w:pPr>
      <w:rPr>
        <w:rFonts w:ascii="Times New Roman" w:hAnsi="Times New Roman" w:cs="Times New Roman" w:hint="default"/>
        <w:b/>
        <w:color w:val="auto"/>
        <w:sz w:val="32"/>
      </w:rPr>
    </w:lvl>
    <w:lvl w:ilvl="1">
      <w:start w:val="1"/>
      <w:numFmt w:val="decimal"/>
      <w:lvlText w:val="%1.%2."/>
      <w:lvlJc w:val="left"/>
      <w:pPr>
        <w:ind w:left="570" w:hanging="57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C21246"/>
    <w:multiLevelType w:val="multilevel"/>
    <w:tmpl w:val="2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 w15:restartNumberingAfterBreak="0">
    <w:nsid w:val="611E0B06"/>
    <w:multiLevelType w:val="hybridMultilevel"/>
    <w:tmpl w:val="E7261950"/>
    <w:lvl w:ilvl="0" w:tplc="FFFFFFFF">
      <w:start w:val="1"/>
      <w:numFmt w:val="decimal"/>
      <w:lvlText w:val="%1)"/>
      <w:lvlJc w:val="left"/>
      <w:pPr>
        <w:ind w:left="720" w:hanging="360"/>
      </w:pPr>
      <w:rPr>
        <w:rFonts w:ascii="Poppins Light" w:eastAsiaTheme="minorEastAsia" w:hAnsi="Poppins Light" w:cstheme="minorBid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C606EA3"/>
    <w:multiLevelType w:val="hybridMultilevel"/>
    <w:tmpl w:val="558C6174"/>
    <w:lvl w:ilvl="0" w:tplc="F6722EE2">
      <w:start w:val="1"/>
      <w:numFmt w:val="bullet"/>
      <w:lvlText w:val=""/>
      <w:lvlJc w:val="left"/>
      <w:pPr>
        <w:ind w:left="720" w:hanging="360"/>
      </w:pPr>
      <w:rPr>
        <w:rFonts w:ascii="Symbol" w:hAnsi="Symbo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0937567"/>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86A569F"/>
    <w:multiLevelType w:val="multilevel"/>
    <w:tmpl w:val="D004AC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8"/>
  </w:num>
  <w:num w:numId="3">
    <w:abstractNumId w:val="7"/>
  </w:num>
  <w:num w:numId="4">
    <w:abstractNumId w:val="1"/>
  </w:num>
  <w:num w:numId="5">
    <w:abstractNumId w:val="6"/>
  </w:num>
  <w:num w:numId="6">
    <w:abstractNumId w:val="2"/>
  </w:num>
  <w:num w:numId="7">
    <w:abstractNumId w:val="3"/>
  </w:num>
  <w:num w:numId="8">
    <w:abstractNumId w:val="9"/>
  </w:num>
  <w:num w:numId="9">
    <w:abstractNumId w:val="4"/>
  </w:num>
  <w:num w:numId="10">
    <w:abstractNumId w:val="5"/>
    <w:lvlOverride w:ilvl="0">
      <w:startOverride w:val="2"/>
    </w:lvlOverride>
    <w:lvlOverride w:ilvl="1">
      <w:startOverride w:val="1"/>
    </w:lvlOverride>
  </w:num>
  <w:num w:numId="11">
    <w:abstractNumId w:val="5"/>
    <w:lvlOverride w:ilvl="0">
      <w:startOverride w:val="2"/>
    </w:lvlOverride>
    <w:lvlOverride w:ilvl="1">
      <w:startOverride w:val="1"/>
    </w:lvlOverride>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8A8"/>
    <w:rsid w:val="00045A3F"/>
    <w:rsid w:val="0007109A"/>
    <w:rsid w:val="001574B0"/>
    <w:rsid w:val="002403AB"/>
    <w:rsid w:val="00296E04"/>
    <w:rsid w:val="002B4D13"/>
    <w:rsid w:val="00357335"/>
    <w:rsid w:val="00362F88"/>
    <w:rsid w:val="004F18E0"/>
    <w:rsid w:val="004F271A"/>
    <w:rsid w:val="005177A8"/>
    <w:rsid w:val="00566737"/>
    <w:rsid w:val="006D6357"/>
    <w:rsid w:val="00710FC1"/>
    <w:rsid w:val="0078450D"/>
    <w:rsid w:val="007A2596"/>
    <w:rsid w:val="008E612E"/>
    <w:rsid w:val="008F6483"/>
    <w:rsid w:val="009623B4"/>
    <w:rsid w:val="0098194B"/>
    <w:rsid w:val="009B2B57"/>
    <w:rsid w:val="009C3DC6"/>
    <w:rsid w:val="00A01E9A"/>
    <w:rsid w:val="00A41F4E"/>
    <w:rsid w:val="00AC08A8"/>
    <w:rsid w:val="00AF2CF4"/>
    <w:rsid w:val="00B02B66"/>
    <w:rsid w:val="00B415B4"/>
    <w:rsid w:val="00BB4A7B"/>
    <w:rsid w:val="00D5365F"/>
    <w:rsid w:val="00DE534C"/>
    <w:rsid w:val="00FA3E62"/>
    <w:rsid w:val="00FB38DE"/>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F9457E"/>
  <w15:chartTrackingRefBased/>
  <w15:docId w15:val="{7F65FEA4-424F-4BCF-BD45-4C2F3ED8A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8A8"/>
    <w:pPr>
      <w:spacing w:after="0" w:line="360" w:lineRule="auto"/>
      <w:jc w:val="both"/>
    </w:pPr>
    <w:rPr>
      <w:rFonts w:ascii="Tahoma" w:eastAsiaTheme="minorEastAsia" w:hAnsi="Tahoma"/>
      <w:szCs w:val="24"/>
    </w:rPr>
  </w:style>
  <w:style w:type="paragraph" w:styleId="Ttulo1">
    <w:name w:val="heading 1"/>
    <w:basedOn w:val="Normal"/>
    <w:next w:val="Normal"/>
    <w:link w:val="Ttulo1Car"/>
    <w:uiPriority w:val="9"/>
    <w:qFormat/>
    <w:rsid w:val="00AC08A8"/>
    <w:pPr>
      <w:keepNext/>
      <w:keepLines/>
      <w:numPr>
        <w:numId w:val="1"/>
      </w:numPr>
      <w:spacing w:before="240"/>
      <w:ind w:left="431" w:hanging="431"/>
      <w:jc w:val="center"/>
      <w:outlineLvl w:val="0"/>
    </w:pPr>
    <w:rPr>
      <w:rFonts w:eastAsiaTheme="majorEastAsia" w:cstheme="majorBidi"/>
      <w:b/>
      <w:color w:val="7F7F7F" w:themeColor="text1" w:themeTint="80"/>
      <w:sz w:val="32"/>
      <w:szCs w:val="32"/>
    </w:rPr>
  </w:style>
  <w:style w:type="paragraph" w:styleId="Ttulo2">
    <w:name w:val="heading 2"/>
    <w:basedOn w:val="Normal"/>
    <w:next w:val="Normal"/>
    <w:link w:val="Ttulo2Car"/>
    <w:uiPriority w:val="9"/>
    <w:unhideWhenUsed/>
    <w:qFormat/>
    <w:rsid w:val="00AC08A8"/>
    <w:pPr>
      <w:keepNext/>
      <w:keepLines/>
      <w:numPr>
        <w:ilvl w:val="1"/>
        <w:numId w:val="1"/>
      </w:numPr>
      <w:spacing w:before="40"/>
      <w:outlineLvl w:val="1"/>
    </w:pPr>
    <w:rPr>
      <w:rFonts w:eastAsiaTheme="majorEastAsia" w:cstheme="majorBidi"/>
      <w:b/>
      <w:color w:val="595959" w:themeColor="text1" w:themeTint="A6"/>
      <w:sz w:val="28"/>
      <w:szCs w:val="26"/>
    </w:rPr>
  </w:style>
  <w:style w:type="paragraph" w:styleId="Ttulo3">
    <w:name w:val="heading 3"/>
    <w:basedOn w:val="Normal"/>
    <w:next w:val="Normal"/>
    <w:link w:val="Ttulo3Car"/>
    <w:uiPriority w:val="9"/>
    <w:unhideWhenUsed/>
    <w:qFormat/>
    <w:rsid w:val="00AC08A8"/>
    <w:pPr>
      <w:keepNext/>
      <w:keepLines/>
      <w:numPr>
        <w:ilvl w:val="2"/>
        <w:numId w:val="1"/>
      </w:numPr>
      <w:spacing w:before="40"/>
      <w:outlineLvl w:val="2"/>
    </w:pPr>
    <w:rPr>
      <w:rFonts w:eastAsiaTheme="majorEastAsia" w:cstheme="majorBidi"/>
      <w:b/>
      <w:color w:val="1F3763" w:themeColor="accent1" w:themeShade="7F"/>
    </w:rPr>
  </w:style>
  <w:style w:type="paragraph" w:styleId="Ttulo4">
    <w:name w:val="heading 4"/>
    <w:basedOn w:val="Normal"/>
    <w:next w:val="Normal"/>
    <w:link w:val="Ttulo4Car"/>
    <w:uiPriority w:val="9"/>
    <w:semiHidden/>
    <w:unhideWhenUsed/>
    <w:qFormat/>
    <w:rsid w:val="00AC08A8"/>
    <w:pPr>
      <w:keepNext/>
      <w:keepLines/>
      <w:numPr>
        <w:ilvl w:val="3"/>
        <w:numId w:val="1"/>
      </w:numPr>
      <w:spacing w:before="40"/>
      <w:outlineLvl w:val="3"/>
    </w:pPr>
    <w:rPr>
      <w:rFonts w:asciiTheme="majorHAnsi" w:eastAsiaTheme="majorEastAsia" w:hAnsiTheme="majorHAnsi" w:cstheme="majorBidi"/>
      <w:i/>
      <w:iCs/>
      <w:color w:val="2F5496" w:themeColor="accent1" w:themeShade="BF"/>
      <w:szCs w:val="22"/>
    </w:rPr>
  </w:style>
  <w:style w:type="paragraph" w:styleId="Ttulo5">
    <w:name w:val="heading 5"/>
    <w:basedOn w:val="Normal"/>
    <w:next w:val="Normal"/>
    <w:link w:val="Ttulo5Car"/>
    <w:uiPriority w:val="9"/>
    <w:semiHidden/>
    <w:unhideWhenUsed/>
    <w:qFormat/>
    <w:rsid w:val="00AC08A8"/>
    <w:pPr>
      <w:keepNext/>
      <w:keepLines/>
      <w:numPr>
        <w:ilvl w:val="4"/>
        <w:numId w:val="1"/>
      </w:numPr>
      <w:spacing w:before="40"/>
      <w:outlineLvl w:val="4"/>
    </w:pPr>
    <w:rPr>
      <w:rFonts w:asciiTheme="majorHAnsi" w:eastAsiaTheme="majorEastAsia" w:hAnsiTheme="majorHAnsi" w:cstheme="majorBidi"/>
      <w:color w:val="2F5496" w:themeColor="accent1" w:themeShade="BF"/>
      <w:szCs w:val="22"/>
    </w:rPr>
  </w:style>
  <w:style w:type="paragraph" w:styleId="Ttulo6">
    <w:name w:val="heading 6"/>
    <w:basedOn w:val="Normal"/>
    <w:next w:val="Normal"/>
    <w:link w:val="Ttulo6Car"/>
    <w:uiPriority w:val="9"/>
    <w:semiHidden/>
    <w:unhideWhenUsed/>
    <w:qFormat/>
    <w:rsid w:val="00AC08A8"/>
    <w:pPr>
      <w:keepNext/>
      <w:keepLines/>
      <w:numPr>
        <w:ilvl w:val="5"/>
        <w:numId w:val="1"/>
      </w:numPr>
      <w:spacing w:before="40"/>
      <w:outlineLvl w:val="5"/>
    </w:pPr>
    <w:rPr>
      <w:rFonts w:asciiTheme="majorHAnsi" w:eastAsiaTheme="majorEastAsia" w:hAnsiTheme="majorHAnsi" w:cstheme="majorBidi"/>
      <w:color w:val="1F3763" w:themeColor="accent1" w:themeShade="7F"/>
      <w:szCs w:val="22"/>
    </w:rPr>
  </w:style>
  <w:style w:type="paragraph" w:styleId="Ttulo7">
    <w:name w:val="heading 7"/>
    <w:basedOn w:val="Normal"/>
    <w:next w:val="Normal"/>
    <w:link w:val="Ttulo7Car"/>
    <w:uiPriority w:val="9"/>
    <w:semiHidden/>
    <w:unhideWhenUsed/>
    <w:qFormat/>
    <w:rsid w:val="00AC08A8"/>
    <w:pPr>
      <w:keepNext/>
      <w:keepLines/>
      <w:numPr>
        <w:ilvl w:val="6"/>
        <w:numId w:val="1"/>
      </w:numPr>
      <w:spacing w:before="40"/>
      <w:outlineLvl w:val="6"/>
    </w:pPr>
    <w:rPr>
      <w:rFonts w:asciiTheme="majorHAnsi" w:eastAsiaTheme="majorEastAsia" w:hAnsiTheme="majorHAnsi" w:cstheme="majorBidi"/>
      <w:i/>
      <w:iCs/>
      <w:color w:val="1F3763" w:themeColor="accent1" w:themeShade="7F"/>
      <w:szCs w:val="22"/>
    </w:rPr>
  </w:style>
  <w:style w:type="paragraph" w:styleId="Ttulo8">
    <w:name w:val="heading 8"/>
    <w:basedOn w:val="Normal"/>
    <w:next w:val="Normal"/>
    <w:link w:val="Ttulo8Car"/>
    <w:uiPriority w:val="9"/>
    <w:semiHidden/>
    <w:unhideWhenUsed/>
    <w:qFormat/>
    <w:rsid w:val="00AC08A8"/>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AC08A8"/>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C08A8"/>
    <w:rPr>
      <w:rFonts w:ascii="Tahoma" w:eastAsiaTheme="majorEastAsia" w:hAnsi="Tahoma" w:cstheme="majorBidi"/>
      <w:b/>
      <w:color w:val="7F7F7F" w:themeColor="text1" w:themeTint="80"/>
      <w:sz w:val="32"/>
      <w:szCs w:val="32"/>
    </w:rPr>
  </w:style>
  <w:style w:type="character" w:customStyle="1" w:styleId="Ttulo2Car">
    <w:name w:val="Título 2 Car"/>
    <w:basedOn w:val="Fuentedeprrafopredeter"/>
    <w:link w:val="Ttulo2"/>
    <w:uiPriority w:val="9"/>
    <w:rsid w:val="00AC08A8"/>
    <w:rPr>
      <w:rFonts w:ascii="Tahoma" w:eastAsiaTheme="majorEastAsia" w:hAnsi="Tahoma" w:cstheme="majorBidi"/>
      <w:b/>
      <w:color w:val="595959" w:themeColor="text1" w:themeTint="A6"/>
      <w:sz w:val="28"/>
      <w:szCs w:val="26"/>
    </w:rPr>
  </w:style>
  <w:style w:type="character" w:customStyle="1" w:styleId="Ttulo3Car">
    <w:name w:val="Título 3 Car"/>
    <w:basedOn w:val="Fuentedeprrafopredeter"/>
    <w:link w:val="Ttulo3"/>
    <w:uiPriority w:val="9"/>
    <w:rsid w:val="00AC08A8"/>
    <w:rPr>
      <w:rFonts w:ascii="Tahoma" w:eastAsiaTheme="majorEastAsia" w:hAnsi="Tahoma" w:cstheme="majorBidi"/>
      <w:b/>
      <w:color w:val="1F3763" w:themeColor="accent1" w:themeShade="7F"/>
      <w:szCs w:val="24"/>
    </w:rPr>
  </w:style>
  <w:style w:type="character" w:customStyle="1" w:styleId="Ttulo4Car">
    <w:name w:val="Título 4 Car"/>
    <w:basedOn w:val="Fuentedeprrafopredeter"/>
    <w:link w:val="Ttulo4"/>
    <w:uiPriority w:val="9"/>
    <w:semiHidden/>
    <w:rsid w:val="00AC08A8"/>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AC08A8"/>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AC08A8"/>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AC08A8"/>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AC08A8"/>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AC08A8"/>
    <w:rPr>
      <w:rFonts w:asciiTheme="majorHAnsi" w:eastAsiaTheme="majorEastAsia" w:hAnsiTheme="majorHAnsi" w:cstheme="majorBidi"/>
      <w:i/>
      <w:iCs/>
      <w:color w:val="272727" w:themeColor="text1" w:themeTint="D8"/>
      <w:sz w:val="21"/>
      <w:szCs w:val="21"/>
    </w:rPr>
  </w:style>
  <w:style w:type="paragraph" w:styleId="Encabezado">
    <w:name w:val="header"/>
    <w:basedOn w:val="Normal"/>
    <w:link w:val="EncabezadoCar"/>
    <w:uiPriority w:val="99"/>
    <w:unhideWhenUsed/>
    <w:rsid w:val="00AC08A8"/>
    <w:pPr>
      <w:tabs>
        <w:tab w:val="center" w:pos="4252"/>
        <w:tab w:val="right" w:pos="8504"/>
      </w:tabs>
    </w:pPr>
  </w:style>
  <w:style w:type="character" w:customStyle="1" w:styleId="EncabezadoCar">
    <w:name w:val="Encabezado Car"/>
    <w:basedOn w:val="Fuentedeprrafopredeter"/>
    <w:link w:val="Encabezado"/>
    <w:uiPriority w:val="99"/>
    <w:rsid w:val="00AC08A8"/>
    <w:rPr>
      <w:rFonts w:ascii="Tahoma" w:eastAsiaTheme="minorEastAsia" w:hAnsi="Tahoma"/>
      <w:szCs w:val="24"/>
    </w:rPr>
  </w:style>
  <w:style w:type="paragraph" w:styleId="Piedepgina">
    <w:name w:val="footer"/>
    <w:basedOn w:val="Normal"/>
    <w:link w:val="PiedepginaCar"/>
    <w:uiPriority w:val="99"/>
    <w:unhideWhenUsed/>
    <w:rsid w:val="00AC08A8"/>
    <w:pPr>
      <w:tabs>
        <w:tab w:val="center" w:pos="4252"/>
        <w:tab w:val="right" w:pos="8504"/>
      </w:tabs>
    </w:pPr>
  </w:style>
  <w:style w:type="character" w:customStyle="1" w:styleId="PiedepginaCar">
    <w:name w:val="Pie de página Car"/>
    <w:basedOn w:val="Fuentedeprrafopredeter"/>
    <w:link w:val="Piedepgina"/>
    <w:uiPriority w:val="99"/>
    <w:rsid w:val="00AC08A8"/>
    <w:rPr>
      <w:rFonts w:ascii="Tahoma" w:eastAsiaTheme="minorEastAsia" w:hAnsi="Tahoma"/>
      <w:szCs w:val="24"/>
    </w:rPr>
  </w:style>
  <w:style w:type="paragraph" w:styleId="Prrafodelista">
    <w:name w:val="List Paragraph"/>
    <w:basedOn w:val="Normal"/>
    <w:uiPriority w:val="34"/>
    <w:qFormat/>
    <w:rsid w:val="00AC08A8"/>
    <w:pPr>
      <w:ind w:left="720"/>
      <w:contextualSpacing/>
    </w:pPr>
  </w:style>
  <w:style w:type="paragraph" w:styleId="Ttulo">
    <w:name w:val="Title"/>
    <w:basedOn w:val="Normal"/>
    <w:next w:val="Normal"/>
    <w:link w:val="TtuloCar"/>
    <w:uiPriority w:val="10"/>
    <w:qFormat/>
    <w:rsid w:val="00AC08A8"/>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C08A8"/>
    <w:rPr>
      <w:rFonts w:asciiTheme="majorHAnsi" w:eastAsiaTheme="majorEastAsia" w:hAnsiTheme="majorHAnsi" w:cstheme="majorBidi"/>
      <w:spacing w:val="-10"/>
      <w:kern w:val="28"/>
      <w:sz w:val="56"/>
      <w:szCs w:val="56"/>
    </w:rPr>
  </w:style>
  <w:style w:type="character" w:styleId="Referenciasutil">
    <w:name w:val="Subtle Reference"/>
    <w:basedOn w:val="CitaHTML"/>
    <w:uiPriority w:val="31"/>
    <w:qFormat/>
    <w:rsid w:val="00AC08A8"/>
    <w:rPr>
      <w:rFonts w:ascii="Tahoma" w:hAnsi="Tahoma"/>
      <w:i/>
      <w:iCs/>
      <w:smallCaps/>
      <w:color w:val="5A5A5A" w:themeColor="text1" w:themeTint="A5"/>
      <w:sz w:val="20"/>
    </w:rPr>
  </w:style>
  <w:style w:type="character" w:styleId="CitaHTML">
    <w:name w:val="HTML Cite"/>
    <w:basedOn w:val="Fuentedeprrafopredeter"/>
    <w:uiPriority w:val="99"/>
    <w:semiHidden/>
    <w:unhideWhenUsed/>
    <w:rsid w:val="00AC08A8"/>
    <w:rPr>
      <w:i/>
      <w:iCs/>
    </w:rPr>
  </w:style>
  <w:style w:type="paragraph" w:customStyle="1" w:styleId="Grfica">
    <w:name w:val="Gráfica"/>
    <w:basedOn w:val="Normal"/>
    <w:next w:val="Normal"/>
    <w:link w:val="GrficaCar"/>
    <w:qFormat/>
    <w:rsid w:val="008F6483"/>
    <w:pPr>
      <w:spacing w:line="259" w:lineRule="auto"/>
      <w:jc w:val="center"/>
    </w:pPr>
    <w:rPr>
      <w:rFonts w:ascii="Gill Sans MT" w:eastAsiaTheme="minorHAnsi" w:hAnsi="Gill Sans MT"/>
      <w:b/>
      <w:color w:val="7F7F7F" w:themeColor="text1" w:themeTint="80"/>
      <w:sz w:val="18"/>
      <w:szCs w:val="22"/>
    </w:rPr>
  </w:style>
  <w:style w:type="paragraph" w:customStyle="1" w:styleId="Tabla">
    <w:name w:val="Tabla"/>
    <w:basedOn w:val="Descripcin"/>
    <w:link w:val="TablaCar"/>
    <w:qFormat/>
    <w:rsid w:val="00A01E9A"/>
    <w:pPr>
      <w:keepNext/>
      <w:keepLines/>
      <w:spacing w:after="0"/>
      <w:jc w:val="center"/>
    </w:pPr>
    <w:rPr>
      <w:rFonts w:ascii="Tenorite" w:eastAsia="Quattrocento Sans" w:hAnsi="Tenorite" w:cs="Segoe UI Semilight"/>
      <w:b/>
      <w:bCs/>
      <w:i w:val="0"/>
      <w:iCs w:val="0"/>
      <w:color w:val="000000" w:themeColor="text1"/>
      <w:sz w:val="20"/>
      <w:szCs w:val="22"/>
      <w:lang w:eastAsia="es-CO"/>
    </w:rPr>
  </w:style>
  <w:style w:type="character" w:customStyle="1" w:styleId="TablaCar">
    <w:name w:val="Tabla Car"/>
    <w:basedOn w:val="Fuentedeprrafopredeter"/>
    <w:link w:val="Tabla"/>
    <w:rsid w:val="00A01E9A"/>
    <w:rPr>
      <w:rFonts w:ascii="Tenorite" w:eastAsia="Quattrocento Sans" w:hAnsi="Tenorite" w:cs="Segoe UI Semilight"/>
      <w:b/>
      <w:bCs/>
      <w:color w:val="000000" w:themeColor="text1"/>
      <w:sz w:val="20"/>
      <w:lang w:eastAsia="es-CO"/>
    </w:rPr>
  </w:style>
  <w:style w:type="paragraph" w:styleId="Descripcin">
    <w:name w:val="caption"/>
    <w:basedOn w:val="Normal"/>
    <w:next w:val="Normal"/>
    <w:uiPriority w:val="35"/>
    <w:semiHidden/>
    <w:unhideWhenUsed/>
    <w:qFormat/>
    <w:rsid w:val="00A01E9A"/>
    <w:pPr>
      <w:spacing w:after="200" w:line="240" w:lineRule="auto"/>
    </w:pPr>
    <w:rPr>
      <w:i/>
      <w:iCs/>
      <w:color w:val="44546A" w:themeColor="text2"/>
      <w:sz w:val="18"/>
      <w:szCs w:val="18"/>
    </w:rPr>
  </w:style>
  <w:style w:type="character" w:customStyle="1" w:styleId="GrficaCar">
    <w:name w:val="Gráfica Car"/>
    <w:basedOn w:val="Fuentedeprrafopredeter"/>
    <w:link w:val="Grfica"/>
    <w:rsid w:val="00710FC1"/>
    <w:rPr>
      <w:rFonts w:ascii="Gill Sans MT" w:hAnsi="Gill Sans MT"/>
      <w:b/>
      <w:color w:val="7F7F7F" w:themeColor="text1" w:themeTint="8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17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hart" Target="charts/chart6.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Prestamos\Desktop\Perfiles\BD_Municipios%20202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NALMAN\Dropbox\Gobernaci&#243;n\Perfiles%20municipales\Base%20Dato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CATALINA\OTROS\OTROS\MANIZALES%20COMO%20VAMOS\MCV_2020\Acceso\Origen%20estudiantes\Union_Universidade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UNALMAN\Dropbox\MCV_2020\Calidad\Salida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CATALINA\OTROS\OTROS\MANIZALES%20COMO%20VAMOS\MCV_2022\Salidas%20Calidad%202022.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D:\CATALINA\OTROS\OTROS\MANIZALES%20COMO%20VAMOS\MCV_2022\Salidas%20Calidad%202022.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Pirámide!$B$24</c:f>
              <c:strCache>
                <c:ptCount val="1"/>
                <c:pt idx="0">
                  <c:v>Hombre</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Tahoma" panose="020B0604030504040204" pitchFamily="34" charset="0"/>
                    <a:ea typeface="Tahoma" panose="020B0604030504040204" pitchFamily="34" charset="0"/>
                    <a:cs typeface="Tahoma" panose="020B0604030504040204"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Pirámide!$A$25:$A$41</c:f>
              <c:strCache>
                <c:ptCount val="17"/>
                <c:pt idx="0">
                  <c:v>0 - 4</c:v>
                </c:pt>
                <c:pt idx="1">
                  <c:v>5 - 9</c:v>
                </c:pt>
                <c:pt idx="2">
                  <c:v>10 - 14</c:v>
                </c:pt>
                <c:pt idx="3">
                  <c:v>15 - 19</c:v>
                </c:pt>
                <c:pt idx="4">
                  <c:v>20 - 24</c:v>
                </c:pt>
                <c:pt idx="5">
                  <c:v>25 - 29</c:v>
                </c:pt>
                <c:pt idx="6">
                  <c:v>30 - 34</c:v>
                </c:pt>
                <c:pt idx="7">
                  <c:v>35 - 39</c:v>
                </c:pt>
                <c:pt idx="8">
                  <c:v>40 -44</c:v>
                </c:pt>
                <c:pt idx="9">
                  <c:v>45 -49</c:v>
                </c:pt>
                <c:pt idx="10">
                  <c:v>50 -54</c:v>
                </c:pt>
                <c:pt idx="11">
                  <c:v>55 - 59</c:v>
                </c:pt>
                <c:pt idx="12">
                  <c:v>60 -64</c:v>
                </c:pt>
                <c:pt idx="13">
                  <c:v>65 - 69</c:v>
                </c:pt>
                <c:pt idx="14">
                  <c:v>70 -74</c:v>
                </c:pt>
                <c:pt idx="15">
                  <c:v>75 -79</c:v>
                </c:pt>
                <c:pt idx="16">
                  <c:v>80 y más</c:v>
                </c:pt>
              </c:strCache>
            </c:strRef>
          </c:cat>
          <c:val>
            <c:numRef>
              <c:f>Pirámide!$B$25:$B$41</c:f>
              <c:numCache>
                <c:formatCode>0.0%</c:formatCode>
                <c:ptCount val="17"/>
                <c:pt idx="0">
                  <c:v>2.6334740583645506E-2</c:v>
                </c:pt>
                <c:pt idx="1">
                  <c:v>2.7250884761835549E-2</c:v>
                </c:pt>
                <c:pt idx="2">
                  <c:v>2.8766046287303695E-2</c:v>
                </c:pt>
                <c:pt idx="3">
                  <c:v>3.3804839267348931E-2</c:v>
                </c:pt>
                <c:pt idx="4">
                  <c:v>3.9057252404327898E-2</c:v>
                </c:pt>
                <c:pt idx="5">
                  <c:v>4.0072498717177926E-2</c:v>
                </c:pt>
                <c:pt idx="6">
                  <c:v>3.7156693688515381E-2</c:v>
                </c:pt>
                <c:pt idx="7">
                  <c:v>3.3886323244736026E-2</c:v>
                </c:pt>
                <c:pt idx="8">
                  <c:v>3.1816189765171983E-2</c:v>
                </c:pt>
                <c:pt idx="9">
                  <c:v>2.8180242557980253E-2</c:v>
                </c:pt>
                <c:pt idx="10">
                  <c:v>2.8977464174578322E-2</c:v>
                </c:pt>
                <c:pt idx="11">
                  <c:v>2.9144836668670734E-2</c:v>
                </c:pt>
                <c:pt idx="12">
                  <c:v>2.6365572358873053E-2</c:v>
                </c:pt>
                <c:pt idx="13">
                  <c:v>2.1921392186787705E-2</c:v>
                </c:pt>
                <c:pt idx="14">
                  <c:v>1.600829815207553E-2</c:v>
                </c:pt>
                <c:pt idx="15">
                  <c:v>1.0575298903049483E-2</c:v>
                </c:pt>
                <c:pt idx="16">
                  <c:v>1.1348295553397331E-2</c:v>
                </c:pt>
              </c:numCache>
            </c:numRef>
          </c:val>
          <c:extLst>
            <c:ext xmlns:c16="http://schemas.microsoft.com/office/drawing/2014/chart" uri="{C3380CC4-5D6E-409C-BE32-E72D297353CC}">
              <c16:uniqueId val="{00000000-05F6-4E62-BA7C-8B5D83954571}"/>
            </c:ext>
          </c:extLst>
        </c:ser>
        <c:ser>
          <c:idx val="1"/>
          <c:order val="1"/>
          <c:tx>
            <c:strRef>
              <c:f>Pirámide!$C$24</c:f>
              <c:strCache>
                <c:ptCount val="1"/>
                <c:pt idx="0">
                  <c:v>Mujer</c:v>
                </c:pt>
              </c:strCache>
            </c:strRef>
          </c:tx>
          <c:spPr>
            <a:solidFill>
              <a:srgbClr val="C00000"/>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Tahoma" panose="020B0604030504040204" pitchFamily="34" charset="0"/>
                    <a:ea typeface="Tahoma" panose="020B0604030504040204" pitchFamily="34" charset="0"/>
                    <a:cs typeface="Tahoma" panose="020B0604030504040204"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Pirámide!$A$25:$A$41</c:f>
              <c:strCache>
                <c:ptCount val="17"/>
                <c:pt idx="0">
                  <c:v>0 - 4</c:v>
                </c:pt>
                <c:pt idx="1">
                  <c:v>5 - 9</c:v>
                </c:pt>
                <c:pt idx="2">
                  <c:v>10 - 14</c:v>
                </c:pt>
                <c:pt idx="3">
                  <c:v>15 - 19</c:v>
                </c:pt>
                <c:pt idx="4">
                  <c:v>20 - 24</c:v>
                </c:pt>
                <c:pt idx="5">
                  <c:v>25 - 29</c:v>
                </c:pt>
                <c:pt idx="6">
                  <c:v>30 - 34</c:v>
                </c:pt>
                <c:pt idx="7">
                  <c:v>35 - 39</c:v>
                </c:pt>
                <c:pt idx="8">
                  <c:v>40 -44</c:v>
                </c:pt>
                <c:pt idx="9">
                  <c:v>45 -49</c:v>
                </c:pt>
                <c:pt idx="10">
                  <c:v>50 -54</c:v>
                </c:pt>
                <c:pt idx="11">
                  <c:v>55 - 59</c:v>
                </c:pt>
                <c:pt idx="12">
                  <c:v>60 -64</c:v>
                </c:pt>
                <c:pt idx="13">
                  <c:v>65 - 69</c:v>
                </c:pt>
                <c:pt idx="14">
                  <c:v>70 -74</c:v>
                </c:pt>
                <c:pt idx="15">
                  <c:v>75 -79</c:v>
                </c:pt>
                <c:pt idx="16">
                  <c:v>80 y más</c:v>
                </c:pt>
              </c:strCache>
            </c:strRef>
          </c:cat>
          <c:val>
            <c:numRef>
              <c:f>Pirámide!$D$25:$D$41</c:f>
              <c:numCache>
                <c:formatCode>0.0%</c:formatCode>
                <c:ptCount val="17"/>
                <c:pt idx="0">
                  <c:v>-2.599338878648335E-2</c:v>
                </c:pt>
                <c:pt idx="1">
                  <c:v>-2.6621035639329892E-2</c:v>
                </c:pt>
                <c:pt idx="2">
                  <c:v>-2.7907161120250532E-2</c:v>
                </c:pt>
                <c:pt idx="3">
                  <c:v>-3.3073685740524182E-2</c:v>
                </c:pt>
                <c:pt idx="4">
                  <c:v>-3.9160759078306101E-2</c:v>
                </c:pt>
                <c:pt idx="5">
                  <c:v>-4.0977631547072416E-2</c:v>
                </c:pt>
                <c:pt idx="6">
                  <c:v>-3.8865654943985271E-2</c:v>
                </c:pt>
                <c:pt idx="7">
                  <c:v>-3.6958489419195426E-2</c:v>
                </c:pt>
                <c:pt idx="8">
                  <c:v>-3.6009311196118721E-2</c:v>
                </c:pt>
                <c:pt idx="9">
                  <c:v>-3.2767570257907802E-2</c:v>
                </c:pt>
                <c:pt idx="10">
                  <c:v>-3.5196673691906877E-2</c:v>
                </c:pt>
                <c:pt idx="11">
                  <c:v>-3.6896825868740324E-2</c:v>
                </c:pt>
                <c:pt idx="12">
                  <c:v>-3.4624083580538104E-2</c:v>
                </c:pt>
                <c:pt idx="13">
                  <c:v>-2.926816376958093E-2</c:v>
                </c:pt>
                <c:pt idx="14">
                  <c:v>-2.165051301871709E-2</c:v>
                </c:pt>
                <c:pt idx="15">
                  <c:v>-1.464949777240424E-2</c:v>
                </c:pt>
                <c:pt idx="16">
                  <c:v>-1.8712685293463444E-2</c:v>
                </c:pt>
              </c:numCache>
            </c:numRef>
          </c:val>
          <c:extLst>
            <c:ext xmlns:c16="http://schemas.microsoft.com/office/drawing/2014/chart" uri="{C3380CC4-5D6E-409C-BE32-E72D297353CC}">
              <c16:uniqueId val="{00000001-05F6-4E62-BA7C-8B5D83954571}"/>
            </c:ext>
          </c:extLst>
        </c:ser>
        <c:dLbls>
          <c:showLegendKey val="0"/>
          <c:showVal val="0"/>
          <c:showCatName val="0"/>
          <c:showSerName val="0"/>
          <c:showPercent val="0"/>
          <c:showBubbleSize val="0"/>
        </c:dLbls>
        <c:gapWidth val="50"/>
        <c:overlap val="100"/>
        <c:axId val="374869488"/>
        <c:axId val="374867920"/>
      </c:barChart>
      <c:catAx>
        <c:axId val="374869488"/>
        <c:scaling>
          <c:orientation val="minMax"/>
        </c:scaling>
        <c:delete val="0"/>
        <c:axPos val="l"/>
        <c:numFmt formatCode="General"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s-CO"/>
          </a:p>
        </c:txPr>
        <c:crossAx val="374867920"/>
        <c:crosses val="autoZero"/>
        <c:auto val="1"/>
        <c:lblAlgn val="ctr"/>
        <c:lblOffset val="100"/>
        <c:noMultiLvlLbl val="0"/>
      </c:catAx>
      <c:valAx>
        <c:axId val="374867920"/>
        <c:scaling>
          <c:orientation val="minMax"/>
        </c:scaling>
        <c:delete val="0"/>
        <c:axPos val="b"/>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s-CO"/>
          </a:p>
        </c:txPr>
        <c:crossAx val="3748694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s-CO"/>
        </a:p>
      </c:txPr>
    </c:legend>
    <c:plotVisOnly val="1"/>
    <c:dispBlanksAs val="gap"/>
    <c:showDLblsOverMax val="0"/>
  </c:chart>
  <c:spPr>
    <a:solidFill>
      <a:schemeClr val="bg1"/>
    </a:solidFill>
    <a:ln w="9525" cap="flat" cmpd="sng" algn="ctr">
      <a:noFill/>
      <a:round/>
    </a:ln>
    <a:effectLst/>
  </c:spPr>
  <c:txPr>
    <a:bodyPr/>
    <a:lstStyle/>
    <a:p>
      <a:pPr>
        <a:defRPr sz="800">
          <a:latin typeface="Tahoma" panose="020B0604030504040204" pitchFamily="34" charset="0"/>
          <a:ea typeface="Tahoma" panose="020B0604030504040204" pitchFamily="34" charset="0"/>
          <a:cs typeface="Tahoma" panose="020B0604030504040204" pitchFamily="34" charset="0"/>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0555555555555555E-2"/>
          <c:y val="0.12037037037037036"/>
          <c:w val="0.93888888888888888"/>
          <c:h val="0.71949938461082186"/>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Gill Sans MT" panose="020B0502020104020203" pitchFamily="34" charset="0"/>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(Educación!$A$2,Educación!$A$29)</c:f>
              <c:strCache>
                <c:ptCount val="2"/>
                <c:pt idx="0">
                  <c:v>Manizales</c:v>
                </c:pt>
                <c:pt idx="1">
                  <c:v>Caldas</c:v>
                </c:pt>
              </c:strCache>
            </c:strRef>
          </c:cat>
          <c:val>
            <c:numRef>
              <c:f>(Educación!$B$2,Educación!$B$29)</c:f>
              <c:numCache>
                <c:formatCode>#,#00%</c:formatCode>
                <c:ptCount val="2"/>
                <c:pt idx="0">
                  <c:v>0.96285366248503879</c:v>
                </c:pt>
                <c:pt idx="1">
                  <c:v>0.94055208561829662</c:v>
                </c:pt>
              </c:numCache>
            </c:numRef>
          </c:val>
          <c:extLst>
            <c:ext xmlns:c16="http://schemas.microsoft.com/office/drawing/2014/chart" uri="{C3380CC4-5D6E-409C-BE32-E72D297353CC}">
              <c16:uniqueId val="{00000000-EA1A-447D-ADD4-441FE0C5B7F0}"/>
            </c:ext>
          </c:extLst>
        </c:ser>
        <c:dLbls>
          <c:showLegendKey val="0"/>
          <c:showVal val="0"/>
          <c:showCatName val="0"/>
          <c:showSerName val="0"/>
          <c:showPercent val="0"/>
          <c:showBubbleSize val="0"/>
        </c:dLbls>
        <c:gapWidth val="219"/>
        <c:overlap val="-27"/>
        <c:axId val="374862824"/>
        <c:axId val="374865960"/>
      </c:barChart>
      <c:catAx>
        <c:axId val="374862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ill Sans MT" panose="020B0502020104020203" pitchFamily="34" charset="0"/>
                <a:ea typeface="+mn-ea"/>
                <a:cs typeface="+mn-cs"/>
              </a:defRPr>
            </a:pPr>
            <a:endParaRPr lang="es-CO"/>
          </a:p>
        </c:txPr>
        <c:crossAx val="374865960"/>
        <c:crosses val="autoZero"/>
        <c:auto val="1"/>
        <c:lblAlgn val="ctr"/>
        <c:lblOffset val="100"/>
        <c:noMultiLvlLbl val="0"/>
      </c:catAx>
      <c:valAx>
        <c:axId val="374865960"/>
        <c:scaling>
          <c:orientation val="minMax"/>
          <c:max val="1"/>
          <c:min val="0"/>
        </c:scaling>
        <c:delete val="1"/>
        <c:axPos val="l"/>
        <c:numFmt formatCode="#,#00%" sourceLinked="1"/>
        <c:majorTickMark val="none"/>
        <c:minorTickMark val="none"/>
        <c:tickLblPos val="nextTo"/>
        <c:crossAx val="37486282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Gill Sans MT" panose="020B0502020104020203" pitchFamily="34" charset="0"/>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Segoe UI Semilight" panose="020B0402040204020203" pitchFamily="34" charset="0"/>
                    <a:ea typeface="+mn-ea"/>
                    <a:cs typeface="Segoe UI Semilight" panose="020B0402040204020203" pitchFamily="34" charset="0"/>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Hoja6!$D$1:$N$1</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Hoja6!$D$2:$N$2</c:f>
              <c:numCache>
                <c:formatCode>0.0%</c:formatCode>
                <c:ptCount val="11"/>
                <c:pt idx="0">
                  <c:v>0.783269860715332</c:v>
                </c:pt>
                <c:pt idx="1">
                  <c:v>0.82251233111730648</c:v>
                </c:pt>
                <c:pt idx="2">
                  <c:v>0.93441291161178508</c:v>
                </c:pt>
                <c:pt idx="3">
                  <c:v>1.009375771033802</c:v>
                </c:pt>
                <c:pt idx="4">
                  <c:v>1.0873478913152193</c:v>
                </c:pt>
                <c:pt idx="5">
                  <c:v>1.1762107099642627</c:v>
                </c:pt>
                <c:pt idx="6">
                  <c:v>1.1706851888752883</c:v>
                </c:pt>
                <c:pt idx="7">
                  <c:v>1.1914899688935818</c:v>
                </c:pt>
                <c:pt idx="8">
                  <c:v>1.184658024655715</c:v>
                </c:pt>
                <c:pt idx="9">
                  <c:v>1.1650052773542865</c:v>
                </c:pt>
                <c:pt idx="10">
                  <c:v>1.1151671104993865</c:v>
                </c:pt>
              </c:numCache>
            </c:numRef>
          </c:val>
          <c:smooth val="1"/>
          <c:extLst>
            <c:ext xmlns:c16="http://schemas.microsoft.com/office/drawing/2014/chart" uri="{C3380CC4-5D6E-409C-BE32-E72D297353CC}">
              <c16:uniqueId val="{00000000-A0C5-4451-A01B-55A66FFD027F}"/>
            </c:ext>
          </c:extLst>
        </c:ser>
        <c:dLbls>
          <c:showLegendKey val="0"/>
          <c:showVal val="0"/>
          <c:showCatName val="0"/>
          <c:showSerName val="0"/>
          <c:showPercent val="0"/>
          <c:showBubbleSize val="0"/>
        </c:dLbls>
        <c:smooth val="0"/>
        <c:axId val="427575200"/>
        <c:axId val="427575616"/>
      </c:lineChart>
      <c:catAx>
        <c:axId val="427575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Segoe UI Semilight" panose="020B0402040204020203" pitchFamily="34" charset="0"/>
                <a:ea typeface="+mn-ea"/>
                <a:cs typeface="Segoe UI Semilight" panose="020B0402040204020203" pitchFamily="34" charset="0"/>
              </a:defRPr>
            </a:pPr>
            <a:endParaRPr lang="es-CO"/>
          </a:p>
        </c:txPr>
        <c:crossAx val="427575616"/>
        <c:crosses val="autoZero"/>
        <c:auto val="1"/>
        <c:lblAlgn val="ctr"/>
        <c:lblOffset val="100"/>
        <c:noMultiLvlLbl val="0"/>
      </c:catAx>
      <c:valAx>
        <c:axId val="427575616"/>
        <c:scaling>
          <c:orientation val="minMax"/>
        </c:scaling>
        <c:delete val="1"/>
        <c:axPos val="l"/>
        <c:numFmt formatCode="0.0%" sourceLinked="1"/>
        <c:majorTickMark val="none"/>
        <c:minorTickMark val="none"/>
        <c:tickLblPos val="nextTo"/>
        <c:crossAx val="42757520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latin typeface="Segoe UI Semilight" panose="020B0402040204020203" pitchFamily="34" charset="0"/>
          <a:cs typeface="Segoe UI Semilight" panose="020B0402040204020203" pitchFamily="34" charset="0"/>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Hoja10!$A$2</c:f>
              <c:strCache>
                <c:ptCount val="1"/>
                <c:pt idx="0">
                  <c:v>Técnica profesional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Segoe UI Semilight" panose="020B0402040204020203" pitchFamily="34" charset="0"/>
                    <a:ea typeface="+mn-ea"/>
                    <a:cs typeface="Segoe UI Semilight" panose="020B0402040204020203"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Hoja10!$B$1:$M$1</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Hoja10!$B$2:$M$2</c:f>
              <c:numCache>
                <c:formatCode>0.0%</c:formatCode>
                <c:ptCount val="12"/>
                <c:pt idx="0">
                  <c:v>6.4777327935222669E-3</c:v>
                </c:pt>
                <c:pt idx="1">
                  <c:v>5.0471063257065949E-4</c:v>
                </c:pt>
                <c:pt idx="2">
                  <c:v>9.2464506734619589E-2</c:v>
                </c:pt>
                <c:pt idx="3">
                  <c:v>8.8469813947601575E-2</c:v>
                </c:pt>
                <c:pt idx="4">
                  <c:v>5.7878217200251096E-2</c:v>
                </c:pt>
                <c:pt idx="5">
                  <c:v>1.9735229222848736E-2</c:v>
                </c:pt>
                <c:pt idx="6">
                  <c:v>6.8602739726027401E-2</c:v>
                </c:pt>
                <c:pt idx="7">
                  <c:v>0.11073446327683616</c:v>
                </c:pt>
                <c:pt idx="8">
                  <c:v>8.6436655713764146E-2</c:v>
                </c:pt>
                <c:pt idx="9">
                  <c:v>0.10654784967067028</c:v>
                </c:pt>
                <c:pt idx="10">
                  <c:v>0.154</c:v>
                </c:pt>
                <c:pt idx="11">
                  <c:v>0.13252375923970433</c:v>
                </c:pt>
              </c:numCache>
            </c:numRef>
          </c:val>
          <c:extLst>
            <c:ext xmlns:c16="http://schemas.microsoft.com/office/drawing/2014/chart" uri="{C3380CC4-5D6E-409C-BE32-E72D297353CC}">
              <c16:uniqueId val="{00000000-AA8A-4C62-9201-4F7D2E3BBE53}"/>
            </c:ext>
          </c:extLst>
        </c:ser>
        <c:ser>
          <c:idx val="1"/>
          <c:order val="1"/>
          <c:tx>
            <c:strRef>
              <c:f>Hoja10!$A$3</c:f>
              <c:strCache>
                <c:ptCount val="1"/>
                <c:pt idx="0">
                  <c:v>Tecnológica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Segoe UI Semilight" panose="020B0402040204020203" pitchFamily="34" charset="0"/>
                    <a:ea typeface="+mn-ea"/>
                    <a:cs typeface="Segoe UI Semilight" panose="020B0402040204020203"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Hoja10!$B$1:$M$1</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Hoja10!$B$3:$M$3</c:f>
              <c:numCache>
                <c:formatCode>0.0%</c:formatCode>
                <c:ptCount val="12"/>
                <c:pt idx="0">
                  <c:v>7.28744939271255E-2</c:v>
                </c:pt>
                <c:pt idx="1">
                  <c:v>0.24276581426648722</c:v>
                </c:pt>
                <c:pt idx="2">
                  <c:v>0.16903288435869435</c:v>
                </c:pt>
                <c:pt idx="3">
                  <c:v>0.19415263890646753</c:v>
                </c:pt>
                <c:pt idx="4">
                  <c:v>0.25436283741368487</c:v>
                </c:pt>
                <c:pt idx="5">
                  <c:v>0.28781564108850211</c:v>
                </c:pt>
                <c:pt idx="6">
                  <c:v>0.22542465753424656</c:v>
                </c:pt>
                <c:pt idx="7">
                  <c:v>0.20041088854648176</c:v>
                </c:pt>
                <c:pt idx="8">
                  <c:v>0.20527564804673237</c:v>
                </c:pt>
                <c:pt idx="9">
                  <c:v>0.21445176288260365</c:v>
                </c:pt>
                <c:pt idx="10">
                  <c:v>0.159</c:v>
                </c:pt>
                <c:pt idx="11">
                  <c:v>0.20872932066173883</c:v>
                </c:pt>
              </c:numCache>
            </c:numRef>
          </c:val>
          <c:extLst>
            <c:ext xmlns:c16="http://schemas.microsoft.com/office/drawing/2014/chart" uri="{C3380CC4-5D6E-409C-BE32-E72D297353CC}">
              <c16:uniqueId val="{00000001-AA8A-4C62-9201-4F7D2E3BBE53}"/>
            </c:ext>
          </c:extLst>
        </c:ser>
        <c:ser>
          <c:idx val="2"/>
          <c:order val="2"/>
          <c:tx>
            <c:strRef>
              <c:f>Hoja10!$A$4</c:f>
              <c:strCache>
                <c:ptCount val="1"/>
                <c:pt idx="0">
                  <c:v>Universitaria</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Segoe UI Semilight" panose="020B0402040204020203" pitchFamily="34" charset="0"/>
                    <a:ea typeface="+mn-ea"/>
                    <a:cs typeface="Segoe UI Semilight" panose="020B0402040204020203"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Hoja10!$B$1:$M$1</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Hoja10!$B$4:$M$4</c:f>
              <c:numCache>
                <c:formatCode>0.0%</c:formatCode>
                <c:ptCount val="12"/>
                <c:pt idx="0">
                  <c:v>0.48016194331983808</c:v>
                </c:pt>
                <c:pt idx="1">
                  <c:v>0.42362045760430689</c:v>
                </c:pt>
                <c:pt idx="2">
                  <c:v>0.43089430894308944</c:v>
                </c:pt>
                <c:pt idx="3">
                  <c:v>0.44032400961903556</c:v>
                </c:pt>
                <c:pt idx="4">
                  <c:v>0.43314500941619588</c:v>
                </c:pt>
                <c:pt idx="5">
                  <c:v>0.41051728364795292</c:v>
                </c:pt>
                <c:pt idx="6">
                  <c:v>0.4444931506849315</c:v>
                </c:pt>
                <c:pt idx="7">
                  <c:v>0.42547508988186955</c:v>
                </c:pt>
                <c:pt idx="8">
                  <c:v>0.40936473165388826</c:v>
                </c:pt>
                <c:pt idx="9">
                  <c:v>0.42289810151104223</c:v>
                </c:pt>
                <c:pt idx="10">
                  <c:v>0.441</c:v>
                </c:pt>
                <c:pt idx="11">
                  <c:v>0.41816261879619854</c:v>
                </c:pt>
              </c:numCache>
            </c:numRef>
          </c:val>
          <c:extLst>
            <c:ext xmlns:c16="http://schemas.microsoft.com/office/drawing/2014/chart" uri="{C3380CC4-5D6E-409C-BE32-E72D297353CC}">
              <c16:uniqueId val="{00000002-AA8A-4C62-9201-4F7D2E3BBE53}"/>
            </c:ext>
          </c:extLst>
        </c:ser>
        <c:ser>
          <c:idx val="3"/>
          <c:order val="3"/>
          <c:tx>
            <c:strRef>
              <c:f>Hoja10!$A$5</c:f>
              <c:strCache>
                <c:ptCount val="1"/>
                <c:pt idx="0">
                  <c:v>Especialización</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Segoe UI Semilight" panose="020B0402040204020203" pitchFamily="34" charset="0"/>
                    <a:ea typeface="+mn-ea"/>
                    <a:cs typeface="Segoe UI Semilight" panose="020B0402040204020203"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Hoja10!$B$1:$M$1</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Hoja10!$B$5:$M$5</c:f>
              <c:numCache>
                <c:formatCode>0.0%</c:formatCode>
                <c:ptCount val="12"/>
                <c:pt idx="0">
                  <c:v>0.37376518218623483</c:v>
                </c:pt>
                <c:pt idx="1">
                  <c:v>0.27708613728129206</c:v>
                </c:pt>
                <c:pt idx="2">
                  <c:v>0.22764227642276422</c:v>
                </c:pt>
                <c:pt idx="3">
                  <c:v>0.15694215922035185</c:v>
                </c:pt>
                <c:pt idx="4">
                  <c:v>0.1497802887633396</c:v>
                </c:pt>
                <c:pt idx="5">
                  <c:v>0.17026231919588133</c:v>
                </c:pt>
                <c:pt idx="6">
                  <c:v>0.15824657534246575</c:v>
                </c:pt>
                <c:pt idx="7">
                  <c:v>0.14411915767847971</c:v>
                </c:pt>
                <c:pt idx="8">
                  <c:v>0.16538882803943045</c:v>
                </c:pt>
                <c:pt idx="9">
                  <c:v>0.14722975590856258</c:v>
                </c:pt>
                <c:pt idx="10">
                  <c:v>0.14499999999999999</c:v>
                </c:pt>
                <c:pt idx="11">
                  <c:v>0.15117916226680747</c:v>
                </c:pt>
              </c:numCache>
            </c:numRef>
          </c:val>
          <c:extLst>
            <c:ext xmlns:c16="http://schemas.microsoft.com/office/drawing/2014/chart" uri="{C3380CC4-5D6E-409C-BE32-E72D297353CC}">
              <c16:uniqueId val="{00000003-AA8A-4C62-9201-4F7D2E3BBE53}"/>
            </c:ext>
          </c:extLst>
        </c:ser>
        <c:ser>
          <c:idx val="4"/>
          <c:order val="4"/>
          <c:tx>
            <c:strRef>
              <c:f>Hoja10!$A$6</c:f>
              <c:strCache>
                <c:ptCount val="1"/>
                <c:pt idx="0">
                  <c:v>Maestría</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Segoe UI Semilight" panose="020B0402040204020203" pitchFamily="34" charset="0"/>
                    <a:ea typeface="+mn-ea"/>
                    <a:cs typeface="Segoe UI Semilight" panose="020B0402040204020203"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Hoja10!$B$1:$M$1</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Hoja10!$B$6:$M$6</c:f>
              <c:numCache>
                <c:formatCode>0.0%</c:formatCode>
                <c:ptCount val="12"/>
                <c:pt idx="0">
                  <c:v>6.5263157894736842E-2</c:v>
                </c:pt>
                <c:pt idx="1">
                  <c:v>5.3331090174966352E-2</c:v>
                </c:pt>
                <c:pt idx="2">
                  <c:v>7.7296444606237108E-2</c:v>
                </c:pt>
                <c:pt idx="3">
                  <c:v>0.11707378812808505</c:v>
                </c:pt>
                <c:pt idx="4">
                  <c:v>0.10106716886377903</c:v>
                </c:pt>
                <c:pt idx="5">
                  <c:v>0.10872762932091198</c:v>
                </c:pt>
                <c:pt idx="6">
                  <c:v>9.7863013698630139E-2</c:v>
                </c:pt>
                <c:pt idx="7">
                  <c:v>0.11494607087827427</c:v>
                </c:pt>
                <c:pt idx="8">
                  <c:v>0.12769258853596202</c:v>
                </c:pt>
                <c:pt idx="9">
                  <c:v>0.10306082913599381</c:v>
                </c:pt>
                <c:pt idx="10">
                  <c:v>9.2999999999999999E-2</c:v>
                </c:pt>
                <c:pt idx="11">
                  <c:v>8.359732488560366E-2</c:v>
                </c:pt>
              </c:numCache>
            </c:numRef>
          </c:val>
          <c:extLst>
            <c:ext xmlns:c16="http://schemas.microsoft.com/office/drawing/2014/chart" uri="{C3380CC4-5D6E-409C-BE32-E72D297353CC}">
              <c16:uniqueId val="{00000004-AA8A-4C62-9201-4F7D2E3BBE53}"/>
            </c:ext>
          </c:extLst>
        </c:ser>
        <c:ser>
          <c:idx val="5"/>
          <c:order val="5"/>
          <c:tx>
            <c:strRef>
              <c:f>Hoja10!$A$7</c:f>
              <c:strCache>
                <c:ptCount val="1"/>
                <c:pt idx="0">
                  <c:v>Doctorado</c:v>
                </c:pt>
              </c:strCache>
            </c:strRef>
          </c:tx>
          <c:spPr>
            <a:solidFill>
              <a:schemeClr val="accent6"/>
            </a:solidFill>
            <a:ln>
              <a:noFill/>
            </a:ln>
            <a:effectLst/>
          </c:spPr>
          <c:invertIfNegative val="0"/>
          <c:cat>
            <c:numRef>
              <c:f>Hoja10!$B$1:$M$1</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Hoja10!$B$7:$M$7</c:f>
              <c:numCache>
                <c:formatCode>0.0%</c:formatCode>
                <c:ptCount val="12"/>
                <c:pt idx="0">
                  <c:v>1.4574898785425102E-3</c:v>
                </c:pt>
                <c:pt idx="1">
                  <c:v>2.6917900403768506E-3</c:v>
                </c:pt>
                <c:pt idx="2">
                  <c:v>2.6695789345953162E-3</c:v>
                </c:pt>
                <c:pt idx="3">
                  <c:v>3.0375901784584231E-3</c:v>
                </c:pt>
                <c:pt idx="4">
                  <c:v>3.766478342749529E-3</c:v>
                </c:pt>
                <c:pt idx="5">
                  <c:v>2.9418975239029173E-3</c:v>
                </c:pt>
                <c:pt idx="6">
                  <c:v>5.3698630136986298E-3</c:v>
                </c:pt>
                <c:pt idx="7">
                  <c:v>4.3143297380585513E-3</c:v>
                </c:pt>
                <c:pt idx="8">
                  <c:v>5.8415480102227092E-3</c:v>
                </c:pt>
                <c:pt idx="9">
                  <c:v>5.8117008911274699E-3</c:v>
                </c:pt>
                <c:pt idx="10">
                  <c:v>8.0000000000000002E-3</c:v>
                </c:pt>
                <c:pt idx="11">
                  <c:v>5.8078141499472019E-3</c:v>
                </c:pt>
              </c:numCache>
            </c:numRef>
          </c:val>
          <c:extLst>
            <c:ext xmlns:c16="http://schemas.microsoft.com/office/drawing/2014/chart" uri="{C3380CC4-5D6E-409C-BE32-E72D297353CC}">
              <c16:uniqueId val="{00000005-AA8A-4C62-9201-4F7D2E3BBE53}"/>
            </c:ext>
          </c:extLst>
        </c:ser>
        <c:dLbls>
          <c:showLegendKey val="0"/>
          <c:showVal val="0"/>
          <c:showCatName val="0"/>
          <c:showSerName val="0"/>
          <c:showPercent val="0"/>
          <c:showBubbleSize val="0"/>
        </c:dLbls>
        <c:gapWidth val="50"/>
        <c:overlap val="100"/>
        <c:axId val="520559552"/>
        <c:axId val="520564128"/>
      </c:barChart>
      <c:catAx>
        <c:axId val="520559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Segoe UI Semilight" panose="020B0402040204020203" pitchFamily="34" charset="0"/>
                <a:ea typeface="+mn-ea"/>
                <a:cs typeface="Segoe UI Semilight" panose="020B0402040204020203" pitchFamily="34" charset="0"/>
              </a:defRPr>
            </a:pPr>
            <a:endParaRPr lang="es-CO"/>
          </a:p>
        </c:txPr>
        <c:crossAx val="520564128"/>
        <c:crosses val="autoZero"/>
        <c:auto val="1"/>
        <c:lblAlgn val="ctr"/>
        <c:lblOffset val="100"/>
        <c:noMultiLvlLbl val="0"/>
      </c:catAx>
      <c:valAx>
        <c:axId val="520564128"/>
        <c:scaling>
          <c:orientation val="minMax"/>
          <c:max val="1"/>
        </c:scaling>
        <c:delete val="1"/>
        <c:axPos val="l"/>
        <c:numFmt formatCode="0.0%" sourceLinked="1"/>
        <c:majorTickMark val="none"/>
        <c:minorTickMark val="none"/>
        <c:tickLblPos val="nextTo"/>
        <c:crossAx val="5205595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Segoe UI Semilight" panose="020B0402040204020203" pitchFamily="34" charset="0"/>
              <a:ea typeface="+mn-ea"/>
              <a:cs typeface="Segoe UI Semilight" panose="020B0402040204020203" pitchFamily="34" charset="0"/>
            </a:defRPr>
          </a:pPr>
          <a:endParaRPr lang="es-CO"/>
        </a:p>
      </c:txPr>
    </c:legend>
    <c:plotVisOnly val="1"/>
    <c:dispBlanksAs val="gap"/>
    <c:showDLblsOverMax val="0"/>
  </c:chart>
  <c:spPr>
    <a:solidFill>
      <a:schemeClr val="bg1"/>
    </a:solidFill>
    <a:ln w="9525" cap="flat" cmpd="sng" algn="ctr">
      <a:noFill/>
      <a:round/>
    </a:ln>
    <a:effectLst/>
  </c:spPr>
  <c:txPr>
    <a:bodyPr/>
    <a:lstStyle/>
    <a:p>
      <a:pPr>
        <a:defRPr sz="800">
          <a:latin typeface="Segoe UI Semilight" panose="020B0402040204020203" pitchFamily="34" charset="0"/>
          <a:cs typeface="Segoe UI Semilight" panose="020B0402040204020203" pitchFamily="34" charset="0"/>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ofPieChart>
        <c:ofPieType val="bar"/>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C8D-48B5-8082-0AA8FDDF659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C8D-48B5-8082-0AA8FDDF659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C8D-48B5-8082-0AA8FDDF659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C8D-48B5-8082-0AA8FDDF6591}"/>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FC8D-48B5-8082-0AA8FDDF6591}"/>
              </c:ext>
            </c:extLst>
          </c:dPt>
          <c:dLbls>
            <c:dLbl>
              <c:idx val="0"/>
              <c:layout>
                <c:manualLayout>
                  <c:x val="0.13232633420822398"/>
                  <c:y val="2.9749927092446778E-3"/>
                </c:manualLayout>
              </c:layout>
              <c:tx>
                <c:rich>
                  <a:bodyPr/>
                  <a:lstStyle/>
                  <a:p>
                    <a:r>
                      <a:rPr lang="en-US"/>
                      <a:t>Manizales</a:t>
                    </a:r>
                  </a:p>
                  <a:p>
                    <a:r>
                      <a:rPr lang="en-US"/>
                      <a:t>53,7%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C8D-48B5-8082-0AA8FDDF6591}"/>
                </c:ext>
              </c:extLst>
            </c:dLbl>
            <c:dLbl>
              <c:idx val="2"/>
              <c:tx>
                <c:rich>
                  <a:bodyPr/>
                  <a:lstStyle/>
                  <a:p>
                    <a:r>
                      <a:rPr lang="en-US"/>
                      <a:t>Otros municipios de Caldas</a:t>
                    </a:r>
                  </a:p>
                  <a:p>
                    <a:fld id="{75F90522-06C4-4639-B8F2-A805B0F6DA4E}" type="VALUE">
                      <a:rPr lang="en-US"/>
                      <a:pPr/>
                      <a:t>[VALOR]</a:t>
                    </a:fld>
                    <a:endParaRPr lang="es-CO"/>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FC8D-48B5-8082-0AA8FDDF6591}"/>
                </c:ext>
              </c:extLst>
            </c:dLbl>
            <c:dLbl>
              <c:idx val="3"/>
              <c:layout>
                <c:manualLayout>
                  <c:x val="5.2777777777777882E-2"/>
                  <c:y val="8.5543890347039866E-2"/>
                </c:manualLayout>
              </c:layout>
              <c:tx>
                <c:rich>
                  <a:bodyPr/>
                  <a:lstStyle/>
                  <a:p>
                    <a:r>
                      <a:rPr lang="en-US"/>
                      <a:t>Otros departamentos y extranjeros</a:t>
                    </a:r>
                  </a:p>
                  <a:p>
                    <a:fld id="{6B19A67A-1F9D-4BE5-AEAD-274CEF92F4BC}" type="VALUE">
                      <a:rPr lang="en-US"/>
                      <a:pPr/>
                      <a:t>[VALOR]</a:t>
                    </a:fld>
                    <a:endParaRPr lang="es-CO"/>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FC8D-48B5-8082-0AA8FDDF6591}"/>
                </c:ext>
              </c:extLst>
            </c:dLbl>
            <c:dLbl>
              <c:idx val="4"/>
              <c:layout>
                <c:manualLayout>
                  <c:x val="-0.17235039370078739"/>
                  <c:y val="2.7419437153689122E-2"/>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r>
                      <a:rPr lang="en-US">
                        <a:solidFill>
                          <a:schemeClr val="bg1"/>
                        </a:solidFill>
                      </a:rPr>
                      <a:t>Otro origen</a:t>
                    </a:r>
                  </a:p>
                  <a:p>
                    <a:pPr>
                      <a:defRPr>
                        <a:solidFill>
                          <a:schemeClr val="bg1"/>
                        </a:solidFill>
                      </a:defRPr>
                    </a:pPr>
                    <a:r>
                      <a:rPr lang="en-US">
                        <a:solidFill>
                          <a:schemeClr val="bg1"/>
                        </a:solidFill>
                      </a:rPr>
                      <a:t>46,3%</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C8D-48B5-8082-0AA8FDDF659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s-CO"/>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Hoja1!$B$14:$B$17</c:f>
              <c:numCache>
                <c:formatCode>General</c:formatCode>
                <c:ptCount val="4"/>
                <c:pt idx="0" formatCode="#,#00%">
                  <c:v>0.53707541219929722</c:v>
                </c:pt>
                <c:pt idx="2" formatCode="#,#00%">
                  <c:v>0.16836351623269363</c:v>
                </c:pt>
                <c:pt idx="3" formatCode="#,#00%">
                  <c:v>0.29456107156800909</c:v>
                </c:pt>
              </c:numCache>
            </c:numRef>
          </c:val>
          <c:extLst>
            <c:ext xmlns:c16="http://schemas.microsoft.com/office/drawing/2014/chart" uri="{C3380CC4-5D6E-409C-BE32-E72D297353CC}">
              <c16:uniqueId val="{0000000A-FC8D-48B5-8082-0AA8FDDF6591}"/>
            </c:ext>
          </c:extLst>
        </c:ser>
        <c:dLbls>
          <c:showLegendKey val="0"/>
          <c:showVal val="0"/>
          <c:showCatName val="0"/>
          <c:showSerName val="0"/>
          <c:showPercent val="0"/>
          <c:showBubbleSize val="0"/>
          <c:showLeaderLines val="1"/>
        </c:dLbls>
        <c:gapWidth val="100"/>
        <c:secondPieSize val="75"/>
        <c:serLines>
          <c:spPr>
            <a:ln w="9525" cap="flat" cmpd="sng" algn="ctr">
              <a:solidFill>
                <a:schemeClr val="tx1">
                  <a:lumMod val="35000"/>
                  <a:lumOff val="65000"/>
                </a:schemeClr>
              </a:solidFill>
              <a:round/>
            </a:ln>
            <a:effectLst/>
          </c:spPr>
        </c:serLines>
      </c:of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Hoja2!$I$29</c:f>
              <c:strCache>
                <c:ptCount val="1"/>
                <c:pt idx="0">
                  <c:v>2016 </c:v>
                </c:pt>
              </c:strCache>
            </c:strRef>
          </c:tx>
          <c:spPr>
            <a:solidFill>
              <a:schemeClr val="accent1"/>
            </a:solidFill>
            <a:ln>
              <a:noFill/>
            </a:ln>
            <a:effectLst/>
          </c:spPr>
          <c:invertIfNegative val="0"/>
          <c:cat>
            <c:strRef>
              <c:f>Hoja2!$H$30:$H$52</c:f>
              <c:strCache>
                <c:ptCount val="23"/>
                <c:pt idx="0">
                  <c:v>Florencia</c:v>
                </c:pt>
                <c:pt idx="1">
                  <c:v>Quibdó</c:v>
                </c:pt>
                <c:pt idx="2">
                  <c:v>Riohacha</c:v>
                </c:pt>
                <c:pt idx="3">
                  <c:v>Sincelejo</c:v>
                </c:pt>
                <c:pt idx="4">
                  <c:v>Valledupar</c:v>
                </c:pt>
                <c:pt idx="5">
                  <c:v>Cúcuta</c:v>
                </c:pt>
                <c:pt idx="6">
                  <c:v>Villavicencio</c:v>
                </c:pt>
                <c:pt idx="7">
                  <c:v>Ibagué</c:v>
                </c:pt>
                <c:pt idx="8">
                  <c:v>Pasto</c:v>
                </c:pt>
                <c:pt idx="9">
                  <c:v>Cali</c:v>
                </c:pt>
                <c:pt idx="10">
                  <c:v>Popayán</c:v>
                </c:pt>
                <c:pt idx="11">
                  <c:v>Bogotá</c:v>
                </c:pt>
                <c:pt idx="12">
                  <c:v>Neiva</c:v>
                </c:pt>
                <c:pt idx="13">
                  <c:v>Medellin</c:v>
                </c:pt>
                <c:pt idx="14">
                  <c:v>Pereira</c:v>
                </c:pt>
                <c:pt idx="15">
                  <c:v>Bucaramanga</c:v>
                </c:pt>
                <c:pt idx="16">
                  <c:v>Cartagena</c:v>
                </c:pt>
                <c:pt idx="17">
                  <c:v>Armenia</c:v>
                </c:pt>
                <c:pt idx="18">
                  <c:v>Tunja</c:v>
                </c:pt>
                <c:pt idx="19">
                  <c:v>Barranquilla</c:v>
                </c:pt>
                <c:pt idx="20">
                  <c:v>Santa Marta</c:v>
                </c:pt>
                <c:pt idx="21">
                  <c:v>Monteria</c:v>
                </c:pt>
                <c:pt idx="22">
                  <c:v>Manizales</c:v>
                </c:pt>
              </c:strCache>
            </c:strRef>
          </c:cat>
          <c:val>
            <c:numRef>
              <c:f>Hoja2!$I$30:$I$52</c:f>
              <c:numCache>
                <c:formatCode>#,#00%</c:formatCode>
                <c:ptCount val="23"/>
                <c:pt idx="0">
                  <c:v>0</c:v>
                </c:pt>
                <c:pt idx="1">
                  <c:v>0</c:v>
                </c:pt>
                <c:pt idx="2">
                  <c:v>0</c:v>
                </c:pt>
                <c:pt idx="3">
                  <c:v>0</c:v>
                </c:pt>
                <c:pt idx="4">
                  <c:v>0</c:v>
                </c:pt>
                <c:pt idx="5">
                  <c:v>0.24605157301943514</c:v>
                </c:pt>
                <c:pt idx="6">
                  <c:v>0.14234934740349903</c:v>
                </c:pt>
                <c:pt idx="7">
                  <c:v>2.7416038382453737E-3</c:v>
                </c:pt>
                <c:pt idx="8">
                  <c:v>3.7616611495636476E-5</c:v>
                </c:pt>
                <c:pt idx="9">
                  <c:v>0.56540772069717948</c:v>
                </c:pt>
                <c:pt idx="10">
                  <c:v>0.52266591449409683</c:v>
                </c:pt>
                <c:pt idx="11">
                  <c:v>0.4949073130983907</c:v>
                </c:pt>
                <c:pt idx="12">
                  <c:v>1.7035775127768313E-4</c:v>
                </c:pt>
                <c:pt idx="13">
                  <c:v>0.52359064575011238</c:v>
                </c:pt>
                <c:pt idx="14">
                  <c:v>0.66680777371560518</c:v>
                </c:pt>
                <c:pt idx="15">
                  <c:v>0.41406656786958784</c:v>
                </c:pt>
                <c:pt idx="16">
                  <c:v>0.48005339790754709</c:v>
                </c:pt>
                <c:pt idx="17">
                  <c:v>0</c:v>
                </c:pt>
                <c:pt idx="18">
                  <c:v>0.69889880234707824</c:v>
                </c:pt>
                <c:pt idx="19">
                  <c:v>0.32689326628605997</c:v>
                </c:pt>
                <c:pt idx="20">
                  <c:v>0.71834239130434785</c:v>
                </c:pt>
                <c:pt idx="21">
                  <c:v>0</c:v>
                </c:pt>
                <c:pt idx="22">
                  <c:v>0.86871762426351373</c:v>
                </c:pt>
              </c:numCache>
            </c:numRef>
          </c:val>
          <c:extLst>
            <c:ext xmlns:c16="http://schemas.microsoft.com/office/drawing/2014/chart" uri="{C3380CC4-5D6E-409C-BE32-E72D297353CC}">
              <c16:uniqueId val="{00000000-6E8E-4A67-9AB5-1DAF9D46A588}"/>
            </c:ext>
          </c:extLst>
        </c:ser>
        <c:ser>
          <c:idx val="3"/>
          <c:order val="1"/>
          <c:tx>
            <c:strRef>
              <c:f>Hoja2!$L$29</c:f>
              <c:strCache>
                <c:ptCount val="1"/>
                <c:pt idx="0">
                  <c:v>2019 </c:v>
                </c:pt>
              </c:strCache>
            </c:strRef>
          </c:tx>
          <c:spPr>
            <a:solidFill>
              <a:schemeClr val="accent4"/>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Segoe UI" panose="020B0502040204020203" pitchFamily="34" charset="0"/>
                    <a:ea typeface="+mn-ea"/>
                    <a:cs typeface="Segoe UI" panose="020B0502040204020203"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Hoja2!$L$30:$L$52</c:f>
              <c:numCache>
                <c:formatCode>#,#00%</c:formatCode>
                <c:ptCount val="23"/>
                <c:pt idx="0">
                  <c:v>0</c:v>
                </c:pt>
                <c:pt idx="1">
                  <c:v>0</c:v>
                </c:pt>
                <c:pt idx="2">
                  <c:v>0</c:v>
                </c:pt>
                <c:pt idx="3">
                  <c:v>0</c:v>
                </c:pt>
                <c:pt idx="4">
                  <c:v>0</c:v>
                </c:pt>
                <c:pt idx="5">
                  <c:v>0.20368881932399849</c:v>
                </c:pt>
                <c:pt idx="6">
                  <c:v>0.21140992579337931</c:v>
                </c:pt>
                <c:pt idx="7">
                  <c:v>0.34491962749866539</c:v>
                </c:pt>
                <c:pt idx="8">
                  <c:v>0.41260649872754768</c:v>
                </c:pt>
                <c:pt idx="9">
                  <c:v>0.50993592238047059</c:v>
                </c:pt>
                <c:pt idx="10">
                  <c:v>0.53840375586854461</c:v>
                </c:pt>
                <c:pt idx="11">
                  <c:v>0.57085041219545896</c:v>
                </c:pt>
                <c:pt idx="12">
                  <c:v>0.58439755691282624</c:v>
                </c:pt>
                <c:pt idx="13">
                  <c:v>0.62845186036045109</c:v>
                </c:pt>
                <c:pt idx="14">
                  <c:v>0.63542909944942827</c:v>
                </c:pt>
                <c:pt idx="15">
                  <c:v>0.65224142049526235</c:v>
                </c:pt>
                <c:pt idx="16">
                  <c:v>0.68974194089523866</c:v>
                </c:pt>
                <c:pt idx="17">
                  <c:v>0.72447562669005339</c:v>
                </c:pt>
                <c:pt idx="18">
                  <c:v>0.73200045785798773</c:v>
                </c:pt>
                <c:pt idx="19">
                  <c:v>0.73267948412050588</c:v>
                </c:pt>
                <c:pt idx="20">
                  <c:v>0.81118787608647203</c:v>
                </c:pt>
                <c:pt idx="21">
                  <c:v>0.81857683703321282</c:v>
                </c:pt>
                <c:pt idx="22">
                  <c:v>0.92692585963977003</c:v>
                </c:pt>
              </c:numCache>
            </c:numRef>
          </c:val>
          <c:extLst>
            <c:ext xmlns:c16="http://schemas.microsoft.com/office/drawing/2014/chart" uri="{C3380CC4-5D6E-409C-BE32-E72D297353CC}">
              <c16:uniqueId val="{00000001-6E8E-4A67-9AB5-1DAF9D46A588}"/>
            </c:ext>
          </c:extLst>
        </c:ser>
        <c:dLbls>
          <c:showLegendKey val="0"/>
          <c:showVal val="0"/>
          <c:showCatName val="0"/>
          <c:showSerName val="0"/>
          <c:showPercent val="0"/>
          <c:showBubbleSize val="0"/>
        </c:dLbls>
        <c:gapWidth val="182"/>
        <c:axId val="48728351"/>
        <c:axId val="48728767"/>
      </c:barChart>
      <c:catAx>
        <c:axId val="4872835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Segoe UI" panose="020B0502040204020203" pitchFamily="34" charset="0"/>
                <a:ea typeface="+mn-ea"/>
                <a:cs typeface="Segoe UI" panose="020B0502040204020203" pitchFamily="34" charset="0"/>
              </a:defRPr>
            </a:pPr>
            <a:endParaRPr lang="es-CO"/>
          </a:p>
        </c:txPr>
        <c:crossAx val="48728767"/>
        <c:crosses val="autoZero"/>
        <c:auto val="1"/>
        <c:lblAlgn val="ctr"/>
        <c:lblOffset val="100"/>
        <c:noMultiLvlLbl val="0"/>
      </c:catAx>
      <c:valAx>
        <c:axId val="48728767"/>
        <c:scaling>
          <c:orientation val="minMax"/>
        </c:scaling>
        <c:delete val="0"/>
        <c:axPos val="b"/>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Segoe UI" panose="020B0502040204020203" pitchFamily="34" charset="0"/>
                <a:ea typeface="+mn-ea"/>
                <a:cs typeface="Segoe UI" panose="020B0502040204020203" pitchFamily="34" charset="0"/>
              </a:defRPr>
            </a:pPr>
            <a:endParaRPr lang="es-CO"/>
          </a:p>
        </c:txPr>
        <c:crossAx val="4872835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Segoe UI" panose="020B0502040204020203" pitchFamily="34" charset="0"/>
              <a:ea typeface="+mn-ea"/>
              <a:cs typeface="Segoe UI" panose="020B0502040204020203" pitchFamily="34" charset="0"/>
            </a:defRPr>
          </a:pPr>
          <a:endParaRPr lang="es-CO"/>
        </a:p>
      </c:txPr>
    </c:legend>
    <c:plotVisOnly val="1"/>
    <c:dispBlanksAs val="gap"/>
    <c:showDLblsOverMax val="0"/>
  </c:chart>
  <c:spPr>
    <a:solidFill>
      <a:schemeClr val="bg1"/>
    </a:solidFill>
    <a:ln w="9525" cap="flat" cmpd="sng" algn="ctr">
      <a:noFill/>
      <a:round/>
    </a:ln>
    <a:effectLst/>
  </c:spPr>
  <c:txPr>
    <a:bodyPr/>
    <a:lstStyle/>
    <a:p>
      <a:pPr>
        <a:defRPr sz="800">
          <a:latin typeface="Segoe UI" panose="020B0502040204020203" pitchFamily="34" charset="0"/>
          <a:cs typeface="Segoe UI" panose="020B0502040204020203" pitchFamily="34" charset="0"/>
        </a:defRPr>
      </a:pPr>
      <a:endParaRPr lang="es-C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19050"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Hoja4!$H$3:$H$6</c:f>
              <c:numCache>
                <c:formatCode>General</c:formatCode>
                <c:ptCount val="4"/>
                <c:pt idx="0">
                  <c:v>2018</c:v>
                </c:pt>
                <c:pt idx="1">
                  <c:v>2019</c:v>
                </c:pt>
                <c:pt idx="2">
                  <c:v>2020</c:v>
                </c:pt>
                <c:pt idx="3">
                  <c:v>2021</c:v>
                </c:pt>
              </c:numCache>
            </c:numRef>
          </c:cat>
          <c:val>
            <c:numRef>
              <c:f>Hoja4!$I$3:$I$6</c:f>
              <c:numCache>
                <c:formatCode>General</c:formatCode>
                <c:ptCount val="4"/>
                <c:pt idx="0">
                  <c:v>152.30000000000001</c:v>
                </c:pt>
                <c:pt idx="1">
                  <c:v>150.80000000000001</c:v>
                </c:pt>
                <c:pt idx="2" formatCode="0.0">
                  <c:v>157</c:v>
                </c:pt>
                <c:pt idx="3">
                  <c:v>151.1</c:v>
                </c:pt>
              </c:numCache>
            </c:numRef>
          </c:val>
          <c:smooth val="0"/>
          <c:extLst>
            <c:ext xmlns:c16="http://schemas.microsoft.com/office/drawing/2014/chart" uri="{C3380CC4-5D6E-409C-BE32-E72D297353CC}">
              <c16:uniqueId val="{00000000-5C0E-4108-A38C-5D35066EE88B}"/>
            </c:ext>
          </c:extLst>
        </c:ser>
        <c:dLbls>
          <c:showLegendKey val="0"/>
          <c:showVal val="0"/>
          <c:showCatName val="0"/>
          <c:showSerName val="0"/>
          <c:showPercent val="0"/>
          <c:showBubbleSize val="0"/>
        </c:dLbls>
        <c:smooth val="0"/>
        <c:axId val="1176783504"/>
        <c:axId val="1176789744"/>
      </c:lineChart>
      <c:catAx>
        <c:axId val="11767835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176789744"/>
        <c:crosses val="autoZero"/>
        <c:auto val="1"/>
        <c:lblAlgn val="ctr"/>
        <c:lblOffset val="100"/>
        <c:noMultiLvlLbl val="0"/>
      </c:catAx>
      <c:valAx>
        <c:axId val="1176789744"/>
        <c:scaling>
          <c:orientation val="minMax"/>
          <c:max val="25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17678350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enorite" panose="00000500000000000000" pitchFamily="2" charset="0"/>
                    <a:ea typeface="+mn-ea"/>
                    <a:cs typeface="+mn-cs"/>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Hoja8!$A$2:$A$6</c:f>
              <c:numCache>
                <c:formatCode>General</c:formatCode>
                <c:ptCount val="5"/>
                <c:pt idx="0">
                  <c:v>2013</c:v>
                </c:pt>
                <c:pt idx="1">
                  <c:v>2014</c:v>
                </c:pt>
                <c:pt idx="2">
                  <c:v>2015</c:v>
                </c:pt>
                <c:pt idx="3">
                  <c:v>2019</c:v>
                </c:pt>
                <c:pt idx="4">
                  <c:v>2021</c:v>
                </c:pt>
              </c:numCache>
            </c:numRef>
          </c:cat>
          <c:val>
            <c:numRef>
              <c:f>Hoja8!$D$2:$D$6</c:f>
              <c:numCache>
                <c:formatCode>0.0%</c:formatCode>
                <c:ptCount val="5"/>
                <c:pt idx="0">
                  <c:v>0.26548672566371684</c:v>
                </c:pt>
                <c:pt idx="1">
                  <c:v>0.28947368421052633</c:v>
                </c:pt>
                <c:pt idx="2">
                  <c:v>0.34057971014492755</c:v>
                </c:pt>
                <c:pt idx="3">
                  <c:v>0.4451219512195122</c:v>
                </c:pt>
                <c:pt idx="4">
                  <c:v>0.51461988304093564</c:v>
                </c:pt>
              </c:numCache>
            </c:numRef>
          </c:val>
          <c:smooth val="0"/>
          <c:extLst>
            <c:ext xmlns:c16="http://schemas.microsoft.com/office/drawing/2014/chart" uri="{C3380CC4-5D6E-409C-BE32-E72D297353CC}">
              <c16:uniqueId val="{00000000-42AB-40C9-9494-2E8D9C42C724}"/>
            </c:ext>
          </c:extLst>
        </c:ser>
        <c:dLbls>
          <c:showLegendKey val="0"/>
          <c:showVal val="0"/>
          <c:showCatName val="0"/>
          <c:showSerName val="0"/>
          <c:showPercent val="0"/>
          <c:showBubbleSize val="0"/>
        </c:dLbls>
        <c:smooth val="0"/>
        <c:axId val="1194859312"/>
        <c:axId val="1194875536"/>
      </c:lineChart>
      <c:catAx>
        <c:axId val="1194859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enorite" panose="00000500000000000000" pitchFamily="2" charset="0"/>
                <a:ea typeface="+mn-ea"/>
                <a:cs typeface="+mn-cs"/>
              </a:defRPr>
            </a:pPr>
            <a:endParaRPr lang="es-CO"/>
          </a:p>
        </c:txPr>
        <c:crossAx val="1194875536"/>
        <c:crosses val="autoZero"/>
        <c:auto val="1"/>
        <c:lblAlgn val="ctr"/>
        <c:lblOffset val="100"/>
        <c:noMultiLvlLbl val="0"/>
      </c:catAx>
      <c:valAx>
        <c:axId val="1194875536"/>
        <c:scaling>
          <c:orientation val="minMax"/>
        </c:scaling>
        <c:delete val="1"/>
        <c:axPos val="l"/>
        <c:numFmt formatCode="0.0%" sourceLinked="1"/>
        <c:majorTickMark val="none"/>
        <c:minorTickMark val="none"/>
        <c:tickLblPos val="nextTo"/>
        <c:crossAx val="119485931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latin typeface="Tenorite" panose="00000500000000000000" pitchFamily="2" charset="0"/>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5AC6F-A2A3-4F5E-99AB-25A7DEF30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5582</Words>
  <Characters>30703</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dc:creator>
  <cp:keywords/>
  <dc:description/>
  <cp:lastModifiedBy>SEC GNRAL</cp:lastModifiedBy>
  <cp:revision>3</cp:revision>
  <cp:lastPrinted>2023-03-31T20:35:00Z</cp:lastPrinted>
  <dcterms:created xsi:type="dcterms:W3CDTF">2023-04-10T13:52:00Z</dcterms:created>
  <dcterms:modified xsi:type="dcterms:W3CDTF">2023-04-10T13:52:00Z</dcterms:modified>
</cp:coreProperties>
</file>