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4B5DB" w14:textId="71ADBB02" w:rsidR="00A026A8" w:rsidRDefault="00301297">
      <w:pPr>
        <w:tabs>
          <w:tab w:val="center" w:pos="4300"/>
        </w:tabs>
        <w:spacing w:line="240" w:lineRule="auto"/>
        <w:ind w:right="-93"/>
        <w:jc w:val="both"/>
        <w:rPr>
          <w:rFonts w:ascii="Times New Roman" w:eastAsia="Times New Roman" w:hAnsi="Times New Roman"/>
          <w:sz w:val="24"/>
          <w:szCs w:val="24"/>
        </w:rPr>
      </w:pPr>
      <w:r>
        <w:rPr>
          <w:rFonts w:ascii="Times New Roman" w:eastAsia="Times New Roman" w:hAnsi="Times New Roman"/>
          <w:sz w:val="24"/>
          <w:szCs w:val="24"/>
        </w:rPr>
        <w:t xml:space="preserve">Bogotá D.C., </w:t>
      </w:r>
      <w:r w:rsidR="009D1626">
        <w:rPr>
          <w:rFonts w:ascii="Times New Roman" w:eastAsia="Times New Roman" w:hAnsi="Times New Roman"/>
          <w:sz w:val="24"/>
          <w:szCs w:val="24"/>
        </w:rPr>
        <w:t>30</w:t>
      </w:r>
      <w:r>
        <w:rPr>
          <w:rFonts w:ascii="Times New Roman" w:eastAsia="Times New Roman" w:hAnsi="Times New Roman"/>
          <w:sz w:val="24"/>
          <w:szCs w:val="24"/>
        </w:rPr>
        <w:t xml:space="preserve"> de marzo de 2023</w:t>
      </w:r>
      <w:r>
        <w:rPr>
          <w:rFonts w:ascii="Times New Roman" w:eastAsia="Times New Roman" w:hAnsi="Times New Roman"/>
          <w:sz w:val="24"/>
          <w:szCs w:val="24"/>
        </w:rPr>
        <w:tab/>
      </w:r>
    </w:p>
    <w:p w14:paraId="71519229" w14:textId="77777777" w:rsidR="00A026A8" w:rsidRDefault="00A026A8">
      <w:pPr>
        <w:tabs>
          <w:tab w:val="center" w:pos="4300"/>
        </w:tabs>
        <w:spacing w:line="240" w:lineRule="auto"/>
        <w:ind w:right="-93"/>
        <w:jc w:val="both"/>
        <w:rPr>
          <w:rFonts w:ascii="Times New Roman" w:eastAsia="Times New Roman" w:hAnsi="Times New Roman"/>
          <w:sz w:val="24"/>
          <w:szCs w:val="24"/>
        </w:rPr>
      </w:pPr>
    </w:p>
    <w:p w14:paraId="207F4814" w14:textId="4AC6BE25" w:rsidR="00F34DAC" w:rsidRPr="00F34DAC" w:rsidRDefault="00301297" w:rsidP="00F34DAC">
      <w:pPr>
        <w:spacing w:after="0" w:line="240" w:lineRule="auto"/>
        <w:rPr>
          <w:rFonts w:ascii="Times New Roman" w:eastAsia="Times New Roman" w:hAnsi="Times New Roman"/>
          <w:sz w:val="24"/>
          <w:szCs w:val="24"/>
        </w:rPr>
      </w:pPr>
      <w:r>
        <w:rPr>
          <w:rFonts w:ascii="Times New Roman" w:eastAsia="Times New Roman" w:hAnsi="Times New Roman"/>
          <w:sz w:val="24"/>
          <w:szCs w:val="24"/>
        </w:rPr>
        <w:t>Doctor</w:t>
      </w:r>
    </w:p>
    <w:p w14:paraId="4DFCE29C" w14:textId="4177DFD0" w:rsidR="00F34DAC" w:rsidRPr="00F34DAC" w:rsidRDefault="00F34DAC" w:rsidP="00F34DAC">
      <w:pPr>
        <w:spacing w:after="0" w:line="240" w:lineRule="auto"/>
        <w:rPr>
          <w:rFonts w:ascii="Times New Roman" w:eastAsia="Times New Roman" w:hAnsi="Times New Roman"/>
          <w:b/>
          <w:sz w:val="24"/>
          <w:szCs w:val="24"/>
        </w:rPr>
      </w:pPr>
      <w:r w:rsidRPr="00F34DAC">
        <w:rPr>
          <w:rFonts w:ascii="Times New Roman" w:eastAsia="Times New Roman" w:hAnsi="Times New Roman"/>
          <w:b/>
          <w:sz w:val="24"/>
          <w:szCs w:val="24"/>
        </w:rPr>
        <w:t>JAIME LUIS LACOUTURE PEÑALOZA</w:t>
      </w:r>
    </w:p>
    <w:p w14:paraId="798E4F1D" w14:textId="77777777" w:rsidR="00F34DAC" w:rsidRPr="00F34DAC" w:rsidRDefault="00F34DAC" w:rsidP="00F34DAC">
      <w:pPr>
        <w:spacing w:after="0" w:line="240" w:lineRule="auto"/>
        <w:rPr>
          <w:rFonts w:ascii="Times New Roman" w:eastAsia="Times New Roman" w:hAnsi="Times New Roman"/>
          <w:bCs/>
          <w:sz w:val="24"/>
          <w:szCs w:val="24"/>
        </w:rPr>
      </w:pPr>
      <w:r w:rsidRPr="00F34DAC">
        <w:rPr>
          <w:rFonts w:ascii="Times New Roman" w:eastAsia="Times New Roman" w:hAnsi="Times New Roman"/>
          <w:bCs/>
          <w:sz w:val="24"/>
          <w:szCs w:val="24"/>
        </w:rPr>
        <w:t xml:space="preserve">Secretario General </w:t>
      </w:r>
    </w:p>
    <w:p w14:paraId="637E0092" w14:textId="40EABD22" w:rsidR="00F34DAC" w:rsidRPr="00F34DAC" w:rsidRDefault="00F34DAC" w:rsidP="00F34DAC">
      <w:pPr>
        <w:spacing w:after="0" w:line="240" w:lineRule="auto"/>
        <w:rPr>
          <w:rFonts w:ascii="Times New Roman" w:eastAsia="Times New Roman" w:hAnsi="Times New Roman"/>
          <w:b/>
          <w:sz w:val="24"/>
          <w:szCs w:val="24"/>
        </w:rPr>
      </w:pPr>
      <w:r w:rsidRPr="00F34DAC">
        <w:rPr>
          <w:rFonts w:ascii="Times New Roman" w:eastAsia="Times New Roman" w:hAnsi="Times New Roman"/>
          <w:b/>
          <w:sz w:val="24"/>
          <w:szCs w:val="24"/>
        </w:rPr>
        <w:t>CÁMARA DE REPRESENTANTES</w:t>
      </w:r>
    </w:p>
    <w:p w14:paraId="1DB8E655" w14:textId="2ED21165" w:rsidR="00A026A8" w:rsidRPr="00F34DAC" w:rsidRDefault="00F34DAC" w:rsidP="00F34DAC">
      <w:pPr>
        <w:spacing w:after="0" w:line="240" w:lineRule="auto"/>
        <w:rPr>
          <w:rFonts w:ascii="Times New Roman" w:eastAsia="Times New Roman" w:hAnsi="Times New Roman"/>
          <w:bCs/>
          <w:i/>
          <w:iCs/>
          <w:sz w:val="24"/>
          <w:szCs w:val="24"/>
        </w:rPr>
      </w:pPr>
      <w:r w:rsidRPr="00F34DAC">
        <w:rPr>
          <w:rFonts w:ascii="Times New Roman" w:eastAsia="Times New Roman" w:hAnsi="Times New Roman"/>
          <w:bCs/>
          <w:i/>
          <w:iCs/>
          <w:sz w:val="24"/>
          <w:szCs w:val="24"/>
        </w:rPr>
        <w:t>Ciudad</w:t>
      </w:r>
    </w:p>
    <w:p w14:paraId="4BF21992" w14:textId="21CBD3A0" w:rsidR="00F34DAC" w:rsidRDefault="00F34DAC" w:rsidP="00F34DAC">
      <w:pPr>
        <w:spacing w:after="0" w:line="240" w:lineRule="auto"/>
        <w:rPr>
          <w:rFonts w:ascii="Times New Roman" w:eastAsia="Times New Roman" w:hAnsi="Times New Roman"/>
          <w:b/>
          <w:sz w:val="24"/>
          <w:szCs w:val="24"/>
        </w:rPr>
      </w:pPr>
    </w:p>
    <w:p w14:paraId="238275F2" w14:textId="77777777" w:rsidR="00F34DAC" w:rsidRDefault="00F34DAC" w:rsidP="00F34DAC">
      <w:pPr>
        <w:spacing w:after="0" w:line="240" w:lineRule="auto"/>
        <w:rPr>
          <w:rFonts w:ascii="Times New Roman" w:eastAsia="Times New Roman" w:hAnsi="Times New Roman"/>
          <w:sz w:val="24"/>
          <w:szCs w:val="24"/>
        </w:rPr>
      </w:pPr>
    </w:p>
    <w:p w14:paraId="59690014" w14:textId="77777777" w:rsidR="00A026A8" w:rsidRDefault="00301297">
      <w:pPr>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b/>
          <w:sz w:val="24"/>
          <w:szCs w:val="24"/>
        </w:rPr>
        <w:t>Asunto</w:t>
      </w:r>
      <w:r>
        <w:rPr>
          <w:rFonts w:ascii="Times New Roman" w:eastAsia="Times New Roman" w:hAnsi="Times New Roman"/>
          <w:sz w:val="24"/>
          <w:szCs w:val="24"/>
        </w:rPr>
        <w:t xml:space="preserve">: Radicación Proyecto de Ley "Por medio de la cual se crea una Estrategia Integral y Oportuna de Atención para garantizar </w:t>
      </w:r>
      <w:r>
        <w:rPr>
          <w:rFonts w:ascii="Times New Roman" w:eastAsia="Times New Roman" w:hAnsi="Times New Roman"/>
          <w:sz w:val="24"/>
          <w:szCs w:val="24"/>
        </w:rPr>
        <w:t>la protección efectiva del derecho a la seguridad e integridad personal de líderes sociales, defensores de derechos humanos y personas objeto de protección”</w:t>
      </w:r>
    </w:p>
    <w:p w14:paraId="2C34D7C2" w14:textId="77777777" w:rsidR="00A026A8" w:rsidRDefault="00A026A8">
      <w:pPr>
        <w:spacing w:after="0" w:line="240" w:lineRule="auto"/>
        <w:rPr>
          <w:rFonts w:ascii="Times New Roman" w:eastAsia="Times New Roman" w:hAnsi="Times New Roman"/>
          <w:sz w:val="24"/>
          <w:szCs w:val="24"/>
        </w:rPr>
      </w:pPr>
      <w:bookmarkStart w:id="0" w:name="_GoBack"/>
      <w:bookmarkEnd w:id="0"/>
    </w:p>
    <w:p w14:paraId="0245F4D0" w14:textId="77777777" w:rsidR="00A026A8" w:rsidRDefault="00301297">
      <w:pPr>
        <w:ind w:right="-93"/>
        <w:jc w:val="both"/>
        <w:rPr>
          <w:rFonts w:ascii="Times New Roman" w:eastAsia="Times New Roman" w:hAnsi="Times New Roman"/>
          <w:sz w:val="24"/>
          <w:szCs w:val="24"/>
        </w:rPr>
      </w:pPr>
      <w:r>
        <w:rPr>
          <w:rFonts w:ascii="Times New Roman" w:eastAsia="Times New Roman" w:hAnsi="Times New Roman"/>
          <w:sz w:val="24"/>
          <w:szCs w:val="24"/>
        </w:rPr>
        <w:t xml:space="preserve">Respetado Secretario,   </w:t>
      </w:r>
    </w:p>
    <w:p w14:paraId="50CD800A" w14:textId="77777777" w:rsidR="00A026A8" w:rsidRDefault="003012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 manera atenta y en virtud de lo dispuesto por los artículos 139 y 140 </w:t>
      </w:r>
      <w:r>
        <w:rPr>
          <w:rFonts w:ascii="Times New Roman" w:eastAsia="Times New Roman" w:hAnsi="Times New Roman"/>
          <w:sz w:val="24"/>
          <w:szCs w:val="24"/>
        </w:rPr>
        <w:t>de la Ley 5 de 1.992, presento ante el Congreso de la República el proyecto de ley "Por medio de la cual se crea una Estrategia Integral y Oportuna de Atención para garantizar la protección efectiva del derecho a la seguridad e integridad personal de líder</w:t>
      </w:r>
      <w:r>
        <w:rPr>
          <w:rFonts w:ascii="Times New Roman" w:eastAsia="Times New Roman" w:hAnsi="Times New Roman"/>
          <w:sz w:val="24"/>
          <w:szCs w:val="24"/>
        </w:rPr>
        <w:t xml:space="preserve">es sociales, defensores de derechos humanos y personas objeto de protección”, iniciativa legislativa que cumple con los requisitos legales de acuerdo con el orden de redacción previstos en el artículo 145 de la precitada ley. </w:t>
      </w:r>
    </w:p>
    <w:p w14:paraId="76B5ED7A" w14:textId="77777777" w:rsidR="00A026A8" w:rsidRDefault="00A026A8">
      <w:pPr>
        <w:spacing w:after="0" w:line="240" w:lineRule="auto"/>
        <w:jc w:val="both"/>
        <w:rPr>
          <w:rFonts w:ascii="Times New Roman" w:eastAsia="Times New Roman" w:hAnsi="Times New Roman"/>
          <w:sz w:val="24"/>
          <w:szCs w:val="24"/>
        </w:rPr>
      </w:pPr>
    </w:p>
    <w:p w14:paraId="3C645D1A" w14:textId="77777777" w:rsidR="00A026A8" w:rsidRDefault="00301297">
      <w:pPr>
        <w:jc w:val="both"/>
        <w:rPr>
          <w:rFonts w:ascii="Times New Roman" w:eastAsia="Times New Roman" w:hAnsi="Times New Roman"/>
          <w:sz w:val="24"/>
          <w:szCs w:val="24"/>
        </w:rPr>
      </w:pPr>
      <w:r>
        <w:rPr>
          <w:rFonts w:ascii="Times New Roman" w:eastAsia="Times New Roman" w:hAnsi="Times New Roman"/>
          <w:sz w:val="24"/>
          <w:szCs w:val="24"/>
        </w:rPr>
        <w:t>Solicito al señor Secretario</w:t>
      </w:r>
      <w:r>
        <w:rPr>
          <w:rFonts w:ascii="Times New Roman" w:eastAsia="Times New Roman" w:hAnsi="Times New Roman"/>
          <w:sz w:val="24"/>
          <w:szCs w:val="24"/>
        </w:rPr>
        <w:t xml:space="preserve"> se sirva a darle el trámite legislativo previsto en el artículo 144 de la Ley 5 de 1.992. </w:t>
      </w:r>
    </w:p>
    <w:p w14:paraId="71548AFB" w14:textId="77777777" w:rsidR="00A026A8" w:rsidRDefault="00301297">
      <w:pPr>
        <w:spacing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Cordialmente, </w:t>
      </w:r>
    </w:p>
    <w:tbl>
      <w:tblPr>
        <w:tblStyle w:val="a1"/>
        <w:tblW w:w="8813" w:type="dxa"/>
        <w:tblInd w:w="15" w:type="dxa"/>
        <w:tblLayout w:type="fixed"/>
        <w:tblLook w:val="0400" w:firstRow="0" w:lastRow="0" w:firstColumn="0" w:lastColumn="0" w:noHBand="0" w:noVBand="1"/>
      </w:tblPr>
      <w:tblGrid>
        <w:gridCol w:w="4408"/>
        <w:gridCol w:w="4405"/>
      </w:tblGrid>
      <w:tr w:rsidR="00A026A8" w14:paraId="22CCE35E" w14:textId="77777777" w:rsidTr="009D1626">
        <w:tc>
          <w:tcPr>
            <w:tcW w:w="4408" w:type="dxa"/>
          </w:tcPr>
          <w:p w14:paraId="5364A589" w14:textId="77777777" w:rsidR="00A026A8" w:rsidRDefault="00A026A8">
            <w:pPr>
              <w:pStyle w:val="Ttulo1"/>
              <w:ind w:firstLine="15"/>
              <w:jc w:val="left"/>
              <w:outlineLvl w:val="0"/>
            </w:pPr>
          </w:p>
          <w:p w14:paraId="572F5767" w14:textId="77777777" w:rsidR="00A026A8" w:rsidRDefault="00301297">
            <w:pPr>
              <w:spacing w:after="0"/>
              <w:rPr>
                <w:rFonts w:ascii="Times New Roman" w:eastAsia="Times New Roman" w:hAnsi="Times New Roman"/>
                <w:color w:val="000000"/>
                <w:sz w:val="24"/>
                <w:szCs w:val="24"/>
              </w:rPr>
            </w:pPr>
            <w:r>
              <w:rPr>
                <w:rFonts w:ascii="Times New Roman" w:eastAsia="Times New Roman" w:hAnsi="Times New Roman"/>
                <w:noProof/>
                <w:sz w:val="24"/>
                <w:szCs w:val="24"/>
              </w:rPr>
              <w:drawing>
                <wp:inline distT="114300" distB="114300" distL="114300" distR="114300" wp14:anchorId="2684CBCA" wp14:editId="4F8AD1A2">
                  <wp:extent cx="2495550" cy="1228725"/>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495550" cy="1228725"/>
                          </a:xfrm>
                          <a:prstGeom prst="rect">
                            <a:avLst/>
                          </a:prstGeom>
                          <a:ln/>
                        </pic:spPr>
                      </pic:pic>
                    </a:graphicData>
                  </a:graphic>
                </wp:inline>
              </w:drawing>
            </w:r>
          </w:p>
        </w:tc>
        <w:tc>
          <w:tcPr>
            <w:tcW w:w="4405" w:type="dxa"/>
          </w:tcPr>
          <w:p w14:paraId="4E38F411" w14:textId="77777777" w:rsidR="00A026A8" w:rsidRDefault="00A026A8">
            <w:pPr>
              <w:spacing w:after="0"/>
              <w:rPr>
                <w:rFonts w:ascii="Times New Roman" w:eastAsia="Times New Roman" w:hAnsi="Times New Roman"/>
                <w:color w:val="000000"/>
                <w:sz w:val="24"/>
                <w:szCs w:val="24"/>
              </w:rPr>
            </w:pPr>
          </w:p>
          <w:p w14:paraId="79F80E5C" w14:textId="77777777" w:rsidR="00A026A8" w:rsidRDefault="00301297">
            <w:pPr>
              <w:spacing w:after="0" w:line="276" w:lineRule="auto"/>
              <w:jc w:val="both"/>
              <w:rPr>
                <w:rFonts w:ascii="Arial" w:eastAsia="Arial" w:hAnsi="Arial" w:cs="Arial"/>
                <w:b/>
                <w:sz w:val="22"/>
                <w:szCs w:val="22"/>
              </w:rPr>
            </w:pPr>
            <w:r>
              <w:rPr>
                <w:rFonts w:ascii="Arial" w:eastAsia="Arial" w:hAnsi="Arial" w:cs="Arial"/>
                <w:b/>
                <w:noProof/>
              </w:rPr>
              <w:drawing>
                <wp:inline distT="114300" distB="114300" distL="114300" distR="114300" wp14:anchorId="1B99181C" wp14:editId="5B3E9EFF">
                  <wp:extent cx="2667000" cy="8763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667000" cy="876300"/>
                          </a:xfrm>
                          <a:prstGeom prst="rect">
                            <a:avLst/>
                          </a:prstGeom>
                          <a:ln/>
                        </pic:spPr>
                      </pic:pic>
                    </a:graphicData>
                  </a:graphic>
                </wp:inline>
              </w:drawing>
            </w:r>
          </w:p>
          <w:p w14:paraId="3C4BC5A0" w14:textId="77777777" w:rsidR="00A026A8" w:rsidRDefault="00301297">
            <w:pPr>
              <w:spacing w:after="0" w:line="276" w:lineRule="auto"/>
              <w:jc w:val="center"/>
              <w:rPr>
                <w:rFonts w:ascii="Arial" w:eastAsia="Arial" w:hAnsi="Arial" w:cs="Arial"/>
                <w:b/>
                <w:sz w:val="22"/>
                <w:szCs w:val="22"/>
              </w:rPr>
            </w:pPr>
            <w:r>
              <w:rPr>
                <w:rFonts w:ascii="Arial" w:eastAsia="Arial" w:hAnsi="Arial" w:cs="Arial"/>
                <w:b/>
                <w:sz w:val="22"/>
                <w:szCs w:val="22"/>
              </w:rPr>
              <w:t>PALOMA VALENCIA LASERNA</w:t>
            </w:r>
          </w:p>
          <w:p w14:paraId="41E95BAC" w14:textId="77777777" w:rsidR="00A026A8" w:rsidRDefault="00301297">
            <w:pPr>
              <w:spacing w:after="0"/>
              <w:jc w:val="center"/>
              <w:rPr>
                <w:rFonts w:ascii="Arial" w:eastAsia="Arial" w:hAnsi="Arial" w:cs="Arial"/>
                <w:b/>
                <w:sz w:val="22"/>
                <w:szCs w:val="22"/>
              </w:rPr>
            </w:pPr>
            <w:r>
              <w:rPr>
                <w:rFonts w:ascii="Arial" w:eastAsia="Arial" w:hAnsi="Arial" w:cs="Arial"/>
                <w:sz w:val="22"/>
                <w:szCs w:val="22"/>
              </w:rPr>
              <w:t>Senadora de la República</w:t>
            </w:r>
          </w:p>
          <w:p w14:paraId="306EB971" w14:textId="77777777" w:rsidR="00A026A8" w:rsidRDefault="00A026A8">
            <w:pPr>
              <w:spacing w:after="0"/>
              <w:jc w:val="center"/>
              <w:rPr>
                <w:rFonts w:ascii="Times New Roman" w:eastAsia="Times New Roman" w:hAnsi="Times New Roman"/>
                <w:sz w:val="24"/>
                <w:szCs w:val="24"/>
              </w:rPr>
            </w:pPr>
          </w:p>
        </w:tc>
      </w:tr>
      <w:tr w:rsidR="00A026A8" w14:paraId="7725EC33" w14:textId="77777777" w:rsidTr="009D1626">
        <w:tc>
          <w:tcPr>
            <w:tcW w:w="4408" w:type="dxa"/>
          </w:tcPr>
          <w:p w14:paraId="293B5348" w14:textId="77777777" w:rsidR="00A026A8" w:rsidRDefault="00301297">
            <w:pPr>
              <w:spacing w:after="0"/>
              <w:jc w:val="center"/>
            </w:pPr>
            <w:r>
              <w:rPr>
                <w:rFonts w:ascii="Times New Roman" w:eastAsia="Times New Roman" w:hAnsi="Times New Roman"/>
                <w:noProof/>
                <w:sz w:val="24"/>
                <w:szCs w:val="24"/>
              </w:rPr>
              <w:drawing>
                <wp:inline distT="114300" distB="114300" distL="114300" distR="114300" wp14:anchorId="0C6678A7" wp14:editId="522F543E">
                  <wp:extent cx="2028825" cy="14478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28825" cy="1447800"/>
                          </a:xfrm>
                          <a:prstGeom prst="rect">
                            <a:avLst/>
                          </a:prstGeom>
                          <a:ln/>
                        </pic:spPr>
                      </pic:pic>
                    </a:graphicData>
                  </a:graphic>
                </wp:inline>
              </w:drawing>
            </w:r>
          </w:p>
        </w:tc>
        <w:tc>
          <w:tcPr>
            <w:tcW w:w="4405" w:type="dxa"/>
          </w:tcPr>
          <w:p w14:paraId="63F6CB98"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7CBFA37D" wp14:editId="5EEFF1DD">
                  <wp:extent cx="1143000" cy="847725"/>
                  <wp:effectExtent l="0" t="0" r="0" b="0"/>
                  <wp:docPr id="3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143000" cy="847725"/>
                          </a:xfrm>
                          <a:prstGeom prst="rect">
                            <a:avLst/>
                          </a:prstGeom>
                          <a:ln/>
                        </pic:spPr>
                      </pic:pic>
                    </a:graphicData>
                  </a:graphic>
                </wp:inline>
              </w:drawing>
            </w:r>
          </w:p>
          <w:p w14:paraId="0DED6947" w14:textId="77777777" w:rsidR="00A026A8" w:rsidRDefault="00301297">
            <w:pPr>
              <w:spacing w:after="0"/>
              <w:jc w:val="center"/>
              <w:rPr>
                <w:rFonts w:ascii="Arial" w:eastAsia="Arial" w:hAnsi="Arial" w:cs="Arial"/>
                <w:b/>
                <w:sz w:val="22"/>
                <w:szCs w:val="22"/>
              </w:rPr>
            </w:pPr>
            <w:r>
              <w:rPr>
                <w:rFonts w:ascii="Times New Roman" w:eastAsia="Times New Roman" w:hAnsi="Times New Roman"/>
                <w:b/>
                <w:sz w:val="24"/>
                <w:szCs w:val="24"/>
              </w:rPr>
              <w:t>P</w:t>
            </w:r>
            <w:r>
              <w:rPr>
                <w:rFonts w:ascii="Arial" w:eastAsia="Arial" w:hAnsi="Arial" w:cs="Arial"/>
                <w:b/>
                <w:sz w:val="22"/>
                <w:szCs w:val="22"/>
              </w:rPr>
              <w:t xml:space="preserve">AOLA HOLGUÍN MORENO </w:t>
            </w:r>
          </w:p>
          <w:p w14:paraId="67EC8136" w14:textId="77777777" w:rsidR="00A026A8" w:rsidRDefault="00301297">
            <w:pPr>
              <w:spacing w:after="0"/>
              <w:jc w:val="center"/>
              <w:rPr>
                <w:rFonts w:ascii="Times New Roman" w:eastAsia="Times New Roman" w:hAnsi="Times New Roman"/>
                <w:sz w:val="24"/>
                <w:szCs w:val="24"/>
              </w:rPr>
            </w:pPr>
            <w:r>
              <w:rPr>
                <w:rFonts w:ascii="Arial" w:eastAsia="Arial" w:hAnsi="Arial" w:cs="Arial"/>
                <w:sz w:val="22"/>
                <w:szCs w:val="22"/>
              </w:rPr>
              <w:t xml:space="preserve">Senadora de la República </w:t>
            </w:r>
          </w:p>
        </w:tc>
      </w:tr>
      <w:tr w:rsidR="00A026A8" w14:paraId="7F8018B4" w14:textId="77777777" w:rsidTr="009D1626">
        <w:tc>
          <w:tcPr>
            <w:tcW w:w="4408" w:type="dxa"/>
          </w:tcPr>
          <w:p w14:paraId="04E35CD6"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noProof/>
                <w:sz w:val="24"/>
                <w:szCs w:val="24"/>
              </w:rPr>
              <w:lastRenderedPageBreak/>
              <w:drawing>
                <wp:inline distT="114300" distB="114300" distL="114300" distR="114300" wp14:anchorId="361E8413" wp14:editId="4BBDB01B">
                  <wp:extent cx="2343150" cy="1144905"/>
                  <wp:effectExtent l="0" t="0" r="0" b="0"/>
                  <wp:docPr id="16"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2"/>
                          <a:srcRect/>
                          <a:stretch>
                            <a:fillRect/>
                          </a:stretch>
                        </pic:blipFill>
                        <pic:spPr>
                          <a:xfrm>
                            <a:off x="0" y="0"/>
                            <a:ext cx="2343150" cy="1144905"/>
                          </a:xfrm>
                          <a:prstGeom prst="rect">
                            <a:avLst/>
                          </a:prstGeom>
                          <a:ln/>
                        </pic:spPr>
                      </pic:pic>
                    </a:graphicData>
                  </a:graphic>
                </wp:inline>
              </w:drawing>
            </w:r>
          </w:p>
          <w:p w14:paraId="216D3E68"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 xml:space="preserve">CARLOS EDWARD OSORIO </w:t>
            </w:r>
          </w:p>
          <w:p w14:paraId="76FFEC40" w14:textId="77777777" w:rsidR="00A026A8" w:rsidRDefault="00301297">
            <w:pPr>
              <w:spacing w:after="0"/>
            </w:pPr>
            <w:r>
              <w:rPr>
                <w:rFonts w:ascii="Times New Roman" w:eastAsia="Times New Roman" w:hAnsi="Times New Roman"/>
                <w:sz w:val="24"/>
                <w:szCs w:val="24"/>
              </w:rPr>
              <w:t>Representante a</w:t>
            </w:r>
            <w:r>
              <w:rPr>
                <w:rFonts w:ascii="Times New Roman" w:eastAsia="Times New Roman" w:hAnsi="Times New Roman"/>
                <w:sz w:val="24"/>
                <w:szCs w:val="24"/>
              </w:rPr>
              <w:t xml:space="preserve"> la Cámara</w:t>
            </w:r>
          </w:p>
        </w:tc>
        <w:tc>
          <w:tcPr>
            <w:tcW w:w="4405" w:type="dxa"/>
          </w:tcPr>
          <w:p w14:paraId="53175699" w14:textId="77777777" w:rsidR="00A026A8" w:rsidRDefault="00A026A8">
            <w:pPr>
              <w:spacing w:after="0"/>
              <w:rPr>
                <w:rFonts w:ascii="Times New Roman" w:eastAsia="Times New Roman" w:hAnsi="Times New Roman"/>
                <w:sz w:val="24"/>
                <w:szCs w:val="24"/>
              </w:rPr>
            </w:pPr>
          </w:p>
          <w:p w14:paraId="41621575"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4719E888" wp14:editId="47FA7263">
                  <wp:extent cx="2667000" cy="685800"/>
                  <wp:effectExtent l="0" t="0" r="0" b="0"/>
                  <wp:docPr id="4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2667000" cy="685800"/>
                          </a:xfrm>
                          <a:prstGeom prst="rect">
                            <a:avLst/>
                          </a:prstGeom>
                          <a:ln/>
                        </pic:spPr>
                      </pic:pic>
                    </a:graphicData>
                  </a:graphic>
                </wp:inline>
              </w:drawing>
            </w:r>
          </w:p>
          <w:p w14:paraId="6ADDF63A" w14:textId="77777777" w:rsidR="00A026A8" w:rsidRDefault="00301297">
            <w:pPr>
              <w:spacing w:after="0" w:line="256" w:lineRule="auto"/>
              <w:jc w:val="both"/>
              <w:rPr>
                <w:rFonts w:ascii="Times New Roman" w:eastAsia="Times New Roman" w:hAnsi="Times New Roman"/>
                <w:b/>
                <w:sz w:val="24"/>
                <w:szCs w:val="24"/>
              </w:rPr>
            </w:pPr>
            <w:r>
              <w:rPr>
                <w:rFonts w:ascii="Times New Roman" w:eastAsia="Times New Roman" w:hAnsi="Times New Roman"/>
                <w:b/>
                <w:sz w:val="24"/>
                <w:szCs w:val="24"/>
              </w:rPr>
              <w:t>MARIA FERNANDA CABAL MOLINA</w:t>
            </w:r>
          </w:p>
          <w:p w14:paraId="603C0F45" w14:textId="77777777" w:rsidR="00A026A8" w:rsidRDefault="00301297">
            <w:pPr>
              <w:spacing w:after="0" w:line="256" w:lineRule="auto"/>
              <w:jc w:val="both"/>
              <w:rPr>
                <w:rFonts w:ascii="Times New Roman" w:eastAsia="Times New Roman" w:hAnsi="Times New Roman"/>
                <w:sz w:val="24"/>
                <w:szCs w:val="24"/>
              </w:rPr>
            </w:pPr>
            <w:r>
              <w:rPr>
                <w:rFonts w:ascii="Times New Roman" w:eastAsia="Times New Roman" w:hAnsi="Times New Roman"/>
                <w:sz w:val="24"/>
                <w:szCs w:val="24"/>
              </w:rPr>
              <w:t>Senadora de la República de Colombia</w:t>
            </w:r>
          </w:p>
          <w:p w14:paraId="7B22C22C" w14:textId="77777777" w:rsidR="00A026A8" w:rsidRDefault="00A026A8">
            <w:pPr>
              <w:spacing w:after="0"/>
              <w:rPr>
                <w:rFonts w:ascii="Times New Roman" w:eastAsia="Times New Roman" w:hAnsi="Times New Roman"/>
                <w:sz w:val="24"/>
                <w:szCs w:val="24"/>
              </w:rPr>
            </w:pPr>
          </w:p>
        </w:tc>
      </w:tr>
      <w:tr w:rsidR="00A026A8" w14:paraId="1A801102" w14:textId="77777777" w:rsidTr="009D1626">
        <w:trPr>
          <w:trHeight w:val="226"/>
        </w:trPr>
        <w:tc>
          <w:tcPr>
            <w:tcW w:w="4408" w:type="dxa"/>
          </w:tcPr>
          <w:p w14:paraId="7040A201"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6E0316A8" wp14:editId="07890AF1">
                  <wp:extent cx="1447800" cy="935886"/>
                  <wp:effectExtent l="0" t="0" r="0" b="0"/>
                  <wp:docPr id="5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447800" cy="935886"/>
                          </a:xfrm>
                          <a:prstGeom prst="rect">
                            <a:avLst/>
                          </a:prstGeom>
                          <a:ln/>
                        </pic:spPr>
                      </pic:pic>
                    </a:graphicData>
                  </a:graphic>
                </wp:inline>
              </w:drawing>
            </w:r>
          </w:p>
          <w:p w14:paraId="7A9400DD" w14:textId="77777777" w:rsidR="00A026A8" w:rsidRDefault="00301297">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ANDRÉS GUERRA </w:t>
            </w:r>
          </w:p>
          <w:p w14:paraId="1AF20BE8"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sz w:val="24"/>
                <w:szCs w:val="24"/>
              </w:rPr>
              <w:t>Senador de la República</w:t>
            </w:r>
          </w:p>
        </w:tc>
        <w:tc>
          <w:tcPr>
            <w:tcW w:w="4405" w:type="dxa"/>
          </w:tcPr>
          <w:p w14:paraId="52BF933B" w14:textId="77777777" w:rsidR="00A026A8" w:rsidRDefault="00301297">
            <w:pPr>
              <w:spacing w:after="0"/>
              <w:rPr>
                <w:rFonts w:ascii="Times New Roman" w:eastAsia="Times New Roman" w:hAnsi="Times New Roman"/>
                <w:color w:val="000000"/>
                <w:sz w:val="24"/>
                <w:szCs w:val="24"/>
              </w:rPr>
            </w:pPr>
            <w:r>
              <w:rPr>
                <w:rFonts w:ascii="Times New Roman" w:eastAsia="Times New Roman" w:hAnsi="Times New Roman"/>
                <w:noProof/>
                <w:sz w:val="24"/>
                <w:szCs w:val="24"/>
              </w:rPr>
              <w:drawing>
                <wp:inline distT="114300" distB="114300" distL="114300" distR="114300" wp14:anchorId="2F758636" wp14:editId="4AAA841B">
                  <wp:extent cx="2667000" cy="1524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667000" cy="1524000"/>
                          </a:xfrm>
                          <a:prstGeom prst="rect">
                            <a:avLst/>
                          </a:prstGeom>
                          <a:ln/>
                        </pic:spPr>
                      </pic:pic>
                    </a:graphicData>
                  </a:graphic>
                </wp:inline>
              </w:drawing>
            </w:r>
          </w:p>
        </w:tc>
      </w:tr>
      <w:tr w:rsidR="00A026A8" w14:paraId="179537D8" w14:textId="77777777" w:rsidTr="009D1626">
        <w:tc>
          <w:tcPr>
            <w:tcW w:w="4408" w:type="dxa"/>
          </w:tcPr>
          <w:p w14:paraId="3E1933A6"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0A9AEC62" wp14:editId="746B26A4">
                  <wp:extent cx="2667000" cy="660400"/>
                  <wp:effectExtent l="0" t="0" r="0" b="0"/>
                  <wp:docPr id="6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667000" cy="660400"/>
                          </a:xfrm>
                          <a:prstGeom prst="rect">
                            <a:avLst/>
                          </a:prstGeom>
                          <a:ln/>
                        </pic:spPr>
                      </pic:pic>
                    </a:graphicData>
                  </a:graphic>
                </wp:inline>
              </w:drawing>
            </w:r>
          </w:p>
          <w:p w14:paraId="67DF2A70"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ENRIQUE CABRALES BAQUERO</w:t>
            </w:r>
          </w:p>
          <w:p w14:paraId="776C014C" w14:textId="77777777" w:rsidR="00A026A8" w:rsidRDefault="00301297">
            <w:pPr>
              <w:spacing w:after="0"/>
              <w:rPr>
                <w:rFonts w:ascii="Arial" w:eastAsia="Arial" w:hAnsi="Arial" w:cs="Arial"/>
                <w:sz w:val="22"/>
                <w:szCs w:val="22"/>
              </w:rPr>
            </w:pPr>
            <w:r>
              <w:rPr>
                <w:rFonts w:ascii="Times New Roman" w:eastAsia="Times New Roman" w:hAnsi="Times New Roman"/>
                <w:sz w:val="24"/>
                <w:szCs w:val="24"/>
              </w:rPr>
              <w:t>Senador de la República</w:t>
            </w:r>
          </w:p>
        </w:tc>
        <w:tc>
          <w:tcPr>
            <w:tcW w:w="4405" w:type="dxa"/>
          </w:tcPr>
          <w:p w14:paraId="057AAF0F" w14:textId="77777777" w:rsidR="00A026A8" w:rsidRDefault="00A026A8">
            <w:pPr>
              <w:spacing w:after="0" w:line="256" w:lineRule="auto"/>
              <w:jc w:val="both"/>
              <w:rPr>
                <w:rFonts w:ascii="Times New Roman" w:eastAsia="Times New Roman" w:hAnsi="Times New Roman"/>
                <w:sz w:val="24"/>
                <w:szCs w:val="24"/>
              </w:rPr>
            </w:pPr>
          </w:p>
          <w:p w14:paraId="4E9A7C09"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4DB666E0" wp14:editId="69957E9B">
                  <wp:extent cx="2567087" cy="1368306"/>
                  <wp:effectExtent l="0" t="0" r="0" b="0"/>
                  <wp:docPr id="45"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7"/>
                          <a:srcRect r="24428" b="32243"/>
                          <a:stretch>
                            <a:fillRect/>
                          </a:stretch>
                        </pic:blipFill>
                        <pic:spPr>
                          <a:xfrm>
                            <a:off x="0" y="0"/>
                            <a:ext cx="2567087" cy="1368306"/>
                          </a:xfrm>
                          <a:prstGeom prst="rect">
                            <a:avLst/>
                          </a:prstGeom>
                          <a:ln/>
                        </pic:spPr>
                      </pic:pic>
                    </a:graphicData>
                  </a:graphic>
                </wp:inline>
              </w:drawing>
            </w:r>
          </w:p>
        </w:tc>
      </w:tr>
      <w:tr w:rsidR="00A026A8" w14:paraId="5F289826" w14:textId="77777777" w:rsidTr="009D1626">
        <w:tc>
          <w:tcPr>
            <w:tcW w:w="4408" w:type="dxa"/>
          </w:tcPr>
          <w:p w14:paraId="528C1363" w14:textId="77777777" w:rsidR="00A026A8" w:rsidRDefault="00301297">
            <w:pPr>
              <w:widowControl/>
              <w:spacing w:after="0" w:line="259" w:lineRule="auto"/>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w:drawing>
                <wp:inline distT="114300" distB="114300" distL="114300" distR="114300" wp14:anchorId="2726FB58" wp14:editId="1D851C30">
                  <wp:extent cx="2656523" cy="985200"/>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6523" cy="985200"/>
                          </a:xfrm>
                          <a:prstGeom prst="rect">
                            <a:avLst/>
                          </a:prstGeom>
                          <a:ln/>
                        </pic:spPr>
                      </pic:pic>
                    </a:graphicData>
                  </a:graphic>
                </wp:inline>
              </w:drawing>
            </w:r>
          </w:p>
          <w:p w14:paraId="62D0A676" w14:textId="77777777" w:rsidR="00A026A8" w:rsidRDefault="00301297">
            <w:pPr>
              <w:widowControl/>
              <w:spacing w:after="0" w:line="259" w:lineRule="auto"/>
              <w:jc w:val="center"/>
              <w:rPr>
                <w:rFonts w:ascii="Arial" w:eastAsia="Arial" w:hAnsi="Arial" w:cs="Arial"/>
                <w:b/>
                <w:sz w:val="22"/>
                <w:szCs w:val="22"/>
              </w:rPr>
            </w:pPr>
            <w:r>
              <w:rPr>
                <w:rFonts w:ascii="Arial" w:eastAsia="Arial" w:hAnsi="Arial" w:cs="Arial"/>
                <w:b/>
                <w:sz w:val="22"/>
                <w:szCs w:val="22"/>
              </w:rPr>
              <w:t>HERNÁN DARÍO CADAVID MÁRQUEZ</w:t>
            </w:r>
          </w:p>
          <w:p w14:paraId="798EF37A" w14:textId="77777777" w:rsidR="00A026A8" w:rsidRDefault="00301297">
            <w:pPr>
              <w:widowControl/>
              <w:spacing w:after="0" w:line="259" w:lineRule="auto"/>
              <w:jc w:val="center"/>
              <w:rPr>
                <w:rFonts w:ascii="Times New Roman" w:eastAsia="Times New Roman" w:hAnsi="Times New Roman"/>
                <w:sz w:val="24"/>
                <w:szCs w:val="24"/>
              </w:rPr>
            </w:pPr>
            <w:r>
              <w:rPr>
                <w:rFonts w:ascii="Arial" w:eastAsia="Arial" w:hAnsi="Arial" w:cs="Arial"/>
                <w:b/>
                <w:sz w:val="22"/>
                <w:szCs w:val="22"/>
              </w:rPr>
              <w:t>Representante a la Cámara</w:t>
            </w:r>
          </w:p>
        </w:tc>
        <w:tc>
          <w:tcPr>
            <w:tcW w:w="4405" w:type="dxa"/>
          </w:tcPr>
          <w:p w14:paraId="7C1F7DC3" w14:textId="77777777" w:rsidR="00A026A8" w:rsidRDefault="00301297">
            <w:pPr>
              <w:widowControl/>
              <w:spacing w:after="0"/>
              <w:jc w:val="both"/>
              <w:rPr>
                <w:rFonts w:ascii="Times New Roman" w:eastAsia="Times New Roman" w:hAnsi="Times New Roman"/>
                <w:color w:val="000000"/>
                <w:sz w:val="24"/>
                <w:szCs w:val="24"/>
              </w:rPr>
            </w:pPr>
            <w:r>
              <w:rPr>
                <w:rFonts w:ascii="Arial" w:eastAsia="Arial" w:hAnsi="Arial" w:cs="Arial"/>
                <w:noProof/>
                <w:sz w:val="24"/>
                <w:szCs w:val="24"/>
              </w:rPr>
              <w:drawing>
                <wp:inline distT="114300" distB="114300" distL="114300" distR="114300" wp14:anchorId="16972047" wp14:editId="3EBDF82B">
                  <wp:extent cx="2647520" cy="996097"/>
                  <wp:effectExtent l="0" t="0" r="0" b="0"/>
                  <wp:docPr id="3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2647520" cy="996097"/>
                          </a:xfrm>
                          <a:prstGeom prst="rect">
                            <a:avLst/>
                          </a:prstGeom>
                          <a:ln/>
                        </pic:spPr>
                      </pic:pic>
                    </a:graphicData>
                  </a:graphic>
                </wp:inline>
              </w:drawing>
            </w:r>
          </w:p>
        </w:tc>
      </w:tr>
      <w:tr w:rsidR="00A026A8" w14:paraId="2E7946E0" w14:textId="77777777" w:rsidTr="009D1626">
        <w:tc>
          <w:tcPr>
            <w:tcW w:w="4408" w:type="dxa"/>
          </w:tcPr>
          <w:p w14:paraId="3361E2D1" w14:textId="77777777" w:rsidR="00A026A8" w:rsidRDefault="00301297">
            <w:pPr>
              <w:spacing w:before="240" w:after="0"/>
              <w:jc w:val="center"/>
              <w:rPr>
                <w:rFonts w:ascii="Bookman Old Style" w:eastAsia="Bookman Old Style" w:hAnsi="Bookman Old Style" w:cs="Bookman Old Style"/>
                <w:b/>
              </w:rPr>
            </w:pPr>
            <w:r>
              <w:rPr>
                <w:rFonts w:ascii="Bookman Old Style" w:eastAsia="Bookman Old Style" w:hAnsi="Bookman Old Style" w:cs="Bookman Old Style"/>
                <w:b/>
                <w:noProof/>
              </w:rPr>
              <w:drawing>
                <wp:inline distT="114300" distB="114300" distL="114300" distR="114300" wp14:anchorId="18E66230" wp14:editId="595199BD">
                  <wp:extent cx="1967865" cy="817814"/>
                  <wp:effectExtent l="0" t="0" r="0" b="0"/>
                  <wp:docPr id="4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967865" cy="817814"/>
                          </a:xfrm>
                          <a:prstGeom prst="rect">
                            <a:avLst/>
                          </a:prstGeom>
                          <a:ln/>
                        </pic:spPr>
                      </pic:pic>
                    </a:graphicData>
                  </a:graphic>
                </wp:inline>
              </w:drawing>
            </w:r>
          </w:p>
          <w:p w14:paraId="4D472CD0" w14:textId="77777777" w:rsidR="00A026A8" w:rsidRDefault="00301297">
            <w:pPr>
              <w:spacing w:after="0"/>
              <w:jc w:val="center"/>
              <w:rPr>
                <w:rFonts w:ascii="Bookman Old Style" w:eastAsia="Bookman Old Style" w:hAnsi="Bookman Old Style" w:cs="Bookman Old Style"/>
                <w:b/>
              </w:rPr>
            </w:pPr>
            <w:r>
              <w:rPr>
                <w:rFonts w:ascii="Bookman Old Style" w:eastAsia="Bookman Old Style" w:hAnsi="Bookman Old Style" w:cs="Bookman Old Style"/>
                <w:b/>
              </w:rPr>
              <w:t xml:space="preserve">EDINSON </w:t>
            </w:r>
            <w:r>
              <w:rPr>
                <w:rFonts w:ascii="Bookman Old Style" w:eastAsia="Bookman Old Style" w:hAnsi="Bookman Old Style" w:cs="Bookman Old Style"/>
                <w:b/>
              </w:rPr>
              <w:t>VLADIMIR OLAYA MANCIPE</w:t>
            </w:r>
          </w:p>
          <w:p w14:paraId="3E8F0CF1" w14:textId="77777777" w:rsidR="00A026A8" w:rsidRDefault="00301297">
            <w:pPr>
              <w:spacing w:after="0"/>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Casanare</w:t>
            </w:r>
          </w:p>
          <w:p w14:paraId="10F04A2D" w14:textId="77777777" w:rsidR="00A026A8" w:rsidRDefault="00301297">
            <w:pPr>
              <w:spacing w:after="0"/>
              <w:jc w:val="center"/>
              <w:rPr>
                <w:rFonts w:ascii="Bookman Old Style" w:eastAsia="Bookman Old Style" w:hAnsi="Bookman Old Style" w:cs="Bookman Old Style"/>
              </w:rPr>
            </w:pPr>
            <w:r>
              <w:rPr>
                <w:rFonts w:ascii="Bookman Old Style" w:eastAsia="Bookman Old Style" w:hAnsi="Bookman Old Style" w:cs="Bookman Old Style"/>
              </w:rPr>
              <w:t>Partido Centro Democrático</w:t>
            </w:r>
          </w:p>
          <w:p w14:paraId="6D5A64E8" w14:textId="77777777" w:rsidR="00A026A8" w:rsidRDefault="00A026A8">
            <w:pPr>
              <w:widowControl/>
              <w:spacing w:after="0" w:line="259" w:lineRule="auto"/>
              <w:jc w:val="center"/>
              <w:rPr>
                <w:rFonts w:ascii="Arial" w:eastAsia="Arial" w:hAnsi="Arial" w:cs="Arial"/>
                <w:b/>
                <w:sz w:val="22"/>
                <w:szCs w:val="22"/>
              </w:rPr>
            </w:pPr>
          </w:p>
        </w:tc>
        <w:tc>
          <w:tcPr>
            <w:tcW w:w="4405" w:type="dxa"/>
          </w:tcPr>
          <w:p w14:paraId="3FDDF9D7"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2A83BA62" wp14:editId="1A920976">
                  <wp:extent cx="2048827" cy="124679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2048827" cy="1246795"/>
                          </a:xfrm>
                          <a:prstGeom prst="rect">
                            <a:avLst/>
                          </a:prstGeom>
                          <a:ln/>
                        </pic:spPr>
                      </pic:pic>
                    </a:graphicData>
                  </a:graphic>
                </wp:inline>
              </w:drawing>
            </w:r>
          </w:p>
          <w:p w14:paraId="41C673C3" w14:textId="77777777" w:rsidR="00A026A8" w:rsidRDefault="00301297">
            <w:pPr>
              <w:spacing w:after="0"/>
              <w:jc w:val="center"/>
              <w:rPr>
                <w:rFonts w:ascii="Times New Roman" w:eastAsia="Times New Roman" w:hAnsi="Times New Roman"/>
                <w:b/>
                <w:sz w:val="24"/>
                <w:szCs w:val="24"/>
              </w:rPr>
            </w:pPr>
            <w:r>
              <w:rPr>
                <w:rFonts w:ascii="Times New Roman" w:eastAsia="Times New Roman" w:hAnsi="Times New Roman"/>
                <w:b/>
                <w:sz w:val="24"/>
                <w:szCs w:val="24"/>
              </w:rPr>
              <w:t>José Jaime Uscátegui Pastrana</w:t>
            </w:r>
          </w:p>
          <w:p w14:paraId="7553E4B1"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sz w:val="24"/>
                <w:szCs w:val="24"/>
              </w:rPr>
              <w:t>Representante a la Cámara por Bogotá D.C. Centro Democrático</w:t>
            </w:r>
          </w:p>
        </w:tc>
      </w:tr>
      <w:tr w:rsidR="00A026A8" w14:paraId="16891AD3" w14:textId="77777777" w:rsidTr="009D1626">
        <w:trPr>
          <w:trHeight w:val="3226"/>
        </w:trPr>
        <w:tc>
          <w:tcPr>
            <w:tcW w:w="4408" w:type="dxa"/>
          </w:tcPr>
          <w:p w14:paraId="7DA0BA7D" w14:textId="77777777" w:rsidR="00A026A8" w:rsidRDefault="00A026A8">
            <w:pPr>
              <w:spacing w:after="0"/>
              <w:rPr>
                <w:rFonts w:ascii="Times New Roman" w:eastAsia="Times New Roman" w:hAnsi="Times New Roman"/>
                <w:sz w:val="24"/>
                <w:szCs w:val="24"/>
              </w:rPr>
            </w:pPr>
          </w:p>
          <w:p w14:paraId="1A1F59AE"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noProof/>
                <w:sz w:val="24"/>
                <w:szCs w:val="24"/>
              </w:rPr>
              <w:drawing>
                <wp:inline distT="114300" distB="114300" distL="114300" distR="114300" wp14:anchorId="6F81AEC2" wp14:editId="5D1A3FD6">
                  <wp:extent cx="1982153" cy="1118957"/>
                  <wp:effectExtent l="0" t="0" r="0" b="0"/>
                  <wp:docPr id="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1982153" cy="1118957"/>
                          </a:xfrm>
                          <a:prstGeom prst="rect">
                            <a:avLst/>
                          </a:prstGeom>
                          <a:ln/>
                        </pic:spPr>
                      </pic:pic>
                    </a:graphicData>
                  </a:graphic>
                </wp:inline>
              </w:drawing>
            </w:r>
          </w:p>
          <w:p w14:paraId="3FC01CE3"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b/>
                <w:sz w:val="24"/>
                <w:szCs w:val="24"/>
              </w:rPr>
              <w:t>Josue Alirio Barrera Rodríguez</w:t>
            </w:r>
            <w:r>
              <w:rPr>
                <w:rFonts w:ascii="Times New Roman" w:eastAsia="Times New Roman" w:hAnsi="Times New Roman"/>
                <w:sz w:val="24"/>
                <w:szCs w:val="24"/>
              </w:rPr>
              <w:t xml:space="preserve"> </w:t>
            </w:r>
          </w:p>
          <w:p w14:paraId="4820FE8A"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 xml:space="preserve">Senador de la República </w:t>
            </w:r>
          </w:p>
        </w:tc>
        <w:tc>
          <w:tcPr>
            <w:tcW w:w="4405" w:type="dxa"/>
          </w:tcPr>
          <w:p w14:paraId="34D1D850" w14:textId="77777777" w:rsidR="00A026A8" w:rsidRDefault="00A026A8">
            <w:pPr>
              <w:spacing w:after="0"/>
              <w:rPr>
                <w:rFonts w:ascii="Times New Roman" w:eastAsia="Times New Roman" w:hAnsi="Times New Roman"/>
                <w:sz w:val="24"/>
                <w:szCs w:val="24"/>
              </w:rPr>
            </w:pPr>
          </w:p>
          <w:p w14:paraId="71644947" w14:textId="77777777" w:rsidR="00A026A8" w:rsidRDefault="00A026A8">
            <w:pPr>
              <w:spacing w:after="0"/>
              <w:jc w:val="center"/>
              <w:rPr>
                <w:rFonts w:ascii="Times New Roman" w:eastAsia="Times New Roman" w:hAnsi="Times New Roman"/>
                <w:sz w:val="24"/>
                <w:szCs w:val="24"/>
              </w:rPr>
            </w:pPr>
          </w:p>
          <w:p w14:paraId="2F5C2F4A" w14:textId="77777777" w:rsidR="00A026A8" w:rsidRDefault="00A026A8">
            <w:pPr>
              <w:spacing w:after="0"/>
              <w:jc w:val="center"/>
              <w:rPr>
                <w:rFonts w:ascii="Times New Roman" w:eastAsia="Times New Roman" w:hAnsi="Times New Roman"/>
                <w:sz w:val="24"/>
                <w:szCs w:val="24"/>
              </w:rPr>
            </w:pPr>
          </w:p>
          <w:p w14:paraId="7E8F0584"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530FDC38" wp14:editId="22802444">
                  <wp:extent cx="2229802" cy="1102184"/>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2229802" cy="1102184"/>
                          </a:xfrm>
                          <a:prstGeom prst="rect">
                            <a:avLst/>
                          </a:prstGeom>
                          <a:ln/>
                        </pic:spPr>
                      </pic:pic>
                    </a:graphicData>
                  </a:graphic>
                </wp:inline>
              </w:drawing>
            </w:r>
          </w:p>
          <w:p w14:paraId="4FD39EC6"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 xml:space="preserve">JUAN ESPINAL </w:t>
            </w:r>
          </w:p>
          <w:p w14:paraId="047EFBA8"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Representante a la Cámara</w:t>
            </w:r>
          </w:p>
        </w:tc>
      </w:tr>
      <w:tr w:rsidR="00A026A8" w14:paraId="7B968356" w14:textId="77777777" w:rsidTr="009D1626">
        <w:trPr>
          <w:trHeight w:val="260"/>
        </w:trPr>
        <w:tc>
          <w:tcPr>
            <w:tcW w:w="4408" w:type="dxa"/>
          </w:tcPr>
          <w:p w14:paraId="24D6CC5F"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28FC08F7" wp14:editId="67F0B169">
                  <wp:extent cx="2667000" cy="914400"/>
                  <wp:effectExtent l="0" t="0" r="0" b="0"/>
                  <wp:docPr id="2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4"/>
                          <a:srcRect/>
                          <a:stretch>
                            <a:fillRect/>
                          </a:stretch>
                        </pic:blipFill>
                        <pic:spPr>
                          <a:xfrm>
                            <a:off x="0" y="0"/>
                            <a:ext cx="2667000" cy="914400"/>
                          </a:xfrm>
                          <a:prstGeom prst="rect">
                            <a:avLst/>
                          </a:prstGeom>
                          <a:ln/>
                        </pic:spPr>
                      </pic:pic>
                    </a:graphicData>
                  </a:graphic>
                </wp:inline>
              </w:drawing>
            </w:r>
          </w:p>
          <w:p w14:paraId="5F6B296F" w14:textId="77777777" w:rsidR="00A026A8" w:rsidRDefault="00A026A8">
            <w:pPr>
              <w:spacing w:after="0"/>
              <w:rPr>
                <w:rFonts w:ascii="Times New Roman" w:eastAsia="Times New Roman" w:hAnsi="Times New Roman"/>
                <w:sz w:val="24"/>
                <w:szCs w:val="24"/>
              </w:rPr>
            </w:pPr>
          </w:p>
        </w:tc>
        <w:tc>
          <w:tcPr>
            <w:tcW w:w="4405" w:type="dxa"/>
          </w:tcPr>
          <w:p w14:paraId="2D2167C2"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17D30681" wp14:editId="15AD31EC">
                  <wp:extent cx="2667000" cy="11430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2667000" cy="1143000"/>
                          </a:xfrm>
                          <a:prstGeom prst="rect">
                            <a:avLst/>
                          </a:prstGeom>
                          <a:ln/>
                        </pic:spPr>
                      </pic:pic>
                    </a:graphicData>
                  </a:graphic>
                </wp:inline>
              </w:drawing>
            </w:r>
          </w:p>
          <w:p w14:paraId="75964E8C"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ESTEBAN QUINTERO CARDONA</w:t>
            </w:r>
          </w:p>
          <w:p w14:paraId="22503F3B"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Senador de la República</w:t>
            </w:r>
          </w:p>
        </w:tc>
      </w:tr>
      <w:tr w:rsidR="00A026A8" w14:paraId="787E925C" w14:textId="77777777" w:rsidTr="009D1626">
        <w:trPr>
          <w:trHeight w:val="305"/>
        </w:trPr>
        <w:tc>
          <w:tcPr>
            <w:tcW w:w="4408" w:type="dxa"/>
          </w:tcPr>
          <w:p w14:paraId="58397054"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noProof/>
                <w:sz w:val="24"/>
                <w:szCs w:val="24"/>
              </w:rPr>
              <w:drawing>
                <wp:inline distT="114300" distB="114300" distL="114300" distR="114300" wp14:anchorId="3060E0E9" wp14:editId="0FA10AA3">
                  <wp:extent cx="1809750" cy="1485900"/>
                  <wp:effectExtent l="0" t="0" r="0" b="0"/>
                  <wp:docPr id="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1809750" cy="1485900"/>
                          </a:xfrm>
                          <a:prstGeom prst="rect">
                            <a:avLst/>
                          </a:prstGeom>
                          <a:ln/>
                        </pic:spPr>
                      </pic:pic>
                    </a:graphicData>
                  </a:graphic>
                </wp:inline>
              </w:drawing>
            </w:r>
          </w:p>
          <w:p w14:paraId="2E972A8C"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Oscar Leonardo Villamizar Meneses</w:t>
            </w:r>
          </w:p>
          <w:p w14:paraId="78480324"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Representante a la Cámara</w:t>
            </w:r>
          </w:p>
        </w:tc>
        <w:tc>
          <w:tcPr>
            <w:tcW w:w="4405" w:type="dxa"/>
          </w:tcPr>
          <w:p w14:paraId="7DAD6473" w14:textId="7E3ED0CB" w:rsidR="00A026A8" w:rsidRDefault="00A026A8">
            <w:pPr>
              <w:spacing w:after="0"/>
              <w:rPr>
                <w:rFonts w:ascii="Times New Roman" w:eastAsia="Times New Roman" w:hAnsi="Times New Roman"/>
                <w:sz w:val="24"/>
                <w:szCs w:val="24"/>
              </w:rPr>
            </w:pPr>
          </w:p>
          <w:p w14:paraId="4F8F2603" w14:textId="4ADCE59F" w:rsidR="009D1626" w:rsidRDefault="009D1626">
            <w:pPr>
              <w:spacing w:after="0"/>
              <w:jc w:val="center"/>
              <w:rPr>
                <w:rFonts w:ascii="Times New Roman" w:eastAsia="Times New Roman" w:hAnsi="Times New Roman"/>
                <w:b/>
                <w:sz w:val="24"/>
                <w:szCs w:val="24"/>
              </w:rPr>
            </w:pPr>
            <w:r>
              <w:rPr>
                <w:rFonts w:ascii="Times New Roman" w:eastAsia="Times New Roman" w:hAnsi="Times New Roman"/>
                <w:noProof/>
                <w:sz w:val="24"/>
                <w:szCs w:val="24"/>
              </w:rPr>
              <w:drawing>
                <wp:anchor distT="0" distB="0" distL="114300" distR="114300" simplePos="0" relativeHeight="251658240" behindDoc="1" locked="0" layoutInCell="1" allowOverlap="1" wp14:anchorId="3021C756" wp14:editId="0BD61F2C">
                  <wp:simplePos x="0" y="0"/>
                  <wp:positionH relativeFrom="column">
                    <wp:posOffset>-4445</wp:posOffset>
                  </wp:positionH>
                  <wp:positionV relativeFrom="paragraph">
                    <wp:posOffset>167640</wp:posOffset>
                  </wp:positionV>
                  <wp:extent cx="2563178" cy="847725"/>
                  <wp:effectExtent l="0" t="0" r="8890" b="0"/>
                  <wp:wrapTight wrapText="bothSides">
                    <wp:wrapPolygon edited="0">
                      <wp:start x="2248" y="0"/>
                      <wp:lineTo x="1606" y="8737"/>
                      <wp:lineTo x="1445" y="11649"/>
                      <wp:lineTo x="1445" y="18445"/>
                      <wp:lineTo x="1927" y="20872"/>
                      <wp:lineTo x="2729" y="20872"/>
                      <wp:lineTo x="15092" y="20387"/>
                      <wp:lineTo x="20390" y="19416"/>
                      <wp:lineTo x="20230" y="16503"/>
                      <wp:lineTo x="21514" y="13106"/>
                      <wp:lineTo x="21514" y="12135"/>
                      <wp:lineTo x="21354" y="4854"/>
                      <wp:lineTo x="15574" y="2427"/>
                      <wp:lineTo x="3211" y="0"/>
                      <wp:lineTo x="2248" y="0"/>
                    </wp:wrapPolygon>
                  </wp:wrapTight>
                  <wp:docPr id="5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7">
                            <a:extLst>
                              <a:ext uri="{28A0092B-C50C-407E-A947-70E740481C1C}">
                                <a14:useLocalDpi xmlns:a14="http://schemas.microsoft.com/office/drawing/2010/main" val="0"/>
                              </a:ext>
                            </a:extLst>
                          </a:blip>
                          <a:srcRect/>
                          <a:stretch>
                            <a:fillRect/>
                          </a:stretch>
                        </pic:blipFill>
                        <pic:spPr>
                          <a:xfrm>
                            <a:off x="0" y="0"/>
                            <a:ext cx="2563178" cy="847725"/>
                          </a:xfrm>
                          <a:prstGeom prst="rect">
                            <a:avLst/>
                          </a:prstGeom>
                          <a:ln/>
                        </pic:spPr>
                      </pic:pic>
                    </a:graphicData>
                  </a:graphic>
                </wp:anchor>
              </w:drawing>
            </w:r>
          </w:p>
          <w:p w14:paraId="7FF39106" w14:textId="23F02A30" w:rsidR="00A026A8" w:rsidRDefault="00301297">
            <w:pPr>
              <w:spacing w:after="0"/>
              <w:jc w:val="center"/>
              <w:rPr>
                <w:rFonts w:ascii="Times New Roman" w:eastAsia="Times New Roman" w:hAnsi="Times New Roman"/>
                <w:b/>
                <w:sz w:val="24"/>
                <w:szCs w:val="24"/>
              </w:rPr>
            </w:pPr>
            <w:r>
              <w:rPr>
                <w:rFonts w:ascii="Times New Roman" w:eastAsia="Times New Roman" w:hAnsi="Times New Roman"/>
                <w:b/>
                <w:sz w:val="24"/>
                <w:szCs w:val="24"/>
              </w:rPr>
              <w:t>HONORIO MIGUEL HENRÍQUEZ PINEDO</w:t>
            </w:r>
          </w:p>
          <w:p w14:paraId="3E0FA01F"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sz w:val="24"/>
                <w:szCs w:val="24"/>
              </w:rPr>
              <w:t>Senador de la República</w:t>
            </w:r>
          </w:p>
        </w:tc>
      </w:tr>
      <w:tr w:rsidR="00A026A8" w14:paraId="46B364A3" w14:textId="77777777" w:rsidTr="009D1626">
        <w:trPr>
          <w:trHeight w:val="290"/>
        </w:trPr>
        <w:tc>
          <w:tcPr>
            <w:tcW w:w="4408" w:type="dxa"/>
          </w:tcPr>
          <w:p w14:paraId="2AC1D01B" w14:textId="77777777" w:rsidR="00A026A8" w:rsidRDefault="00A026A8">
            <w:pPr>
              <w:spacing w:after="0"/>
              <w:rPr>
                <w:rFonts w:ascii="Times New Roman" w:eastAsia="Times New Roman" w:hAnsi="Times New Roman"/>
                <w:color w:val="000000"/>
                <w:sz w:val="24"/>
                <w:szCs w:val="24"/>
              </w:rPr>
            </w:pPr>
          </w:p>
        </w:tc>
        <w:tc>
          <w:tcPr>
            <w:tcW w:w="4405" w:type="dxa"/>
          </w:tcPr>
          <w:p w14:paraId="685958DF" w14:textId="77777777" w:rsidR="00A026A8" w:rsidRDefault="00A026A8">
            <w:pPr>
              <w:spacing w:after="0"/>
              <w:rPr>
                <w:rFonts w:ascii="Times New Roman" w:eastAsia="Times New Roman" w:hAnsi="Times New Roman"/>
                <w:color w:val="000000"/>
                <w:sz w:val="24"/>
                <w:szCs w:val="24"/>
              </w:rPr>
            </w:pPr>
          </w:p>
        </w:tc>
      </w:tr>
      <w:tr w:rsidR="00A026A8" w14:paraId="76301786" w14:textId="77777777" w:rsidTr="009D1626">
        <w:trPr>
          <w:trHeight w:val="305"/>
        </w:trPr>
        <w:tc>
          <w:tcPr>
            <w:tcW w:w="4408" w:type="dxa"/>
          </w:tcPr>
          <w:p w14:paraId="6B28A431" w14:textId="77777777" w:rsidR="00A026A8" w:rsidRDefault="00A026A8">
            <w:pPr>
              <w:spacing w:after="0"/>
              <w:rPr>
                <w:rFonts w:ascii="Times New Roman" w:eastAsia="Times New Roman" w:hAnsi="Times New Roman"/>
                <w:color w:val="000000"/>
                <w:sz w:val="24"/>
                <w:szCs w:val="24"/>
              </w:rPr>
            </w:pPr>
          </w:p>
        </w:tc>
        <w:tc>
          <w:tcPr>
            <w:tcW w:w="4405" w:type="dxa"/>
          </w:tcPr>
          <w:p w14:paraId="112FE9FC" w14:textId="77777777" w:rsidR="00A026A8" w:rsidRDefault="00A026A8">
            <w:pPr>
              <w:spacing w:after="0"/>
              <w:rPr>
                <w:rFonts w:ascii="Times New Roman" w:eastAsia="Times New Roman" w:hAnsi="Times New Roman"/>
                <w:color w:val="000000"/>
                <w:sz w:val="24"/>
                <w:szCs w:val="24"/>
              </w:rPr>
            </w:pPr>
          </w:p>
        </w:tc>
      </w:tr>
      <w:tr w:rsidR="00A026A8" w14:paraId="56176B4B" w14:textId="77777777" w:rsidTr="009D1626">
        <w:tc>
          <w:tcPr>
            <w:tcW w:w="4408" w:type="dxa"/>
          </w:tcPr>
          <w:p w14:paraId="2E036B9D" w14:textId="77777777" w:rsidR="00A026A8" w:rsidRDefault="00A026A8">
            <w:pPr>
              <w:spacing w:after="0"/>
              <w:rPr>
                <w:rFonts w:ascii="Times New Roman" w:eastAsia="Times New Roman" w:hAnsi="Times New Roman"/>
                <w:color w:val="000000"/>
                <w:sz w:val="24"/>
                <w:szCs w:val="24"/>
              </w:rPr>
            </w:pPr>
          </w:p>
        </w:tc>
        <w:tc>
          <w:tcPr>
            <w:tcW w:w="4405" w:type="dxa"/>
          </w:tcPr>
          <w:p w14:paraId="54442A4B" w14:textId="77777777" w:rsidR="00A026A8" w:rsidRDefault="00A026A8">
            <w:pPr>
              <w:spacing w:after="0"/>
              <w:rPr>
                <w:rFonts w:ascii="Times New Roman" w:eastAsia="Times New Roman" w:hAnsi="Times New Roman"/>
                <w:color w:val="000000"/>
                <w:sz w:val="24"/>
                <w:szCs w:val="24"/>
              </w:rPr>
            </w:pPr>
          </w:p>
        </w:tc>
      </w:tr>
      <w:tr w:rsidR="00A026A8" w14:paraId="58CD4A4D" w14:textId="77777777" w:rsidTr="009D1626">
        <w:tc>
          <w:tcPr>
            <w:tcW w:w="4408" w:type="dxa"/>
          </w:tcPr>
          <w:p w14:paraId="5B7BF33D" w14:textId="77777777" w:rsidR="00A026A8" w:rsidRDefault="00A026A8">
            <w:pPr>
              <w:spacing w:after="0"/>
              <w:rPr>
                <w:rFonts w:ascii="Times New Roman" w:eastAsia="Times New Roman" w:hAnsi="Times New Roman"/>
                <w:color w:val="000000"/>
                <w:sz w:val="24"/>
                <w:szCs w:val="24"/>
              </w:rPr>
            </w:pPr>
          </w:p>
        </w:tc>
        <w:tc>
          <w:tcPr>
            <w:tcW w:w="4405" w:type="dxa"/>
          </w:tcPr>
          <w:p w14:paraId="3D2F4094" w14:textId="77777777" w:rsidR="00A026A8" w:rsidRDefault="00A026A8">
            <w:pPr>
              <w:spacing w:after="0"/>
              <w:rPr>
                <w:rFonts w:ascii="Times New Roman" w:eastAsia="Times New Roman" w:hAnsi="Times New Roman"/>
                <w:color w:val="000000"/>
                <w:sz w:val="24"/>
                <w:szCs w:val="24"/>
              </w:rPr>
            </w:pPr>
          </w:p>
        </w:tc>
      </w:tr>
    </w:tbl>
    <w:p w14:paraId="56A85253" w14:textId="77777777" w:rsidR="00A026A8" w:rsidRDefault="00A026A8">
      <w:pPr>
        <w:widowControl w:val="0"/>
        <w:pBdr>
          <w:top w:val="nil"/>
          <w:left w:val="nil"/>
          <w:bottom w:val="nil"/>
          <w:right w:val="nil"/>
          <w:between w:val="nil"/>
        </w:pBdr>
        <w:spacing w:after="0" w:line="240" w:lineRule="auto"/>
        <w:ind w:left="15"/>
        <w:rPr>
          <w:rFonts w:ascii="Times New Roman" w:eastAsia="Times New Roman" w:hAnsi="Times New Roman"/>
          <w:color w:val="000000"/>
          <w:sz w:val="24"/>
          <w:szCs w:val="24"/>
        </w:rPr>
      </w:pPr>
    </w:p>
    <w:p w14:paraId="126B18A4"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319D00EE" w14:textId="77777777" w:rsidR="00A026A8" w:rsidRDefault="00A026A8">
      <w:pPr>
        <w:spacing w:line="240" w:lineRule="auto"/>
        <w:ind w:right="-93"/>
        <w:jc w:val="both"/>
        <w:rPr>
          <w:rFonts w:ascii="Times New Roman" w:eastAsia="Times New Roman" w:hAnsi="Times New Roman"/>
          <w:sz w:val="24"/>
          <w:szCs w:val="24"/>
        </w:rPr>
      </w:pPr>
    </w:p>
    <w:p w14:paraId="6F396A86" w14:textId="77777777" w:rsidR="00A026A8" w:rsidRDefault="00A026A8">
      <w:pPr>
        <w:spacing w:line="240" w:lineRule="auto"/>
        <w:ind w:right="-93"/>
        <w:rPr>
          <w:rFonts w:ascii="Times New Roman" w:eastAsia="Times New Roman" w:hAnsi="Times New Roman"/>
          <w:sz w:val="24"/>
          <w:szCs w:val="24"/>
        </w:rPr>
      </w:pPr>
    </w:p>
    <w:p w14:paraId="08B87C23" w14:textId="77777777" w:rsidR="00A026A8" w:rsidRDefault="00A026A8">
      <w:pPr>
        <w:pStyle w:val="Ttulo1"/>
        <w:tabs>
          <w:tab w:val="left" w:pos="3311"/>
        </w:tabs>
        <w:spacing w:before="90"/>
        <w:ind w:left="0"/>
        <w:jc w:val="left"/>
      </w:pPr>
    </w:p>
    <w:p w14:paraId="287EFC18" w14:textId="77777777" w:rsidR="00A026A8" w:rsidRDefault="00A026A8">
      <w:pPr>
        <w:tabs>
          <w:tab w:val="left" w:pos="3311"/>
        </w:tabs>
      </w:pPr>
    </w:p>
    <w:p w14:paraId="2A99F318" w14:textId="1761D191" w:rsidR="00A026A8" w:rsidRDefault="00A026A8">
      <w:pPr>
        <w:tabs>
          <w:tab w:val="left" w:pos="3311"/>
        </w:tabs>
      </w:pPr>
    </w:p>
    <w:p w14:paraId="1EB1621F" w14:textId="77777777" w:rsidR="009D1626" w:rsidRDefault="009D1626">
      <w:pPr>
        <w:tabs>
          <w:tab w:val="left" w:pos="3311"/>
        </w:tabs>
      </w:pPr>
    </w:p>
    <w:p w14:paraId="6F0FB968" w14:textId="77777777" w:rsidR="00A026A8" w:rsidRDefault="00A026A8">
      <w:pPr>
        <w:pStyle w:val="Ttulo1"/>
        <w:tabs>
          <w:tab w:val="left" w:pos="3311"/>
        </w:tabs>
        <w:spacing w:before="90"/>
        <w:ind w:left="0"/>
        <w:jc w:val="left"/>
      </w:pPr>
    </w:p>
    <w:p w14:paraId="4948B4E1" w14:textId="77777777" w:rsidR="00A026A8" w:rsidRDefault="00301297">
      <w:pPr>
        <w:pStyle w:val="Ttulo1"/>
        <w:tabs>
          <w:tab w:val="left" w:pos="3311"/>
        </w:tabs>
        <w:spacing w:before="90"/>
        <w:ind w:left="0"/>
      </w:pPr>
      <w:r>
        <w:lastRenderedPageBreak/>
        <w:t xml:space="preserve">PROYECTO DE LEY </w:t>
      </w:r>
      <w:r>
        <w:t>N°</w:t>
      </w:r>
    </w:p>
    <w:p w14:paraId="054FFD60" w14:textId="77777777" w:rsidR="00A026A8" w:rsidRDefault="00A026A8">
      <w:pPr>
        <w:widowControl w:val="0"/>
        <w:pBdr>
          <w:top w:val="nil"/>
          <w:left w:val="nil"/>
          <w:bottom w:val="nil"/>
          <w:right w:val="nil"/>
          <w:between w:val="nil"/>
        </w:pBdr>
        <w:spacing w:before="2" w:after="0" w:line="240" w:lineRule="auto"/>
        <w:jc w:val="center"/>
        <w:rPr>
          <w:rFonts w:ascii="Times New Roman" w:eastAsia="Times New Roman" w:hAnsi="Times New Roman"/>
          <w:b/>
          <w:color w:val="000000"/>
          <w:sz w:val="24"/>
          <w:szCs w:val="24"/>
        </w:rPr>
      </w:pPr>
    </w:p>
    <w:p w14:paraId="68B7F2FC" w14:textId="77777777" w:rsidR="00A026A8" w:rsidRDefault="00301297">
      <w:pPr>
        <w:spacing w:after="0" w:line="240" w:lineRule="auto"/>
        <w:jc w:val="center"/>
        <w:rPr>
          <w:rFonts w:ascii="Times New Roman" w:eastAsia="Times New Roman" w:hAnsi="Times New Roman"/>
          <w:sz w:val="24"/>
          <w:szCs w:val="24"/>
        </w:rPr>
      </w:pPr>
      <w:bookmarkStart w:id="1" w:name="_heading=h.gjdgxs" w:colFirst="0" w:colLast="0"/>
      <w:bookmarkEnd w:id="1"/>
      <w:r>
        <w:rPr>
          <w:rFonts w:ascii="Times New Roman" w:eastAsia="Times New Roman" w:hAnsi="Times New Roman"/>
          <w:sz w:val="24"/>
          <w:szCs w:val="24"/>
        </w:rPr>
        <w:t>“Por medio de la cual se crea una Estrategia Integral y Oportuna de Atención para garantizar la protección efectiva del derecho a la seguridad e integridad personal de líderes sociales, defensores de derechos humanos y personas objeto de protección”</w:t>
      </w:r>
    </w:p>
    <w:p w14:paraId="73F1A6B4" w14:textId="77777777" w:rsidR="00A026A8" w:rsidRDefault="00A026A8">
      <w:pPr>
        <w:spacing w:after="0" w:line="240" w:lineRule="auto"/>
        <w:jc w:val="center"/>
        <w:rPr>
          <w:rFonts w:ascii="Times New Roman" w:eastAsia="Times New Roman" w:hAnsi="Times New Roman"/>
          <w:sz w:val="24"/>
          <w:szCs w:val="24"/>
        </w:rPr>
      </w:pPr>
    </w:p>
    <w:p w14:paraId="18953C95" w14:textId="77777777" w:rsidR="00A026A8" w:rsidRDefault="00301297">
      <w:pPr>
        <w:pStyle w:val="Ttulo1"/>
        <w:spacing w:line="480" w:lineRule="auto"/>
        <w:ind w:left="3006" w:right="3049"/>
      </w:pPr>
      <w:r>
        <w:t>EL CONGRESO DE COLOMBIA                        DECRETA:</w:t>
      </w:r>
    </w:p>
    <w:p w14:paraId="3041D6E7" w14:textId="77777777" w:rsidR="00A026A8" w:rsidRDefault="00301297">
      <w:pPr>
        <w:widowControl w:val="0"/>
        <w:pBdr>
          <w:top w:val="nil"/>
          <w:left w:val="nil"/>
          <w:bottom w:val="nil"/>
          <w:right w:val="nil"/>
          <w:between w:val="nil"/>
        </w:pBdr>
        <w:spacing w:after="0" w:line="240" w:lineRule="auto"/>
        <w:ind w:left="17"/>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ARTÍCULO 1. OBJETO</w:t>
      </w:r>
      <w:r>
        <w:rPr>
          <w:rFonts w:ascii="Times New Roman" w:eastAsia="Times New Roman" w:hAnsi="Times New Roman"/>
          <w:color w:val="000000"/>
          <w:sz w:val="24"/>
          <w:szCs w:val="24"/>
        </w:rPr>
        <w:t xml:space="preserve">. La presente ley tiene por objeto crear una </w:t>
      </w:r>
      <w:r>
        <w:rPr>
          <w:rFonts w:ascii="Times New Roman" w:eastAsia="Times New Roman" w:hAnsi="Times New Roman"/>
          <w:sz w:val="24"/>
          <w:szCs w:val="24"/>
        </w:rPr>
        <w:t>Estrategia Integral y Oportuna de Atención</w:t>
      </w:r>
      <w:r>
        <w:rPr>
          <w:rFonts w:ascii="Times New Roman" w:eastAsia="Times New Roman" w:hAnsi="Times New Roman"/>
          <w:color w:val="000000"/>
          <w:sz w:val="24"/>
          <w:szCs w:val="24"/>
        </w:rPr>
        <w:t xml:space="preserve"> que </w:t>
      </w:r>
      <w:r>
        <w:rPr>
          <w:rFonts w:ascii="Times New Roman" w:eastAsia="Times New Roman" w:hAnsi="Times New Roman"/>
          <w:sz w:val="24"/>
          <w:szCs w:val="24"/>
        </w:rPr>
        <w:t>permita al</w:t>
      </w:r>
      <w:r>
        <w:rPr>
          <w:rFonts w:ascii="Times New Roman" w:eastAsia="Times New Roman" w:hAnsi="Times New Roman"/>
          <w:color w:val="000000"/>
          <w:sz w:val="24"/>
          <w:szCs w:val="24"/>
        </w:rPr>
        <w:t xml:space="preserve"> gobierno nacional y a las entidades territoriales responder eficazmente en los </w:t>
      </w:r>
      <w:r>
        <w:rPr>
          <w:rFonts w:ascii="Times New Roman" w:eastAsia="Times New Roman" w:hAnsi="Times New Roman"/>
          <w:color w:val="000000"/>
          <w:sz w:val="24"/>
          <w:szCs w:val="24"/>
        </w:rPr>
        <w:t xml:space="preserve">casos donde los </w:t>
      </w:r>
      <w:r>
        <w:rPr>
          <w:rFonts w:ascii="Times New Roman" w:eastAsia="Times New Roman" w:hAnsi="Times New Roman"/>
          <w:sz w:val="24"/>
          <w:szCs w:val="24"/>
        </w:rPr>
        <w:t>líderes</w:t>
      </w:r>
      <w:r>
        <w:rPr>
          <w:rFonts w:ascii="Times New Roman" w:eastAsia="Times New Roman" w:hAnsi="Times New Roman"/>
          <w:color w:val="000000"/>
          <w:sz w:val="24"/>
          <w:szCs w:val="24"/>
        </w:rPr>
        <w:t xml:space="preserve"> sociales, defensores de derechos humanos, y personas objeto de protección, se encuentr</w:t>
      </w:r>
      <w:r>
        <w:rPr>
          <w:rFonts w:ascii="Times New Roman" w:eastAsia="Times New Roman" w:hAnsi="Times New Roman"/>
          <w:sz w:val="24"/>
          <w:szCs w:val="24"/>
        </w:rPr>
        <w:t>e</w:t>
      </w:r>
      <w:r>
        <w:rPr>
          <w:rFonts w:ascii="Times New Roman" w:eastAsia="Times New Roman" w:hAnsi="Times New Roman"/>
          <w:color w:val="000000"/>
          <w:sz w:val="24"/>
          <w:szCs w:val="24"/>
        </w:rPr>
        <w:t xml:space="preserve">n en riesgo. </w:t>
      </w:r>
    </w:p>
    <w:p w14:paraId="68DE2D4A"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b/>
          <w:color w:val="000000"/>
          <w:sz w:val="24"/>
          <w:szCs w:val="24"/>
          <w:u w:val="single"/>
        </w:rPr>
      </w:pPr>
    </w:p>
    <w:p w14:paraId="2E7C53C3"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ARTÍCULO 2.</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 xml:space="preserve">IMPLEMENTACIÓN. </w:t>
      </w:r>
      <w:r>
        <w:rPr>
          <w:rFonts w:ascii="Times New Roman" w:eastAsia="Times New Roman" w:hAnsi="Times New Roman"/>
          <w:color w:val="000000"/>
          <w:sz w:val="24"/>
          <w:szCs w:val="24"/>
        </w:rPr>
        <w:t>La implementación de la presente estrategia estará en cabeza de las entidades territoriales, en coordi</w:t>
      </w:r>
      <w:r>
        <w:rPr>
          <w:rFonts w:ascii="Times New Roman" w:eastAsia="Times New Roman" w:hAnsi="Times New Roman"/>
          <w:color w:val="000000"/>
          <w:sz w:val="24"/>
          <w:szCs w:val="24"/>
        </w:rPr>
        <w:t>nación con la Unidad Nacional de Protección, Policía Nacional, Fiscalía General de la Nación,</w:t>
      </w:r>
      <w:r>
        <w:rPr>
          <w:rFonts w:ascii="Times New Roman" w:eastAsia="Times New Roman" w:hAnsi="Times New Roman"/>
          <w:color w:val="000000"/>
          <w:sz w:val="24"/>
          <w:szCs w:val="24"/>
          <w:highlight w:val="white"/>
        </w:rPr>
        <w:t xml:space="preserve"> </w:t>
      </w:r>
      <w:r>
        <w:rPr>
          <w:rFonts w:ascii="Times New Roman" w:eastAsia="Times New Roman" w:hAnsi="Times New Roman"/>
          <w:color w:val="000000"/>
          <w:sz w:val="24"/>
          <w:szCs w:val="24"/>
        </w:rPr>
        <w:t xml:space="preserve">Agencia para la Reincorporación y la Normalización, Unidad para las </w:t>
      </w:r>
      <w:r>
        <w:rPr>
          <w:rFonts w:ascii="Times New Roman" w:eastAsia="Times New Roman" w:hAnsi="Times New Roman"/>
          <w:sz w:val="24"/>
          <w:szCs w:val="24"/>
        </w:rPr>
        <w:t>V</w:t>
      </w:r>
      <w:r>
        <w:rPr>
          <w:rFonts w:ascii="Times New Roman" w:eastAsia="Times New Roman" w:hAnsi="Times New Roman"/>
          <w:color w:val="000000"/>
          <w:sz w:val="24"/>
          <w:szCs w:val="24"/>
        </w:rPr>
        <w:t>íctimas, Ministerio de Defensa, y el Ministerio del Interior.</w:t>
      </w:r>
    </w:p>
    <w:p w14:paraId="72A63E8C"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6EBA7179"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ARTÍCULO 3. PRINCIPIOS. </w:t>
      </w:r>
      <w:r>
        <w:rPr>
          <w:rFonts w:ascii="Times New Roman" w:eastAsia="Times New Roman" w:hAnsi="Times New Roman"/>
          <w:color w:val="000000"/>
          <w:sz w:val="24"/>
          <w:szCs w:val="24"/>
        </w:rPr>
        <w:t>Además</w:t>
      </w:r>
      <w:r>
        <w:rPr>
          <w:rFonts w:ascii="Times New Roman" w:eastAsia="Times New Roman" w:hAnsi="Times New Roman"/>
          <w:color w:val="000000"/>
          <w:sz w:val="24"/>
          <w:szCs w:val="24"/>
        </w:rPr>
        <w:t xml:space="preserve"> de los principios constitucionales y legales que orientan la función administrativa, las acciones en materia de protección se regirán por los siguientes principios:</w:t>
      </w:r>
    </w:p>
    <w:p w14:paraId="01A02F77"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7949891F"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Buena fe: Todas las actuaciones que se surtan en desarrollo de la E</w:t>
      </w:r>
      <w:r>
        <w:rPr>
          <w:rFonts w:ascii="Times New Roman" w:eastAsia="Times New Roman" w:hAnsi="Times New Roman"/>
          <w:sz w:val="24"/>
          <w:szCs w:val="24"/>
        </w:rPr>
        <w:t xml:space="preserve">strategia Integral y </w:t>
      </w:r>
      <w:r>
        <w:rPr>
          <w:rFonts w:ascii="Times New Roman" w:eastAsia="Times New Roman" w:hAnsi="Times New Roman"/>
          <w:sz w:val="24"/>
          <w:szCs w:val="24"/>
        </w:rPr>
        <w:t>Oportuna de Atención</w:t>
      </w:r>
      <w:r>
        <w:rPr>
          <w:rFonts w:ascii="Times New Roman" w:eastAsia="Times New Roman" w:hAnsi="Times New Roman"/>
          <w:color w:val="000000"/>
          <w:sz w:val="24"/>
          <w:szCs w:val="24"/>
        </w:rPr>
        <w:t xml:space="preserve"> se ceñirán a los postulados de la buena fe.</w:t>
      </w:r>
    </w:p>
    <w:p w14:paraId="151E6081"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4968E5A4"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Causalidad: La vinculación a la E</w:t>
      </w:r>
      <w:r>
        <w:rPr>
          <w:rFonts w:ascii="Times New Roman" w:eastAsia="Times New Roman" w:hAnsi="Times New Roman"/>
          <w:sz w:val="24"/>
          <w:szCs w:val="24"/>
        </w:rPr>
        <w:t>strategia Integral y Oportuna de Atención</w:t>
      </w:r>
      <w:r>
        <w:rPr>
          <w:rFonts w:ascii="Times New Roman" w:eastAsia="Times New Roman" w:hAnsi="Times New Roman"/>
          <w:color w:val="000000"/>
          <w:sz w:val="24"/>
          <w:szCs w:val="24"/>
        </w:rPr>
        <w:t xml:space="preserve"> estará fundamentada en la conexidad directa entre el riesgo y el ejercicio de las actividades o funciones políticas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públicas</w:t>
      </w:r>
      <w:r>
        <w:rPr>
          <w:rFonts w:ascii="Times New Roman" w:eastAsia="Times New Roman" w:hAnsi="Times New Roman"/>
          <w:color w:val="000000"/>
          <w:sz w:val="24"/>
          <w:szCs w:val="24"/>
        </w:rPr>
        <w:t>, sociales o humanitarias.</w:t>
      </w:r>
    </w:p>
    <w:p w14:paraId="583EA7EF"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76BD501E" w14:textId="77777777" w:rsidR="00A026A8" w:rsidRDefault="00301297">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Los interesados en ser acogidos por el programa deben demostrar siquiera sumariamente dicha conexidad.</w:t>
      </w:r>
    </w:p>
    <w:p w14:paraId="57B77600"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3436B571"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Complementariedad: Las medidas de protección se implementarán sin perjuicio de otras de tipo asistencial, integral</w:t>
      </w:r>
      <w:r>
        <w:rPr>
          <w:rFonts w:ascii="Times New Roman" w:eastAsia="Times New Roman" w:hAnsi="Times New Roman"/>
          <w:color w:val="000000"/>
          <w:sz w:val="24"/>
          <w:szCs w:val="24"/>
        </w:rPr>
        <w:t xml:space="preserve"> o humanitario que sean dispuestas por otras entidades.</w:t>
      </w:r>
    </w:p>
    <w:p w14:paraId="31DB88EB"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4E20632E"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Eficacia: Las medidas tendrán como propósito prevenir la materialización de los riesgos o mitigar los efectos de su eventual consumación.</w:t>
      </w:r>
    </w:p>
    <w:p w14:paraId="4B89C44F"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7F3CFA6A"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Oportunidad: Las medidas de protección se otorgarán de forma</w:t>
      </w:r>
      <w:r>
        <w:rPr>
          <w:rFonts w:ascii="Times New Roman" w:eastAsia="Times New Roman" w:hAnsi="Times New Roman"/>
          <w:color w:val="000000"/>
          <w:sz w:val="24"/>
          <w:szCs w:val="24"/>
        </w:rPr>
        <w:t xml:space="preserve"> ágil y expedita.</w:t>
      </w:r>
    </w:p>
    <w:p w14:paraId="615FAE0A"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2EA4A773"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Consentimiento: La vinculación a la E</w:t>
      </w:r>
      <w:r>
        <w:rPr>
          <w:rFonts w:ascii="Times New Roman" w:eastAsia="Times New Roman" w:hAnsi="Times New Roman"/>
          <w:sz w:val="24"/>
          <w:szCs w:val="24"/>
        </w:rPr>
        <w:t>strategia Integral y Oportuna de Atención</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lastRenderedPageBreak/>
        <w:t>requerirá de la manifestación expresa, libre y voluntaria por parte del solicitante o protegido respecto de la aceptación o no de su vinculación.</w:t>
      </w:r>
    </w:p>
    <w:p w14:paraId="7DB8BD3E"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340E4E4"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Enfoque Dif</w:t>
      </w:r>
      <w:r>
        <w:rPr>
          <w:rFonts w:ascii="Times New Roman" w:eastAsia="Times New Roman" w:hAnsi="Times New Roman"/>
          <w:color w:val="000000"/>
          <w:sz w:val="24"/>
          <w:szCs w:val="24"/>
        </w:rPr>
        <w:t xml:space="preserve">erencial: Para la Evaluación de Riesgo, así como para la recomendación y adopción de las medidas de protección, deberán ser observadas las especificidades y vulnerabilidades por edad, etnia, </w:t>
      </w:r>
      <w:r>
        <w:rPr>
          <w:rFonts w:ascii="Times New Roman" w:eastAsia="Times New Roman" w:hAnsi="Times New Roman"/>
          <w:sz w:val="24"/>
          <w:szCs w:val="24"/>
        </w:rPr>
        <w:t>género</w:t>
      </w:r>
      <w:r>
        <w:rPr>
          <w:rFonts w:ascii="Times New Roman" w:eastAsia="Times New Roman" w:hAnsi="Times New Roman"/>
          <w:color w:val="000000"/>
          <w:sz w:val="24"/>
          <w:szCs w:val="24"/>
        </w:rPr>
        <w:t xml:space="preserve">, discapacidad, orientación sexual, y procedencia urbana o </w:t>
      </w:r>
      <w:r>
        <w:rPr>
          <w:rFonts w:ascii="Times New Roman" w:eastAsia="Times New Roman" w:hAnsi="Times New Roman"/>
          <w:color w:val="000000"/>
          <w:sz w:val="24"/>
          <w:szCs w:val="24"/>
        </w:rPr>
        <w:t>rural de las personas objeto de protección.</w:t>
      </w:r>
    </w:p>
    <w:p w14:paraId="5B99D1EC"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3717356F"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Exclusividad: Las medidas iniciales o transitorias estarán destinadas para el uso exclusivo de los protegidos.</w:t>
      </w:r>
    </w:p>
    <w:p w14:paraId="1069AFFB"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4190DCB1"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Goce Efectivo de Derechos: Para la planeación, ejecución, seguimiento y evaluación de la E</w:t>
      </w:r>
      <w:r>
        <w:rPr>
          <w:rFonts w:ascii="Times New Roman" w:eastAsia="Times New Roman" w:hAnsi="Times New Roman"/>
          <w:sz w:val="24"/>
          <w:szCs w:val="24"/>
        </w:rPr>
        <w:t>strategia</w:t>
      </w:r>
      <w:r>
        <w:rPr>
          <w:rFonts w:ascii="Times New Roman" w:eastAsia="Times New Roman" w:hAnsi="Times New Roman"/>
          <w:sz w:val="24"/>
          <w:szCs w:val="24"/>
        </w:rPr>
        <w:t xml:space="preserve"> Integral y Oportuna de Atención</w:t>
      </w:r>
      <w:r>
        <w:rPr>
          <w:rFonts w:ascii="Times New Roman" w:eastAsia="Times New Roman" w:hAnsi="Times New Roman"/>
          <w:color w:val="000000"/>
          <w:sz w:val="24"/>
          <w:szCs w:val="24"/>
        </w:rPr>
        <w:t>, se tendrá en cuenta el conjunto de derechos constitucionales fundamentales de los que son titulares los protegidos, en el marco del principio de correlación entre deberes y derechos.</w:t>
      </w:r>
    </w:p>
    <w:p w14:paraId="6D6F4817"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612D99BB"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Idoneidad: Las medidas iniciales o </w:t>
      </w:r>
      <w:r>
        <w:rPr>
          <w:rFonts w:ascii="Times New Roman" w:eastAsia="Times New Roman" w:hAnsi="Times New Roman"/>
          <w:color w:val="000000"/>
          <w:sz w:val="24"/>
          <w:szCs w:val="24"/>
        </w:rPr>
        <w:t>transitorias serán adecuadas a la situación de riesgo y procurarán adaptarse a las condiciones particulares de los protegidos.</w:t>
      </w:r>
    </w:p>
    <w:p w14:paraId="2D6F930C"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2C68ED5B"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Reserva Legal: La información relativa a solicitantes y protegidos de la E</w:t>
      </w:r>
      <w:r>
        <w:rPr>
          <w:rFonts w:ascii="Times New Roman" w:eastAsia="Times New Roman" w:hAnsi="Times New Roman"/>
          <w:sz w:val="24"/>
          <w:szCs w:val="24"/>
        </w:rPr>
        <w:t>strategia Integral y Oportuna de Atención</w:t>
      </w:r>
      <w:r>
        <w:rPr>
          <w:rFonts w:ascii="Times New Roman" w:eastAsia="Times New Roman" w:hAnsi="Times New Roman"/>
          <w:color w:val="000000"/>
          <w:sz w:val="24"/>
          <w:szCs w:val="24"/>
        </w:rPr>
        <w:t xml:space="preserve"> es reservada</w:t>
      </w:r>
      <w:r>
        <w:rPr>
          <w:rFonts w:ascii="Times New Roman" w:eastAsia="Times New Roman" w:hAnsi="Times New Roman"/>
          <w:color w:val="000000"/>
          <w:sz w:val="24"/>
          <w:szCs w:val="24"/>
        </w:rPr>
        <w:t>. Los beneficiarios de las medidas también están obligados a guardar dicha reserva.</w:t>
      </w:r>
    </w:p>
    <w:p w14:paraId="50668629"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0835C564"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Temporalidad: Las medidas iniciales o transitorias tienen carácter temporal y se mantendrán mientras que el nivel de riesgo es validado o cuando así lo recomiende el CERRE</w:t>
      </w:r>
      <w:r>
        <w:rPr>
          <w:rFonts w:ascii="Times New Roman" w:eastAsia="Times New Roman" w:hAnsi="Times New Roman"/>
          <w:color w:val="000000"/>
          <w:sz w:val="24"/>
          <w:szCs w:val="24"/>
        </w:rPr>
        <w:t xml:space="preserve">M. </w:t>
      </w:r>
      <w:r>
        <w:rPr>
          <w:rFonts w:ascii="Times New Roman" w:eastAsia="Times New Roman" w:hAnsi="Times New Roman"/>
          <w:sz w:val="24"/>
          <w:szCs w:val="24"/>
        </w:rPr>
        <w:t>En ningún caso, las medidas podrán superar una temporalidad mayor a seis (6) meses</w:t>
      </w:r>
      <w:r>
        <w:rPr>
          <w:rFonts w:ascii="Times New Roman" w:eastAsia="Times New Roman" w:hAnsi="Times New Roman"/>
          <w:color w:val="000000"/>
          <w:sz w:val="24"/>
          <w:szCs w:val="24"/>
        </w:rPr>
        <w:t xml:space="preserve">. </w:t>
      </w:r>
    </w:p>
    <w:p w14:paraId="11E22F6C"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2D420E83"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Coordinación: La E</w:t>
      </w:r>
      <w:r>
        <w:rPr>
          <w:rFonts w:ascii="Times New Roman" w:eastAsia="Times New Roman" w:hAnsi="Times New Roman"/>
          <w:sz w:val="24"/>
          <w:szCs w:val="24"/>
        </w:rPr>
        <w:t>strategia Integral y Oportuna de Atención</w:t>
      </w:r>
      <w:r>
        <w:rPr>
          <w:rFonts w:ascii="Times New Roman" w:eastAsia="Times New Roman" w:hAnsi="Times New Roman"/>
          <w:color w:val="000000"/>
          <w:sz w:val="24"/>
          <w:szCs w:val="24"/>
        </w:rPr>
        <w:t xml:space="preserve"> estará a cargo de los departamentos y municipios quienes actuarán ordenada, sistemática, coherente, eficien</w:t>
      </w:r>
      <w:r>
        <w:rPr>
          <w:rFonts w:ascii="Times New Roman" w:eastAsia="Times New Roman" w:hAnsi="Times New Roman"/>
          <w:color w:val="000000"/>
          <w:sz w:val="24"/>
          <w:szCs w:val="24"/>
        </w:rPr>
        <w:t>te y armónicamente con la Policía Nacional, Unidad Nacional de Protección, Fiscalía General,</w:t>
      </w:r>
      <w:r>
        <w:rPr>
          <w:rFonts w:ascii="Times New Roman" w:eastAsia="Times New Roman" w:hAnsi="Times New Roman"/>
          <w:color w:val="000000"/>
          <w:sz w:val="24"/>
          <w:szCs w:val="24"/>
          <w:highlight w:val="white"/>
        </w:rPr>
        <w:t xml:space="preserve"> </w:t>
      </w:r>
      <w:r>
        <w:rPr>
          <w:rFonts w:ascii="Times New Roman" w:eastAsia="Times New Roman" w:hAnsi="Times New Roman"/>
          <w:color w:val="000000"/>
          <w:sz w:val="24"/>
          <w:szCs w:val="24"/>
        </w:rPr>
        <w:t>Agencia para la Reincorporación y la Normalización, Unidad para las víctimas, el Ministerio del Interior y demás autoridades del orden nacional, departamental y mu</w:t>
      </w:r>
      <w:r>
        <w:rPr>
          <w:rFonts w:ascii="Times New Roman" w:eastAsia="Times New Roman" w:hAnsi="Times New Roman"/>
          <w:color w:val="000000"/>
          <w:sz w:val="24"/>
          <w:szCs w:val="24"/>
        </w:rPr>
        <w:t>nicipal, para la prevención y protección de los derechos a la vida, la libertad, la integridad, y la seguridad personal de los líderes sociales, defensores de derechos humanos y población objeto de protección.</w:t>
      </w:r>
    </w:p>
    <w:p w14:paraId="5A338DFB"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06DAC096"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Concurrencia:</w:t>
      </w:r>
      <w:r>
        <w:rPr>
          <w:rFonts w:ascii="Times New Roman" w:eastAsia="Times New Roman" w:hAnsi="Times New Roman"/>
          <w:i/>
          <w:color w:val="000000"/>
          <w:sz w:val="24"/>
          <w:szCs w:val="24"/>
        </w:rPr>
        <w:t> </w:t>
      </w:r>
      <w:r>
        <w:rPr>
          <w:rFonts w:ascii="Times New Roman" w:eastAsia="Times New Roman" w:hAnsi="Times New Roman"/>
          <w:color w:val="000000"/>
          <w:sz w:val="24"/>
          <w:szCs w:val="24"/>
        </w:rPr>
        <w:t>La Unidad Nacional de Protecció</w:t>
      </w:r>
      <w:r>
        <w:rPr>
          <w:rFonts w:ascii="Times New Roman" w:eastAsia="Times New Roman" w:hAnsi="Times New Roman"/>
          <w:color w:val="000000"/>
          <w:sz w:val="24"/>
          <w:szCs w:val="24"/>
        </w:rPr>
        <w:t>n, el Ministerio del Interior, la Policía Nacional y demás autoridades del orden nacional, municipal y departamental aportaran las medidas de prevención y protección de acuerdo con sus competencias y capacidades institucionales, administrativas y presupues</w:t>
      </w:r>
      <w:r>
        <w:rPr>
          <w:rFonts w:ascii="Times New Roman" w:eastAsia="Times New Roman" w:hAnsi="Times New Roman"/>
          <w:color w:val="000000"/>
          <w:sz w:val="24"/>
          <w:szCs w:val="24"/>
        </w:rPr>
        <w:t>tales, para la garantía efectiva de los derechos a la vida, libertad, integridad y seguridad personal de su población objeto.</w:t>
      </w:r>
    </w:p>
    <w:p w14:paraId="111AEB46"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sz w:val="24"/>
          <w:szCs w:val="24"/>
        </w:rPr>
      </w:pPr>
    </w:p>
    <w:p w14:paraId="50C0996C" w14:textId="77777777" w:rsidR="00A026A8" w:rsidRDefault="00301297">
      <w:pPr>
        <w:widowControl w:val="0"/>
        <w:numPr>
          <w:ilvl w:val="0"/>
          <w:numId w:val="21"/>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Subsidiariedad: Los municipios, departamentos y demás entidades del Estado del orden nacional y territorial, de acuerdo con sus competencias y capacidades institucionales, administrativas y presupuestales, y en el marco de la colaboración </w:t>
      </w:r>
      <w:r>
        <w:rPr>
          <w:rFonts w:ascii="Times New Roman" w:eastAsia="Times New Roman" w:hAnsi="Times New Roman"/>
          <w:sz w:val="24"/>
          <w:szCs w:val="24"/>
        </w:rPr>
        <w:lastRenderedPageBreak/>
        <w:t xml:space="preserve">administrativa y </w:t>
      </w:r>
      <w:r>
        <w:rPr>
          <w:rFonts w:ascii="Times New Roman" w:eastAsia="Times New Roman" w:hAnsi="Times New Roman"/>
          <w:sz w:val="24"/>
          <w:szCs w:val="24"/>
        </w:rPr>
        <w:t>el principio de subsidiariedad, adoptaran las medidas necesarias para prevenir la violación de los derechos a la vida, la libertad, la integridad y la seguridad o la protección de estos derechos.</w:t>
      </w:r>
    </w:p>
    <w:p w14:paraId="07CA9888"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b/>
          <w:color w:val="000000"/>
          <w:sz w:val="24"/>
          <w:szCs w:val="24"/>
        </w:rPr>
      </w:pPr>
    </w:p>
    <w:p w14:paraId="024A5A26"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ARTÍCULO 4. PROTECCIÓN EFECTIVA.  </w:t>
      </w:r>
      <w:r>
        <w:rPr>
          <w:rFonts w:ascii="Times New Roman" w:eastAsia="Times New Roman" w:hAnsi="Times New Roman"/>
          <w:color w:val="000000"/>
          <w:sz w:val="24"/>
          <w:szCs w:val="24"/>
        </w:rPr>
        <w:t xml:space="preserve">La población objeto de </w:t>
      </w:r>
      <w:r>
        <w:rPr>
          <w:rFonts w:ascii="Times New Roman" w:eastAsia="Times New Roman" w:hAnsi="Times New Roman"/>
          <w:color w:val="000000"/>
          <w:sz w:val="24"/>
          <w:szCs w:val="24"/>
        </w:rPr>
        <w:t>protección de la estrategia de qu</w:t>
      </w:r>
      <w:r>
        <w:rPr>
          <w:rFonts w:ascii="Times New Roman" w:eastAsia="Times New Roman" w:hAnsi="Times New Roman"/>
          <w:sz w:val="24"/>
          <w:szCs w:val="24"/>
        </w:rPr>
        <w:t>e</w:t>
      </w:r>
      <w:r>
        <w:rPr>
          <w:rFonts w:ascii="Times New Roman" w:eastAsia="Times New Roman" w:hAnsi="Times New Roman"/>
          <w:color w:val="000000"/>
          <w:sz w:val="24"/>
          <w:szCs w:val="24"/>
        </w:rPr>
        <w:t xml:space="preserve"> trata la presente ley podrá serl</w:t>
      </w:r>
      <w:r>
        <w:rPr>
          <w:rFonts w:ascii="Times New Roman" w:eastAsia="Times New Roman" w:hAnsi="Times New Roman"/>
          <w:sz w:val="24"/>
          <w:szCs w:val="24"/>
        </w:rPr>
        <w:t xml:space="preserve">o en razón a su situación de riesgo extraordinario o extremo, </w:t>
      </w:r>
      <w:r>
        <w:rPr>
          <w:rFonts w:ascii="Times New Roman" w:eastAsia="Times New Roman" w:hAnsi="Times New Roman"/>
          <w:sz w:val="24"/>
          <w:szCs w:val="24"/>
          <w:highlight w:val="white"/>
        </w:rPr>
        <w:t>o en razón del cargo. Si</w:t>
      </w:r>
      <w:r>
        <w:rPr>
          <w:rFonts w:ascii="Times New Roman" w:eastAsia="Times New Roman" w:hAnsi="Times New Roman"/>
          <w:sz w:val="24"/>
          <w:szCs w:val="24"/>
        </w:rPr>
        <w:t>n embargo, en el caso de la población objeto de protección en virtud del riesgo, las entidades territor</w:t>
      </w:r>
      <w:r>
        <w:rPr>
          <w:rFonts w:ascii="Times New Roman" w:eastAsia="Times New Roman" w:hAnsi="Times New Roman"/>
          <w:sz w:val="24"/>
          <w:szCs w:val="24"/>
        </w:rPr>
        <w:t>iales deberán implementar</w:t>
      </w:r>
      <w:r>
        <w:rPr>
          <w:rFonts w:ascii="Times New Roman" w:eastAsia="Times New Roman" w:hAnsi="Times New Roman"/>
          <w:color w:val="000000"/>
          <w:sz w:val="24"/>
          <w:szCs w:val="24"/>
        </w:rPr>
        <w:t xml:space="preserve"> medidas iniciales y/o transitorias</w:t>
      </w:r>
      <w:r>
        <w:rPr>
          <w:rFonts w:ascii="Times New Roman" w:eastAsia="Times New Roman" w:hAnsi="Times New Roman"/>
          <w:sz w:val="24"/>
          <w:szCs w:val="24"/>
        </w:rPr>
        <w:t>, hasta tanto sea validado el nivel de riesgo de manera definitiva por parte del CERREM.</w:t>
      </w:r>
    </w:p>
    <w:p w14:paraId="797114E1"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023AFAF9"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PARÁGRAFO PRIMERO</w:t>
      </w:r>
      <w:r>
        <w:rPr>
          <w:rFonts w:ascii="Times New Roman" w:eastAsia="Times New Roman" w:hAnsi="Times New Roman"/>
          <w:color w:val="000000"/>
          <w:sz w:val="24"/>
          <w:szCs w:val="24"/>
        </w:rPr>
        <w:t>. La</w:t>
      </w:r>
      <w:r>
        <w:rPr>
          <w:rFonts w:ascii="Times New Roman" w:eastAsia="Times New Roman" w:hAnsi="Times New Roman"/>
          <w:sz w:val="24"/>
          <w:szCs w:val="24"/>
        </w:rPr>
        <w:t>s medidas iniciales o transitorias en favor</w:t>
      </w:r>
      <w:r>
        <w:rPr>
          <w:rFonts w:ascii="Times New Roman" w:eastAsia="Times New Roman" w:hAnsi="Times New Roman"/>
          <w:color w:val="000000"/>
          <w:sz w:val="24"/>
          <w:szCs w:val="24"/>
        </w:rPr>
        <w:t xml:space="preserve"> de la población objeto de</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la presente ley</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estarán </w:t>
      </w:r>
      <w:r>
        <w:rPr>
          <w:rFonts w:ascii="Times New Roman" w:eastAsia="Times New Roman" w:hAnsi="Times New Roman"/>
          <w:color w:val="000000"/>
          <w:sz w:val="24"/>
          <w:szCs w:val="24"/>
        </w:rPr>
        <w:t xml:space="preserve">a cargo de las entidades territoriales, sin perjuicio de las medidas de protección a cargo de las demás entidades </w:t>
      </w:r>
      <w:r>
        <w:rPr>
          <w:rFonts w:ascii="Times New Roman" w:eastAsia="Times New Roman" w:hAnsi="Times New Roman"/>
          <w:sz w:val="24"/>
          <w:szCs w:val="24"/>
        </w:rPr>
        <w:t xml:space="preserve">con competencia en el </w:t>
      </w:r>
      <w:r>
        <w:rPr>
          <w:rFonts w:ascii="Times New Roman" w:eastAsia="Times New Roman" w:hAnsi="Times New Roman"/>
          <w:color w:val="000000"/>
          <w:sz w:val="24"/>
          <w:szCs w:val="24"/>
        </w:rPr>
        <w:t>orden nacional.</w:t>
      </w:r>
    </w:p>
    <w:p w14:paraId="2BBAD6FC"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p>
    <w:p w14:paraId="39D641B0" w14:textId="77777777" w:rsidR="00A026A8" w:rsidRDefault="00301297">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PARÁGRAFO SEGUNDO</w:t>
      </w:r>
      <w:r>
        <w:rPr>
          <w:rFonts w:ascii="Times New Roman" w:eastAsia="Times New Roman" w:hAnsi="Times New Roman"/>
          <w:sz w:val="24"/>
          <w:szCs w:val="24"/>
        </w:rPr>
        <w:t>. Las medidas iniciales o transitorias en favor de la población objeto a carg</w:t>
      </w:r>
      <w:r>
        <w:rPr>
          <w:rFonts w:ascii="Times New Roman" w:eastAsia="Times New Roman" w:hAnsi="Times New Roman"/>
          <w:sz w:val="24"/>
          <w:szCs w:val="24"/>
        </w:rPr>
        <w:t>o de las entidades territoriales tendrán vigencia hasta tanto el nivel de riesgo haya sido validado por parte del CERREM o la instancia de decisión con competencia para este fin, en cuyo caso tendrá que comunicarse dicho resultado a la entidad territorial.</w:t>
      </w:r>
    </w:p>
    <w:p w14:paraId="6BA2D9FF" w14:textId="77777777" w:rsidR="00A026A8" w:rsidRDefault="00A026A8">
      <w:pPr>
        <w:widowControl w:val="0"/>
        <w:spacing w:after="0" w:line="240" w:lineRule="auto"/>
        <w:jc w:val="both"/>
        <w:rPr>
          <w:rFonts w:ascii="Times New Roman" w:eastAsia="Times New Roman" w:hAnsi="Times New Roman"/>
          <w:sz w:val="24"/>
          <w:szCs w:val="24"/>
        </w:rPr>
      </w:pPr>
    </w:p>
    <w:p w14:paraId="6191FC67" w14:textId="77777777" w:rsidR="00A026A8" w:rsidRDefault="00301297">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En el caso en que el riesgo validado sea ordinario se procederá a la finalización inmediata de las medidas iniciales o transitorias por parte de la entidad territorial. En el supuesto en que el riesgo haya sido validado como extraordinario o extremo, las</w:t>
      </w:r>
      <w:r>
        <w:rPr>
          <w:rFonts w:ascii="Times New Roman" w:eastAsia="Times New Roman" w:hAnsi="Times New Roman"/>
          <w:sz w:val="24"/>
          <w:szCs w:val="24"/>
        </w:rPr>
        <w:t xml:space="preserve"> medidas por parte de la entidad territorial también serán finalizadas, salvo en el caso excepcional en que el CERREM o la instancia de decisión con competencia, recomiende la continuidad de la implementación de las medidas, que en ningún caso podrá supera</w:t>
      </w:r>
      <w:r>
        <w:rPr>
          <w:rFonts w:ascii="Times New Roman" w:eastAsia="Times New Roman" w:hAnsi="Times New Roman"/>
          <w:sz w:val="24"/>
          <w:szCs w:val="24"/>
        </w:rPr>
        <w:t>r una temporalidad mayor a seis (6) meses.</w:t>
      </w:r>
    </w:p>
    <w:p w14:paraId="388CE37F"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10003E14"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ARTÍCULO</w:t>
      </w:r>
      <w:bookmarkStart w:id="2" w:name="bookmark=id.z337ya" w:colFirst="0" w:colLast="0"/>
      <w:bookmarkEnd w:id="2"/>
      <w:r>
        <w:rPr>
          <w:rFonts w:ascii="Times New Roman" w:eastAsia="Times New Roman" w:hAnsi="Times New Roman"/>
          <w:b/>
          <w:color w:val="000000"/>
          <w:sz w:val="24"/>
          <w:szCs w:val="24"/>
        </w:rPr>
        <w:t xml:space="preserve"> 5. PERSONAS OBJETO DE PROTECCIÓN. </w:t>
      </w:r>
      <w:r>
        <w:rPr>
          <w:rFonts w:ascii="Times New Roman" w:eastAsia="Times New Roman" w:hAnsi="Times New Roman"/>
          <w:color w:val="000000"/>
          <w:sz w:val="24"/>
          <w:szCs w:val="24"/>
        </w:rPr>
        <w:t>Podrán ser</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personas objeto de protección en razón del riesgo: </w:t>
      </w:r>
    </w:p>
    <w:p w14:paraId="745A4EEB"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47927C6A" w14:textId="77777777" w:rsidR="00A026A8" w:rsidRDefault="00301297">
      <w:pPr>
        <w:widowControl w:val="0"/>
        <w:numPr>
          <w:ilvl w:val="0"/>
          <w:numId w:val="8"/>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Dirigentes o activistas de grupos políticos y especialmente de grupos de oposición.</w:t>
      </w:r>
    </w:p>
    <w:p w14:paraId="59BBCFD7"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15214313" w14:textId="77777777" w:rsidR="00A026A8" w:rsidRDefault="00301297">
      <w:pPr>
        <w:widowControl w:val="0"/>
        <w:numPr>
          <w:ilvl w:val="0"/>
          <w:numId w:val="8"/>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Dirigentes, </w:t>
      </w:r>
      <w:r>
        <w:rPr>
          <w:rFonts w:ascii="Times New Roman" w:eastAsia="Times New Roman" w:hAnsi="Times New Roman"/>
          <w:color w:val="000000"/>
          <w:sz w:val="24"/>
          <w:szCs w:val="24"/>
        </w:rPr>
        <w:t>representantes o activistas de organizaciones defensoras de derechos humanos, de víctimas, sociales, cívicas, comunales o campesinos.</w:t>
      </w:r>
    </w:p>
    <w:p w14:paraId="3816ECD2"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6288019D" w14:textId="77777777" w:rsidR="00A026A8" w:rsidRDefault="00301297">
      <w:pPr>
        <w:widowControl w:val="0"/>
        <w:numPr>
          <w:ilvl w:val="0"/>
          <w:numId w:val="2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Dirigentes o activistas sindicales.</w:t>
      </w:r>
    </w:p>
    <w:p w14:paraId="16B2CF43"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64C5EE0B" w14:textId="77777777" w:rsidR="00A026A8" w:rsidRDefault="00301297">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Dirigentes, representantes o activistas de organizaciones gremiales.</w:t>
      </w:r>
    </w:p>
    <w:p w14:paraId="1849F863"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68CAA004" w14:textId="77777777" w:rsidR="00A026A8" w:rsidRDefault="00301297">
      <w:pPr>
        <w:widowControl w:val="0"/>
        <w:numPr>
          <w:ilvl w:val="0"/>
          <w:numId w:val="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Dirigentes, </w:t>
      </w:r>
      <w:r>
        <w:rPr>
          <w:rFonts w:ascii="Times New Roman" w:eastAsia="Times New Roman" w:hAnsi="Times New Roman"/>
          <w:color w:val="000000"/>
          <w:sz w:val="24"/>
          <w:szCs w:val="24"/>
        </w:rPr>
        <w:t>Representantes o miembros de grupos étnicos.</w:t>
      </w:r>
    </w:p>
    <w:p w14:paraId="4069A02E"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2F32DFAD" w14:textId="77777777" w:rsidR="00A026A8" w:rsidRDefault="00301297">
      <w:pPr>
        <w:widowControl w:val="0"/>
        <w:numPr>
          <w:ilvl w:val="0"/>
          <w:numId w:val="9"/>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Miembros de la Misión Médica.</w:t>
      </w:r>
    </w:p>
    <w:p w14:paraId="4DBBB6F4"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356696F1" w14:textId="77777777" w:rsidR="00A026A8" w:rsidRDefault="00301297">
      <w:pPr>
        <w:widowControl w:val="0"/>
        <w:numPr>
          <w:ilvl w:val="0"/>
          <w:numId w:val="1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Testigos de casos de violación a los derechos humanos y de infracción al Derecho Internacional Humanitario.</w:t>
      </w:r>
    </w:p>
    <w:p w14:paraId="3BB96F65"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53F35958" w14:textId="77777777" w:rsidR="00A026A8" w:rsidRDefault="00301297">
      <w:pPr>
        <w:widowControl w:val="0"/>
        <w:numPr>
          <w:ilvl w:val="0"/>
          <w:numId w:val="18"/>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Periodistas y comunicadores sociales.</w:t>
      </w:r>
    </w:p>
    <w:p w14:paraId="39B77523"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4E159655" w14:textId="77777777" w:rsidR="00A026A8" w:rsidRDefault="0030129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Víctimas de violaciones a los Derechos Humanos e infracciones al Derecho Internacional Humanitario, incluyendo dirigentes, </w:t>
      </w:r>
      <w:r>
        <w:rPr>
          <w:rFonts w:ascii="Times New Roman" w:eastAsia="Times New Roman" w:hAnsi="Times New Roman"/>
          <w:sz w:val="24"/>
          <w:szCs w:val="24"/>
        </w:rPr>
        <w:t>líderes</w:t>
      </w:r>
      <w:r>
        <w:rPr>
          <w:rFonts w:ascii="Times New Roman" w:eastAsia="Times New Roman" w:hAnsi="Times New Roman"/>
          <w:color w:val="000000"/>
          <w:sz w:val="24"/>
          <w:szCs w:val="24"/>
        </w:rPr>
        <w:t>, representantes de organizaciones de población desplazada o de reclamantes de tierras en situación de riesgo extraordinario o</w:t>
      </w:r>
      <w:r>
        <w:rPr>
          <w:rFonts w:ascii="Times New Roman" w:eastAsia="Times New Roman" w:hAnsi="Times New Roman"/>
          <w:color w:val="000000"/>
          <w:sz w:val="24"/>
          <w:szCs w:val="24"/>
        </w:rPr>
        <w:t xml:space="preserve"> extremo.</w:t>
      </w:r>
    </w:p>
    <w:p w14:paraId="2D3513D2"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68462A11" w14:textId="77777777" w:rsidR="00A026A8" w:rsidRDefault="0030129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Apoderados o profesionales forenses que participen en procesos judiciales o disciplinarios por violaciones de derechos humanos o infracciones al derecho internacional humanitario.</w:t>
      </w:r>
    </w:p>
    <w:p w14:paraId="66C8B2A7"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C7AA0C3" w14:textId="77777777" w:rsidR="00A026A8" w:rsidRDefault="00301297">
      <w:pPr>
        <w:widowControl w:val="0"/>
        <w:numPr>
          <w:ilvl w:val="0"/>
          <w:numId w:val="1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Servidores públicos que tengan o hayan tenido bajo su </w:t>
      </w:r>
      <w:r>
        <w:rPr>
          <w:rFonts w:ascii="Times New Roman" w:eastAsia="Times New Roman" w:hAnsi="Times New Roman"/>
          <w:color w:val="000000"/>
          <w:sz w:val="24"/>
          <w:szCs w:val="24"/>
        </w:rPr>
        <w:t>responsabilidad el diseño, coordinación o ejecución de la política de derechos humanos y paz del Gobierno Nacional.</w:t>
      </w:r>
    </w:p>
    <w:p w14:paraId="4776287D"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1AFC2079" w14:textId="77777777" w:rsidR="00A026A8" w:rsidRDefault="00301297">
      <w:pPr>
        <w:widowControl w:val="0"/>
        <w:numPr>
          <w:ilvl w:val="0"/>
          <w:numId w:val="1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Docentes de acuerdo con la definición estipulada en la Resolución 1240 de 2010, sin perjuicio de las responsabilidades de protección del Mi</w:t>
      </w:r>
      <w:r>
        <w:rPr>
          <w:rFonts w:ascii="Times New Roman" w:eastAsia="Times New Roman" w:hAnsi="Times New Roman"/>
          <w:color w:val="000000"/>
          <w:sz w:val="24"/>
          <w:szCs w:val="24"/>
        </w:rPr>
        <w:t>nisterio de Educación estipuladas en la misma.</w:t>
      </w:r>
    </w:p>
    <w:p w14:paraId="55768C5C"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FF38D6C" w14:textId="77777777" w:rsidR="00A026A8" w:rsidRDefault="00301297">
      <w:pPr>
        <w:widowControl w:val="0"/>
        <w:numPr>
          <w:ilvl w:val="0"/>
          <w:numId w:val="10"/>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Líderes</w:t>
      </w:r>
      <w:r>
        <w:rPr>
          <w:rFonts w:ascii="Times New Roman" w:eastAsia="Times New Roman" w:hAnsi="Times New Roman"/>
          <w:color w:val="000000"/>
          <w:sz w:val="24"/>
          <w:szCs w:val="24"/>
        </w:rPr>
        <w:t xml:space="preserve"> religiosos, debidamente certificados por la Dirección de Asuntos Religiosos del Ministerio del Interior.</w:t>
      </w:r>
    </w:p>
    <w:p w14:paraId="7D854691"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
    <w:p w14:paraId="7CF11CD0" w14:textId="77777777" w:rsidR="00A026A8" w:rsidRDefault="00301297">
      <w:pPr>
        <w:pBdr>
          <w:top w:val="nil"/>
          <w:left w:val="nil"/>
          <w:bottom w:val="nil"/>
          <w:right w:val="nil"/>
          <w:between w:val="nil"/>
        </w:pBdr>
        <w:shd w:val="clear" w:color="auto" w:fill="FFFFFF"/>
        <w:spacing w:after="280" w:line="240" w:lineRule="auto"/>
        <w:jc w:val="both"/>
        <w:rPr>
          <w:rFonts w:ascii="Times New Roman" w:eastAsia="Times New Roman" w:hAnsi="Times New Roman"/>
          <w:sz w:val="24"/>
          <w:szCs w:val="24"/>
        </w:rPr>
      </w:pPr>
      <w:r>
        <w:rPr>
          <w:rFonts w:ascii="Times New Roman" w:eastAsia="Times New Roman" w:hAnsi="Times New Roman"/>
          <w:b/>
          <w:sz w:val="24"/>
          <w:szCs w:val="24"/>
        </w:rPr>
        <w:t>ARTÍCULO 6. ARTICULACIÓN DE LA ESTRATEGIA INTEGRAL Y OPORTUNA DE ATENCIÓN. </w:t>
      </w:r>
      <w:r>
        <w:rPr>
          <w:rFonts w:ascii="Times New Roman" w:eastAsia="Times New Roman" w:hAnsi="Times New Roman"/>
          <w:sz w:val="24"/>
          <w:szCs w:val="24"/>
        </w:rPr>
        <w:t xml:space="preserve">La Unidad Nacional de Protección, quien tiene a su cargo la administración de la Base de Datos Única, facilitará a las entidades territoriales su uso, garantizando la custodia de información reservada, en aras de que éstas puedan ejercer un control de las </w:t>
      </w:r>
      <w:r>
        <w:rPr>
          <w:rFonts w:ascii="Times New Roman" w:eastAsia="Times New Roman" w:hAnsi="Times New Roman"/>
          <w:sz w:val="24"/>
          <w:szCs w:val="24"/>
        </w:rPr>
        <w:t xml:space="preserve">medidas iniciales o transitorias dispuestas para las personas en razón del riesgo. </w:t>
      </w:r>
    </w:p>
    <w:p w14:paraId="48EB4662"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ARTÍCULO 7.  BÚSQUEDA Y ATENCI</w:t>
      </w:r>
      <w:r>
        <w:rPr>
          <w:rFonts w:ascii="Times New Roman" w:eastAsia="Times New Roman" w:hAnsi="Times New Roman"/>
          <w:b/>
          <w:sz w:val="24"/>
          <w:szCs w:val="24"/>
        </w:rPr>
        <w:t>ÓN</w:t>
      </w:r>
      <w:r>
        <w:rPr>
          <w:rFonts w:ascii="Times New Roman" w:eastAsia="Times New Roman" w:hAnsi="Times New Roman"/>
          <w:b/>
          <w:color w:val="000000"/>
          <w:sz w:val="24"/>
          <w:szCs w:val="24"/>
        </w:rPr>
        <w:t xml:space="preserve"> ACTIVA DE CASOS DE PERSONAS OBJETO DE PROTECCIÓN.  </w:t>
      </w:r>
      <w:r>
        <w:rPr>
          <w:rFonts w:ascii="Times New Roman" w:eastAsia="Times New Roman" w:hAnsi="Times New Roman"/>
          <w:color w:val="000000"/>
          <w:sz w:val="24"/>
          <w:szCs w:val="24"/>
        </w:rPr>
        <w:t xml:space="preserve">La Búsqueda Activa estará a cargo de los departamentos en coordinación con </w:t>
      </w:r>
      <w:r>
        <w:rPr>
          <w:rFonts w:ascii="Times New Roman" w:eastAsia="Times New Roman" w:hAnsi="Times New Roman"/>
          <w:sz w:val="24"/>
          <w:szCs w:val="24"/>
        </w:rPr>
        <w:t>lo</w:t>
      </w:r>
      <w:r>
        <w:rPr>
          <w:rFonts w:ascii="Times New Roman" w:eastAsia="Times New Roman" w:hAnsi="Times New Roman"/>
          <w:color w:val="000000"/>
          <w:sz w:val="24"/>
          <w:szCs w:val="24"/>
        </w:rPr>
        <w:t>s municipio</w:t>
      </w:r>
      <w:r>
        <w:rPr>
          <w:rFonts w:ascii="Times New Roman" w:eastAsia="Times New Roman" w:hAnsi="Times New Roman"/>
          <w:color w:val="000000"/>
          <w:sz w:val="24"/>
          <w:szCs w:val="24"/>
        </w:rPr>
        <w:t xml:space="preserve">s, quienes </w:t>
      </w:r>
      <w:r>
        <w:rPr>
          <w:rFonts w:ascii="Times New Roman" w:eastAsia="Times New Roman" w:hAnsi="Times New Roman"/>
          <w:sz w:val="24"/>
          <w:szCs w:val="24"/>
        </w:rPr>
        <w:t>establecerán mecanismos permanentes y</w:t>
      </w:r>
      <w:r>
        <w:rPr>
          <w:rFonts w:ascii="Times New Roman" w:eastAsia="Times New Roman" w:hAnsi="Times New Roman"/>
          <w:color w:val="000000"/>
          <w:sz w:val="24"/>
          <w:szCs w:val="24"/>
        </w:rPr>
        <w:t xml:space="preserve"> sistemátic</w:t>
      </w:r>
      <w:r>
        <w:rPr>
          <w:rFonts w:ascii="Times New Roman" w:eastAsia="Times New Roman" w:hAnsi="Times New Roman"/>
          <w:sz w:val="24"/>
          <w:szCs w:val="24"/>
        </w:rPr>
        <w:t>os de identificación de riesgos y contextos de amenaza</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Para ese fin</w:t>
      </w:r>
      <w:r>
        <w:rPr>
          <w:rFonts w:ascii="Times New Roman" w:eastAsia="Times New Roman" w:hAnsi="Times New Roman"/>
          <w:color w:val="000000"/>
          <w:sz w:val="24"/>
          <w:szCs w:val="24"/>
        </w:rPr>
        <w:t xml:space="preserve"> ejecutarán las siguientes actividades: </w:t>
      </w:r>
    </w:p>
    <w:p w14:paraId="04F7E9F5"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5D71301" w14:textId="77777777" w:rsidR="00A026A8" w:rsidRDefault="00301297">
      <w:pPr>
        <w:widowControl w:val="0"/>
        <w:numPr>
          <w:ilvl w:val="0"/>
          <w:numId w:val="22"/>
        </w:numPr>
        <w:pBdr>
          <w:top w:val="nil"/>
          <w:left w:val="nil"/>
          <w:bottom w:val="nil"/>
          <w:right w:val="nil"/>
          <w:between w:val="nil"/>
        </w:pBdr>
        <w:spacing w:after="0" w:line="240" w:lineRule="auto"/>
        <w:jc w:val="both"/>
      </w:pPr>
      <w:r>
        <w:rPr>
          <w:rFonts w:ascii="Times New Roman" w:eastAsia="Times New Roman" w:hAnsi="Times New Roman"/>
          <w:color w:val="000000"/>
          <w:sz w:val="24"/>
          <w:szCs w:val="24"/>
        </w:rPr>
        <w:t>Elaborar un Registro de Organizaciones Sociales que permita identificar tempranamente a</w:t>
      </w:r>
      <w:r>
        <w:rPr>
          <w:rFonts w:ascii="Times New Roman" w:eastAsia="Times New Roman" w:hAnsi="Times New Roman"/>
          <w:color w:val="000000"/>
          <w:sz w:val="24"/>
          <w:szCs w:val="24"/>
        </w:rPr>
        <w:t xml:space="preserve"> los líderes sociales, defensores de derechos humanos, y organizaciones, así como el área de influencia, área de trabajo, actividades comunitarias, entre otros factores, elementos y condiciones de su entorno. </w:t>
      </w:r>
    </w:p>
    <w:p w14:paraId="1700CD48"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14CFF450" w14:textId="77777777" w:rsidR="00A026A8" w:rsidRDefault="00301297">
      <w:pPr>
        <w:widowControl w:val="0"/>
        <w:numPr>
          <w:ilvl w:val="0"/>
          <w:numId w:val="22"/>
        </w:numPr>
        <w:pBdr>
          <w:top w:val="nil"/>
          <w:left w:val="nil"/>
          <w:bottom w:val="nil"/>
          <w:right w:val="nil"/>
          <w:between w:val="nil"/>
        </w:pBdr>
        <w:spacing w:after="0" w:line="240" w:lineRule="auto"/>
        <w:jc w:val="both"/>
      </w:pPr>
      <w:r>
        <w:rPr>
          <w:rFonts w:ascii="Times New Roman" w:eastAsia="Times New Roman" w:hAnsi="Times New Roman"/>
          <w:color w:val="000000"/>
          <w:sz w:val="24"/>
          <w:szCs w:val="24"/>
        </w:rPr>
        <w:t xml:space="preserve">Realizar un proceso permanente de </w:t>
      </w:r>
      <w:r>
        <w:rPr>
          <w:rFonts w:ascii="Times New Roman" w:eastAsia="Times New Roman" w:hAnsi="Times New Roman"/>
          <w:color w:val="000000"/>
          <w:sz w:val="24"/>
          <w:szCs w:val="24"/>
        </w:rPr>
        <w:t>identificación de riesgos, a través de la proyección de escenarios de riesgo a los cuales se podrían ver expuestos las personas de que trata esta ley.</w:t>
      </w:r>
    </w:p>
    <w:p w14:paraId="08DC5A89"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0889F976" w14:textId="77777777" w:rsidR="00A026A8" w:rsidRDefault="00301297">
      <w:pPr>
        <w:widowControl w:val="0"/>
        <w:numPr>
          <w:ilvl w:val="0"/>
          <w:numId w:val="22"/>
        </w:numPr>
        <w:pBdr>
          <w:top w:val="nil"/>
          <w:left w:val="nil"/>
          <w:bottom w:val="nil"/>
          <w:right w:val="nil"/>
          <w:between w:val="nil"/>
        </w:pBdr>
        <w:spacing w:after="0" w:line="240" w:lineRule="auto"/>
        <w:jc w:val="both"/>
      </w:pPr>
      <w:r>
        <w:rPr>
          <w:rFonts w:ascii="Times New Roman" w:eastAsia="Times New Roman" w:hAnsi="Times New Roman"/>
          <w:color w:val="000000"/>
          <w:sz w:val="24"/>
          <w:szCs w:val="24"/>
        </w:rPr>
        <w:t xml:space="preserve">Crear una red de apoyo entre organizaciones de </w:t>
      </w:r>
      <w:r>
        <w:rPr>
          <w:rFonts w:ascii="Times New Roman" w:eastAsia="Times New Roman" w:hAnsi="Times New Roman"/>
          <w:sz w:val="24"/>
          <w:szCs w:val="24"/>
        </w:rPr>
        <w:t>líderes</w:t>
      </w:r>
      <w:r>
        <w:rPr>
          <w:rFonts w:ascii="Times New Roman" w:eastAsia="Times New Roman" w:hAnsi="Times New Roman"/>
          <w:color w:val="000000"/>
          <w:sz w:val="24"/>
          <w:szCs w:val="24"/>
        </w:rPr>
        <w:t xml:space="preserve"> sociales y defensores de derechos humanos que mot</w:t>
      </w:r>
      <w:r>
        <w:rPr>
          <w:rFonts w:ascii="Times New Roman" w:eastAsia="Times New Roman" w:hAnsi="Times New Roman"/>
          <w:color w:val="000000"/>
          <w:sz w:val="24"/>
          <w:szCs w:val="24"/>
        </w:rPr>
        <w:t>ive la cooperación entre ellas, para mejorar la identificación y gestión de posibles riesgos de sus integrantes.</w:t>
      </w:r>
    </w:p>
    <w:p w14:paraId="3033E67B"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521DC284"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PARÁGRAFO PRIMERO. </w:t>
      </w:r>
      <w:r>
        <w:rPr>
          <w:rFonts w:ascii="Times New Roman" w:eastAsia="Times New Roman" w:hAnsi="Times New Roman"/>
          <w:color w:val="000000"/>
          <w:sz w:val="24"/>
          <w:szCs w:val="24"/>
        </w:rPr>
        <w:t>La articulación entre departamentos</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municipios </w:t>
      </w:r>
      <w:r>
        <w:rPr>
          <w:rFonts w:ascii="Times New Roman" w:eastAsia="Times New Roman" w:hAnsi="Times New Roman"/>
          <w:sz w:val="24"/>
          <w:szCs w:val="24"/>
        </w:rPr>
        <w:t xml:space="preserve">y demás </w:t>
      </w:r>
      <w:r>
        <w:rPr>
          <w:rFonts w:ascii="Times New Roman" w:eastAsia="Times New Roman" w:hAnsi="Times New Roman"/>
          <w:sz w:val="24"/>
          <w:szCs w:val="24"/>
        </w:rPr>
        <w:lastRenderedPageBreak/>
        <w:t>entidades territoriales, implica que</w:t>
      </w:r>
      <w:r>
        <w:rPr>
          <w:rFonts w:ascii="Times New Roman" w:eastAsia="Times New Roman" w:hAnsi="Times New Roman"/>
          <w:color w:val="000000"/>
          <w:sz w:val="24"/>
          <w:szCs w:val="24"/>
        </w:rPr>
        <w:t xml:space="preserve"> los gobernadores</w:t>
      </w:r>
      <w:r>
        <w:rPr>
          <w:rFonts w:ascii="Times New Roman" w:eastAsia="Times New Roman" w:hAnsi="Times New Roman"/>
          <w:sz w:val="24"/>
          <w:szCs w:val="24"/>
        </w:rPr>
        <w:t xml:space="preserve"> y</w:t>
      </w:r>
      <w:r>
        <w:rPr>
          <w:rFonts w:ascii="Times New Roman" w:eastAsia="Times New Roman" w:hAnsi="Times New Roman"/>
          <w:color w:val="000000"/>
          <w:sz w:val="24"/>
          <w:szCs w:val="24"/>
        </w:rPr>
        <w:t xml:space="preserve"> alcaldes y </w:t>
      </w:r>
      <w:r>
        <w:rPr>
          <w:rFonts w:ascii="Times New Roman" w:eastAsia="Times New Roman" w:hAnsi="Times New Roman"/>
          <w:color w:val="000000"/>
          <w:sz w:val="24"/>
          <w:szCs w:val="24"/>
        </w:rPr>
        <w:t xml:space="preserve">sus administraciones, lideren la estrategia en el territorio, </w:t>
      </w:r>
      <w:r>
        <w:rPr>
          <w:rFonts w:ascii="Times New Roman" w:eastAsia="Times New Roman" w:hAnsi="Times New Roman"/>
          <w:sz w:val="24"/>
          <w:szCs w:val="24"/>
        </w:rPr>
        <w:t>actuando</w:t>
      </w:r>
      <w:r>
        <w:rPr>
          <w:rFonts w:ascii="Times New Roman" w:eastAsia="Times New Roman" w:hAnsi="Times New Roman"/>
          <w:color w:val="000000"/>
          <w:sz w:val="24"/>
          <w:szCs w:val="24"/>
        </w:rPr>
        <w:t xml:space="preserve"> coordinadamente con las entidades del orden nacional y territorial, y las organizaciones sociales.</w:t>
      </w:r>
    </w:p>
    <w:p w14:paraId="5ABC26E1"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7F2C7946"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ARTÍCULO 8. RUTA DE ATENCIÓN. </w:t>
      </w:r>
      <w:r>
        <w:rPr>
          <w:rFonts w:ascii="Times New Roman" w:eastAsia="Times New Roman" w:hAnsi="Times New Roman"/>
          <w:color w:val="000000"/>
          <w:sz w:val="24"/>
          <w:szCs w:val="24"/>
        </w:rPr>
        <w:t>Las gobernaciones y alcaldías distritales o municipales</w:t>
      </w:r>
      <w:r>
        <w:rPr>
          <w:rFonts w:ascii="Times New Roman" w:eastAsia="Times New Roman" w:hAnsi="Times New Roman"/>
          <w:color w:val="000000"/>
          <w:sz w:val="24"/>
          <w:szCs w:val="24"/>
        </w:rPr>
        <w:t xml:space="preserve"> implementarán la ruta de atención para proteger oportuna y efectivamente los derechos a la vida, libertad, integridad o seguridad personal de líderes sociales, defensores de derechos humanos y población objeto de protección, para lo cual deberán realizar </w:t>
      </w:r>
      <w:r>
        <w:rPr>
          <w:rFonts w:ascii="Times New Roman" w:eastAsia="Times New Roman" w:hAnsi="Times New Roman"/>
          <w:color w:val="000000"/>
          <w:sz w:val="24"/>
          <w:szCs w:val="24"/>
        </w:rPr>
        <w:t>las actividades, conforme a las indicaciones que se describen a continuación:</w:t>
      </w:r>
    </w:p>
    <w:p w14:paraId="68357614"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65FFBCA6" w14:textId="77777777" w:rsidR="00A026A8" w:rsidRDefault="00301297">
      <w:pPr>
        <w:widowControl w:val="0"/>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Activación de la ruta de atención.</w:t>
      </w:r>
      <w:r>
        <w:rPr>
          <w:rFonts w:ascii="Times New Roman" w:eastAsia="Times New Roman" w:hAnsi="Times New Roman"/>
          <w:color w:val="000000"/>
          <w:sz w:val="24"/>
          <w:szCs w:val="24"/>
        </w:rPr>
        <w:t xml:space="preserve"> Para activar la ruta de atención, el líder social, defensor de derechos humanos o persona objeto de protección que se encuentre en riesgo, deberá acudir ante las Secretarías de Gobierno municipales o distritales, o quien haga sus veces, del lugar donde se</w:t>
      </w:r>
      <w:r>
        <w:rPr>
          <w:rFonts w:ascii="Times New Roman" w:eastAsia="Times New Roman" w:hAnsi="Times New Roman"/>
          <w:color w:val="000000"/>
          <w:sz w:val="24"/>
          <w:szCs w:val="24"/>
        </w:rPr>
        <w:t xml:space="preserve"> encuentre. Tales autoridades, previa valoración inicial de la situación, deberán implementar las medidas de prevención</w:t>
      </w:r>
      <w:r>
        <w:rPr>
          <w:rFonts w:ascii="Times New Roman" w:eastAsia="Times New Roman" w:hAnsi="Times New Roman"/>
          <w:sz w:val="24"/>
          <w:szCs w:val="24"/>
        </w:rPr>
        <w:t xml:space="preserve">, iniciales y/o transitorias </w:t>
      </w:r>
      <w:r>
        <w:rPr>
          <w:rFonts w:ascii="Times New Roman" w:eastAsia="Times New Roman" w:hAnsi="Times New Roman"/>
          <w:color w:val="000000"/>
          <w:sz w:val="24"/>
          <w:szCs w:val="24"/>
        </w:rPr>
        <w:t xml:space="preserve">a que haya lugar.  </w:t>
      </w:r>
    </w:p>
    <w:p w14:paraId="1EF50EEA"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3A49DBFC" w14:textId="77777777" w:rsidR="00A026A8" w:rsidRDefault="00301297">
      <w:pPr>
        <w:widowControl w:val="0"/>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Recepción del líder social, defensor de derechos humanos o persona objeto de protección</w:t>
      </w:r>
      <w:r>
        <w:rPr>
          <w:rFonts w:ascii="Times New Roman" w:eastAsia="Times New Roman" w:hAnsi="Times New Roman"/>
          <w:b/>
          <w:color w:val="000000"/>
          <w:sz w:val="24"/>
          <w:szCs w:val="24"/>
        </w:rPr>
        <w:t xml:space="preserve"> que es remitido ante la imposibilidad de protección a cargo del municipio. </w:t>
      </w:r>
      <w:r>
        <w:rPr>
          <w:rFonts w:ascii="Times New Roman" w:eastAsia="Times New Roman" w:hAnsi="Times New Roman"/>
          <w:color w:val="000000"/>
          <w:sz w:val="24"/>
          <w:szCs w:val="24"/>
        </w:rPr>
        <w:t>En caso que el municipio no cuente con la capacidad de garantizar la</w:t>
      </w:r>
      <w:r>
        <w:rPr>
          <w:rFonts w:ascii="Times New Roman" w:eastAsia="Times New Roman" w:hAnsi="Times New Roman"/>
          <w:sz w:val="24"/>
          <w:szCs w:val="24"/>
        </w:rPr>
        <w:t xml:space="preserve"> implementación de las medidas preventivas, iniciales y/o transitorias </w:t>
      </w:r>
      <w:r>
        <w:rPr>
          <w:rFonts w:ascii="Times New Roman" w:eastAsia="Times New Roman" w:hAnsi="Times New Roman"/>
          <w:color w:val="000000"/>
          <w:sz w:val="24"/>
          <w:szCs w:val="24"/>
        </w:rPr>
        <w:t>del líder social, defensor de derechos hu</w:t>
      </w:r>
      <w:r>
        <w:rPr>
          <w:rFonts w:ascii="Times New Roman" w:eastAsia="Times New Roman" w:hAnsi="Times New Roman"/>
          <w:color w:val="000000"/>
          <w:sz w:val="24"/>
          <w:szCs w:val="24"/>
        </w:rPr>
        <w:t xml:space="preserve">manos o persona objeto de protección, </w:t>
      </w:r>
      <w:r>
        <w:rPr>
          <w:rFonts w:ascii="Times New Roman" w:eastAsia="Times New Roman" w:hAnsi="Times New Roman"/>
          <w:sz w:val="24"/>
          <w:szCs w:val="24"/>
        </w:rPr>
        <w:t>é</w:t>
      </w:r>
      <w:r>
        <w:rPr>
          <w:rFonts w:ascii="Times New Roman" w:eastAsia="Times New Roman" w:hAnsi="Times New Roman"/>
          <w:color w:val="000000"/>
          <w:sz w:val="24"/>
          <w:szCs w:val="24"/>
        </w:rPr>
        <w:t xml:space="preserve">ste lo remitirá de manera prioritaria a la Secretaría de Gobierno departamental, o quien haga sus veces. </w:t>
      </w:r>
    </w:p>
    <w:p w14:paraId="3E891622"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6"/>
          <w:szCs w:val="26"/>
        </w:rPr>
      </w:pPr>
    </w:p>
    <w:p w14:paraId="2C22EA0C" w14:textId="77777777" w:rsidR="00A026A8" w:rsidRDefault="00301297">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En todo momento se deberá garantizar la seguridad del líder social, defensor de derechos humanos o persona objeto de protección, para lo cual la Secretaría de Gobierno municipal o distrital o quien haga sus veces deberá dejar un registro de todos los proce</w:t>
      </w:r>
      <w:r>
        <w:rPr>
          <w:rFonts w:ascii="Times New Roman" w:eastAsia="Times New Roman" w:hAnsi="Times New Roman"/>
          <w:color w:val="000000"/>
          <w:sz w:val="24"/>
          <w:szCs w:val="24"/>
        </w:rPr>
        <w:t xml:space="preserve">dimientos llevados a cabo </w:t>
      </w:r>
      <w:r>
        <w:rPr>
          <w:rFonts w:ascii="Times New Roman" w:eastAsia="Times New Roman" w:hAnsi="Times New Roman"/>
          <w:sz w:val="24"/>
          <w:szCs w:val="24"/>
        </w:rPr>
        <w:t>para la atención del caso</w:t>
      </w:r>
      <w:r>
        <w:rPr>
          <w:rFonts w:ascii="Times New Roman" w:eastAsia="Times New Roman" w:hAnsi="Times New Roman"/>
          <w:color w:val="000000"/>
          <w:sz w:val="24"/>
          <w:szCs w:val="24"/>
        </w:rPr>
        <w:t xml:space="preserve">. </w:t>
      </w:r>
    </w:p>
    <w:p w14:paraId="5279A414"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1F986550" w14:textId="77777777" w:rsidR="00A026A8" w:rsidRDefault="00301297">
      <w:pPr>
        <w:widowControl w:val="0"/>
        <w:pBdr>
          <w:top w:val="nil"/>
          <w:left w:val="nil"/>
          <w:bottom w:val="nil"/>
          <w:right w:val="nil"/>
          <w:between w:val="nil"/>
        </w:pBdr>
        <w:spacing w:after="0" w:line="240" w:lineRule="auto"/>
        <w:ind w:left="708" w:firstLine="1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 profesional con competencia de la Secretaría de Gobierno departamental deberá solicitar la información de contexto sobre los motivos de la atención prestada, como insumo en el proceso de análisis </w:t>
      </w:r>
      <w:r>
        <w:rPr>
          <w:rFonts w:ascii="Times New Roman" w:eastAsia="Times New Roman" w:hAnsi="Times New Roman"/>
          <w:color w:val="000000"/>
          <w:sz w:val="24"/>
          <w:szCs w:val="24"/>
        </w:rPr>
        <w:t>del caso, información que podrá ser contrastada con otras autoridades municipales, tales como el Comando de la estación de Policía y el Personero municipal.</w:t>
      </w:r>
    </w:p>
    <w:p w14:paraId="347383EE"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4E992172" w14:textId="77777777" w:rsidR="00A026A8" w:rsidRDefault="00301297">
      <w:pPr>
        <w:widowControl w:val="0"/>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Recolección de información.</w:t>
      </w:r>
      <w:r>
        <w:rPr>
          <w:rFonts w:ascii="Times New Roman" w:eastAsia="Times New Roman" w:hAnsi="Times New Roman"/>
          <w:color w:val="000000"/>
          <w:sz w:val="24"/>
          <w:szCs w:val="24"/>
        </w:rPr>
        <w:t xml:space="preserve"> El profesional con competencia de la Secretaría de Gobierno municipal </w:t>
      </w:r>
      <w:r>
        <w:rPr>
          <w:rFonts w:ascii="Times New Roman" w:eastAsia="Times New Roman" w:hAnsi="Times New Roman"/>
          <w:color w:val="000000"/>
          <w:sz w:val="24"/>
          <w:szCs w:val="24"/>
        </w:rPr>
        <w:t xml:space="preserve">o departamental, según corresponda, deberá realizar las siguientes actividades con el líder social, defensor de derechos humanos o persona objeto de protección que se encuentre en riesgo: </w:t>
      </w:r>
    </w:p>
    <w:p w14:paraId="63A4E00A"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4733C05D" w14:textId="77777777" w:rsidR="00A026A8" w:rsidRDefault="00301297">
      <w:pPr>
        <w:widowControl w:val="0"/>
        <w:numPr>
          <w:ilvl w:val="1"/>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Solicitar la información sobre los datos personales.</w:t>
      </w:r>
    </w:p>
    <w:p w14:paraId="27679CBC" w14:textId="77777777" w:rsidR="00A026A8" w:rsidRDefault="00A026A8">
      <w:pPr>
        <w:widowControl w:val="0"/>
        <w:pBdr>
          <w:top w:val="nil"/>
          <w:left w:val="nil"/>
          <w:bottom w:val="nil"/>
          <w:right w:val="nil"/>
          <w:between w:val="nil"/>
        </w:pBdr>
        <w:spacing w:after="0" w:line="240" w:lineRule="auto"/>
        <w:ind w:left="1440"/>
        <w:jc w:val="both"/>
        <w:rPr>
          <w:rFonts w:ascii="Times New Roman" w:eastAsia="Times New Roman" w:hAnsi="Times New Roman"/>
          <w:color w:val="000000"/>
          <w:sz w:val="24"/>
          <w:szCs w:val="24"/>
        </w:rPr>
      </w:pPr>
    </w:p>
    <w:p w14:paraId="4CF48FD1" w14:textId="77777777" w:rsidR="00A026A8" w:rsidRDefault="00301297">
      <w:pPr>
        <w:widowControl w:val="0"/>
        <w:numPr>
          <w:ilvl w:val="1"/>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Verificar que las circunstancias se </w:t>
      </w:r>
      <w:r>
        <w:rPr>
          <w:rFonts w:ascii="Times New Roman" w:eastAsia="Times New Roman" w:hAnsi="Times New Roman"/>
          <w:sz w:val="24"/>
          <w:szCs w:val="24"/>
        </w:rPr>
        <w:t>enmarcan</w:t>
      </w:r>
      <w:r>
        <w:rPr>
          <w:rFonts w:ascii="Times New Roman" w:eastAsia="Times New Roman" w:hAnsi="Times New Roman"/>
          <w:color w:val="000000"/>
          <w:sz w:val="24"/>
          <w:szCs w:val="24"/>
        </w:rPr>
        <w:t xml:space="preserve"> como una posible situación de riesgo</w:t>
      </w:r>
      <w:r>
        <w:rPr>
          <w:rFonts w:ascii="Times New Roman" w:eastAsia="Times New Roman" w:hAnsi="Times New Roman"/>
          <w:sz w:val="24"/>
          <w:szCs w:val="24"/>
        </w:rPr>
        <w:t xml:space="preserve"> o identificar el contexto de la amenaza, de manera que pueda trasladarse este insumo de información a la Unidad Nacional de Protección o a la entidad con competencia, previo </w:t>
      </w:r>
      <w:r>
        <w:rPr>
          <w:rFonts w:ascii="Times New Roman" w:eastAsia="Times New Roman" w:hAnsi="Times New Roman"/>
          <w:sz w:val="24"/>
          <w:szCs w:val="24"/>
        </w:rPr>
        <w:t>ingreso al procedimiento ordinario del programa de protección</w:t>
      </w:r>
      <w:r>
        <w:rPr>
          <w:rFonts w:ascii="Times New Roman" w:eastAsia="Times New Roman" w:hAnsi="Times New Roman"/>
          <w:color w:val="000000"/>
          <w:sz w:val="24"/>
          <w:szCs w:val="24"/>
        </w:rPr>
        <w:t>.</w:t>
      </w:r>
    </w:p>
    <w:p w14:paraId="5D3E359E"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69BCF6E" w14:textId="77777777" w:rsidR="00A026A8" w:rsidRDefault="00301297">
      <w:pPr>
        <w:widowControl w:val="0"/>
        <w:numPr>
          <w:ilvl w:val="1"/>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Informar sobre los documentos que se requieren para acreditar la pertenencia </w:t>
      </w:r>
      <w:r>
        <w:rPr>
          <w:rFonts w:ascii="Times New Roman" w:eastAsia="Times New Roman" w:hAnsi="Times New Roman"/>
          <w:sz w:val="24"/>
          <w:szCs w:val="24"/>
        </w:rPr>
        <w:t>a</w:t>
      </w:r>
      <w:r>
        <w:rPr>
          <w:rFonts w:ascii="Times New Roman" w:eastAsia="Times New Roman" w:hAnsi="Times New Roman"/>
          <w:color w:val="000000"/>
          <w:sz w:val="24"/>
          <w:szCs w:val="24"/>
        </w:rPr>
        <w:t xml:space="preserve">l grupo poblacional </w:t>
      </w:r>
      <w:r>
        <w:rPr>
          <w:rFonts w:ascii="Times New Roman" w:eastAsia="Times New Roman" w:hAnsi="Times New Roman"/>
          <w:sz w:val="24"/>
          <w:szCs w:val="24"/>
        </w:rPr>
        <w:t>objeto de protección.</w:t>
      </w:r>
    </w:p>
    <w:p w14:paraId="1271916B"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29E48346" w14:textId="77777777" w:rsidR="00A026A8" w:rsidRDefault="00301297">
      <w:pPr>
        <w:widowControl w:val="0"/>
        <w:numPr>
          <w:ilvl w:val="1"/>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Indagar si la persona ha </w:t>
      </w:r>
      <w:r>
        <w:rPr>
          <w:rFonts w:ascii="Times New Roman" w:eastAsia="Times New Roman" w:hAnsi="Times New Roman"/>
          <w:sz w:val="24"/>
          <w:szCs w:val="24"/>
        </w:rPr>
        <w:t xml:space="preserve">sido beneficiaria de medidas para la mitigación de riesgo </w:t>
      </w:r>
      <w:r>
        <w:rPr>
          <w:rFonts w:ascii="Times New Roman" w:eastAsia="Times New Roman" w:hAnsi="Times New Roman"/>
          <w:color w:val="000000"/>
          <w:sz w:val="24"/>
          <w:szCs w:val="24"/>
        </w:rPr>
        <w:t xml:space="preserve">por parte de otra entidad </w:t>
      </w:r>
      <w:r>
        <w:rPr>
          <w:rFonts w:ascii="Times New Roman" w:eastAsia="Times New Roman" w:hAnsi="Times New Roman"/>
          <w:sz w:val="24"/>
          <w:szCs w:val="24"/>
        </w:rPr>
        <w:t>y por la misma causa</w:t>
      </w:r>
      <w:r>
        <w:rPr>
          <w:rFonts w:ascii="Times New Roman" w:eastAsia="Times New Roman" w:hAnsi="Times New Roman"/>
          <w:color w:val="000000"/>
          <w:sz w:val="24"/>
          <w:szCs w:val="24"/>
        </w:rPr>
        <w:t>.</w:t>
      </w:r>
    </w:p>
    <w:p w14:paraId="3E8CE042"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6"/>
          <w:szCs w:val="26"/>
        </w:rPr>
      </w:pPr>
    </w:p>
    <w:p w14:paraId="3D8416EC" w14:textId="77777777" w:rsidR="00A026A8" w:rsidRDefault="00301297">
      <w:pPr>
        <w:widowControl w:val="0"/>
        <w:numPr>
          <w:ilvl w:val="1"/>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Realizar la solicitud de antecedentes judiciales. En caso de ser requerido por autoridad judicial, el usuario no será incluido en la Ruta de Atención</w:t>
      </w:r>
      <w:r>
        <w:rPr>
          <w:rFonts w:ascii="Times New Roman" w:eastAsia="Times New Roman" w:hAnsi="Times New Roman"/>
          <w:color w:val="000000"/>
          <w:sz w:val="24"/>
          <w:szCs w:val="24"/>
        </w:rPr>
        <w:t>.</w:t>
      </w:r>
    </w:p>
    <w:p w14:paraId="0F703880"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5F343507" w14:textId="77777777" w:rsidR="00A026A8" w:rsidRDefault="00301297">
      <w:pPr>
        <w:widowControl w:val="0"/>
        <w:numPr>
          <w:ilvl w:val="1"/>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Constatar que la persona traiga consigo los documentos requeridos. En caso de no tenerlos completos, se le informará la necesidad de </w:t>
      </w:r>
      <w:r>
        <w:rPr>
          <w:rFonts w:ascii="Times New Roman" w:eastAsia="Times New Roman" w:hAnsi="Times New Roman"/>
          <w:sz w:val="24"/>
          <w:szCs w:val="24"/>
        </w:rPr>
        <w:t>aportarlos</w:t>
      </w:r>
      <w:r>
        <w:rPr>
          <w:rFonts w:ascii="Times New Roman" w:eastAsia="Times New Roman" w:hAnsi="Times New Roman"/>
          <w:color w:val="000000"/>
          <w:sz w:val="24"/>
          <w:szCs w:val="24"/>
        </w:rPr>
        <w:t xml:space="preserve"> para continuar con el trámite correspondiente, sin </w:t>
      </w:r>
      <w:r>
        <w:rPr>
          <w:rFonts w:ascii="Times New Roman" w:eastAsia="Times New Roman" w:hAnsi="Times New Roman"/>
          <w:sz w:val="24"/>
          <w:szCs w:val="24"/>
        </w:rPr>
        <w:t xml:space="preserve">que esto implique la suspensión de </w:t>
      </w:r>
      <w:r>
        <w:rPr>
          <w:rFonts w:ascii="Times New Roman" w:eastAsia="Times New Roman" w:hAnsi="Times New Roman"/>
          <w:color w:val="000000"/>
          <w:sz w:val="24"/>
          <w:szCs w:val="24"/>
        </w:rPr>
        <w:t>las medidas preventivas</w:t>
      </w:r>
      <w:r>
        <w:rPr>
          <w:rFonts w:ascii="Times New Roman" w:eastAsia="Times New Roman" w:hAnsi="Times New Roman"/>
          <w:color w:val="000000"/>
          <w:sz w:val="24"/>
          <w:szCs w:val="24"/>
        </w:rPr>
        <w:t>, iniciales o trans</w:t>
      </w:r>
      <w:r>
        <w:rPr>
          <w:rFonts w:ascii="Times New Roman" w:eastAsia="Times New Roman" w:hAnsi="Times New Roman"/>
          <w:sz w:val="24"/>
          <w:szCs w:val="24"/>
        </w:rPr>
        <w:t>itorias</w:t>
      </w:r>
      <w:r>
        <w:rPr>
          <w:rFonts w:ascii="Times New Roman" w:eastAsia="Times New Roman" w:hAnsi="Times New Roman"/>
          <w:color w:val="000000"/>
          <w:sz w:val="24"/>
          <w:szCs w:val="24"/>
        </w:rPr>
        <w:t xml:space="preserve"> de seguridad adoptadas para el caso. </w:t>
      </w:r>
    </w:p>
    <w:p w14:paraId="70E34606"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6"/>
          <w:szCs w:val="26"/>
        </w:rPr>
      </w:pPr>
    </w:p>
    <w:p w14:paraId="5A025761" w14:textId="77777777" w:rsidR="00A026A8" w:rsidRDefault="00301297">
      <w:pPr>
        <w:widowControl w:val="0"/>
        <w:pBdr>
          <w:top w:val="nil"/>
          <w:left w:val="nil"/>
          <w:bottom w:val="nil"/>
          <w:right w:val="nil"/>
          <w:between w:val="nil"/>
        </w:pBdr>
        <w:spacing w:after="0" w:line="240" w:lineRule="auto"/>
        <w:ind w:left="14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 caso de que no se alleguen los </w:t>
      </w:r>
      <w:r>
        <w:rPr>
          <w:rFonts w:ascii="Times New Roman" w:eastAsia="Times New Roman" w:hAnsi="Times New Roman"/>
          <w:sz w:val="24"/>
          <w:szCs w:val="24"/>
        </w:rPr>
        <w:t>documentos</w:t>
      </w:r>
      <w:r>
        <w:rPr>
          <w:rFonts w:ascii="Times New Roman" w:eastAsia="Times New Roman" w:hAnsi="Times New Roman"/>
          <w:color w:val="000000"/>
          <w:sz w:val="24"/>
          <w:szCs w:val="24"/>
        </w:rPr>
        <w:t xml:space="preserve"> faltantes en un término de seis (6) meses, se procederá al Cierre del caso, registrando los motivos que llevaron a tomar la decisión. </w:t>
      </w:r>
    </w:p>
    <w:p w14:paraId="26DF002D"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54169351" w14:textId="77777777" w:rsidR="00A026A8" w:rsidRDefault="00301297">
      <w:pPr>
        <w:widowControl w:val="0"/>
        <w:numPr>
          <w:ilvl w:val="1"/>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 caso de que la persona sea un líder o representante de una Organización de Víctimas del Conflicto, se articulará con la dependencia encargada del seguimiento a la Ley 1448 de 2011. </w:t>
      </w:r>
    </w:p>
    <w:p w14:paraId="011E6385"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05DC97AC" w14:textId="77777777" w:rsidR="00A026A8" w:rsidRDefault="00301297">
      <w:pPr>
        <w:widowControl w:val="0"/>
        <w:numPr>
          <w:ilvl w:val="1"/>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presentarse una situación de riesgo que presuntamente vulnere una c</w:t>
      </w:r>
      <w:r>
        <w:rPr>
          <w:rFonts w:ascii="Times New Roman" w:eastAsia="Times New Roman" w:hAnsi="Times New Roman"/>
          <w:color w:val="000000"/>
          <w:sz w:val="24"/>
          <w:szCs w:val="24"/>
        </w:rPr>
        <w:t>olectividad, se tendrá en cuenta lo establecido en el marco normativo dispuesto por el Ministerio del Interior, para lo cual será necesario remitirse al Protocolo para Ruta de atención colectiva.</w:t>
      </w:r>
    </w:p>
    <w:p w14:paraId="7AB3575B"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4D2B3A66" w14:textId="77777777" w:rsidR="00A026A8" w:rsidRDefault="00301297">
      <w:pPr>
        <w:widowControl w:val="0"/>
        <w:numPr>
          <w:ilvl w:val="1"/>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En los casos en lo que se presente un grupo étnico, se arti</w:t>
      </w:r>
      <w:r>
        <w:rPr>
          <w:rFonts w:ascii="Times New Roman" w:eastAsia="Times New Roman" w:hAnsi="Times New Roman"/>
          <w:color w:val="000000"/>
          <w:sz w:val="24"/>
          <w:szCs w:val="24"/>
        </w:rPr>
        <w:t>cularán las acciones con la dependencia encargada de la implementación del enfoque étnico.</w:t>
      </w:r>
    </w:p>
    <w:p w14:paraId="0E6C2AB5"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66AF1873" w14:textId="77777777" w:rsidR="00A026A8" w:rsidRDefault="00301297">
      <w:pPr>
        <w:widowControl w:val="0"/>
        <w:numPr>
          <w:ilvl w:val="0"/>
          <w:numId w:val="16"/>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Ingreso a la Ruta de Atención.</w:t>
      </w:r>
      <w:r>
        <w:rPr>
          <w:rFonts w:ascii="Times New Roman" w:eastAsia="Times New Roman" w:hAnsi="Times New Roman"/>
          <w:color w:val="000000"/>
          <w:sz w:val="24"/>
          <w:szCs w:val="24"/>
        </w:rPr>
        <w:t xml:space="preserve"> El profesional con competencia de la Secretaría de Gobierno municipal o departamental, según corresponda, deberá realizar la siguiente verificación preliminar al líder social, defensor de derechos humanos o persona objeto de protección, para otorgar las m</w:t>
      </w:r>
      <w:r>
        <w:rPr>
          <w:rFonts w:ascii="Times New Roman" w:eastAsia="Times New Roman" w:hAnsi="Times New Roman"/>
          <w:color w:val="000000"/>
          <w:sz w:val="24"/>
          <w:szCs w:val="24"/>
        </w:rPr>
        <w:t>edidas de protección iniciales y/o transitorias de la</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Ruta de Atención definidas en la presente ley y, de ser necesario, solicitar que el caso sea estudiado en sesión por el Comité Departamental de Estudio de Casos.  </w:t>
      </w:r>
    </w:p>
    <w:p w14:paraId="6649E48B"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3BD1907F" w14:textId="77777777" w:rsidR="00A026A8" w:rsidRDefault="00301297">
      <w:pPr>
        <w:widowControl w:val="0"/>
        <w:numPr>
          <w:ilvl w:val="0"/>
          <w:numId w:val="1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Acreditación de pertenencia a la </w:t>
      </w:r>
      <w:r>
        <w:rPr>
          <w:rFonts w:ascii="Times New Roman" w:eastAsia="Times New Roman" w:hAnsi="Times New Roman"/>
          <w:color w:val="000000"/>
          <w:sz w:val="24"/>
          <w:szCs w:val="24"/>
        </w:rPr>
        <w:t>población objeto de protección.</w:t>
      </w:r>
    </w:p>
    <w:p w14:paraId="71A13678" w14:textId="77777777" w:rsidR="00A026A8" w:rsidRDefault="00A026A8">
      <w:pPr>
        <w:widowControl w:val="0"/>
        <w:pBdr>
          <w:top w:val="nil"/>
          <w:left w:val="nil"/>
          <w:bottom w:val="nil"/>
          <w:right w:val="nil"/>
          <w:between w:val="nil"/>
        </w:pBdr>
        <w:spacing w:after="0" w:line="240" w:lineRule="auto"/>
        <w:ind w:left="1440"/>
        <w:jc w:val="both"/>
        <w:rPr>
          <w:rFonts w:ascii="Times New Roman" w:eastAsia="Times New Roman" w:hAnsi="Times New Roman"/>
          <w:color w:val="000000"/>
          <w:sz w:val="24"/>
          <w:szCs w:val="24"/>
        </w:rPr>
      </w:pPr>
    </w:p>
    <w:p w14:paraId="50B38DBB" w14:textId="77777777" w:rsidR="00A026A8" w:rsidRDefault="00301297">
      <w:pPr>
        <w:widowControl w:val="0"/>
        <w:numPr>
          <w:ilvl w:val="0"/>
          <w:numId w:val="1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Existencia de una circunstancia de riesgo constatada en denuncias, quejas, amenazas escritas, entre otros.</w:t>
      </w:r>
    </w:p>
    <w:p w14:paraId="13512DC1"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2C551164" w14:textId="77777777" w:rsidR="00A026A8" w:rsidRDefault="00301297">
      <w:pPr>
        <w:widowControl w:val="0"/>
        <w:numPr>
          <w:ilvl w:val="0"/>
          <w:numId w:val="1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Verificación de causalidad, la cual consiste en una verificación sumaria p</w:t>
      </w:r>
      <w:r>
        <w:rPr>
          <w:rFonts w:ascii="Times New Roman" w:eastAsia="Times New Roman" w:hAnsi="Times New Roman"/>
          <w:sz w:val="24"/>
          <w:szCs w:val="24"/>
        </w:rPr>
        <w:t>or la cual pueda establecerse</w:t>
      </w:r>
      <w:r>
        <w:rPr>
          <w:rFonts w:ascii="Times New Roman" w:eastAsia="Times New Roman" w:hAnsi="Times New Roman"/>
          <w:color w:val="000000"/>
          <w:sz w:val="24"/>
          <w:szCs w:val="24"/>
        </w:rPr>
        <w:t xml:space="preserve"> que el ries</w:t>
      </w:r>
      <w:r>
        <w:rPr>
          <w:rFonts w:ascii="Times New Roman" w:eastAsia="Times New Roman" w:hAnsi="Times New Roman"/>
          <w:color w:val="000000"/>
          <w:sz w:val="24"/>
          <w:szCs w:val="24"/>
        </w:rPr>
        <w:t xml:space="preserve">go informado tenga relación con su </w:t>
      </w:r>
      <w:r>
        <w:rPr>
          <w:rFonts w:ascii="Times New Roman" w:eastAsia="Times New Roman" w:hAnsi="Times New Roman"/>
          <w:color w:val="000000"/>
          <w:sz w:val="24"/>
          <w:szCs w:val="24"/>
        </w:rPr>
        <w:lastRenderedPageBreak/>
        <w:t>actividad como defensor o defensora de derechos humanos</w:t>
      </w:r>
      <w:r>
        <w:rPr>
          <w:rFonts w:ascii="Times New Roman" w:eastAsia="Times New Roman" w:hAnsi="Times New Roman"/>
          <w:sz w:val="24"/>
          <w:szCs w:val="24"/>
        </w:rPr>
        <w:t xml:space="preserve"> o su rol de liderazgo.</w:t>
      </w:r>
    </w:p>
    <w:p w14:paraId="5688FFB8"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60C7203E" w14:textId="77777777" w:rsidR="00A026A8" w:rsidRDefault="00301297">
      <w:pPr>
        <w:widowControl w:val="0"/>
        <w:numPr>
          <w:ilvl w:val="0"/>
          <w:numId w:val="17"/>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 deberá hacer una verificación de la existencia, o no, de medidas de protección otorgadas al líder social, defensor de derechos humanos o p</w:t>
      </w:r>
      <w:r>
        <w:rPr>
          <w:rFonts w:ascii="Times New Roman" w:eastAsia="Times New Roman" w:hAnsi="Times New Roman"/>
          <w:color w:val="000000"/>
          <w:sz w:val="24"/>
          <w:szCs w:val="24"/>
        </w:rPr>
        <w:t xml:space="preserve">ersona objeto de protección, provenientes del Estado por la misma situación de riesgo presentada en la solicitud. </w:t>
      </w:r>
    </w:p>
    <w:p w14:paraId="522CC1AA"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1A0E7A1E"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PARÁGRAFO PRIMERO.</w:t>
      </w:r>
      <w:r>
        <w:rPr>
          <w:rFonts w:ascii="Times New Roman" w:eastAsia="Times New Roman" w:hAnsi="Times New Roman"/>
          <w:color w:val="000000"/>
          <w:sz w:val="24"/>
          <w:szCs w:val="24"/>
        </w:rPr>
        <w:t xml:space="preserve"> Todo lo anterior deberá quedar registrado a través de un Formato Único que creará la Secretaría de Gobierno municipal o d</w:t>
      </w:r>
      <w:r>
        <w:rPr>
          <w:rFonts w:ascii="Times New Roman" w:eastAsia="Times New Roman" w:hAnsi="Times New Roman"/>
          <w:color w:val="000000"/>
          <w:sz w:val="24"/>
          <w:szCs w:val="24"/>
        </w:rPr>
        <w:t>epartamental, además de quedar plasmadas las circunstancias de tiempo, modo y lugar en las que se presentaron los hechos victimizantes. También, se debe indicar la procedencia de las medidas iniciales de protección de la Ruta de Atención, relacionando adem</w:t>
      </w:r>
      <w:r>
        <w:rPr>
          <w:rFonts w:ascii="Times New Roman" w:eastAsia="Times New Roman" w:hAnsi="Times New Roman"/>
          <w:color w:val="000000"/>
          <w:sz w:val="24"/>
          <w:szCs w:val="24"/>
        </w:rPr>
        <w:t>ás, de ser necesario, la inclusión del caso en sesión del Comité Departamental de Estudio de Casos.</w:t>
      </w:r>
    </w:p>
    <w:p w14:paraId="386F7ED5"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2861721E"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PARÁGRAFO SEGUNDO. </w:t>
      </w:r>
      <w:r>
        <w:rPr>
          <w:rFonts w:ascii="Times New Roman" w:eastAsia="Times New Roman" w:hAnsi="Times New Roman"/>
          <w:color w:val="000000"/>
          <w:sz w:val="24"/>
          <w:szCs w:val="24"/>
        </w:rPr>
        <w:t xml:space="preserve">Las Secretaría de Gobierno municipales y departamentales deberán garantizar la disponibilidad de los profesionales necesarios para </w:t>
      </w:r>
      <w:r>
        <w:rPr>
          <w:rFonts w:ascii="Times New Roman" w:eastAsia="Times New Roman" w:hAnsi="Times New Roman"/>
          <w:sz w:val="24"/>
          <w:szCs w:val="24"/>
        </w:rPr>
        <w:t>implement</w:t>
      </w:r>
      <w:r>
        <w:rPr>
          <w:rFonts w:ascii="Times New Roman" w:eastAsia="Times New Roman" w:hAnsi="Times New Roman"/>
          <w:color w:val="000000"/>
          <w:sz w:val="24"/>
          <w:szCs w:val="24"/>
        </w:rPr>
        <w:t>ar la Ruta de Atención, los cuales deberán tener conocimiento y experiencia en psicología, derecho, y trabajo social. Asimismo, deberán establecer y estandarizar los formatos de registro de todas las actividades de la Ruta de Atención.</w:t>
      </w:r>
    </w:p>
    <w:p w14:paraId="3D63C057"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6D6A279"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PARÁGRAFO </w:t>
      </w:r>
      <w:r>
        <w:rPr>
          <w:rFonts w:ascii="Times New Roman" w:eastAsia="Times New Roman" w:hAnsi="Times New Roman"/>
          <w:b/>
          <w:color w:val="000000"/>
          <w:sz w:val="24"/>
          <w:szCs w:val="24"/>
        </w:rPr>
        <w:t>TERCERO.</w:t>
      </w:r>
      <w:r>
        <w:rPr>
          <w:rFonts w:ascii="Times New Roman" w:eastAsia="Times New Roman" w:hAnsi="Times New Roman"/>
          <w:color w:val="000000"/>
          <w:sz w:val="24"/>
          <w:szCs w:val="24"/>
        </w:rPr>
        <w:t xml:space="preserve"> La Ruta de Atención deberá garantizar la accesibilidad de las personas con discapacidad, para lo cual se contarán con elementos como intérpretes de lengua de señas para personas con discapacidad auditiva, documentos en braille para personas con di</w:t>
      </w:r>
      <w:r>
        <w:rPr>
          <w:rFonts w:ascii="Times New Roman" w:eastAsia="Times New Roman" w:hAnsi="Times New Roman"/>
          <w:color w:val="000000"/>
          <w:sz w:val="24"/>
          <w:szCs w:val="24"/>
        </w:rPr>
        <w:t>scapacidad visual y apoyos para las personas con discapacidad cognitiva y psicosocial, respetando las decisiones por ellos tomadas, de acuerdo a los lineamientos establecidos en la Convención sobre los Derechos Humanos de las Personas con Discapacidad.</w:t>
      </w:r>
    </w:p>
    <w:p w14:paraId="6323BFC4"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6D80AACD"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PA</w:t>
      </w:r>
      <w:r>
        <w:rPr>
          <w:rFonts w:ascii="Times New Roman" w:eastAsia="Times New Roman" w:hAnsi="Times New Roman"/>
          <w:b/>
          <w:color w:val="000000"/>
          <w:sz w:val="24"/>
          <w:szCs w:val="24"/>
        </w:rPr>
        <w:t xml:space="preserve">RÁGRAFO CUARTO. </w:t>
      </w:r>
      <w:r>
        <w:rPr>
          <w:rFonts w:ascii="Times New Roman" w:eastAsia="Times New Roman" w:hAnsi="Times New Roman"/>
          <w:color w:val="000000"/>
          <w:sz w:val="24"/>
          <w:szCs w:val="24"/>
        </w:rPr>
        <w:t>Para la atención de personas con discapacidad, el profesional que brinde la atención, previa autorización de la persona, hará el registro correspondiente, con la finalidad de que pueda identificarse de una manera más completa a la oferta qu</w:t>
      </w:r>
      <w:r>
        <w:rPr>
          <w:rFonts w:ascii="Times New Roman" w:eastAsia="Times New Roman" w:hAnsi="Times New Roman"/>
          <w:color w:val="000000"/>
          <w:sz w:val="24"/>
          <w:szCs w:val="24"/>
        </w:rPr>
        <w:t>e se brinda en materia de atención a nivel municipal, departamental y nacional.</w:t>
      </w:r>
    </w:p>
    <w:p w14:paraId="7C256A30"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4267AD0C"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ARTÍCULO 9. MEDIDAS INICIALES. </w:t>
      </w:r>
      <w:r>
        <w:rPr>
          <w:rFonts w:ascii="Times New Roman" w:eastAsia="Times New Roman" w:hAnsi="Times New Roman"/>
          <w:color w:val="000000"/>
          <w:sz w:val="24"/>
          <w:szCs w:val="24"/>
        </w:rPr>
        <w:t>Las medidas iniciales serán otorgadas por la Secretaría de Gobierno municipal o departamental y estarán encaminadas a atender y orientar de form</w:t>
      </w:r>
      <w:r>
        <w:rPr>
          <w:rFonts w:ascii="Times New Roman" w:eastAsia="Times New Roman" w:hAnsi="Times New Roman"/>
          <w:color w:val="000000"/>
          <w:sz w:val="24"/>
          <w:szCs w:val="24"/>
        </w:rPr>
        <w:t xml:space="preserve">a integral a los líderes sociales, defensores de derechos humanos o personas objeto de protección durante el proceso de denuncia. Para ello, se tendrán como base las siguientes medidas:  </w:t>
      </w:r>
    </w:p>
    <w:p w14:paraId="1E6677B5"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5C0B2621" w14:textId="77777777" w:rsidR="00A026A8" w:rsidRDefault="00301297">
      <w:pPr>
        <w:widowControl w:val="0"/>
        <w:numPr>
          <w:ilvl w:val="0"/>
          <w:numId w:val="1"/>
        </w:numPr>
        <w:pBdr>
          <w:top w:val="nil"/>
          <w:left w:val="nil"/>
          <w:bottom w:val="nil"/>
          <w:right w:val="nil"/>
          <w:between w:val="nil"/>
        </w:pBdr>
        <w:spacing w:after="0" w:line="240" w:lineRule="auto"/>
        <w:jc w:val="both"/>
      </w:pPr>
      <w:r>
        <w:rPr>
          <w:rFonts w:ascii="Times New Roman" w:eastAsia="Times New Roman" w:hAnsi="Times New Roman"/>
          <w:b/>
          <w:color w:val="000000"/>
          <w:sz w:val="24"/>
          <w:szCs w:val="24"/>
        </w:rPr>
        <w:t xml:space="preserve">Orientación jurídica. </w:t>
      </w:r>
      <w:r>
        <w:rPr>
          <w:rFonts w:ascii="Times New Roman" w:eastAsia="Times New Roman" w:hAnsi="Times New Roman"/>
          <w:color w:val="000000"/>
          <w:sz w:val="24"/>
          <w:szCs w:val="24"/>
        </w:rPr>
        <w:t>El profesional Jurídico asignado por la respe</w:t>
      </w:r>
      <w:r>
        <w:rPr>
          <w:rFonts w:ascii="Times New Roman" w:eastAsia="Times New Roman" w:hAnsi="Times New Roman"/>
          <w:color w:val="000000"/>
          <w:sz w:val="24"/>
          <w:szCs w:val="24"/>
        </w:rPr>
        <w:t>ctiva Secretaría de Gobierno le deberá explicar al líder social, defensor de derechos humanos o persona objeto de protección, en qué consiste la Ruta de Atención, con sus características propias y requisitos, teniendo en cuenta lo establecido en el Program</w:t>
      </w:r>
      <w:r>
        <w:rPr>
          <w:rFonts w:ascii="Times New Roman" w:eastAsia="Times New Roman" w:hAnsi="Times New Roman"/>
          <w:color w:val="000000"/>
          <w:sz w:val="24"/>
          <w:szCs w:val="24"/>
        </w:rPr>
        <w:t xml:space="preserve">a Ordinario de Protección que lidera la Unidad Nacional de Protección. </w:t>
      </w:r>
    </w:p>
    <w:p w14:paraId="32C2B5DA" w14:textId="77777777" w:rsidR="00A026A8" w:rsidRDefault="00A026A8">
      <w:pPr>
        <w:widowControl w:val="0"/>
        <w:pBdr>
          <w:top w:val="nil"/>
          <w:left w:val="nil"/>
          <w:bottom w:val="nil"/>
          <w:right w:val="nil"/>
          <w:between w:val="nil"/>
        </w:pBdr>
        <w:spacing w:after="0" w:line="240" w:lineRule="auto"/>
        <w:ind w:left="1068"/>
        <w:jc w:val="both"/>
        <w:rPr>
          <w:rFonts w:ascii="Times New Roman" w:eastAsia="Times New Roman" w:hAnsi="Times New Roman"/>
          <w:color w:val="000000"/>
          <w:sz w:val="24"/>
          <w:szCs w:val="24"/>
        </w:rPr>
      </w:pPr>
    </w:p>
    <w:p w14:paraId="72C73B51" w14:textId="77777777" w:rsidR="00A026A8" w:rsidRDefault="00301297">
      <w:pPr>
        <w:widowControl w:val="0"/>
        <w:pBdr>
          <w:top w:val="nil"/>
          <w:left w:val="nil"/>
          <w:bottom w:val="nil"/>
          <w:right w:val="nil"/>
          <w:between w:val="nil"/>
        </w:pBdr>
        <w:spacing w:after="0" w:line="240" w:lineRule="auto"/>
        <w:ind w:left="10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También, deberá orientar a la persona sobre el diligenciamiento del documento que para tal fin disponga la Unidad Nacional de Protección, adjuntando los </w:t>
      </w:r>
      <w:r>
        <w:rPr>
          <w:rFonts w:ascii="Times New Roman" w:eastAsia="Times New Roman" w:hAnsi="Times New Roman"/>
          <w:color w:val="000000"/>
          <w:sz w:val="24"/>
          <w:szCs w:val="24"/>
        </w:rPr>
        <w:lastRenderedPageBreak/>
        <w:t xml:space="preserve">documentos solicitados y remitiendo la solicitud a través de oficio a la Unidad Nacional de Protección, para que se inicie el estudio de nivel de riesgo. </w:t>
      </w:r>
    </w:p>
    <w:p w14:paraId="603B8B6F"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676108A6" w14:textId="77777777" w:rsidR="00A026A8" w:rsidRDefault="00301297">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Acompañamiento Psicosocial</w:t>
      </w:r>
      <w:r>
        <w:rPr>
          <w:rFonts w:ascii="Times New Roman" w:eastAsia="Times New Roman" w:hAnsi="Times New Roman"/>
          <w:color w:val="000000"/>
          <w:sz w:val="24"/>
          <w:szCs w:val="24"/>
        </w:rPr>
        <w:t>. El profesional en psicología o en trabajo social deberá brindar un acomp</w:t>
      </w:r>
      <w:r>
        <w:rPr>
          <w:rFonts w:ascii="Times New Roman" w:eastAsia="Times New Roman" w:hAnsi="Times New Roman"/>
          <w:color w:val="000000"/>
          <w:sz w:val="24"/>
          <w:szCs w:val="24"/>
        </w:rPr>
        <w:t>añamiento al líder social, defensor de derechos humanos o persona objeto de protección y a su núcleo familiar, o colectivo u organización, de ser el caso, con el fin de facilitar el momento del relato. Asimismo, en caso de requerirse, deberá estar presto p</w:t>
      </w:r>
      <w:r>
        <w:rPr>
          <w:rFonts w:ascii="Times New Roman" w:eastAsia="Times New Roman" w:hAnsi="Times New Roman"/>
          <w:color w:val="000000"/>
          <w:sz w:val="24"/>
          <w:szCs w:val="24"/>
        </w:rPr>
        <w:t xml:space="preserve">ara atender una posible situación de crisis. </w:t>
      </w:r>
    </w:p>
    <w:p w14:paraId="1095B4A7" w14:textId="77777777" w:rsidR="00A026A8" w:rsidRDefault="00A026A8">
      <w:pPr>
        <w:widowControl w:val="0"/>
        <w:pBdr>
          <w:top w:val="nil"/>
          <w:left w:val="nil"/>
          <w:bottom w:val="nil"/>
          <w:right w:val="nil"/>
          <w:between w:val="nil"/>
        </w:pBdr>
        <w:spacing w:after="0" w:line="240" w:lineRule="auto"/>
        <w:ind w:left="1068"/>
        <w:jc w:val="both"/>
        <w:rPr>
          <w:rFonts w:ascii="Times New Roman" w:eastAsia="Times New Roman" w:hAnsi="Times New Roman"/>
          <w:b/>
          <w:color w:val="000000"/>
          <w:sz w:val="24"/>
          <w:szCs w:val="24"/>
        </w:rPr>
      </w:pPr>
    </w:p>
    <w:p w14:paraId="5A40372B" w14:textId="77777777" w:rsidR="00A026A8" w:rsidRDefault="00301297">
      <w:pPr>
        <w:widowControl w:val="0"/>
        <w:pBdr>
          <w:top w:val="nil"/>
          <w:left w:val="nil"/>
          <w:bottom w:val="nil"/>
          <w:right w:val="nil"/>
          <w:between w:val="nil"/>
        </w:pBdr>
        <w:spacing w:after="0" w:line="240" w:lineRule="auto"/>
        <w:ind w:left="10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 profesional en psicología o en trabajo social deberá emitir un concepto en el que se establezca si el usuario necesita un acompañamiento posterior, o no. Esta información deberá quedar registrada en el Form</w:t>
      </w:r>
      <w:r>
        <w:rPr>
          <w:rFonts w:ascii="Times New Roman" w:eastAsia="Times New Roman" w:hAnsi="Times New Roman"/>
          <w:color w:val="000000"/>
          <w:sz w:val="24"/>
          <w:szCs w:val="24"/>
        </w:rPr>
        <w:t xml:space="preserve">ato Único. </w:t>
      </w:r>
    </w:p>
    <w:p w14:paraId="6C9157EA" w14:textId="77777777" w:rsidR="00A026A8" w:rsidRDefault="00A026A8">
      <w:pPr>
        <w:widowControl w:val="0"/>
        <w:pBdr>
          <w:top w:val="nil"/>
          <w:left w:val="nil"/>
          <w:bottom w:val="nil"/>
          <w:right w:val="nil"/>
          <w:between w:val="nil"/>
        </w:pBdr>
        <w:spacing w:after="0" w:line="240" w:lineRule="auto"/>
        <w:ind w:left="1068"/>
        <w:jc w:val="both"/>
        <w:rPr>
          <w:rFonts w:ascii="Times New Roman" w:eastAsia="Times New Roman" w:hAnsi="Times New Roman"/>
          <w:color w:val="000000"/>
          <w:sz w:val="24"/>
          <w:szCs w:val="24"/>
        </w:rPr>
      </w:pPr>
    </w:p>
    <w:p w14:paraId="1EE6B069" w14:textId="77777777" w:rsidR="00A026A8" w:rsidRDefault="00301297">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Asesoría administrativa: </w:t>
      </w:r>
      <w:r>
        <w:rPr>
          <w:rFonts w:ascii="Times New Roman" w:eastAsia="Times New Roman" w:hAnsi="Times New Roman"/>
          <w:color w:val="000000"/>
          <w:sz w:val="24"/>
          <w:szCs w:val="24"/>
        </w:rPr>
        <w:t>El profesional en trabajo social le deberá brindar al líder social, defensor de derechos humanos o persona objeto de protección la orientación sobre los procedimientos institucionales en temas de salud, educación y tra</w:t>
      </w:r>
      <w:r>
        <w:rPr>
          <w:rFonts w:ascii="Times New Roman" w:eastAsia="Times New Roman" w:hAnsi="Times New Roman"/>
          <w:color w:val="000000"/>
          <w:sz w:val="24"/>
          <w:szCs w:val="24"/>
        </w:rPr>
        <w:t xml:space="preserve">bajo, mismos que serán expedidos por las entidades territoriales correspondientes. </w:t>
      </w:r>
    </w:p>
    <w:p w14:paraId="130A5E20"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0FC9AB06" w14:textId="77777777" w:rsidR="00A026A8" w:rsidRDefault="00301297">
      <w:pPr>
        <w:widowControl w:val="0"/>
        <w:pBdr>
          <w:top w:val="nil"/>
          <w:left w:val="nil"/>
          <w:bottom w:val="nil"/>
          <w:right w:val="nil"/>
          <w:between w:val="nil"/>
        </w:pBdr>
        <w:spacing w:after="0" w:line="240" w:lineRule="auto"/>
        <w:ind w:left="10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 profesional en trabajo social deberá realizar la articulación interinstitucional con las diferentes dependencias y entidades a nivel municipal, departamental o nacional. Cada proceso de articulación deberá contar con su acta o remisión a través de ofici</w:t>
      </w:r>
      <w:r>
        <w:rPr>
          <w:rFonts w:ascii="Times New Roman" w:eastAsia="Times New Roman" w:hAnsi="Times New Roman"/>
          <w:color w:val="000000"/>
          <w:sz w:val="24"/>
          <w:szCs w:val="24"/>
        </w:rPr>
        <w:t xml:space="preserve">o. </w:t>
      </w:r>
    </w:p>
    <w:p w14:paraId="46B2BDE6"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522C0DA6" w14:textId="77777777" w:rsidR="00A026A8" w:rsidRDefault="00301297">
      <w:pPr>
        <w:widowControl w:val="0"/>
        <w:pBdr>
          <w:top w:val="nil"/>
          <w:left w:val="nil"/>
          <w:bottom w:val="nil"/>
          <w:right w:val="nil"/>
          <w:between w:val="nil"/>
        </w:pBdr>
        <w:spacing w:after="0" w:line="240" w:lineRule="auto"/>
        <w:ind w:left="10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Para estas remisiones se deberá acordar la forma de comunicación con el líder social, defensor de derechos humanos o persona objeto de protección, toda vez que debe haber un manejo de reserva de la información sobre los datos de contacto y ubicación d</w:t>
      </w:r>
      <w:r>
        <w:rPr>
          <w:rFonts w:ascii="Times New Roman" w:eastAsia="Times New Roman" w:hAnsi="Times New Roman"/>
          <w:color w:val="000000"/>
          <w:sz w:val="24"/>
          <w:szCs w:val="24"/>
        </w:rPr>
        <w:t xml:space="preserve">e este. </w:t>
      </w:r>
    </w:p>
    <w:p w14:paraId="7F14851F"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51440513" w14:textId="77777777" w:rsidR="00A026A8" w:rsidRDefault="00301297">
      <w:pPr>
        <w:widowControl w:val="0"/>
        <w:pBdr>
          <w:top w:val="nil"/>
          <w:left w:val="nil"/>
          <w:bottom w:val="nil"/>
          <w:right w:val="nil"/>
          <w:between w:val="nil"/>
        </w:pBdr>
        <w:spacing w:after="0" w:line="240" w:lineRule="auto"/>
        <w:ind w:left="106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En esta asesoría, se deberá registrar la valoración completa del caso en el documento que para tal fin disponga la entidad, con el fin de establecer un plan de trabajo a desarrollar que permita la superación de las múltiples vulneraciones, tenien</w:t>
      </w:r>
      <w:r>
        <w:rPr>
          <w:rFonts w:ascii="Times New Roman" w:eastAsia="Times New Roman" w:hAnsi="Times New Roman"/>
          <w:color w:val="000000"/>
          <w:sz w:val="24"/>
          <w:szCs w:val="24"/>
        </w:rPr>
        <w:t xml:space="preserve">do en cuenta las necesidades de la persona. </w:t>
      </w:r>
    </w:p>
    <w:p w14:paraId="39838BD6"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069853BB" w14:textId="77777777" w:rsidR="00A026A8" w:rsidRDefault="00301297">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Orientación en autoprotección individual o colectiva: </w:t>
      </w:r>
      <w:r>
        <w:rPr>
          <w:rFonts w:ascii="Times New Roman" w:eastAsia="Times New Roman" w:hAnsi="Times New Roman"/>
          <w:color w:val="000000"/>
          <w:sz w:val="24"/>
          <w:szCs w:val="24"/>
        </w:rPr>
        <w:t xml:space="preserve">Los profesionales asignados por la respectiva Secretaría de Gobierno, o quien haga sus veces, le deberán brindar al líder social, defensor de derechos </w:t>
      </w:r>
      <w:r>
        <w:rPr>
          <w:rFonts w:ascii="Times New Roman" w:eastAsia="Times New Roman" w:hAnsi="Times New Roman"/>
          <w:color w:val="000000"/>
          <w:sz w:val="24"/>
          <w:szCs w:val="24"/>
        </w:rPr>
        <w:t>humanos o persona objeto de protección la orientación en autoprotección individual y/o colectiva.</w:t>
      </w:r>
    </w:p>
    <w:p w14:paraId="1CD0EF3F"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16771436"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acuerdo con la información recibida del caso, los profesionales deberán solicitar la convocatoria a una sesión del Comité Departamental de Estudio de Caso</w:t>
      </w:r>
      <w:r>
        <w:rPr>
          <w:rFonts w:ascii="Times New Roman" w:eastAsia="Times New Roman" w:hAnsi="Times New Roman"/>
          <w:color w:val="000000"/>
          <w:sz w:val="24"/>
          <w:szCs w:val="24"/>
        </w:rPr>
        <w:t>s.</w:t>
      </w:r>
    </w:p>
    <w:p w14:paraId="714F2AAA"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b/>
          <w:color w:val="000000"/>
          <w:sz w:val="24"/>
          <w:szCs w:val="24"/>
        </w:rPr>
      </w:pPr>
    </w:p>
    <w:p w14:paraId="0524ADCD"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PARÁGRAFO PRIMERO.</w:t>
      </w:r>
      <w:r>
        <w:rPr>
          <w:rFonts w:ascii="Times New Roman" w:eastAsia="Times New Roman" w:hAnsi="Times New Roman"/>
          <w:color w:val="000000"/>
          <w:sz w:val="24"/>
          <w:szCs w:val="24"/>
        </w:rPr>
        <w:t xml:space="preserve"> Será deber de las Secretarías de Gobierno municipales o departamentales verificar si después de la atención brindada a través de las medidas iniciales de protección, se logró evidenciar que el líder social, defensor de derechos human</w:t>
      </w:r>
      <w:r>
        <w:rPr>
          <w:rFonts w:ascii="Times New Roman" w:eastAsia="Times New Roman" w:hAnsi="Times New Roman"/>
          <w:color w:val="000000"/>
          <w:sz w:val="24"/>
          <w:szCs w:val="24"/>
        </w:rPr>
        <w:t xml:space="preserve">os o persona objeto de protección ya no requiere de la adopción de medidas transitorias, caso en el cual, se hará el cierre del caso, diligenciando que la entidad disponga para dicho fin. </w:t>
      </w:r>
    </w:p>
    <w:p w14:paraId="6B2C56A1"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1F04516E"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Cuando el líder social, defensor de derechos humanos o persona obj</w:t>
      </w:r>
      <w:r>
        <w:rPr>
          <w:rFonts w:ascii="Times New Roman" w:eastAsia="Times New Roman" w:hAnsi="Times New Roman"/>
          <w:color w:val="000000"/>
          <w:sz w:val="24"/>
          <w:szCs w:val="24"/>
        </w:rPr>
        <w:t xml:space="preserve">eto de protección manifieste no estar de acuerdo con su ingreso a las medidas iniciales de protección se dejará constancia de su desistimiento en el documento que la entidad disponga para dicho fin. </w:t>
      </w:r>
    </w:p>
    <w:p w14:paraId="03B4B504"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
    <w:p w14:paraId="46911BF1"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ARTÍCULO 10. MEDIDAS TRAN</w:t>
      </w:r>
      <w:r>
        <w:rPr>
          <w:rFonts w:ascii="Times New Roman" w:eastAsia="Times New Roman" w:hAnsi="Times New Roman"/>
          <w:b/>
          <w:sz w:val="24"/>
          <w:szCs w:val="24"/>
        </w:rPr>
        <w:t>SITORIAS</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Entiéndase por medid</w:t>
      </w:r>
      <w:r>
        <w:rPr>
          <w:rFonts w:ascii="Times New Roman" w:eastAsia="Times New Roman" w:hAnsi="Times New Roman"/>
          <w:color w:val="000000"/>
          <w:sz w:val="24"/>
          <w:szCs w:val="24"/>
        </w:rPr>
        <w:t>as transitorias</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aquellas cuya temporalidad y procedencia son determinadas por el Comité Departamental de Estudio de Casos, de acuerdo con los insumos suministrados por las Secretarías de Gobierno respectivas. Estas serán otorgadas al líder social, defensor</w:t>
      </w:r>
      <w:r>
        <w:rPr>
          <w:rFonts w:ascii="Times New Roman" w:eastAsia="Times New Roman" w:hAnsi="Times New Roman"/>
          <w:color w:val="000000"/>
          <w:sz w:val="24"/>
          <w:szCs w:val="24"/>
        </w:rPr>
        <w:t xml:space="preserve"> de derechos humanos o persona objeto de protección y su familia, en caso de ser necesario, y procederán en caso de que las medidas iniciales de protección no hayan sido suficientes. </w:t>
      </w:r>
    </w:p>
    <w:p w14:paraId="47E9BCF3"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6D028C4B"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 Comité Departamental de Estudio de Casos podrá asignar alguna de las siguientes medidas: </w:t>
      </w:r>
    </w:p>
    <w:p w14:paraId="15CD072B"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7598C214" w14:textId="77777777" w:rsidR="00A026A8" w:rsidRDefault="00301297">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Apoyo de arrendamiento.</w:t>
      </w:r>
      <w:r>
        <w:rPr>
          <w:rFonts w:ascii="Times New Roman" w:eastAsia="Times New Roman" w:hAnsi="Times New Roman"/>
          <w:color w:val="000000"/>
          <w:sz w:val="24"/>
          <w:szCs w:val="24"/>
        </w:rPr>
        <w:t xml:space="preserve"> Esta medida transitoria </w:t>
      </w:r>
      <w:r>
        <w:rPr>
          <w:rFonts w:ascii="Times New Roman" w:eastAsia="Times New Roman" w:hAnsi="Times New Roman"/>
          <w:sz w:val="24"/>
          <w:szCs w:val="24"/>
        </w:rPr>
        <w:t>sólo</w:t>
      </w:r>
      <w:r>
        <w:rPr>
          <w:rFonts w:ascii="Times New Roman" w:eastAsia="Times New Roman" w:hAnsi="Times New Roman"/>
          <w:color w:val="000000"/>
          <w:sz w:val="24"/>
          <w:szCs w:val="24"/>
        </w:rPr>
        <w:t xml:space="preserve"> se otorgará al líder social, defensor de derechos humanos o persona objeto de protección cuyo núcleo familiar</w:t>
      </w:r>
      <w:r>
        <w:rPr>
          <w:rFonts w:ascii="Times New Roman" w:eastAsia="Times New Roman" w:hAnsi="Times New Roman"/>
          <w:color w:val="000000"/>
          <w:sz w:val="24"/>
          <w:szCs w:val="24"/>
        </w:rPr>
        <w:t xml:space="preserve"> esté conformado por mínimo tres (3) personas. Su temporalidad será de hasta tres (3) meses, prorrogables de acuerdo con la valoración que realice el Comité Departamental de Estudio de Casos. </w:t>
      </w:r>
    </w:p>
    <w:p w14:paraId="005A61B8" w14:textId="77777777" w:rsidR="00A026A8" w:rsidRDefault="00A026A8">
      <w:pPr>
        <w:widowControl w:val="0"/>
        <w:pBdr>
          <w:top w:val="nil"/>
          <w:left w:val="nil"/>
          <w:bottom w:val="nil"/>
          <w:right w:val="nil"/>
          <w:between w:val="nil"/>
        </w:pBdr>
        <w:spacing w:after="0" w:line="240" w:lineRule="auto"/>
        <w:ind w:left="1068"/>
        <w:jc w:val="both"/>
        <w:rPr>
          <w:rFonts w:ascii="Times New Roman" w:eastAsia="Times New Roman" w:hAnsi="Times New Roman"/>
          <w:color w:val="000000"/>
          <w:sz w:val="24"/>
          <w:szCs w:val="24"/>
        </w:rPr>
      </w:pPr>
    </w:p>
    <w:p w14:paraId="26638B6A" w14:textId="77777777" w:rsidR="00A026A8" w:rsidRDefault="00301297">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Apoyo para alimentación a través de paquetes alimentarios y no</w:t>
      </w:r>
      <w:r>
        <w:rPr>
          <w:rFonts w:ascii="Times New Roman" w:eastAsia="Times New Roman" w:hAnsi="Times New Roman"/>
          <w:b/>
          <w:color w:val="000000"/>
          <w:sz w:val="24"/>
          <w:szCs w:val="24"/>
        </w:rPr>
        <w:t xml:space="preserve"> alimentarios (bono).</w:t>
      </w:r>
      <w:r>
        <w:rPr>
          <w:rFonts w:ascii="Times New Roman" w:eastAsia="Times New Roman" w:hAnsi="Times New Roman"/>
          <w:color w:val="000000"/>
          <w:sz w:val="24"/>
          <w:szCs w:val="24"/>
        </w:rPr>
        <w:t xml:space="preserve"> Esta medida transitoria </w:t>
      </w:r>
      <w:r>
        <w:rPr>
          <w:rFonts w:ascii="Times New Roman" w:eastAsia="Times New Roman" w:hAnsi="Times New Roman"/>
          <w:sz w:val="24"/>
          <w:szCs w:val="24"/>
        </w:rPr>
        <w:t>sólo</w:t>
      </w:r>
      <w:r>
        <w:rPr>
          <w:rFonts w:ascii="Times New Roman" w:eastAsia="Times New Roman" w:hAnsi="Times New Roman"/>
          <w:color w:val="000000"/>
          <w:sz w:val="24"/>
          <w:szCs w:val="24"/>
        </w:rPr>
        <w:t xml:space="preserve"> se otorgará al líder social, defensor de derechos humanos o persona objeto de protección cuyos ingresos se hayan visto afectados a causa del hecho victimizante, previa valoración y remisión respectiva por </w:t>
      </w:r>
      <w:r>
        <w:rPr>
          <w:rFonts w:ascii="Times New Roman" w:eastAsia="Times New Roman" w:hAnsi="Times New Roman"/>
          <w:color w:val="000000"/>
          <w:sz w:val="24"/>
          <w:szCs w:val="24"/>
        </w:rPr>
        <w:t>parte del Comité Departamental de Estudio de Casos.</w:t>
      </w:r>
    </w:p>
    <w:p w14:paraId="53E8247F" w14:textId="77777777" w:rsidR="00A026A8" w:rsidRDefault="00A026A8">
      <w:pPr>
        <w:widowControl w:val="0"/>
        <w:pBdr>
          <w:top w:val="nil"/>
          <w:left w:val="nil"/>
          <w:bottom w:val="nil"/>
          <w:right w:val="nil"/>
          <w:between w:val="nil"/>
        </w:pBdr>
        <w:spacing w:after="0" w:line="240" w:lineRule="auto"/>
        <w:ind w:left="1068"/>
        <w:jc w:val="both"/>
        <w:rPr>
          <w:rFonts w:ascii="Times New Roman" w:eastAsia="Times New Roman" w:hAnsi="Times New Roman"/>
          <w:color w:val="000000"/>
          <w:sz w:val="24"/>
          <w:szCs w:val="24"/>
        </w:rPr>
      </w:pPr>
    </w:p>
    <w:p w14:paraId="0BCCECD7" w14:textId="77777777" w:rsidR="00A026A8" w:rsidRDefault="00301297">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b/>
          <w:color w:val="000000"/>
          <w:sz w:val="24"/>
          <w:szCs w:val="24"/>
          <w:highlight w:val="white"/>
        </w:rPr>
      </w:pPr>
      <w:r>
        <w:rPr>
          <w:rFonts w:ascii="Times New Roman" w:eastAsia="Times New Roman" w:hAnsi="Times New Roman"/>
          <w:b/>
          <w:color w:val="000000"/>
          <w:sz w:val="24"/>
          <w:szCs w:val="24"/>
          <w:highlight w:val="white"/>
        </w:rPr>
        <w:t xml:space="preserve">Apoyo de transporte intermunicipal o interdepartamental. </w:t>
      </w:r>
      <w:r>
        <w:rPr>
          <w:rFonts w:ascii="Times New Roman" w:eastAsia="Times New Roman" w:hAnsi="Times New Roman"/>
          <w:color w:val="000000"/>
          <w:sz w:val="24"/>
          <w:szCs w:val="24"/>
          <w:highlight w:val="white"/>
        </w:rPr>
        <w:t xml:space="preserve">Esta medida transitoria </w:t>
      </w:r>
      <w:r>
        <w:rPr>
          <w:rFonts w:ascii="Times New Roman" w:eastAsia="Times New Roman" w:hAnsi="Times New Roman"/>
          <w:sz w:val="24"/>
          <w:szCs w:val="24"/>
          <w:highlight w:val="white"/>
        </w:rPr>
        <w:t>sólo</w:t>
      </w:r>
      <w:r>
        <w:rPr>
          <w:rFonts w:ascii="Times New Roman" w:eastAsia="Times New Roman" w:hAnsi="Times New Roman"/>
          <w:color w:val="000000"/>
          <w:sz w:val="24"/>
          <w:szCs w:val="24"/>
          <w:highlight w:val="white"/>
        </w:rPr>
        <w:t xml:space="preserve"> se otorgará al líder social, defensor de derechos humanos o persona objeto de protección, en donde se identifique la </w:t>
      </w:r>
      <w:r>
        <w:rPr>
          <w:rFonts w:ascii="Times New Roman" w:eastAsia="Times New Roman" w:hAnsi="Times New Roman"/>
          <w:color w:val="000000"/>
          <w:sz w:val="24"/>
          <w:szCs w:val="24"/>
          <w:highlight w:val="white"/>
        </w:rPr>
        <w:t>necesidad de implementación, acorde con la posibilidad del riesgo evidenciado, previa valoración y remisión respectiva por parte del Comité Departamental de Estudio de Casos</w:t>
      </w:r>
    </w:p>
    <w:p w14:paraId="4FA69945" w14:textId="77777777" w:rsidR="00A026A8" w:rsidRDefault="00A026A8">
      <w:pPr>
        <w:widowControl w:val="0"/>
        <w:pBdr>
          <w:top w:val="nil"/>
          <w:left w:val="nil"/>
          <w:bottom w:val="nil"/>
          <w:right w:val="nil"/>
          <w:between w:val="nil"/>
        </w:pBdr>
        <w:spacing w:after="0" w:line="240" w:lineRule="auto"/>
        <w:ind w:left="1068"/>
        <w:jc w:val="both"/>
        <w:rPr>
          <w:rFonts w:ascii="Times New Roman" w:eastAsia="Times New Roman" w:hAnsi="Times New Roman"/>
          <w:b/>
          <w:color w:val="000000"/>
          <w:sz w:val="24"/>
          <w:szCs w:val="24"/>
        </w:rPr>
      </w:pPr>
    </w:p>
    <w:p w14:paraId="4552C981" w14:textId="77777777" w:rsidR="00A026A8" w:rsidRDefault="00301297">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Apoyo de trasteo. </w:t>
      </w:r>
      <w:r>
        <w:rPr>
          <w:rFonts w:ascii="Times New Roman" w:eastAsia="Times New Roman" w:hAnsi="Times New Roman"/>
          <w:color w:val="000000"/>
          <w:sz w:val="24"/>
          <w:szCs w:val="24"/>
        </w:rPr>
        <w:t>Solo se otorgará previa valoración y remisión respectiva por pa</w:t>
      </w:r>
      <w:r>
        <w:rPr>
          <w:rFonts w:ascii="Times New Roman" w:eastAsia="Times New Roman" w:hAnsi="Times New Roman"/>
          <w:color w:val="000000"/>
          <w:sz w:val="24"/>
          <w:szCs w:val="24"/>
        </w:rPr>
        <w:t>rte del Comité Departamental de Estudio de Casos, en donde se identifique la necesidad de implementación, acorde con la posibilidad del riesgo evidenciado.</w:t>
      </w:r>
    </w:p>
    <w:p w14:paraId="140920C0"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b/>
          <w:color w:val="000000"/>
          <w:sz w:val="24"/>
          <w:szCs w:val="24"/>
        </w:rPr>
      </w:pPr>
    </w:p>
    <w:p w14:paraId="3D3A12C8" w14:textId="77777777" w:rsidR="00A026A8" w:rsidRDefault="00301297">
      <w:pPr>
        <w:widowControl w:val="0"/>
        <w:numPr>
          <w:ilvl w:val="0"/>
          <w:numId w:val="4"/>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Solicitud de medidas a otras entidades. </w:t>
      </w:r>
      <w:r>
        <w:rPr>
          <w:rFonts w:ascii="Times New Roman" w:eastAsia="Times New Roman" w:hAnsi="Times New Roman"/>
          <w:color w:val="000000"/>
          <w:sz w:val="24"/>
          <w:szCs w:val="24"/>
        </w:rPr>
        <w:t>El Comité Departamental de Estudio de Casos debe solicitar a la Policía Metropolitana las medidas policivas que correspondan, en virtud del artículo 218 de la Constitución Política, artículos 16 y 19 de la Ley 62 de 1993, artículos 2.4.1.2.21 y 2.4.1.2.29.</w:t>
      </w:r>
      <w:r>
        <w:rPr>
          <w:rFonts w:ascii="Times New Roman" w:eastAsia="Times New Roman" w:hAnsi="Times New Roman"/>
          <w:color w:val="000000"/>
          <w:sz w:val="24"/>
          <w:szCs w:val="24"/>
        </w:rPr>
        <w:t xml:space="preserve"> del Decreto 1066 de 2015. Esta solicitud dependerá del consentimiento y voluntad del líder social, defensor de derechos </w:t>
      </w:r>
      <w:r>
        <w:rPr>
          <w:rFonts w:ascii="Times New Roman" w:eastAsia="Times New Roman" w:hAnsi="Times New Roman"/>
          <w:sz w:val="24"/>
          <w:szCs w:val="24"/>
        </w:rPr>
        <w:t>humanos</w:t>
      </w:r>
      <w:r>
        <w:rPr>
          <w:rFonts w:ascii="Times New Roman" w:eastAsia="Times New Roman" w:hAnsi="Times New Roman"/>
          <w:color w:val="000000"/>
          <w:sz w:val="24"/>
          <w:szCs w:val="24"/>
        </w:rPr>
        <w:t xml:space="preserve"> o persona objeto de protección. </w:t>
      </w:r>
    </w:p>
    <w:p w14:paraId="77EF62DC"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35B09AD1"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PARÁGRAFO PRIMERO.</w:t>
      </w:r>
      <w:r>
        <w:rPr>
          <w:rFonts w:ascii="Times New Roman" w:eastAsia="Times New Roman" w:hAnsi="Times New Roman"/>
          <w:color w:val="000000"/>
          <w:sz w:val="24"/>
          <w:szCs w:val="24"/>
        </w:rPr>
        <w:t xml:space="preserve"> Las medidas transitorias</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deben ser adelantadas entre el periodo que hay en</w:t>
      </w:r>
      <w:r>
        <w:rPr>
          <w:rFonts w:ascii="Times New Roman" w:eastAsia="Times New Roman" w:hAnsi="Times New Roman"/>
          <w:color w:val="000000"/>
          <w:sz w:val="24"/>
          <w:szCs w:val="24"/>
        </w:rPr>
        <w:t xml:space="preserve">tre la denuncia y la respuesta de la Unidad Nacional de Protección UNP que puede </w:t>
      </w:r>
      <w:r>
        <w:rPr>
          <w:rFonts w:ascii="Times New Roman" w:eastAsia="Times New Roman" w:hAnsi="Times New Roman"/>
          <w:color w:val="000000"/>
          <w:sz w:val="24"/>
          <w:szCs w:val="24"/>
        </w:rPr>
        <w:lastRenderedPageBreak/>
        <w:t xml:space="preserve">tardar hasta seis (6) meses, lo que implica una permanente articulación y comunicación interinstitucional con la UNP. </w:t>
      </w:r>
    </w:p>
    <w:p w14:paraId="5330185E"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7723C32F"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PARÁGRAFO SEGUNDO.</w:t>
      </w:r>
      <w:r>
        <w:rPr>
          <w:rFonts w:ascii="Times New Roman" w:eastAsia="Times New Roman" w:hAnsi="Times New Roman"/>
          <w:color w:val="000000"/>
          <w:sz w:val="24"/>
          <w:szCs w:val="24"/>
        </w:rPr>
        <w:t xml:space="preserve"> El Comité Departamental de Estudio d</w:t>
      </w:r>
      <w:r>
        <w:rPr>
          <w:rFonts w:ascii="Times New Roman" w:eastAsia="Times New Roman" w:hAnsi="Times New Roman"/>
          <w:color w:val="000000"/>
          <w:sz w:val="24"/>
          <w:szCs w:val="24"/>
        </w:rPr>
        <w:t xml:space="preserve">e Casos podrá adoptar otras medidas transitorias, según la necesidad de implementación y situación del riesgo del líder social, defensor de derechos humanos o persona objeto de protección. </w:t>
      </w:r>
    </w:p>
    <w:p w14:paraId="3203D7A3" w14:textId="77777777" w:rsidR="00A026A8" w:rsidRDefault="00A026A8">
      <w:pPr>
        <w:widowControl w:val="0"/>
        <w:pBdr>
          <w:top w:val="nil"/>
          <w:left w:val="nil"/>
          <w:bottom w:val="nil"/>
          <w:right w:val="nil"/>
          <w:between w:val="nil"/>
        </w:pBdr>
        <w:tabs>
          <w:tab w:val="left" w:pos="1140"/>
        </w:tabs>
        <w:spacing w:after="0" w:line="240" w:lineRule="auto"/>
        <w:jc w:val="both"/>
        <w:rPr>
          <w:rFonts w:ascii="Times New Roman" w:eastAsia="Times New Roman" w:hAnsi="Times New Roman"/>
          <w:color w:val="000000"/>
          <w:sz w:val="24"/>
          <w:szCs w:val="24"/>
        </w:rPr>
      </w:pPr>
    </w:p>
    <w:p w14:paraId="587461E7" w14:textId="77777777" w:rsidR="00A026A8" w:rsidRDefault="00301297">
      <w:pPr>
        <w:spacing w:before="92" w:line="235" w:lineRule="auto"/>
        <w:ind w:right="100"/>
        <w:jc w:val="both"/>
        <w:rPr>
          <w:rFonts w:ascii="Times New Roman" w:eastAsia="Times New Roman" w:hAnsi="Times New Roman"/>
          <w:sz w:val="24"/>
          <w:szCs w:val="24"/>
        </w:rPr>
      </w:pPr>
      <w:bookmarkStart w:id="3" w:name="bookmark=id.30j0zll" w:colFirst="0" w:colLast="0"/>
      <w:bookmarkEnd w:id="3"/>
      <w:r>
        <w:rPr>
          <w:rFonts w:ascii="Times New Roman" w:eastAsia="Times New Roman" w:hAnsi="Times New Roman"/>
          <w:b/>
          <w:sz w:val="24"/>
          <w:szCs w:val="24"/>
        </w:rPr>
        <w:t xml:space="preserve">ARTÍCULO 11. ASIGNACIÓN DE MEDIDAS TRANSITORIAS.  </w:t>
      </w:r>
      <w:r>
        <w:rPr>
          <w:rFonts w:ascii="Times New Roman" w:eastAsia="Times New Roman" w:hAnsi="Times New Roman"/>
          <w:sz w:val="24"/>
          <w:szCs w:val="24"/>
        </w:rPr>
        <w:t xml:space="preserve">La asignación </w:t>
      </w:r>
      <w:r>
        <w:rPr>
          <w:rFonts w:ascii="Times New Roman" w:eastAsia="Times New Roman" w:hAnsi="Times New Roman"/>
          <w:sz w:val="24"/>
          <w:szCs w:val="24"/>
        </w:rPr>
        <w:t>de las medidas transitorias estará a cargo del</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Comité Departamental de Estudio de Casos y se otorgarán previa realización de las actividades aquí previstas: </w:t>
      </w:r>
    </w:p>
    <w:p w14:paraId="03DCC505" w14:textId="77777777" w:rsidR="00A026A8" w:rsidRDefault="00301297">
      <w:pPr>
        <w:widowControl w:val="0"/>
        <w:numPr>
          <w:ilvl w:val="0"/>
          <w:numId w:val="6"/>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Validar la necesidad de brindar las medidas descritas anteriormente, a través de los conceptos jur</w:t>
      </w:r>
      <w:r>
        <w:rPr>
          <w:rFonts w:ascii="Times New Roman" w:eastAsia="Times New Roman" w:hAnsi="Times New Roman"/>
          <w:color w:val="000000"/>
          <w:sz w:val="24"/>
          <w:szCs w:val="24"/>
        </w:rPr>
        <w:t xml:space="preserve">ídico y psicológico. </w:t>
      </w:r>
    </w:p>
    <w:p w14:paraId="477F0C16" w14:textId="77777777" w:rsidR="00A026A8" w:rsidRDefault="00301297">
      <w:pPr>
        <w:widowControl w:val="0"/>
        <w:numPr>
          <w:ilvl w:val="0"/>
          <w:numId w:val="6"/>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Determinar la asistencia a familiares hasta el primer grado de consanguinidad, primer grado de afinidad o civil, de los líderes sociales, defensores de derechos humanos o población objeto de protección, indicando los motivos por los c</w:t>
      </w:r>
      <w:r>
        <w:rPr>
          <w:rFonts w:ascii="Times New Roman" w:eastAsia="Times New Roman" w:hAnsi="Times New Roman"/>
          <w:color w:val="000000"/>
          <w:sz w:val="24"/>
          <w:szCs w:val="24"/>
        </w:rPr>
        <w:t>uales se considera que se deben o no garantizar alguna medida de asistencia. Para ello deberá tenerse en cuenta el principio de familia diversa desarrollado por la jurisprudencia de la Corte Constitucional.</w:t>
      </w:r>
    </w:p>
    <w:p w14:paraId="6FFF7577" w14:textId="77777777" w:rsidR="00A026A8" w:rsidRDefault="00301297">
      <w:pPr>
        <w:widowControl w:val="0"/>
        <w:numPr>
          <w:ilvl w:val="0"/>
          <w:numId w:val="6"/>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Establecer la temporalidad de las medidas transit</w:t>
      </w:r>
      <w:r>
        <w:rPr>
          <w:rFonts w:ascii="Times New Roman" w:eastAsia="Times New Roman" w:hAnsi="Times New Roman"/>
          <w:color w:val="000000"/>
          <w:sz w:val="24"/>
          <w:szCs w:val="24"/>
        </w:rPr>
        <w:t>orias</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de acuerdo con el análisis específico de cada una, la cual podrá estar determinada por días, hasta máximo tres (3) meses, a partir de los cuales el Comité Departamental de Estudio de Casos debe sesionar y analizar la pertinencia de su ampliación.</w:t>
      </w:r>
    </w:p>
    <w:p w14:paraId="364A4F64"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Tod</w:t>
      </w:r>
      <w:r>
        <w:rPr>
          <w:rFonts w:ascii="Times New Roman" w:eastAsia="Times New Roman" w:hAnsi="Times New Roman"/>
          <w:sz w:val="24"/>
          <w:szCs w:val="24"/>
        </w:rPr>
        <w:t>o lo anterior deberá quedar registrado a través en el Acta de Reunión de Asignación de medidas que se cree para tal fin.</w:t>
      </w:r>
    </w:p>
    <w:p w14:paraId="5BD47E3A"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b/>
          <w:sz w:val="24"/>
          <w:szCs w:val="24"/>
        </w:rPr>
        <w:t>PARÁGRAFO PRIMERO.</w:t>
      </w:r>
      <w:r>
        <w:rPr>
          <w:rFonts w:ascii="Times New Roman" w:eastAsia="Times New Roman" w:hAnsi="Times New Roman"/>
          <w:sz w:val="24"/>
          <w:szCs w:val="24"/>
        </w:rPr>
        <w:t xml:space="preserve"> La validación para el otorgamiento de la medida transitoria de protección debe hacerse, de acuerdo con criterios y p</w:t>
      </w:r>
      <w:r>
        <w:rPr>
          <w:rFonts w:ascii="Times New Roman" w:eastAsia="Times New Roman" w:hAnsi="Times New Roman"/>
          <w:sz w:val="24"/>
          <w:szCs w:val="24"/>
        </w:rPr>
        <w:t xml:space="preserve">rincipios constitucionales como son: el principio de buena fe, poblaciones con presunción de riesgo, enfoques diferenciales, situaciones de conflicto armado no internacional, características del riesgo establecidas en la Sentencia T-719 de 2003. </w:t>
      </w:r>
    </w:p>
    <w:p w14:paraId="01FB5B2E"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b/>
          <w:sz w:val="24"/>
          <w:szCs w:val="24"/>
        </w:rPr>
        <w:t xml:space="preserve">ARTÍCULO </w:t>
      </w:r>
      <w:r>
        <w:rPr>
          <w:rFonts w:ascii="Times New Roman" w:eastAsia="Times New Roman" w:hAnsi="Times New Roman"/>
          <w:b/>
          <w:sz w:val="24"/>
          <w:szCs w:val="24"/>
        </w:rPr>
        <w:t xml:space="preserve">12. REMISIÓN DE IMPLEMENTACIÓN DE MEDIDAS TRANSITORIAS. </w:t>
      </w:r>
      <w:r>
        <w:rPr>
          <w:rFonts w:ascii="Times New Roman" w:eastAsia="Times New Roman" w:hAnsi="Times New Roman"/>
          <w:sz w:val="24"/>
          <w:szCs w:val="24"/>
        </w:rPr>
        <w:t xml:space="preserve">El Comité Departamental de Estudio de Casos elaborará las remisiones para la implementación de medidas a través del formato que cree la Secretaría de Gobierno departamental. </w:t>
      </w:r>
    </w:p>
    <w:p w14:paraId="22E59A9A"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La remisión deberá conten</w:t>
      </w:r>
      <w:r>
        <w:rPr>
          <w:rFonts w:ascii="Times New Roman" w:eastAsia="Times New Roman" w:hAnsi="Times New Roman"/>
          <w:sz w:val="24"/>
          <w:szCs w:val="24"/>
        </w:rPr>
        <w:t xml:space="preserve">er: </w:t>
      </w:r>
    </w:p>
    <w:p w14:paraId="5D68C3D6" w14:textId="77777777" w:rsidR="00A026A8" w:rsidRDefault="00301297">
      <w:pPr>
        <w:widowControl w:val="0"/>
        <w:numPr>
          <w:ilvl w:val="0"/>
          <w:numId w:val="12"/>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 necesidad de implementación de las medidas transitorias. </w:t>
      </w:r>
    </w:p>
    <w:p w14:paraId="172DDAF0" w14:textId="77777777" w:rsidR="00A026A8" w:rsidRDefault="00301297">
      <w:pPr>
        <w:widowControl w:val="0"/>
        <w:numPr>
          <w:ilvl w:val="0"/>
          <w:numId w:val="12"/>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Nombres, apellidos, número de identificación del líder social, defensor de derechos humanos o persona objeto de protección. </w:t>
      </w:r>
    </w:p>
    <w:p w14:paraId="5534D5C5" w14:textId="77777777" w:rsidR="00A026A8" w:rsidRDefault="00301297">
      <w:pPr>
        <w:widowControl w:val="0"/>
        <w:numPr>
          <w:ilvl w:val="0"/>
          <w:numId w:val="12"/>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Lugar en donde deba ser prestada la medida transitoria de protección autorizada. </w:t>
      </w:r>
    </w:p>
    <w:p w14:paraId="66F9C353" w14:textId="77777777" w:rsidR="00A026A8" w:rsidRDefault="00301297">
      <w:pPr>
        <w:widowControl w:val="0"/>
        <w:numPr>
          <w:ilvl w:val="0"/>
          <w:numId w:val="12"/>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Las medidas transitorias autorizadas. </w:t>
      </w:r>
    </w:p>
    <w:p w14:paraId="16C7426A" w14:textId="77777777" w:rsidR="00A026A8" w:rsidRDefault="00301297">
      <w:pPr>
        <w:widowControl w:val="0"/>
        <w:numPr>
          <w:ilvl w:val="0"/>
          <w:numId w:val="12"/>
        </w:numPr>
        <w:pBdr>
          <w:top w:val="nil"/>
          <w:left w:val="nil"/>
          <w:bottom w:val="nil"/>
          <w:right w:val="nil"/>
          <w:between w:val="nil"/>
        </w:pBdr>
        <w:spacing w:before="92" w:after="0" w:line="235" w:lineRule="auto"/>
        <w:ind w:right="10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El enfoque diferencial que aplica al caso en concreto. </w:t>
      </w:r>
    </w:p>
    <w:p w14:paraId="754B8843" w14:textId="77777777" w:rsidR="00A026A8" w:rsidRDefault="00301297">
      <w:pPr>
        <w:widowControl w:val="0"/>
        <w:numPr>
          <w:ilvl w:val="0"/>
          <w:numId w:val="12"/>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Firma de las personas que autorizaron las medidas transitorias. </w:t>
      </w:r>
    </w:p>
    <w:p w14:paraId="6DB77589" w14:textId="77777777" w:rsidR="00A026A8" w:rsidRDefault="00A026A8">
      <w:pPr>
        <w:spacing w:before="92" w:line="235" w:lineRule="auto"/>
        <w:ind w:right="100"/>
        <w:jc w:val="both"/>
        <w:rPr>
          <w:rFonts w:ascii="Times New Roman" w:eastAsia="Times New Roman" w:hAnsi="Times New Roman"/>
          <w:b/>
          <w:sz w:val="24"/>
          <w:szCs w:val="24"/>
        </w:rPr>
      </w:pPr>
    </w:p>
    <w:p w14:paraId="32250B12"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b/>
          <w:sz w:val="24"/>
          <w:szCs w:val="24"/>
        </w:rPr>
        <w:t xml:space="preserve">ARTÍCULO 13. </w:t>
      </w:r>
      <w:r>
        <w:rPr>
          <w:rFonts w:ascii="Times New Roman" w:eastAsia="Times New Roman" w:hAnsi="Times New Roman"/>
          <w:b/>
          <w:sz w:val="24"/>
          <w:szCs w:val="24"/>
        </w:rPr>
        <w:t xml:space="preserve">SOLICITUD NIVEL DEL RIESGO ANTE EL COMITÉ DE EVALUACIÓN DE RIESGO Y RECOMENDACIÓN DE MEDIDAS CERREM. </w:t>
      </w:r>
      <w:r>
        <w:rPr>
          <w:rFonts w:ascii="Times New Roman" w:eastAsia="Times New Roman" w:hAnsi="Times New Roman"/>
          <w:sz w:val="24"/>
          <w:szCs w:val="24"/>
        </w:rPr>
        <w:t xml:space="preserve">El Comité Departamental de Estudio de Casos realizará las siguientes gestiones ante la UNP: </w:t>
      </w:r>
    </w:p>
    <w:p w14:paraId="52268695" w14:textId="77777777" w:rsidR="00A026A8" w:rsidRDefault="00301297">
      <w:pPr>
        <w:widowControl w:val="0"/>
        <w:numPr>
          <w:ilvl w:val="0"/>
          <w:numId w:val="13"/>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Solicitar el inicio del estudio de nivel de riesgo</w:t>
      </w:r>
    </w:p>
    <w:p w14:paraId="2B05E230" w14:textId="77777777" w:rsidR="00A026A8" w:rsidRDefault="00301297">
      <w:pPr>
        <w:widowControl w:val="0"/>
        <w:numPr>
          <w:ilvl w:val="0"/>
          <w:numId w:val="13"/>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ser nece</w:t>
      </w:r>
      <w:r>
        <w:rPr>
          <w:rFonts w:ascii="Times New Roman" w:eastAsia="Times New Roman" w:hAnsi="Times New Roman"/>
          <w:color w:val="000000"/>
          <w:sz w:val="24"/>
          <w:szCs w:val="24"/>
        </w:rPr>
        <w:t xml:space="preserve">sario, solicitar el trámite de emergencia. </w:t>
      </w:r>
    </w:p>
    <w:p w14:paraId="1BC32009" w14:textId="77777777" w:rsidR="00A026A8" w:rsidRDefault="00301297">
      <w:pPr>
        <w:widowControl w:val="0"/>
        <w:numPr>
          <w:ilvl w:val="0"/>
          <w:numId w:val="13"/>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Requerir al CERREM que los casos de mujeres </w:t>
      </w:r>
      <w:r>
        <w:rPr>
          <w:rFonts w:ascii="Times New Roman" w:eastAsia="Times New Roman" w:hAnsi="Times New Roman"/>
          <w:sz w:val="24"/>
          <w:szCs w:val="24"/>
        </w:rPr>
        <w:t>lideresas</w:t>
      </w:r>
      <w:r>
        <w:rPr>
          <w:rFonts w:ascii="Times New Roman" w:eastAsia="Times New Roman" w:hAnsi="Times New Roman"/>
          <w:color w:val="000000"/>
          <w:sz w:val="24"/>
          <w:szCs w:val="24"/>
        </w:rPr>
        <w:t xml:space="preserve"> sociales, defensoras de derechos humanos o personas objeto de protección, sean estudiados desde un enfoque de género y se adopten medidas integrales o complem</w:t>
      </w:r>
      <w:r>
        <w:rPr>
          <w:rFonts w:ascii="Times New Roman" w:eastAsia="Times New Roman" w:hAnsi="Times New Roman"/>
          <w:color w:val="000000"/>
          <w:sz w:val="24"/>
          <w:szCs w:val="24"/>
        </w:rPr>
        <w:t>entarias a favor de las protegidas.</w:t>
      </w:r>
    </w:p>
    <w:p w14:paraId="27B0AF85" w14:textId="77777777" w:rsidR="00A026A8" w:rsidRDefault="00A026A8">
      <w:pPr>
        <w:widowControl w:val="0"/>
        <w:pBdr>
          <w:top w:val="nil"/>
          <w:left w:val="nil"/>
          <w:bottom w:val="nil"/>
          <w:right w:val="nil"/>
          <w:between w:val="nil"/>
        </w:pBdr>
        <w:spacing w:before="92" w:after="0" w:line="235" w:lineRule="auto"/>
        <w:ind w:left="720" w:right="100"/>
        <w:jc w:val="both"/>
        <w:rPr>
          <w:rFonts w:ascii="Times New Roman" w:eastAsia="Times New Roman" w:hAnsi="Times New Roman"/>
          <w:color w:val="000000"/>
          <w:sz w:val="24"/>
          <w:szCs w:val="24"/>
        </w:rPr>
      </w:pPr>
    </w:p>
    <w:p w14:paraId="404A4846"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b/>
          <w:sz w:val="24"/>
          <w:szCs w:val="24"/>
        </w:rPr>
        <w:t xml:space="preserve">ARTÍCULO 14. IMPLEMENTACIÓN DE MEDIDAS TRANSITORIAS. </w:t>
      </w:r>
      <w:r>
        <w:rPr>
          <w:rFonts w:ascii="Times New Roman" w:eastAsia="Times New Roman" w:hAnsi="Times New Roman"/>
          <w:sz w:val="24"/>
          <w:szCs w:val="24"/>
        </w:rPr>
        <w:t>La Secretaría de Gobierno departamental deberá definir la disponibilidad presupuestal, tipo de medidas a implementar y modalidad de implementación, esto es, si la implementación de medidas transitorias se realizará de manera directa o a través de un operad</w:t>
      </w:r>
      <w:r>
        <w:rPr>
          <w:rFonts w:ascii="Times New Roman" w:eastAsia="Times New Roman" w:hAnsi="Times New Roman"/>
          <w:sz w:val="24"/>
          <w:szCs w:val="24"/>
        </w:rPr>
        <w:t xml:space="preserve">or. </w:t>
      </w:r>
    </w:p>
    <w:p w14:paraId="7CC37FCA"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 xml:space="preserve">Será necesario que las Gobernaciones realicen un balance del número de casos atendidos en vigencias anteriores para que definan un presupuesto estimado por vigencia para la posible implementación de medidas transitorias. </w:t>
      </w:r>
    </w:p>
    <w:p w14:paraId="730A6AD5"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b/>
          <w:sz w:val="24"/>
          <w:szCs w:val="24"/>
        </w:rPr>
        <w:t>ARTÍCULO 15. SEGUIMIENTO A LA</w:t>
      </w:r>
      <w:r>
        <w:rPr>
          <w:rFonts w:ascii="Times New Roman" w:eastAsia="Times New Roman" w:hAnsi="Times New Roman"/>
          <w:b/>
          <w:sz w:val="24"/>
          <w:szCs w:val="24"/>
        </w:rPr>
        <w:t xml:space="preserve">S MEDIDAS TRANSITORIAS. </w:t>
      </w:r>
      <w:r>
        <w:rPr>
          <w:rFonts w:ascii="Times New Roman" w:eastAsia="Times New Roman" w:hAnsi="Times New Roman"/>
          <w:sz w:val="24"/>
          <w:szCs w:val="24"/>
        </w:rPr>
        <w:t>El seguimiento a las medidas transitorias implementadas estará a cargo de la Secretaría de Gobierno departamental. Para efectuar dicho seguimiento se realizará de manera periódica una reunión en donde se revisará el avance de cada m</w:t>
      </w:r>
      <w:r>
        <w:rPr>
          <w:rFonts w:ascii="Times New Roman" w:eastAsia="Times New Roman" w:hAnsi="Times New Roman"/>
          <w:sz w:val="24"/>
          <w:szCs w:val="24"/>
        </w:rPr>
        <w:t xml:space="preserve">edida desde su otorgamiento. </w:t>
      </w:r>
    </w:p>
    <w:p w14:paraId="71B1505B"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 xml:space="preserve">La periodicidad de la reunión de seguimiento será cada quince (15) días y se deberán realizar las siguientes actividades. </w:t>
      </w:r>
    </w:p>
    <w:p w14:paraId="3A64B150" w14:textId="77777777" w:rsidR="00A026A8" w:rsidRDefault="00301297">
      <w:pPr>
        <w:widowControl w:val="0"/>
        <w:numPr>
          <w:ilvl w:val="0"/>
          <w:numId w:val="14"/>
        </w:numPr>
        <w:pBdr>
          <w:top w:val="nil"/>
          <w:left w:val="nil"/>
          <w:bottom w:val="nil"/>
          <w:right w:val="nil"/>
          <w:between w:val="nil"/>
        </w:pBdr>
        <w:spacing w:before="92" w:after="0" w:line="235" w:lineRule="auto"/>
        <w:ind w:right="10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Seguimiento a la implementación de medidas transitorias. </w:t>
      </w:r>
      <w:r>
        <w:rPr>
          <w:rFonts w:ascii="Times New Roman" w:eastAsia="Times New Roman" w:hAnsi="Times New Roman"/>
          <w:color w:val="000000"/>
          <w:sz w:val="24"/>
          <w:szCs w:val="24"/>
        </w:rPr>
        <w:t>La Secretaría</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de Gobierno departamental </w:t>
      </w:r>
      <w:r>
        <w:rPr>
          <w:rFonts w:ascii="Times New Roman" w:eastAsia="Times New Roman" w:hAnsi="Times New Roman"/>
          <w:sz w:val="24"/>
          <w:szCs w:val="24"/>
        </w:rPr>
        <w:t xml:space="preserve">realizará </w:t>
      </w:r>
      <w:r>
        <w:rPr>
          <w:rFonts w:ascii="Times New Roman" w:eastAsia="Times New Roman" w:hAnsi="Times New Roman"/>
          <w:color w:val="000000"/>
          <w:sz w:val="24"/>
          <w:szCs w:val="24"/>
        </w:rPr>
        <w:t>el seguimiento de cada caso, teniendo en cuenta la relación existente entre la medida transitoria de protección y la remisión para su implementación. Dicho seguimiento quedará registrado en el Formato de Acta de Reunión de Seguimiento que la Secr</w:t>
      </w:r>
      <w:r>
        <w:rPr>
          <w:rFonts w:ascii="Times New Roman" w:eastAsia="Times New Roman" w:hAnsi="Times New Roman"/>
          <w:color w:val="000000"/>
          <w:sz w:val="24"/>
          <w:szCs w:val="24"/>
        </w:rPr>
        <w:t>etaría</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de Gobierno departamental cree para tal fin. </w:t>
      </w:r>
    </w:p>
    <w:p w14:paraId="43F32673" w14:textId="77777777" w:rsidR="00A026A8" w:rsidRDefault="00301297">
      <w:pPr>
        <w:spacing w:before="92" w:line="235" w:lineRule="auto"/>
        <w:ind w:left="708" w:right="100"/>
        <w:jc w:val="both"/>
        <w:rPr>
          <w:rFonts w:ascii="Times New Roman" w:eastAsia="Times New Roman" w:hAnsi="Times New Roman"/>
          <w:sz w:val="24"/>
          <w:szCs w:val="24"/>
        </w:rPr>
      </w:pPr>
      <w:r>
        <w:rPr>
          <w:rFonts w:ascii="Times New Roman" w:eastAsia="Times New Roman" w:hAnsi="Times New Roman"/>
          <w:sz w:val="24"/>
          <w:szCs w:val="24"/>
        </w:rPr>
        <w:t xml:space="preserve">Cuando se trate de la medida transitoria de protección de apoyo para arrendamiento, deberá llevar a cabo las verificaciones que correspondan en el sitio de residencia. </w:t>
      </w:r>
    </w:p>
    <w:p w14:paraId="6216E231" w14:textId="77777777" w:rsidR="00A026A8" w:rsidRDefault="00301297">
      <w:pPr>
        <w:widowControl w:val="0"/>
        <w:numPr>
          <w:ilvl w:val="0"/>
          <w:numId w:val="14"/>
        </w:numPr>
        <w:pBdr>
          <w:top w:val="nil"/>
          <w:left w:val="nil"/>
          <w:bottom w:val="nil"/>
          <w:right w:val="nil"/>
          <w:between w:val="nil"/>
        </w:pBdr>
        <w:spacing w:before="92" w:after="0" w:line="235" w:lineRule="auto"/>
        <w:ind w:right="10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Seguimiento a las remisiones y sol</w:t>
      </w:r>
      <w:r>
        <w:rPr>
          <w:rFonts w:ascii="Times New Roman" w:eastAsia="Times New Roman" w:hAnsi="Times New Roman"/>
          <w:b/>
          <w:color w:val="000000"/>
          <w:sz w:val="24"/>
          <w:szCs w:val="24"/>
        </w:rPr>
        <w:t xml:space="preserve">icitudes enviadas a otras entidades. </w:t>
      </w:r>
      <w:r>
        <w:rPr>
          <w:rFonts w:ascii="Times New Roman" w:eastAsia="Times New Roman" w:hAnsi="Times New Roman"/>
          <w:color w:val="000000"/>
          <w:sz w:val="24"/>
          <w:szCs w:val="24"/>
        </w:rPr>
        <w:t>La Secretaría de Gobierno departamental deberá realizar el seguimiento a las remisiones y solicitudes enviadas a las diferentes entidades del orden nacional y distrital.</w:t>
      </w:r>
    </w:p>
    <w:p w14:paraId="22F05888" w14:textId="77777777" w:rsidR="00A026A8" w:rsidRDefault="00301297">
      <w:pPr>
        <w:widowControl w:val="0"/>
        <w:pBdr>
          <w:top w:val="nil"/>
          <w:left w:val="nil"/>
          <w:bottom w:val="nil"/>
          <w:right w:val="nil"/>
          <w:between w:val="nil"/>
        </w:pBdr>
        <w:spacing w:before="92" w:after="0" w:line="235" w:lineRule="auto"/>
        <w:ind w:left="720" w:right="1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Cuando se trate de ampliación de medidas transito</w:t>
      </w:r>
      <w:r>
        <w:rPr>
          <w:rFonts w:ascii="Times New Roman" w:eastAsia="Times New Roman" w:hAnsi="Times New Roman"/>
          <w:color w:val="000000"/>
          <w:sz w:val="24"/>
          <w:szCs w:val="24"/>
        </w:rPr>
        <w:t>rias, la Unidad Nacional de Protección, deberá realizar el seguimiento e informar su decisión al Comité Departamental de Estudio de Casos.</w:t>
      </w:r>
    </w:p>
    <w:p w14:paraId="79810E01" w14:textId="77777777" w:rsidR="00A026A8" w:rsidRDefault="00301297">
      <w:pPr>
        <w:widowControl w:val="0"/>
        <w:numPr>
          <w:ilvl w:val="0"/>
          <w:numId w:val="14"/>
        </w:numPr>
        <w:pBdr>
          <w:top w:val="nil"/>
          <w:left w:val="nil"/>
          <w:bottom w:val="nil"/>
          <w:right w:val="nil"/>
          <w:between w:val="nil"/>
        </w:pBdr>
        <w:spacing w:before="92" w:after="0" w:line="235" w:lineRule="auto"/>
        <w:ind w:right="100"/>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 xml:space="preserve">Seguimiento financiero. </w:t>
      </w:r>
      <w:r>
        <w:rPr>
          <w:rFonts w:ascii="Times New Roman" w:eastAsia="Times New Roman" w:hAnsi="Times New Roman"/>
          <w:color w:val="000000"/>
          <w:sz w:val="24"/>
          <w:szCs w:val="24"/>
        </w:rPr>
        <w:t>Al finalizar cada mes</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la Secretaría de Gobierno departamental llevará a cabo el seguimiento </w:t>
      </w:r>
      <w:r>
        <w:rPr>
          <w:rFonts w:ascii="Times New Roman" w:eastAsia="Times New Roman" w:hAnsi="Times New Roman"/>
          <w:color w:val="000000"/>
          <w:sz w:val="24"/>
          <w:szCs w:val="24"/>
        </w:rPr>
        <w:t xml:space="preserve">financiero, para ello revisará los </w:t>
      </w:r>
      <w:r>
        <w:rPr>
          <w:rFonts w:ascii="Times New Roman" w:eastAsia="Times New Roman" w:hAnsi="Times New Roman"/>
          <w:color w:val="000000"/>
          <w:sz w:val="24"/>
          <w:szCs w:val="24"/>
        </w:rPr>
        <w:lastRenderedPageBreak/>
        <w:t xml:space="preserve">soportes de entregas. El pago estará sujeto a dicha revisión.  </w:t>
      </w:r>
    </w:p>
    <w:p w14:paraId="670329D5" w14:textId="77777777" w:rsidR="00A026A8" w:rsidRDefault="00301297">
      <w:pPr>
        <w:widowControl w:val="0"/>
        <w:numPr>
          <w:ilvl w:val="0"/>
          <w:numId w:val="14"/>
        </w:numPr>
        <w:pBdr>
          <w:top w:val="nil"/>
          <w:left w:val="nil"/>
          <w:bottom w:val="nil"/>
          <w:right w:val="nil"/>
          <w:between w:val="nil"/>
        </w:pBdr>
        <w:spacing w:before="92" w:after="0" w:line="235" w:lineRule="auto"/>
        <w:ind w:right="10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Informe de supervisión</w:t>
      </w:r>
      <w:r>
        <w:rPr>
          <w:rFonts w:ascii="Times New Roman" w:eastAsia="Times New Roman" w:hAnsi="Times New Roman"/>
          <w:color w:val="000000"/>
          <w:sz w:val="24"/>
          <w:szCs w:val="24"/>
        </w:rPr>
        <w:t xml:space="preserve">. Contendrá el resultado de los seguimientos descritos en los numerales 1,2 y 3. </w:t>
      </w:r>
    </w:p>
    <w:p w14:paraId="7F68B8C0" w14:textId="77777777" w:rsidR="00A026A8" w:rsidRDefault="00A026A8">
      <w:pPr>
        <w:widowControl w:val="0"/>
        <w:pBdr>
          <w:top w:val="nil"/>
          <w:left w:val="nil"/>
          <w:bottom w:val="nil"/>
          <w:right w:val="nil"/>
          <w:between w:val="nil"/>
        </w:pBdr>
        <w:spacing w:before="92" w:after="0" w:line="235" w:lineRule="auto"/>
        <w:ind w:left="720" w:right="100"/>
        <w:jc w:val="both"/>
        <w:rPr>
          <w:rFonts w:ascii="Times New Roman" w:eastAsia="Times New Roman" w:hAnsi="Times New Roman"/>
          <w:b/>
          <w:color w:val="000000"/>
          <w:sz w:val="24"/>
          <w:szCs w:val="24"/>
        </w:rPr>
      </w:pPr>
    </w:p>
    <w:p w14:paraId="6F849EEC" w14:textId="77777777" w:rsidR="00A026A8" w:rsidRDefault="00301297">
      <w:pPr>
        <w:spacing w:before="92" w:line="235" w:lineRule="auto"/>
        <w:ind w:right="100"/>
        <w:jc w:val="both"/>
        <w:rPr>
          <w:rFonts w:ascii="Times New Roman" w:eastAsia="Times New Roman" w:hAnsi="Times New Roman"/>
          <w:b/>
          <w:sz w:val="24"/>
          <w:szCs w:val="24"/>
        </w:rPr>
      </w:pPr>
      <w:r>
        <w:rPr>
          <w:rFonts w:ascii="Times New Roman" w:eastAsia="Times New Roman" w:hAnsi="Times New Roman"/>
          <w:b/>
          <w:sz w:val="24"/>
          <w:szCs w:val="24"/>
        </w:rPr>
        <w:t xml:space="preserve">ARTÍCULO 16. CIERRE DEL CASO. </w:t>
      </w:r>
      <w:r>
        <w:rPr>
          <w:rFonts w:ascii="Times New Roman" w:eastAsia="Times New Roman" w:hAnsi="Times New Roman"/>
          <w:sz w:val="24"/>
          <w:szCs w:val="24"/>
        </w:rPr>
        <w:t xml:space="preserve">El Comité </w:t>
      </w:r>
      <w:r>
        <w:rPr>
          <w:rFonts w:ascii="Times New Roman" w:eastAsia="Times New Roman" w:hAnsi="Times New Roman"/>
          <w:sz w:val="24"/>
          <w:szCs w:val="24"/>
        </w:rPr>
        <w:t>Departamental de Estudio de Casos será quien determine la terminación de las medidas transitorias, de acuerdo con la información que arroje el seguimiento del caso. Esta terminación se dará cuando:</w:t>
      </w:r>
      <w:r>
        <w:rPr>
          <w:rFonts w:ascii="Times New Roman" w:eastAsia="Times New Roman" w:hAnsi="Times New Roman"/>
          <w:b/>
          <w:sz w:val="24"/>
          <w:szCs w:val="24"/>
        </w:rPr>
        <w:t xml:space="preserve"> </w:t>
      </w:r>
    </w:p>
    <w:p w14:paraId="4DD1C9A1"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 xml:space="preserve">Se cumpla el término de la medida transitoria. El Comité </w:t>
      </w:r>
      <w:r>
        <w:rPr>
          <w:rFonts w:ascii="Times New Roman" w:eastAsia="Times New Roman" w:hAnsi="Times New Roman"/>
          <w:sz w:val="24"/>
          <w:szCs w:val="24"/>
        </w:rPr>
        <w:t>Departamental de Estudio de Casos analizará la pertinencia de ampliación si pasado el término previsto no se tiene respuesta por parte de la Unidad Nacional de Protección. De ser ampliada se informará al líder social, defensor de derechos humanos o persona</w:t>
      </w:r>
      <w:r>
        <w:rPr>
          <w:rFonts w:ascii="Times New Roman" w:eastAsia="Times New Roman" w:hAnsi="Times New Roman"/>
          <w:sz w:val="24"/>
          <w:szCs w:val="24"/>
        </w:rPr>
        <w:t xml:space="preserve"> objeto de protección.</w:t>
      </w:r>
    </w:p>
    <w:p w14:paraId="0431161C"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Se implementen medidas de protección por parte de la Unidad Nacional de Protección. La Unidad Nacional de Protección informa mediante oficio la aplicación de las medidas para lo cual se le informa al líder social, defensor de derecho</w:t>
      </w:r>
      <w:r>
        <w:rPr>
          <w:rFonts w:ascii="Times New Roman" w:eastAsia="Times New Roman" w:hAnsi="Times New Roman"/>
          <w:sz w:val="24"/>
          <w:szCs w:val="24"/>
        </w:rPr>
        <w:t xml:space="preserve">s humanos o persona objeto de protección la terminación de medidas por parte de la gobernación y el municipio. </w:t>
      </w:r>
    </w:p>
    <w:p w14:paraId="6A29E3DF"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 xml:space="preserve">Se determine por parte de la Unidad Nacional de Protección que el nivel de riesgo del defensor o defensora de derechos humanos es ordinario. </w:t>
      </w:r>
    </w:p>
    <w:p w14:paraId="6417C896"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Se</w:t>
      </w:r>
      <w:r>
        <w:rPr>
          <w:rFonts w:ascii="Times New Roman" w:eastAsia="Times New Roman" w:hAnsi="Times New Roman"/>
          <w:sz w:val="24"/>
          <w:szCs w:val="24"/>
        </w:rPr>
        <w:t xml:space="preserve"> presente desistimiento de estudio de nivel de riesgo por parte del líder social, defensor de derechos humanos o persona objeto de protección ante la Unidad Nacional de Protección. </w:t>
      </w:r>
    </w:p>
    <w:p w14:paraId="7F7715E1"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A partir del seguimiento realizado, se establezca que la persona sujeta de</w:t>
      </w:r>
      <w:r>
        <w:rPr>
          <w:rFonts w:ascii="Times New Roman" w:eastAsia="Times New Roman" w:hAnsi="Times New Roman"/>
          <w:sz w:val="24"/>
          <w:szCs w:val="24"/>
        </w:rPr>
        <w:t xml:space="preserve"> las medidas transitorias ejecuta conductas que implican riesgo para su vida e integridad personal sin tener en cuenta las recomendaciones de autoprotección. </w:t>
      </w:r>
    </w:p>
    <w:p w14:paraId="168F4E74"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La persona beneficiaria de las medidas transitorias no hace uso de las mismas, en un tiempo prude</w:t>
      </w:r>
      <w:r>
        <w:rPr>
          <w:rFonts w:ascii="Times New Roman" w:eastAsia="Times New Roman" w:hAnsi="Times New Roman"/>
          <w:sz w:val="24"/>
          <w:szCs w:val="24"/>
        </w:rPr>
        <w:t xml:space="preserve">ncial. </w:t>
      </w:r>
    </w:p>
    <w:p w14:paraId="12C17968"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La persona beneficiaria de las medidas transitorias, ejecuta conductas punibles, contravencionales o disciplinables haciendo uso de los medios físicos y humanos dispuestos en la Ruta de Atención.; usufructúa comercialmente los medios de atención di</w:t>
      </w:r>
      <w:r>
        <w:rPr>
          <w:rFonts w:ascii="Times New Roman" w:eastAsia="Times New Roman" w:hAnsi="Times New Roman"/>
          <w:sz w:val="24"/>
          <w:szCs w:val="24"/>
        </w:rPr>
        <w:t xml:space="preserve">spuestos en su favor o causa daño intencionalmente a los medios de atención físicos y humanos asignados en el marco de la Ruta de Atención, para lo cual además, se informará a las autoridades correspondientes. </w:t>
      </w:r>
    </w:p>
    <w:p w14:paraId="235B4647"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La persona beneficiaria de la medida acude in</w:t>
      </w:r>
      <w:r>
        <w:rPr>
          <w:rFonts w:ascii="Times New Roman" w:eastAsia="Times New Roman" w:hAnsi="Times New Roman"/>
          <w:sz w:val="24"/>
          <w:szCs w:val="24"/>
        </w:rPr>
        <w:t xml:space="preserve">justificadamente a lugares en donde se ponga en riesgo su seguridad. </w:t>
      </w:r>
    </w:p>
    <w:p w14:paraId="7FA3CDCF"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 xml:space="preserve">La persona beneficiaria retorna a la zona de riesgo sin informar oportunamente a las autoridades. </w:t>
      </w:r>
    </w:p>
    <w:p w14:paraId="4A1B6AFF"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t>La persona beneficiaria solicite la suspensión de las medidas, lo cual deberá hacerlo p</w:t>
      </w:r>
      <w:r>
        <w:rPr>
          <w:rFonts w:ascii="Times New Roman" w:eastAsia="Times New Roman" w:hAnsi="Times New Roman"/>
          <w:sz w:val="24"/>
          <w:szCs w:val="24"/>
        </w:rPr>
        <w:t>or escrito ante la dependencia con competencia de la Secretaría de Gobierno departamental para la implementación de la Ruta de Atención.</w:t>
      </w:r>
    </w:p>
    <w:p w14:paraId="18E48897" w14:textId="77777777" w:rsidR="00A026A8" w:rsidRDefault="00301297">
      <w:pPr>
        <w:numPr>
          <w:ilvl w:val="0"/>
          <w:numId w:val="7"/>
        </w:numPr>
        <w:spacing w:before="92" w:line="235" w:lineRule="auto"/>
        <w:ind w:right="100"/>
        <w:jc w:val="both"/>
        <w:rPr>
          <w:rFonts w:ascii="Times New Roman" w:eastAsia="Times New Roman" w:hAnsi="Times New Roman"/>
          <w:sz w:val="24"/>
          <w:szCs w:val="24"/>
        </w:rPr>
      </w:pPr>
      <w:r>
        <w:rPr>
          <w:rFonts w:ascii="Times New Roman" w:eastAsia="Times New Roman" w:hAnsi="Times New Roman"/>
          <w:sz w:val="24"/>
          <w:szCs w:val="24"/>
        </w:rPr>
        <w:lastRenderedPageBreak/>
        <w:t>Al presentarse una o varias de las causales previamente descritas se dará inicio al cierre de caso, para lo cual se lle</w:t>
      </w:r>
      <w:r>
        <w:rPr>
          <w:rFonts w:ascii="Times New Roman" w:eastAsia="Times New Roman" w:hAnsi="Times New Roman"/>
          <w:sz w:val="24"/>
          <w:szCs w:val="24"/>
        </w:rPr>
        <w:t xml:space="preserve">vará a cabo el diligenciamiento del formato de cierre de caso que será creado por la Secretaría de Gobierno departamental. </w:t>
      </w:r>
    </w:p>
    <w:p w14:paraId="1258B511" w14:textId="77777777" w:rsidR="00A026A8" w:rsidRDefault="00A026A8">
      <w:pPr>
        <w:spacing w:before="92" w:line="235" w:lineRule="auto"/>
        <w:ind w:left="720" w:right="100"/>
        <w:jc w:val="both"/>
        <w:rPr>
          <w:rFonts w:ascii="Times New Roman" w:eastAsia="Times New Roman" w:hAnsi="Times New Roman"/>
          <w:sz w:val="24"/>
          <w:szCs w:val="24"/>
        </w:rPr>
      </w:pPr>
    </w:p>
    <w:p w14:paraId="70270718"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ARTÍCULO </w:t>
      </w:r>
      <w:r>
        <w:rPr>
          <w:rFonts w:ascii="Times New Roman" w:eastAsia="Times New Roman" w:hAnsi="Times New Roman"/>
          <w:b/>
          <w:sz w:val="24"/>
          <w:szCs w:val="24"/>
        </w:rPr>
        <w:t>17</w:t>
      </w:r>
      <w:r>
        <w:rPr>
          <w:rFonts w:ascii="Times New Roman" w:eastAsia="Times New Roman" w:hAnsi="Times New Roman"/>
          <w:b/>
          <w:color w:val="000000"/>
          <w:sz w:val="24"/>
          <w:szCs w:val="24"/>
        </w:rPr>
        <w:t xml:space="preserve">. COMITÉ DEPARTAMENTAL DE ESTUDIO DE CASOS. </w:t>
      </w:r>
      <w:r>
        <w:rPr>
          <w:rFonts w:ascii="Times New Roman" w:eastAsia="Times New Roman" w:hAnsi="Times New Roman"/>
          <w:color w:val="000000"/>
          <w:sz w:val="24"/>
          <w:szCs w:val="24"/>
        </w:rPr>
        <w:t>El Comité Departamental de Estudio de Casos estará conformado por cinco (5) profesionales encargados de implementar la Ruta de Atención, distribuidos así: dos (2) profesionales de la Secretaría de Gobierno municipal, nombrados por el alcalde; dos (2) profe</w:t>
      </w:r>
      <w:r>
        <w:rPr>
          <w:rFonts w:ascii="Times New Roman" w:eastAsia="Times New Roman" w:hAnsi="Times New Roman"/>
          <w:color w:val="000000"/>
          <w:sz w:val="24"/>
          <w:szCs w:val="24"/>
        </w:rPr>
        <w:t xml:space="preserve">sionales de la Secretaría de Gobierno departamental nombrados por el gobernador; y un (1) representante delegado de la policía, designado por el Comandante de la Policía del departamento.  </w:t>
      </w:r>
    </w:p>
    <w:p w14:paraId="24480D38"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7B2FED97"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 Comité Departamental de Estudio de Casos deberá realizar la va</w:t>
      </w:r>
      <w:r>
        <w:rPr>
          <w:rFonts w:ascii="Times New Roman" w:eastAsia="Times New Roman" w:hAnsi="Times New Roman"/>
          <w:color w:val="000000"/>
          <w:sz w:val="24"/>
          <w:szCs w:val="24"/>
        </w:rPr>
        <w:t>loración sumaria de la situación de riesgo, amenaza o vulnerabilidad, teniendo en cuenta los insumos suministrados por los funcionarios de las Secretarías de Gobierno municipales o departamentales y, conforme a ello determinar las medidas transitorias a ad</w:t>
      </w:r>
      <w:r>
        <w:rPr>
          <w:rFonts w:ascii="Times New Roman" w:eastAsia="Times New Roman" w:hAnsi="Times New Roman"/>
          <w:color w:val="000000"/>
          <w:sz w:val="24"/>
          <w:szCs w:val="24"/>
        </w:rPr>
        <w:t xml:space="preserve">optar. </w:t>
      </w:r>
    </w:p>
    <w:p w14:paraId="78BAA84C"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2BD761EC"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Cuando se trate de defensores de derechos humanos pertenecientes a grupos étnicos, el Comité Departamental de Estudio de Casos deberá articularse con la dependencia encargada del enfoque diferencial y asuntos étnicos de la Unidad Nacional de Prote</w:t>
      </w:r>
      <w:r>
        <w:rPr>
          <w:rFonts w:ascii="Times New Roman" w:eastAsia="Times New Roman" w:hAnsi="Times New Roman"/>
          <w:color w:val="000000"/>
          <w:sz w:val="24"/>
          <w:szCs w:val="24"/>
        </w:rPr>
        <w:t xml:space="preserve">cción, en aras de armonizar con las autoridades propias de las comunidades las estrategias de restablecimiento de los derechos. </w:t>
      </w:r>
    </w:p>
    <w:p w14:paraId="00D46D62"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7075097D"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ARTÍCULO </w:t>
      </w:r>
      <w:r>
        <w:rPr>
          <w:rFonts w:ascii="Times New Roman" w:eastAsia="Times New Roman" w:hAnsi="Times New Roman"/>
          <w:b/>
          <w:sz w:val="24"/>
          <w:szCs w:val="24"/>
        </w:rPr>
        <w:t>18</w:t>
      </w:r>
      <w:r>
        <w:rPr>
          <w:rFonts w:ascii="Times New Roman" w:eastAsia="Times New Roman" w:hAnsi="Times New Roman"/>
          <w:b/>
          <w:color w:val="000000"/>
          <w:sz w:val="24"/>
          <w:szCs w:val="24"/>
        </w:rPr>
        <w:t>. SESIONES DEL COMITÉ DEPARTAMENTAL DE ESTUDIO DE CASOS.</w:t>
      </w:r>
      <w:r>
        <w:rPr>
          <w:rFonts w:ascii="Times New Roman" w:eastAsia="Times New Roman" w:hAnsi="Times New Roman"/>
          <w:color w:val="000000"/>
          <w:sz w:val="24"/>
          <w:szCs w:val="24"/>
        </w:rPr>
        <w:t xml:space="preserve"> El Comité Departamental de Estudio de Casos sesionará de f</w:t>
      </w:r>
      <w:r>
        <w:rPr>
          <w:rFonts w:ascii="Times New Roman" w:eastAsia="Times New Roman" w:hAnsi="Times New Roman"/>
          <w:color w:val="000000"/>
          <w:sz w:val="24"/>
          <w:szCs w:val="24"/>
        </w:rPr>
        <w:t>orma ordinaria o extraordinaria.  Las sesiones ordinarias serán llevadas a cabo cada quince (15) días, previa convocatoria. Las sesiones extraordinarias, se podrán convocar sin previo aviso, a petición de quien sea designado para ejercer la secretaría técn</w:t>
      </w:r>
      <w:r>
        <w:rPr>
          <w:rFonts w:ascii="Times New Roman" w:eastAsia="Times New Roman" w:hAnsi="Times New Roman"/>
          <w:color w:val="000000"/>
          <w:sz w:val="24"/>
          <w:szCs w:val="24"/>
        </w:rPr>
        <w:t>ica del Comité Departamental de Estudio de Casos, cuando el grado de vulnerabilidad de alguno de los casos lo requiera.</w:t>
      </w:r>
    </w:p>
    <w:p w14:paraId="54F9E5CA"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11F1529F"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ARTÍCULO 1</w:t>
      </w:r>
      <w:r>
        <w:rPr>
          <w:rFonts w:ascii="Times New Roman" w:eastAsia="Times New Roman" w:hAnsi="Times New Roman"/>
          <w:b/>
          <w:sz w:val="24"/>
          <w:szCs w:val="24"/>
        </w:rPr>
        <w:t>9</w:t>
      </w:r>
      <w:r>
        <w:rPr>
          <w:rFonts w:ascii="Times New Roman" w:eastAsia="Times New Roman" w:hAnsi="Times New Roman"/>
          <w:b/>
          <w:color w:val="000000"/>
          <w:sz w:val="24"/>
          <w:szCs w:val="24"/>
        </w:rPr>
        <w:t>. SECRETARÍA TÉCNICA DEL COMITÉ</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 xml:space="preserve">DEPARTAMENTAL DE ESTUDIO DE CASOS. </w:t>
      </w:r>
      <w:r>
        <w:rPr>
          <w:rFonts w:ascii="Times New Roman" w:eastAsia="Times New Roman" w:hAnsi="Times New Roman"/>
          <w:color w:val="000000"/>
          <w:sz w:val="24"/>
          <w:szCs w:val="24"/>
        </w:rPr>
        <w:t>El Comité Departamental de Estudio de Casos tendrá una Se</w:t>
      </w:r>
      <w:r>
        <w:rPr>
          <w:rFonts w:ascii="Times New Roman" w:eastAsia="Times New Roman" w:hAnsi="Times New Roman"/>
          <w:color w:val="000000"/>
          <w:sz w:val="24"/>
          <w:szCs w:val="24"/>
        </w:rPr>
        <w:t xml:space="preserve">cretaría Técnica, que recibirá las solicitudes de estudio de casos y convocará a sesión. </w:t>
      </w:r>
    </w:p>
    <w:p w14:paraId="71FB683D"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54DADB21" w14:textId="77777777" w:rsidR="00A026A8" w:rsidRDefault="00301297">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PARÁGRAFO PRIMERO</w:t>
      </w:r>
      <w:r>
        <w:rPr>
          <w:rFonts w:ascii="Times New Roman" w:eastAsia="Times New Roman" w:hAnsi="Times New Roman"/>
          <w:color w:val="000000"/>
          <w:sz w:val="24"/>
          <w:szCs w:val="24"/>
        </w:rPr>
        <w:t>. Únicamente podrá ser designado como Secretario Técnico un servidor público de nivel directivo o asesor vinculado a la Secretaría de Gobierno depar</w:t>
      </w:r>
      <w:r>
        <w:rPr>
          <w:rFonts w:ascii="Times New Roman" w:eastAsia="Times New Roman" w:hAnsi="Times New Roman"/>
          <w:color w:val="000000"/>
          <w:sz w:val="24"/>
          <w:szCs w:val="24"/>
        </w:rPr>
        <w:t xml:space="preserve">tamental o quien haga sus veces. </w:t>
      </w:r>
    </w:p>
    <w:p w14:paraId="6B155B46"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p>
    <w:p w14:paraId="2D5B87EA"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b/>
          <w:sz w:val="24"/>
          <w:szCs w:val="24"/>
        </w:rPr>
        <w:t>ARTÍCULO 20. ACTAS DEL COMITÉ DEPARTAMENTAL DE ESTUDIO DE CASOS.</w:t>
      </w:r>
      <w:r>
        <w:rPr>
          <w:rFonts w:ascii="Times New Roman" w:eastAsia="Times New Roman" w:hAnsi="Times New Roman"/>
          <w:sz w:val="24"/>
          <w:szCs w:val="24"/>
        </w:rPr>
        <w:t xml:space="preserve"> El Comité Departamental de Estudio de Caso deberá llevar un registro de todas sus actuaciones, para ello al finalizar cada sesión se elaborará un acta en la</w:t>
      </w:r>
      <w:r>
        <w:rPr>
          <w:rFonts w:ascii="Times New Roman" w:eastAsia="Times New Roman" w:hAnsi="Times New Roman"/>
          <w:sz w:val="24"/>
          <w:szCs w:val="24"/>
        </w:rPr>
        <w:t xml:space="preserve"> que se deje constancia de lo ocurrido.</w:t>
      </w:r>
    </w:p>
    <w:p w14:paraId="2B79DCAC"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b/>
          <w:sz w:val="24"/>
          <w:szCs w:val="24"/>
        </w:rPr>
        <w:t>ARTÍCULO 21.</w:t>
      </w:r>
      <w:r>
        <w:rPr>
          <w:rFonts w:ascii="Times New Roman" w:eastAsia="Times New Roman" w:hAnsi="Times New Roman"/>
          <w:sz w:val="24"/>
          <w:szCs w:val="24"/>
        </w:rPr>
        <w:t xml:space="preserve"> </w:t>
      </w:r>
      <w:r>
        <w:rPr>
          <w:rFonts w:ascii="Times New Roman" w:eastAsia="Times New Roman" w:hAnsi="Times New Roman"/>
          <w:b/>
          <w:sz w:val="24"/>
          <w:szCs w:val="24"/>
        </w:rPr>
        <w:t>FINANCIACIÓN DE LA ESTRATEGIA OPORTUNA E INTEGRAL DE ATENCIÓN.</w:t>
      </w:r>
      <w:r>
        <w:rPr>
          <w:rFonts w:ascii="Times New Roman" w:eastAsia="Times New Roman" w:hAnsi="Times New Roman"/>
          <w:sz w:val="24"/>
          <w:szCs w:val="24"/>
        </w:rPr>
        <w:t xml:space="preserve">  En virtud de los principios de concurrencia y subsidiariedad, en los casos que las entidades territoriales no puedan asumir con recursos pr</w:t>
      </w:r>
      <w:r>
        <w:rPr>
          <w:rFonts w:ascii="Times New Roman" w:eastAsia="Times New Roman" w:hAnsi="Times New Roman"/>
          <w:sz w:val="24"/>
          <w:szCs w:val="24"/>
        </w:rPr>
        <w:t xml:space="preserve">opios de libre destinación los costos derivados de la implementación de la presente </w:t>
      </w:r>
      <w:r>
        <w:rPr>
          <w:rFonts w:ascii="Times New Roman" w:eastAsia="Times New Roman" w:hAnsi="Times New Roman"/>
          <w:sz w:val="24"/>
          <w:szCs w:val="24"/>
        </w:rPr>
        <w:lastRenderedPageBreak/>
        <w:t>estrategia, la Nación será responsable de los costos con cargo a los recursos del presupuesto general de la Nación. Para tal efecto, el Ministerio de Hacienda y Crédito Púb</w:t>
      </w:r>
      <w:r>
        <w:rPr>
          <w:rFonts w:ascii="Times New Roman" w:eastAsia="Times New Roman" w:hAnsi="Times New Roman"/>
          <w:sz w:val="24"/>
          <w:szCs w:val="24"/>
        </w:rPr>
        <w:t>lico establecerá el mecanismo de transferencia a cada entidad territorial conforme lo determine en sus procesos y procedimientos.</w:t>
      </w:r>
    </w:p>
    <w:p w14:paraId="7D1382F4"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b/>
          <w:sz w:val="24"/>
          <w:szCs w:val="24"/>
        </w:rPr>
        <w:t xml:space="preserve">PARÁGRAFO PRIMERO. </w:t>
      </w:r>
      <w:r>
        <w:rPr>
          <w:rFonts w:ascii="Times New Roman" w:eastAsia="Times New Roman" w:hAnsi="Times New Roman"/>
          <w:sz w:val="24"/>
          <w:szCs w:val="24"/>
        </w:rPr>
        <w:t>En virtud de la presente ley, en todos los departamentos y municipios deberá funcionar el Fondo para la Ate</w:t>
      </w:r>
      <w:r>
        <w:rPr>
          <w:rFonts w:ascii="Times New Roman" w:eastAsia="Times New Roman" w:hAnsi="Times New Roman"/>
          <w:sz w:val="24"/>
          <w:szCs w:val="24"/>
        </w:rPr>
        <w:t>nción y Protección de Líderes Sociales con carácter de “fondo cuenta” financiado con recursos del Presupuesto General de la Nación, que se cree para tal fin. Los recursos del Fondo se distribuirán según las necesidades reportadas por las entidades territor</w:t>
      </w:r>
      <w:r>
        <w:rPr>
          <w:rFonts w:ascii="Times New Roman" w:eastAsia="Times New Roman" w:hAnsi="Times New Roman"/>
          <w:sz w:val="24"/>
          <w:szCs w:val="24"/>
        </w:rPr>
        <w:t xml:space="preserve">iales y tendrá por objetivo financiar las medidas iniciales y transitorias dispuestas en la presente ley.   </w:t>
      </w:r>
    </w:p>
    <w:p w14:paraId="7093CDFD" w14:textId="77777777" w:rsidR="00A026A8" w:rsidRDefault="00301297">
      <w:pPr>
        <w:spacing w:before="92" w:line="235" w:lineRule="auto"/>
        <w:ind w:right="100"/>
        <w:jc w:val="both"/>
        <w:rPr>
          <w:rFonts w:ascii="Times New Roman" w:eastAsia="Times New Roman" w:hAnsi="Times New Roman"/>
          <w:b/>
          <w:sz w:val="24"/>
          <w:szCs w:val="24"/>
        </w:rPr>
      </w:pPr>
      <w:r>
        <w:rPr>
          <w:rFonts w:ascii="Times New Roman" w:eastAsia="Times New Roman" w:hAnsi="Times New Roman"/>
          <w:b/>
          <w:sz w:val="24"/>
          <w:szCs w:val="24"/>
        </w:rPr>
        <w:t>PARÁGRAFO SEGUNDO.</w:t>
      </w:r>
      <w:r>
        <w:rPr>
          <w:rFonts w:ascii="Times New Roman" w:eastAsia="Times New Roman" w:hAnsi="Times New Roman"/>
          <w:sz w:val="24"/>
          <w:szCs w:val="24"/>
        </w:rPr>
        <w:t xml:space="preserve"> El Gobierno Nacional reglamentará este artículo dentro del término de seis (6) meses contados a partir de la entrada en vigencia</w:t>
      </w:r>
      <w:r>
        <w:rPr>
          <w:rFonts w:ascii="Times New Roman" w:eastAsia="Times New Roman" w:hAnsi="Times New Roman"/>
          <w:sz w:val="24"/>
          <w:szCs w:val="24"/>
        </w:rPr>
        <w:t xml:space="preserve"> de la presente ley.</w:t>
      </w:r>
    </w:p>
    <w:p w14:paraId="71524CC8" w14:textId="77777777" w:rsidR="00A026A8" w:rsidRDefault="00301297">
      <w:pPr>
        <w:spacing w:before="92" w:line="235" w:lineRule="auto"/>
        <w:ind w:right="100"/>
        <w:jc w:val="both"/>
        <w:rPr>
          <w:rFonts w:ascii="Times New Roman" w:eastAsia="Times New Roman" w:hAnsi="Times New Roman"/>
          <w:sz w:val="24"/>
          <w:szCs w:val="24"/>
        </w:rPr>
      </w:pPr>
      <w:r>
        <w:rPr>
          <w:rFonts w:ascii="Times New Roman" w:eastAsia="Times New Roman" w:hAnsi="Times New Roman"/>
          <w:b/>
          <w:sz w:val="24"/>
          <w:szCs w:val="24"/>
        </w:rPr>
        <w:t xml:space="preserve">ARTÍCULO 23. VIGENCIA Y DEROGATORIA. </w:t>
      </w:r>
      <w:r>
        <w:rPr>
          <w:rFonts w:ascii="Times New Roman" w:eastAsia="Times New Roman" w:hAnsi="Times New Roman"/>
          <w:sz w:val="24"/>
          <w:szCs w:val="24"/>
        </w:rPr>
        <w:t xml:space="preserve">La presente Ley rige a partir de su sanción y promulgación y deroga todas las disposiciones que le sean contrarias. </w:t>
      </w:r>
    </w:p>
    <w:p w14:paraId="7D5887D1" w14:textId="77777777" w:rsidR="00A026A8" w:rsidRDefault="00A026A8">
      <w:pPr>
        <w:spacing w:line="240" w:lineRule="auto"/>
        <w:jc w:val="both"/>
        <w:rPr>
          <w:rFonts w:ascii="Times New Roman" w:eastAsia="Times New Roman" w:hAnsi="Times New Roman"/>
          <w:sz w:val="24"/>
          <w:szCs w:val="24"/>
        </w:rPr>
      </w:pPr>
    </w:p>
    <w:tbl>
      <w:tblPr>
        <w:tblStyle w:val="a2"/>
        <w:tblW w:w="8813" w:type="dxa"/>
        <w:tblInd w:w="15" w:type="dxa"/>
        <w:tblLayout w:type="fixed"/>
        <w:tblLook w:val="0400" w:firstRow="0" w:lastRow="0" w:firstColumn="0" w:lastColumn="0" w:noHBand="0" w:noVBand="1"/>
      </w:tblPr>
      <w:tblGrid>
        <w:gridCol w:w="4408"/>
        <w:gridCol w:w="4405"/>
      </w:tblGrid>
      <w:tr w:rsidR="00A026A8" w14:paraId="1BD63F0B" w14:textId="77777777" w:rsidTr="009D1626">
        <w:tc>
          <w:tcPr>
            <w:tcW w:w="4408" w:type="dxa"/>
          </w:tcPr>
          <w:p w14:paraId="485F642C" w14:textId="77777777" w:rsidR="00A026A8" w:rsidRDefault="00A026A8">
            <w:pPr>
              <w:pStyle w:val="Ttulo1"/>
              <w:ind w:firstLine="15"/>
              <w:jc w:val="left"/>
              <w:outlineLvl w:val="0"/>
            </w:pPr>
            <w:bookmarkStart w:id="4" w:name="_heading=h.svou0c6tyrs" w:colFirst="0" w:colLast="0"/>
            <w:bookmarkEnd w:id="4"/>
          </w:p>
          <w:p w14:paraId="0E92C095"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792FBC10" wp14:editId="374EBDA1">
                  <wp:extent cx="2495550" cy="1228725"/>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495550" cy="1228725"/>
                          </a:xfrm>
                          <a:prstGeom prst="rect">
                            <a:avLst/>
                          </a:prstGeom>
                          <a:ln/>
                        </pic:spPr>
                      </pic:pic>
                    </a:graphicData>
                  </a:graphic>
                </wp:inline>
              </w:drawing>
            </w:r>
          </w:p>
        </w:tc>
        <w:tc>
          <w:tcPr>
            <w:tcW w:w="4405" w:type="dxa"/>
          </w:tcPr>
          <w:p w14:paraId="2EF2CA61" w14:textId="77777777" w:rsidR="00A026A8" w:rsidRDefault="00A026A8">
            <w:pPr>
              <w:spacing w:after="0"/>
              <w:rPr>
                <w:rFonts w:ascii="Times New Roman" w:eastAsia="Times New Roman" w:hAnsi="Times New Roman"/>
                <w:sz w:val="24"/>
                <w:szCs w:val="24"/>
              </w:rPr>
            </w:pPr>
          </w:p>
          <w:p w14:paraId="334AB232" w14:textId="77777777" w:rsidR="00A026A8" w:rsidRDefault="00301297">
            <w:pPr>
              <w:spacing w:after="0" w:line="276" w:lineRule="auto"/>
              <w:jc w:val="both"/>
              <w:rPr>
                <w:rFonts w:ascii="Arial" w:eastAsia="Arial" w:hAnsi="Arial" w:cs="Arial"/>
                <w:b/>
                <w:sz w:val="22"/>
                <w:szCs w:val="22"/>
              </w:rPr>
            </w:pPr>
            <w:r>
              <w:rPr>
                <w:rFonts w:ascii="Arial" w:eastAsia="Arial" w:hAnsi="Arial" w:cs="Arial"/>
                <w:b/>
                <w:noProof/>
              </w:rPr>
              <w:drawing>
                <wp:inline distT="114300" distB="114300" distL="114300" distR="114300" wp14:anchorId="62CDA13A" wp14:editId="05AF22D0">
                  <wp:extent cx="2667000" cy="876300"/>
                  <wp:effectExtent l="0" t="0" r="0" b="0"/>
                  <wp:docPr id="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667000" cy="876300"/>
                          </a:xfrm>
                          <a:prstGeom prst="rect">
                            <a:avLst/>
                          </a:prstGeom>
                          <a:ln/>
                        </pic:spPr>
                      </pic:pic>
                    </a:graphicData>
                  </a:graphic>
                </wp:inline>
              </w:drawing>
            </w:r>
          </w:p>
          <w:p w14:paraId="53A30287" w14:textId="77777777" w:rsidR="00A026A8" w:rsidRDefault="00301297">
            <w:pPr>
              <w:spacing w:after="0" w:line="276" w:lineRule="auto"/>
              <w:jc w:val="center"/>
              <w:rPr>
                <w:rFonts w:ascii="Arial" w:eastAsia="Arial" w:hAnsi="Arial" w:cs="Arial"/>
                <w:b/>
                <w:sz w:val="22"/>
                <w:szCs w:val="22"/>
              </w:rPr>
            </w:pPr>
            <w:r>
              <w:rPr>
                <w:rFonts w:ascii="Arial" w:eastAsia="Arial" w:hAnsi="Arial" w:cs="Arial"/>
                <w:b/>
                <w:sz w:val="22"/>
                <w:szCs w:val="22"/>
              </w:rPr>
              <w:t>PALOMA VALENCIA LASERNA</w:t>
            </w:r>
          </w:p>
          <w:p w14:paraId="2FA4D122" w14:textId="77777777" w:rsidR="00A026A8" w:rsidRDefault="00301297">
            <w:pPr>
              <w:spacing w:after="0"/>
              <w:jc w:val="center"/>
              <w:rPr>
                <w:rFonts w:ascii="Arial" w:eastAsia="Arial" w:hAnsi="Arial" w:cs="Arial"/>
                <w:b/>
                <w:sz w:val="22"/>
                <w:szCs w:val="22"/>
              </w:rPr>
            </w:pPr>
            <w:r>
              <w:rPr>
                <w:rFonts w:ascii="Arial" w:eastAsia="Arial" w:hAnsi="Arial" w:cs="Arial"/>
                <w:sz w:val="22"/>
                <w:szCs w:val="22"/>
              </w:rPr>
              <w:t>Senadora de la República</w:t>
            </w:r>
          </w:p>
          <w:p w14:paraId="60F7C1E4" w14:textId="77777777" w:rsidR="00A026A8" w:rsidRDefault="00A026A8">
            <w:pPr>
              <w:spacing w:after="0"/>
              <w:jc w:val="center"/>
              <w:rPr>
                <w:rFonts w:ascii="Times New Roman" w:eastAsia="Times New Roman" w:hAnsi="Times New Roman"/>
                <w:sz w:val="24"/>
                <w:szCs w:val="24"/>
              </w:rPr>
            </w:pPr>
          </w:p>
        </w:tc>
      </w:tr>
      <w:tr w:rsidR="00A026A8" w14:paraId="0D2327B7" w14:textId="77777777" w:rsidTr="009D1626">
        <w:tc>
          <w:tcPr>
            <w:tcW w:w="4408" w:type="dxa"/>
          </w:tcPr>
          <w:p w14:paraId="053D3C1A" w14:textId="77777777" w:rsidR="00A026A8" w:rsidRDefault="00301297">
            <w:pPr>
              <w:spacing w:after="0"/>
              <w:jc w:val="center"/>
            </w:pPr>
            <w:r>
              <w:rPr>
                <w:rFonts w:ascii="Times New Roman" w:eastAsia="Times New Roman" w:hAnsi="Times New Roman"/>
                <w:noProof/>
                <w:sz w:val="24"/>
                <w:szCs w:val="24"/>
              </w:rPr>
              <w:drawing>
                <wp:inline distT="114300" distB="114300" distL="114300" distR="114300" wp14:anchorId="2AD738E4" wp14:editId="1DAE4691">
                  <wp:extent cx="2028825" cy="1447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28825" cy="1447800"/>
                          </a:xfrm>
                          <a:prstGeom prst="rect">
                            <a:avLst/>
                          </a:prstGeom>
                          <a:ln/>
                        </pic:spPr>
                      </pic:pic>
                    </a:graphicData>
                  </a:graphic>
                </wp:inline>
              </w:drawing>
            </w:r>
          </w:p>
        </w:tc>
        <w:tc>
          <w:tcPr>
            <w:tcW w:w="4405" w:type="dxa"/>
          </w:tcPr>
          <w:p w14:paraId="19376047"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41D5E3F2" wp14:editId="45968864">
                  <wp:extent cx="1143000" cy="847725"/>
                  <wp:effectExtent l="0" t="0" r="0" b="0"/>
                  <wp:docPr id="4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143000" cy="847725"/>
                          </a:xfrm>
                          <a:prstGeom prst="rect">
                            <a:avLst/>
                          </a:prstGeom>
                          <a:ln/>
                        </pic:spPr>
                      </pic:pic>
                    </a:graphicData>
                  </a:graphic>
                </wp:inline>
              </w:drawing>
            </w:r>
          </w:p>
          <w:p w14:paraId="7C754B6C" w14:textId="77777777" w:rsidR="00A026A8" w:rsidRDefault="00301297">
            <w:pPr>
              <w:spacing w:after="0"/>
              <w:jc w:val="center"/>
              <w:rPr>
                <w:rFonts w:ascii="Arial" w:eastAsia="Arial" w:hAnsi="Arial" w:cs="Arial"/>
                <w:b/>
                <w:sz w:val="22"/>
                <w:szCs w:val="22"/>
              </w:rPr>
            </w:pPr>
            <w:r>
              <w:rPr>
                <w:rFonts w:ascii="Times New Roman" w:eastAsia="Times New Roman" w:hAnsi="Times New Roman"/>
                <w:b/>
                <w:sz w:val="24"/>
                <w:szCs w:val="24"/>
              </w:rPr>
              <w:t>P</w:t>
            </w:r>
            <w:r>
              <w:rPr>
                <w:rFonts w:ascii="Arial" w:eastAsia="Arial" w:hAnsi="Arial" w:cs="Arial"/>
                <w:b/>
                <w:sz w:val="22"/>
                <w:szCs w:val="22"/>
              </w:rPr>
              <w:t xml:space="preserve">AOLA HOLGUÍN MORENO </w:t>
            </w:r>
          </w:p>
          <w:p w14:paraId="3ADB60F3" w14:textId="77777777" w:rsidR="00A026A8" w:rsidRDefault="00301297">
            <w:pPr>
              <w:spacing w:after="0"/>
              <w:jc w:val="center"/>
              <w:rPr>
                <w:rFonts w:ascii="Times New Roman" w:eastAsia="Times New Roman" w:hAnsi="Times New Roman"/>
                <w:sz w:val="24"/>
                <w:szCs w:val="24"/>
              </w:rPr>
            </w:pPr>
            <w:r>
              <w:rPr>
                <w:rFonts w:ascii="Arial" w:eastAsia="Arial" w:hAnsi="Arial" w:cs="Arial"/>
                <w:sz w:val="22"/>
                <w:szCs w:val="22"/>
              </w:rPr>
              <w:t xml:space="preserve">Senadora de la República </w:t>
            </w:r>
          </w:p>
        </w:tc>
      </w:tr>
      <w:tr w:rsidR="00A026A8" w14:paraId="00B91E26" w14:textId="77777777" w:rsidTr="009D1626">
        <w:tc>
          <w:tcPr>
            <w:tcW w:w="4408" w:type="dxa"/>
          </w:tcPr>
          <w:p w14:paraId="18B75E5E"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noProof/>
                <w:sz w:val="24"/>
                <w:szCs w:val="24"/>
              </w:rPr>
              <w:drawing>
                <wp:inline distT="114300" distB="114300" distL="114300" distR="114300" wp14:anchorId="3AFB3720" wp14:editId="527E9573">
                  <wp:extent cx="2343150" cy="1144905"/>
                  <wp:effectExtent l="0" t="0" r="0" b="0"/>
                  <wp:docPr id="27"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2"/>
                          <a:srcRect/>
                          <a:stretch>
                            <a:fillRect/>
                          </a:stretch>
                        </pic:blipFill>
                        <pic:spPr>
                          <a:xfrm>
                            <a:off x="0" y="0"/>
                            <a:ext cx="2343150" cy="1144905"/>
                          </a:xfrm>
                          <a:prstGeom prst="rect">
                            <a:avLst/>
                          </a:prstGeom>
                          <a:ln/>
                        </pic:spPr>
                      </pic:pic>
                    </a:graphicData>
                  </a:graphic>
                </wp:inline>
              </w:drawing>
            </w:r>
          </w:p>
          <w:p w14:paraId="4DABE92E"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 xml:space="preserve">CARLOS EDWARD OSORIO </w:t>
            </w:r>
          </w:p>
          <w:p w14:paraId="571D69EB" w14:textId="77777777" w:rsidR="00A026A8" w:rsidRDefault="00301297">
            <w:pPr>
              <w:spacing w:after="0"/>
            </w:pPr>
            <w:r>
              <w:rPr>
                <w:rFonts w:ascii="Times New Roman" w:eastAsia="Times New Roman" w:hAnsi="Times New Roman"/>
                <w:sz w:val="24"/>
                <w:szCs w:val="24"/>
              </w:rPr>
              <w:t>Representante a la Cámara</w:t>
            </w:r>
          </w:p>
        </w:tc>
        <w:tc>
          <w:tcPr>
            <w:tcW w:w="4405" w:type="dxa"/>
          </w:tcPr>
          <w:p w14:paraId="1E753EE7" w14:textId="77777777" w:rsidR="00A026A8" w:rsidRDefault="00A026A8">
            <w:pPr>
              <w:spacing w:after="0"/>
              <w:rPr>
                <w:rFonts w:ascii="Times New Roman" w:eastAsia="Times New Roman" w:hAnsi="Times New Roman"/>
                <w:sz w:val="24"/>
                <w:szCs w:val="24"/>
              </w:rPr>
            </w:pPr>
          </w:p>
          <w:p w14:paraId="12FAF84A"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5D3839E9" wp14:editId="51129761">
                  <wp:extent cx="2667000" cy="685800"/>
                  <wp:effectExtent l="0" t="0" r="0" b="0"/>
                  <wp:docPr id="5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2667000" cy="685800"/>
                          </a:xfrm>
                          <a:prstGeom prst="rect">
                            <a:avLst/>
                          </a:prstGeom>
                          <a:ln/>
                        </pic:spPr>
                      </pic:pic>
                    </a:graphicData>
                  </a:graphic>
                </wp:inline>
              </w:drawing>
            </w:r>
          </w:p>
          <w:p w14:paraId="4113F697" w14:textId="77777777" w:rsidR="00A026A8" w:rsidRDefault="00301297">
            <w:pPr>
              <w:spacing w:after="0" w:line="256" w:lineRule="auto"/>
              <w:jc w:val="both"/>
              <w:rPr>
                <w:rFonts w:ascii="Times New Roman" w:eastAsia="Times New Roman" w:hAnsi="Times New Roman"/>
                <w:b/>
                <w:sz w:val="24"/>
                <w:szCs w:val="24"/>
              </w:rPr>
            </w:pPr>
            <w:r>
              <w:rPr>
                <w:rFonts w:ascii="Times New Roman" w:eastAsia="Times New Roman" w:hAnsi="Times New Roman"/>
                <w:b/>
                <w:sz w:val="24"/>
                <w:szCs w:val="24"/>
              </w:rPr>
              <w:t>MARIA FERNANDA CABAL MOLINA</w:t>
            </w:r>
          </w:p>
          <w:p w14:paraId="35E7D22D" w14:textId="77777777" w:rsidR="00A026A8" w:rsidRDefault="00301297">
            <w:pPr>
              <w:spacing w:after="0" w:line="256" w:lineRule="auto"/>
              <w:jc w:val="both"/>
              <w:rPr>
                <w:rFonts w:ascii="Times New Roman" w:eastAsia="Times New Roman" w:hAnsi="Times New Roman"/>
                <w:sz w:val="24"/>
                <w:szCs w:val="24"/>
              </w:rPr>
            </w:pPr>
            <w:r>
              <w:rPr>
                <w:rFonts w:ascii="Times New Roman" w:eastAsia="Times New Roman" w:hAnsi="Times New Roman"/>
                <w:sz w:val="24"/>
                <w:szCs w:val="24"/>
              </w:rPr>
              <w:t>Senadora de la República de Colombia</w:t>
            </w:r>
          </w:p>
          <w:p w14:paraId="1976E197" w14:textId="77777777" w:rsidR="00A026A8" w:rsidRDefault="00A026A8">
            <w:pPr>
              <w:spacing w:after="0"/>
              <w:rPr>
                <w:rFonts w:ascii="Times New Roman" w:eastAsia="Times New Roman" w:hAnsi="Times New Roman"/>
                <w:sz w:val="24"/>
                <w:szCs w:val="24"/>
              </w:rPr>
            </w:pPr>
          </w:p>
        </w:tc>
      </w:tr>
      <w:tr w:rsidR="00A026A8" w14:paraId="129566F9" w14:textId="77777777" w:rsidTr="009D1626">
        <w:trPr>
          <w:trHeight w:val="226"/>
        </w:trPr>
        <w:tc>
          <w:tcPr>
            <w:tcW w:w="4408" w:type="dxa"/>
          </w:tcPr>
          <w:p w14:paraId="58C6456F"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114300" distB="114300" distL="114300" distR="114300" wp14:anchorId="5146481E" wp14:editId="1049859C">
                  <wp:extent cx="1447800" cy="935886"/>
                  <wp:effectExtent l="0" t="0" r="0" b="0"/>
                  <wp:docPr id="4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447800" cy="935886"/>
                          </a:xfrm>
                          <a:prstGeom prst="rect">
                            <a:avLst/>
                          </a:prstGeom>
                          <a:ln/>
                        </pic:spPr>
                      </pic:pic>
                    </a:graphicData>
                  </a:graphic>
                </wp:inline>
              </w:drawing>
            </w:r>
          </w:p>
          <w:p w14:paraId="4962A4EB" w14:textId="77777777" w:rsidR="00A026A8" w:rsidRDefault="00301297">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ANDRÉS GUERRA </w:t>
            </w:r>
          </w:p>
          <w:p w14:paraId="685D9865"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sz w:val="24"/>
                <w:szCs w:val="24"/>
              </w:rPr>
              <w:t>Senador de la República</w:t>
            </w:r>
          </w:p>
        </w:tc>
        <w:tc>
          <w:tcPr>
            <w:tcW w:w="4405" w:type="dxa"/>
          </w:tcPr>
          <w:p w14:paraId="69AC5067"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6F977BEC" wp14:editId="217A0D2A">
                  <wp:extent cx="2667000" cy="1524000"/>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667000" cy="1524000"/>
                          </a:xfrm>
                          <a:prstGeom prst="rect">
                            <a:avLst/>
                          </a:prstGeom>
                          <a:ln/>
                        </pic:spPr>
                      </pic:pic>
                    </a:graphicData>
                  </a:graphic>
                </wp:inline>
              </w:drawing>
            </w:r>
          </w:p>
        </w:tc>
      </w:tr>
      <w:tr w:rsidR="00A026A8" w14:paraId="480DBBF5" w14:textId="77777777" w:rsidTr="009D1626">
        <w:tc>
          <w:tcPr>
            <w:tcW w:w="4408" w:type="dxa"/>
          </w:tcPr>
          <w:p w14:paraId="089C12FC"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6257C49F" wp14:editId="5C1EE2B9">
                  <wp:extent cx="2667000" cy="660400"/>
                  <wp:effectExtent l="0" t="0" r="0" b="0"/>
                  <wp:docPr id="5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667000" cy="660400"/>
                          </a:xfrm>
                          <a:prstGeom prst="rect">
                            <a:avLst/>
                          </a:prstGeom>
                          <a:ln/>
                        </pic:spPr>
                      </pic:pic>
                    </a:graphicData>
                  </a:graphic>
                </wp:inline>
              </w:drawing>
            </w:r>
          </w:p>
          <w:p w14:paraId="66910DAF"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ENRIQUE CABRALES BAQUERO</w:t>
            </w:r>
          </w:p>
          <w:p w14:paraId="65C6DEFE" w14:textId="77777777" w:rsidR="00A026A8" w:rsidRDefault="00301297">
            <w:pPr>
              <w:spacing w:after="0"/>
              <w:rPr>
                <w:rFonts w:ascii="Arial" w:eastAsia="Arial" w:hAnsi="Arial" w:cs="Arial"/>
                <w:sz w:val="22"/>
                <w:szCs w:val="22"/>
              </w:rPr>
            </w:pPr>
            <w:r>
              <w:rPr>
                <w:rFonts w:ascii="Times New Roman" w:eastAsia="Times New Roman" w:hAnsi="Times New Roman"/>
                <w:sz w:val="24"/>
                <w:szCs w:val="24"/>
              </w:rPr>
              <w:t xml:space="preserve">Senador de la </w:t>
            </w:r>
            <w:r>
              <w:rPr>
                <w:rFonts w:ascii="Times New Roman" w:eastAsia="Times New Roman" w:hAnsi="Times New Roman"/>
                <w:sz w:val="24"/>
                <w:szCs w:val="24"/>
              </w:rPr>
              <w:t>República</w:t>
            </w:r>
          </w:p>
        </w:tc>
        <w:tc>
          <w:tcPr>
            <w:tcW w:w="4405" w:type="dxa"/>
          </w:tcPr>
          <w:p w14:paraId="1965B01C" w14:textId="77777777" w:rsidR="00A026A8" w:rsidRDefault="00A026A8">
            <w:pPr>
              <w:spacing w:after="0" w:line="256" w:lineRule="auto"/>
              <w:jc w:val="both"/>
              <w:rPr>
                <w:rFonts w:ascii="Times New Roman" w:eastAsia="Times New Roman" w:hAnsi="Times New Roman"/>
                <w:sz w:val="24"/>
                <w:szCs w:val="24"/>
              </w:rPr>
            </w:pPr>
          </w:p>
          <w:p w14:paraId="6D21E2FB"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27ECC0AE" wp14:editId="40A89526">
                  <wp:extent cx="2567087" cy="1368306"/>
                  <wp:effectExtent l="0" t="0" r="0" b="0"/>
                  <wp:docPr id="38"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7"/>
                          <a:srcRect r="24428" b="32243"/>
                          <a:stretch>
                            <a:fillRect/>
                          </a:stretch>
                        </pic:blipFill>
                        <pic:spPr>
                          <a:xfrm>
                            <a:off x="0" y="0"/>
                            <a:ext cx="2567087" cy="1368306"/>
                          </a:xfrm>
                          <a:prstGeom prst="rect">
                            <a:avLst/>
                          </a:prstGeom>
                          <a:ln/>
                        </pic:spPr>
                      </pic:pic>
                    </a:graphicData>
                  </a:graphic>
                </wp:inline>
              </w:drawing>
            </w:r>
          </w:p>
        </w:tc>
      </w:tr>
      <w:tr w:rsidR="00A026A8" w14:paraId="2D6360F4" w14:textId="77777777" w:rsidTr="009D1626">
        <w:tc>
          <w:tcPr>
            <w:tcW w:w="4408" w:type="dxa"/>
          </w:tcPr>
          <w:p w14:paraId="51F07ABF" w14:textId="77777777" w:rsidR="00A026A8" w:rsidRDefault="00301297">
            <w:pPr>
              <w:spacing w:after="0" w:line="259" w:lineRule="auto"/>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w:drawing>
                <wp:inline distT="114300" distB="114300" distL="114300" distR="114300" wp14:anchorId="1E6EA6A7" wp14:editId="15FC11F6">
                  <wp:extent cx="2656523" cy="985200"/>
                  <wp:effectExtent l="0" t="0" r="0" b="0"/>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6523" cy="985200"/>
                          </a:xfrm>
                          <a:prstGeom prst="rect">
                            <a:avLst/>
                          </a:prstGeom>
                          <a:ln/>
                        </pic:spPr>
                      </pic:pic>
                    </a:graphicData>
                  </a:graphic>
                </wp:inline>
              </w:drawing>
            </w:r>
          </w:p>
          <w:p w14:paraId="11A1DBF0" w14:textId="77777777" w:rsidR="00A026A8" w:rsidRDefault="00301297">
            <w:pPr>
              <w:spacing w:after="0" w:line="259" w:lineRule="auto"/>
              <w:jc w:val="center"/>
              <w:rPr>
                <w:rFonts w:ascii="Arial" w:eastAsia="Arial" w:hAnsi="Arial" w:cs="Arial"/>
                <w:b/>
                <w:sz w:val="22"/>
                <w:szCs w:val="22"/>
              </w:rPr>
            </w:pPr>
            <w:r>
              <w:rPr>
                <w:rFonts w:ascii="Arial" w:eastAsia="Arial" w:hAnsi="Arial" w:cs="Arial"/>
                <w:b/>
                <w:sz w:val="22"/>
                <w:szCs w:val="22"/>
              </w:rPr>
              <w:t>HERNÁN DARÍO CADAVID MÁRQUEZ</w:t>
            </w:r>
          </w:p>
          <w:p w14:paraId="097F44E8" w14:textId="77777777" w:rsidR="00A026A8" w:rsidRDefault="00301297">
            <w:pPr>
              <w:spacing w:after="0" w:line="259" w:lineRule="auto"/>
              <w:jc w:val="center"/>
              <w:rPr>
                <w:rFonts w:ascii="Times New Roman" w:eastAsia="Times New Roman" w:hAnsi="Times New Roman"/>
                <w:sz w:val="24"/>
                <w:szCs w:val="24"/>
              </w:rPr>
            </w:pPr>
            <w:r>
              <w:rPr>
                <w:rFonts w:ascii="Arial" w:eastAsia="Arial" w:hAnsi="Arial" w:cs="Arial"/>
                <w:b/>
                <w:sz w:val="22"/>
                <w:szCs w:val="22"/>
              </w:rPr>
              <w:t>Representante a la Cámara</w:t>
            </w:r>
          </w:p>
        </w:tc>
        <w:tc>
          <w:tcPr>
            <w:tcW w:w="4405" w:type="dxa"/>
          </w:tcPr>
          <w:p w14:paraId="72832D07" w14:textId="77777777" w:rsidR="00A026A8" w:rsidRDefault="00301297">
            <w:pPr>
              <w:spacing w:after="0"/>
              <w:jc w:val="both"/>
              <w:rPr>
                <w:rFonts w:ascii="Times New Roman" w:eastAsia="Times New Roman" w:hAnsi="Times New Roman"/>
                <w:sz w:val="24"/>
                <w:szCs w:val="24"/>
              </w:rPr>
            </w:pPr>
            <w:r>
              <w:rPr>
                <w:rFonts w:ascii="Arial" w:eastAsia="Arial" w:hAnsi="Arial" w:cs="Arial"/>
                <w:noProof/>
                <w:sz w:val="24"/>
                <w:szCs w:val="24"/>
              </w:rPr>
              <w:drawing>
                <wp:inline distT="114300" distB="114300" distL="114300" distR="114300" wp14:anchorId="0249D42D" wp14:editId="655D7299">
                  <wp:extent cx="2647520" cy="996097"/>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2647520" cy="996097"/>
                          </a:xfrm>
                          <a:prstGeom prst="rect">
                            <a:avLst/>
                          </a:prstGeom>
                          <a:ln/>
                        </pic:spPr>
                      </pic:pic>
                    </a:graphicData>
                  </a:graphic>
                </wp:inline>
              </w:drawing>
            </w:r>
          </w:p>
        </w:tc>
      </w:tr>
      <w:tr w:rsidR="00A026A8" w14:paraId="699BDF41" w14:textId="77777777" w:rsidTr="009D1626">
        <w:tc>
          <w:tcPr>
            <w:tcW w:w="4408" w:type="dxa"/>
          </w:tcPr>
          <w:p w14:paraId="588B2A69" w14:textId="77777777" w:rsidR="00A026A8" w:rsidRDefault="00301297">
            <w:pPr>
              <w:spacing w:before="240" w:after="0"/>
              <w:jc w:val="center"/>
              <w:rPr>
                <w:rFonts w:ascii="Bookman Old Style" w:eastAsia="Bookman Old Style" w:hAnsi="Bookman Old Style" w:cs="Bookman Old Style"/>
                <w:b/>
              </w:rPr>
            </w:pPr>
            <w:r>
              <w:rPr>
                <w:rFonts w:ascii="Bookman Old Style" w:eastAsia="Bookman Old Style" w:hAnsi="Bookman Old Style" w:cs="Bookman Old Style"/>
                <w:b/>
                <w:noProof/>
              </w:rPr>
              <w:drawing>
                <wp:inline distT="114300" distB="114300" distL="114300" distR="114300" wp14:anchorId="4D0256E3" wp14:editId="6DCC243E">
                  <wp:extent cx="1967865" cy="817814"/>
                  <wp:effectExtent l="0" t="0" r="0" b="0"/>
                  <wp:docPr id="5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967865" cy="817814"/>
                          </a:xfrm>
                          <a:prstGeom prst="rect">
                            <a:avLst/>
                          </a:prstGeom>
                          <a:ln/>
                        </pic:spPr>
                      </pic:pic>
                    </a:graphicData>
                  </a:graphic>
                </wp:inline>
              </w:drawing>
            </w:r>
          </w:p>
          <w:p w14:paraId="6DE6D9B4" w14:textId="77777777" w:rsidR="00A026A8" w:rsidRDefault="00301297">
            <w:pPr>
              <w:spacing w:after="0"/>
              <w:jc w:val="center"/>
              <w:rPr>
                <w:rFonts w:ascii="Bookman Old Style" w:eastAsia="Bookman Old Style" w:hAnsi="Bookman Old Style" w:cs="Bookman Old Style"/>
                <w:b/>
              </w:rPr>
            </w:pPr>
            <w:r>
              <w:rPr>
                <w:rFonts w:ascii="Bookman Old Style" w:eastAsia="Bookman Old Style" w:hAnsi="Bookman Old Style" w:cs="Bookman Old Style"/>
                <w:b/>
              </w:rPr>
              <w:t>EDINSON VLADIMIR OLAYA MANCIPE</w:t>
            </w:r>
          </w:p>
          <w:p w14:paraId="4C3ACD3E" w14:textId="77777777" w:rsidR="00A026A8" w:rsidRDefault="00301297">
            <w:pPr>
              <w:spacing w:after="0"/>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Casanare</w:t>
            </w:r>
          </w:p>
          <w:p w14:paraId="06E0B14C" w14:textId="77777777" w:rsidR="00A026A8" w:rsidRDefault="00301297">
            <w:pPr>
              <w:spacing w:after="0"/>
              <w:jc w:val="center"/>
              <w:rPr>
                <w:rFonts w:ascii="Bookman Old Style" w:eastAsia="Bookman Old Style" w:hAnsi="Bookman Old Style" w:cs="Bookman Old Style"/>
              </w:rPr>
            </w:pPr>
            <w:r>
              <w:rPr>
                <w:rFonts w:ascii="Bookman Old Style" w:eastAsia="Bookman Old Style" w:hAnsi="Bookman Old Style" w:cs="Bookman Old Style"/>
              </w:rPr>
              <w:t>Partido Centro Democrático</w:t>
            </w:r>
          </w:p>
          <w:p w14:paraId="74FE680E" w14:textId="77777777" w:rsidR="00A026A8" w:rsidRDefault="00A026A8">
            <w:pPr>
              <w:spacing w:after="0" w:line="259" w:lineRule="auto"/>
              <w:jc w:val="center"/>
              <w:rPr>
                <w:rFonts w:ascii="Arial" w:eastAsia="Arial" w:hAnsi="Arial" w:cs="Arial"/>
                <w:b/>
                <w:sz w:val="22"/>
                <w:szCs w:val="22"/>
              </w:rPr>
            </w:pPr>
          </w:p>
        </w:tc>
        <w:tc>
          <w:tcPr>
            <w:tcW w:w="4405" w:type="dxa"/>
          </w:tcPr>
          <w:p w14:paraId="5EEACACF"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4B97604D" wp14:editId="09563488">
                  <wp:extent cx="2048827" cy="124679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2048827" cy="1246795"/>
                          </a:xfrm>
                          <a:prstGeom prst="rect">
                            <a:avLst/>
                          </a:prstGeom>
                          <a:ln/>
                        </pic:spPr>
                      </pic:pic>
                    </a:graphicData>
                  </a:graphic>
                </wp:inline>
              </w:drawing>
            </w:r>
          </w:p>
          <w:p w14:paraId="70734C6D" w14:textId="77777777" w:rsidR="00A026A8" w:rsidRDefault="00301297">
            <w:pPr>
              <w:spacing w:after="0"/>
              <w:jc w:val="center"/>
              <w:rPr>
                <w:rFonts w:ascii="Times New Roman" w:eastAsia="Times New Roman" w:hAnsi="Times New Roman"/>
                <w:b/>
                <w:sz w:val="24"/>
                <w:szCs w:val="24"/>
              </w:rPr>
            </w:pPr>
            <w:r>
              <w:rPr>
                <w:rFonts w:ascii="Times New Roman" w:eastAsia="Times New Roman" w:hAnsi="Times New Roman"/>
                <w:b/>
                <w:sz w:val="24"/>
                <w:szCs w:val="24"/>
              </w:rPr>
              <w:t>José Jaime Uscátegui Pastrana</w:t>
            </w:r>
          </w:p>
          <w:p w14:paraId="1247DAA6"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Representante a la Cámara por Bogotá D.C. Centro </w:t>
            </w:r>
            <w:r>
              <w:rPr>
                <w:rFonts w:ascii="Times New Roman" w:eastAsia="Times New Roman" w:hAnsi="Times New Roman"/>
                <w:sz w:val="24"/>
                <w:szCs w:val="24"/>
              </w:rPr>
              <w:t>Democrático</w:t>
            </w:r>
          </w:p>
        </w:tc>
      </w:tr>
      <w:tr w:rsidR="00A026A8" w14:paraId="21A4C121" w14:textId="77777777" w:rsidTr="009D1626">
        <w:trPr>
          <w:trHeight w:val="3226"/>
        </w:trPr>
        <w:tc>
          <w:tcPr>
            <w:tcW w:w="4408" w:type="dxa"/>
          </w:tcPr>
          <w:p w14:paraId="1BD0AF5C" w14:textId="77777777" w:rsidR="00A026A8" w:rsidRDefault="00A026A8">
            <w:pPr>
              <w:spacing w:after="0"/>
              <w:rPr>
                <w:rFonts w:ascii="Times New Roman" w:eastAsia="Times New Roman" w:hAnsi="Times New Roman"/>
                <w:sz w:val="24"/>
                <w:szCs w:val="24"/>
              </w:rPr>
            </w:pPr>
          </w:p>
          <w:p w14:paraId="2FE421BB"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noProof/>
                <w:sz w:val="24"/>
                <w:szCs w:val="24"/>
              </w:rPr>
              <w:drawing>
                <wp:inline distT="114300" distB="114300" distL="114300" distR="114300" wp14:anchorId="4B29EE9E" wp14:editId="22B3F97E">
                  <wp:extent cx="1982153" cy="1118957"/>
                  <wp:effectExtent l="0" t="0" r="0" b="0"/>
                  <wp:docPr id="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1982153" cy="1118957"/>
                          </a:xfrm>
                          <a:prstGeom prst="rect">
                            <a:avLst/>
                          </a:prstGeom>
                          <a:ln/>
                        </pic:spPr>
                      </pic:pic>
                    </a:graphicData>
                  </a:graphic>
                </wp:inline>
              </w:drawing>
            </w:r>
          </w:p>
          <w:p w14:paraId="5DEEDD72"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b/>
                <w:sz w:val="24"/>
                <w:szCs w:val="24"/>
              </w:rPr>
              <w:t>Josue Alirio Barrera Rodríguez</w:t>
            </w:r>
            <w:r>
              <w:rPr>
                <w:rFonts w:ascii="Times New Roman" w:eastAsia="Times New Roman" w:hAnsi="Times New Roman"/>
                <w:sz w:val="24"/>
                <w:szCs w:val="24"/>
              </w:rPr>
              <w:t xml:space="preserve"> </w:t>
            </w:r>
          </w:p>
          <w:p w14:paraId="2FB24870"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 xml:space="preserve">Senador de la República </w:t>
            </w:r>
          </w:p>
        </w:tc>
        <w:tc>
          <w:tcPr>
            <w:tcW w:w="4405" w:type="dxa"/>
          </w:tcPr>
          <w:p w14:paraId="6591CB59" w14:textId="77777777" w:rsidR="00A026A8" w:rsidRDefault="00A026A8">
            <w:pPr>
              <w:spacing w:after="0"/>
              <w:rPr>
                <w:rFonts w:ascii="Times New Roman" w:eastAsia="Times New Roman" w:hAnsi="Times New Roman"/>
                <w:sz w:val="24"/>
                <w:szCs w:val="24"/>
              </w:rPr>
            </w:pPr>
          </w:p>
          <w:p w14:paraId="25330D4B" w14:textId="77777777" w:rsidR="00A026A8" w:rsidRDefault="00A026A8">
            <w:pPr>
              <w:spacing w:after="0"/>
              <w:jc w:val="center"/>
              <w:rPr>
                <w:rFonts w:ascii="Times New Roman" w:eastAsia="Times New Roman" w:hAnsi="Times New Roman"/>
                <w:sz w:val="24"/>
                <w:szCs w:val="24"/>
              </w:rPr>
            </w:pPr>
          </w:p>
          <w:p w14:paraId="3291C8AB" w14:textId="77777777" w:rsidR="00A026A8" w:rsidRDefault="00A026A8">
            <w:pPr>
              <w:spacing w:after="0"/>
              <w:jc w:val="center"/>
              <w:rPr>
                <w:rFonts w:ascii="Times New Roman" w:eastAsia="Times New Roman" w:hAnsi="Times New Roman"/>
                <w:sz w:val="24"/>
                <w:szCs w:val="24"/>
              </w:rPr>
            </w:pPr>
          </w:p>
          <w:p w14:paraId="1DCC1A78"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6D77254C" wp14:editId="0EDEBC3D">
                  <wp:extent cx="2229802" cy="1102184"/>
                  <wp:effectExtent l="0" t="0" r="0" b="0"/>
                  <wp:docPr id="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2229802" cy="1102184"/>
                          </a:xfrm>
                          <a:prstGeom prst="rect">
                            <a:avLst/>
                          </a:prstGeom>
                          <a:ln/>
                        </pic:spPr>
                      </pic:pic>
                    </a:graphicData>
                  </a:graphic>
                </wp:inline>
              </w:drawing>
            </w:r>
          </w:p>
          <w:p w14:paraId="3A2038F9"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 xml:space="preserve">JUAN ESPINAL </w:t>
            </w:r>
          </w:p>
          <w:p w14:paraId="013677F6"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Representante a la Cámara</w:t>
            </w:r>
          </w:p>
        </w:tc>
      </w:tr>
      <w:tr w:rsidR="00A026A8" w14:paraId="58F61571" w14:textId="77777777" w:rsidTr="009D1626">
        <w:trPr>
          <w:trHeight w:val="260"/>
        </w:trPr>
        <w:tc>
          <w:tcPr>
            <w:tcW w:w="4408" w:type="dxa"/>
          </w:tcPr>
          <w:p w14:paraId="4891E1A3"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114300" distB="114300" distL="114300" distR="114300" wp14:anchorId="11E82BBB" wp14:editId="12E267EC">
                  <wp:extent cx="2667000" cy="914400"/>
                  <wp:effectExtent l="0" t="0" r="0" b="0"/>
                  <wp:docPr id="3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4"/>
                          <a:srcRect/>
                          <a:stretch>
                            <a:fillRect/>
                          </a:stretch>
                        </pic:blipFill>
                        <pic:spPr>
                          <a:xfrm>
                            <a:off x="0" y="0"/>
                            <a:ext cx="2667000" cy="914400"/>
                          </a:xfrm>
                          <a:prstGeom prst="rect">
                            <a:avLst/>
                          </a:prstGeom>
                          <a:ln/>
                        </pic:spPr>
                      </pic:pic>
                    </a:graphicData>
                  </a:graphic>
                </wp:inline>
              </w:drawing>
            </w:r>
          </w:p>
          <w:p w14:paraId="1F89F69B" w14:textId="77777777" w:rsidR="00A026A8" w:rsidRDefault="00A026A8">
            <w:pPr>
              <w:spacing w:after="0"/>
              <w:rPr>
                <w:rFonts w:ascii="Times New Roman" w:eastAsia="Times New Roman" w:hAnsi="Times New Roman"/>
                <w:sz w:val="24"/>
                <w:szCs w:val="24"/>
              </w:rPr>
            </w:pPr>
          </w:p>
        </w:tc>
        <w:tc>
          <w:tcPr>
            <w:tcW w:w="4405" w:type="dxa"/>
          </w:tcPr>
          <w:p w14:paraId="0AC665F0"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12B98B0D" wp14:editId="73181BAE">
                  <wp:extent cx="2667000" cy="834688"/>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2667000" cy="834688"/>
                          </a:xfrm>
                          <a:prstGeom prst="rect">
                            <a:avLst/>
                          </a:prstGeom>
                          <a:ln/>
                        </pic:spPr>
                      </pic:pic>
                    </a:graphicData>
                  </a:graphic>
                </wp:inline>
              </w:drawing>
            </w:r>
          </w:p>
          <w:p w14:paraId="7841628E"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ESTEBAN QUINTERO CARDONA</w:t>
            </w:r>
          </w:p>
          <w:p w14:paraId="7F6ECE87"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Senador de la República</w:t>
            </w:r>
          </w:p>
        </w:tc>
      </w:tr>
      <w:tr w:rsidR="00A026A8" w14:paraId="3FB64B29" w14:textId="77777777" w:rsidTr="009D1626">
        <w:trPr>
          <w:trHeight w:val="305"/>
        </w:trPr>
        <w:tc>
          <w:tcPr>
            <w:tcW w:w="4408" w:type="dxa"/>
          </w:tcPr>
          <w:p w14:paraId="73A16863"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noProof/>
                <w:sz w:val="24"/>
                <w:szCs w:val="24"/>
              </w:rPr>
              <w:drawing>
                <wp:inline distT="114300" distB="114300" distL="114300" distR="114300" wp14:anchorId="7EEAD79F" wp14:editId="125EE0E1">
                  <wp:extent cx="1809750" cy="148590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1809750" cy="1485900"/>
                          </a:xfrm>
                          <a:prstGeom prst="rect">
                            <a:avLst/>
                          </a:prstGeom>
                          <a:ln/>
                        </pic:spPr>
                      </pic:pic>
                    </a:graphicData>
                  </a:graphic>
                </wp:inline>
              </w:drawing>
            </w:r>
          </w:p>
          <w:p w14:paraId="122EA417"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Oscar Leonardo Villamizar Meneses</w:t>
            </w:r>
          </w:p>
          <w:p w14:paraId="2259BF3A"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Representante a la Cámara</w:t>
            </w:r>
          </w:p>
        </w:tc>
        <w:tc>
          <w:tcPr>
            <w:tcW w:w="4405" w:type="dxa"/>
          </w:tcPr>
          <w:p w14:paraId="6809E8BD" w14:textId="60D10F1E" w:rsidR="00A026A8" w:rsidRDefault="00A026A8">
            <w:pPr>
              <w:spacing w:after="0"/>
              <w:rPr>
                <w:rFonts w:ascii="Times New Roman" w:eastAsia="Times New Roman" w:hAnsi="Times New Roman"/>
                <w:sz w:val="24"/>
                <w:szCs w:val="24"/>
              </w:rPr>
            </w:pPr>
          </w:p>
          <w:p w14:paraId="2841116B" w14:textId="1234DDA5" w:rsidR="009D1626" w:rsidRDefault="009D1626">
            <w:pPr>
              <w:spacing w:after="0"/>
              <w:jc w:val="center"/>
              <w:rPr>
                <w:rFonts w:ascii="Times New Roman" w:eastAsia="Times New Roman" w:hAnsi="Times New Roman"/>
                <w:b/>
                <w:sz w:val="24"/>
                <w:szCs w:val="24"/>
              </w:rPr>
            </w:pPr>
          </w:p>
          <w:p w14:paraId="10C756F3" w14:textId="4F3DCE36" w:rsidR="009D1626" w:rsidRDefault="009D1626">
            <w:pPr>
              <w:spacing w:after="0"/>
              <w:jc w:val="center"/>
              <w:rPr>
                <w:rFonts w:ascii="Times New Roman" w:eastAsia="Times New Roman" w:hAnsi="Times New Roman"/>
                <w:b/>
                <w:sz w:val="24"/>
                <w:szCs w:val="24"/>
              </w:rPr>
            </w:pPr>
            <w:r>
              <w:rPr>
                <w:rFonts w:ascii="Times New Roman" w:eastAsia="Times New Roman" w:hAnsi="Times New Roman"/>
                <w:noProof/>
                <w:sz w:val="24"/>
                <w:szCs w:val="24"/>
              </w:rPr>
              <w:drawing>
                <wp:anchor distT="0" distB="0" distL="114300" distR="114300" simplePos="0" relativeHeight="251659264" behindDoc="0" locked="0" layoutInCell="1" allowOverlap="1" wp14:anchorId="5CE5E3CA" wp14:editId="4B8E5296">
                  <wp:simplePos x="0" y="0"/>
                  <wp:positionH relativeFrom="column">
                    <wp:posOffset>-52070</wp:posOffset>
                  </wp:positionH>
                  <wp:positionV relativeFrom="paragraph">
                    <wp:posOffset>31750</wp:posOffset>
                  </wp:positionV>
                  <wp:extent cx="2563178" cy="847725"/>
                  <wp:effectExtent l="0" t="0" r="8890" b="0"/>
                  <wp:wrapThrough wrapText="bothSides">
                    <wp:wrapPolygon edited="0">
                      <wp:start x="2248" y="0"/>
                      <wp:lineTo x="1606" y="8737"/>
                      <wp:lineTo x="1445" y="11649"/>
                      <wp:lineTo x="1445" y="18445"/>
                      <wp:lineTo x="1927" y="20872"/>
                      <wp:lineTo x="2729" y="20872"/>
                      <wp:lineTo x="15092" y="20387"/>
                      <wp:lineTo x="20390" y="19416"/>
                      <wp:lineTo x="20230" y="16503"/>
                      <wp:lineTo x="21514" y="13106"/>
                      <wp:lineTo x="21514" y="12135"/>
                      <wp:lineTo x="21354" y="4854"/>
                      <wp:lineTo x="15574" y="2427"/>
                      <wp:lineTo x="3211" y="0"/>
                      <wp:lineTo x="2248" y="0"/>
                    </wp:wrapPolygon>
                  </wp:wrapThrough>
                  <wp:docPr id="4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7">
                            <a:extLst>
                              <a:ext uri="{28A0092B-C50C-407E-A947-70E740481C1C}">
                                <a14:useLocalDpi xmlns:a14="http://schemas.microsoft.com/office/drawing/2010/main" val="0"/>
                              </a:ext>
                            </a:extLst>
                          </a:blip>
                          <a:srcRect/>
                          <a:stretch>
                            <a:fillRect/>
                          </a:stretch>
                        </pic:blipFill>
                        <pic:spPr>
                          <a:xfrm>
                            <a:off x="0" y="0"/>
                            <a:ext cx="2563178" cy="847725"/>
                          </a:xfrm>
                          <a:prstGeom prst="rect">
                            <a:avLst/>
                          </a:prstGeom>
                          <a:ln/>
                        </pic:spPr>
                      </pic:pic>
                    </a:graphicData>
                  </a:graphic>
                </wp:anchor>
              </w:drawing>
            </w:r>
          </w:p>
          <w:p w14:paraId="5F327E3D" w14:textId="634608AA" w:rsidR="00A026A8" w:rsidRDefault="00301297">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HONORIO MIGUEL </w:t>
            </w:r>
            <w:r>
              <w:rPr>
                <w:rFonts w:ascii="Times New Roman" w:eastAsia="Times New Roman" w:hAnsi="Times New Roman"/>
                <w:b/>
                <w:sz w:val="24"/>
                <w:szCs w:val="24"/>
              </w:rPr>
              <w:t>HENRÍQUEZ PINEDO</w:t>
            </w:r>
          </w:p>
          <w:p w14:paraId="2F21D35C"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sz w:val="24"/>
                <w:szCs w:val="24"/>
              </w:rPr>
              <w:t>Senador de la República</w:t>
            </w:r>
          </w:p>
        </w:tc>
      </w:tr>
      <w:tr w:rsidR="00A026A8" w14:paraId="7F8DC957" w14:textId="77777777" w:rsidTr="009D1626">
        <w:trPr>
          <w:trHeight w:val="290"/>
        </w:trPr>
        <w:tc>
          <w:tcPr>
            <w:tcW w:w="4408" w:type="dxa"/>
          </w:tcPr>
          <w:p w14:paraId="4F6E3C76" w14:textId="77777777" w:rsidR="00A026A8" w:rsidRDefault="00A026A8">
            <w:pPr>
              <w:spacing w:after="0"/>
              <w:rPr>
                <w:rFonts w:ascii="Times New Roman" w:eastAsia="Times New Roman" w:hAnsi="Times New Roman"/>
                <w:sz w:val="24"/>
                <w:szCs w:val="24"/>
              </w:rPr>
            </w:pPr>
          </w:p>
        </w:tc>
        <w:tc>
          <w:tcPr>
            <w:tcW w:w="4405" w:type="dxa"/>
          </w:tcPr>
          <w:p w14:paraId="5312492B" w14:textId="77777777" w:rsidR="00A026A8" w:rsidRDefault="00A026A8">
            <w:pPr>
              <w:spacing w:after="0"/>
              <w:rPr>
                <w:rFonts w:ascii="Times New Roman" w:eastAsia="Times New Roman" w:hAnsi="Times New Roman"/>
                <w:sz w:val="24"/>
                <w:szCs w:val="24"/>
              </w:rPr>
            </w:pPr>
          </w:p>
        </w:tc>
      </w:tr>
      <w:tr w:rsidR="00A026A8" w14:paraId="3EC19A97" w14:textId="77777777" w:rsidTr="009D1626">
        <w:trPr>
          <w:trHeight w:val="305"/>
        </w:trPr>
        <w:tc>
          <w:tcPr>
            <w:tcW w:w="4408" w:type="dxa"/>
          </w:tcPr>
          <w:p w14:paraId="7D71FCD2" w14:textId="77777777" w:rsidR="00A026A8" w:rsidRDefault="00A026A8">
            <w:pPr>
              <w:spacing w:after="0"/>
              <w:rPr>
                <w:rFonts w:ascii="Times New Roman" w:eastAsia="Times New Roman" w:hAnsi="Times New Roman"/>
                <w:sz w:val="24"/>
                <w:szCs w:val="24"/>
              </w:rPr>
            </w:pPr>
          </w:p>
        </w:tc>
        <w:tc>
          <w:tcPr>
            <w:tcW w:w="4405" w:type="dxa"/>
          </w:tcPr>
          <w:p w14:paraId="18FD0BFD" w14:textId="77777777" w:rsidR="00A026A8" w:rsidRDefault="00A026A8">
            <w:pPr>
              <w:spacing w:after="0"/>
              <w:rPr>
                <w:rFonts w:ascii="Times New Roman" w:eastAsia="Times New Roman" w:hAnsi="Times New Roman"/>
                <w:sz w:val="24"/>
                <w:szCs w:val="24"/>
              </w:rPr>
            </w:pPr>
          </w:p>
        </w:tc>
      </w:tr>
      <w:tr w:rsidR="00A026A8" w14:paraId="0C941CAC" w14:textId="77777777" w:rsidTr="009D1626">
        <w:tc>
          <w:tcPr>
            <w:tcW w:w="4408" w:type="dxa"/>
          </w:tcPr>
          <w:p w14:paraId="245456BE" w14:textId="77777777" w:rsidR="00A026A8" w:rsidRDefault="00A026A8">
            <w:pPr>
              <w:spacing w:after="0"/>
              <w:rPr>
                <w:rFonts w:ascii="Times New Roman" w:eastAsia="Times New Roman" w:hAnsi="Times New Roman"/>
                <w:sz w:val="24"/>
                <w:szCs w:val="24"/>
              </w:rPr>
            </w:pPr>
          </w:p>
        </w:tc>
        <w:tc>
          <w:tcPr>
            <w:tcW w:w="4405" w:type="dxa"/>
          </w:tcPr>
          <w:p w14:paraId="5290803A" w14:textId="77777777" w:rsidR="00A026A8" w:rsidRDefault="00A026A8">
            <w:pPr>
              <w:spacing w:after="0"/>
              <w:rPr>
                <w:rFonts w:ascii="Times New Roman" w:eastAsia="Times New Roman" w:hAnsi="Times New Roman"/>
                <w:sz w:val="24"/>
                <w:szCs w:val="24"/>
              </w:rPr>
            </w:pPr>
          </w:p>
        </w:tc>
      </w:tr>
      <w:tr w:rsidR="00A026A8" w14:paraId="3548BA35" w14:textId="77777777" w:rsidTr="009D1626">
        <w:tc>
          <w:tcPr>
            <w:tcW w:w="4408" w:type="dxa"/>
          </w:tcPr>
          <w:p w14:paraId="291C9FAB" w14:textId="77777777" w:rsidR="00A026A8" w:rsidRDefault="00A026A8">
            <w:pPr>
              <w:spacing w:after="0"/>
              <w:rPr>
                <w:rFonts w:ascii="Times New Roman" w:eastAsia="Times New Roman" w:hAnsi="Times New Roman"/>
                <w:sz w:val="24"/>
                <w:szCs w:val="24"/>
              </w:rPr>
            </w:pPr>
          </w:p>
        </w:tc>
        <w:tc>
          <w:tcPr>
            <w:tcW w:w="4405" w:type="dxa"/>
          </w:tcPr>
          <w:p w14:paraId="4A262AE7" w14:textId="77777777" w:rsidR="00A026A8" w:rsidRDefault="00A026A8">
            <w:pPr>
              <w:spacing w:after="0"/>
              <w:rPr>
                <w:rFonts w:ascii="Times New Roman" w:eastAsia="Times New Roman" w:hAnsi="Times New Roman"/>
                <w:sz w:val="24"/>
                <w:szCs w:val="24"/>
              </w:rPr>
            </w:pPr>
          </w:p>
        </w:tc>
      </w:tr>
    </w:tbl>
    <w:p w14:paraId="421C585F" w14:textId="77777777" w:rsidR="00A026A8" w:rsidRDefault="00A026A8">
      <w:pPr>
        <w:widowControl w:val="0"/>
        <w:spacing w:after="0" w:line="240" w:lineRule="auto"/>
        <w:ind w:left="15"/>
        <w:rPr>
          <w:rFonts w:ascii="Times New Roman" w:eastAsia="Times New Roman" w:hAnsi="Times New Roman"/>
          <w:sz w:val="24"/>
          <w:szCs w:val="24"/>
        </w:rPr>
      </w:pPr>
    </w:p>
    <w:p w14:paraId="54771B8A" w14:textId="77777777" w:rsidR="00A026A8" w:rsidRDefault="00A026A8">
      <w:pPr>
        <w:widowControl w:val="0"/>
        <w:pBdr>
          <w:top w:val="nil"/>
          <w:left w:val="nil"/>
          <w:bottom w:val="nil"/>
          <w:right w:val="nil"/>
          <w:between w:val="nil"/>
        </w:pBdr>
        <w:spacing w:before="3" w:after="0" w:line="240" w:lineRule="auto"/>
        <w:rPr>
          <w:rFonts w:ascii="Times New Roman" w:eastAsia="Times New Roman" w:hAnsi="Times New Roman"/>
          <w:sz w:val="24"/>
          <w:szCs w:val="24"/>
          <w:highlight w:val="yellow"/>
        </w:rPr>
      </w:pPr>
    </w:p>
    <w:p w14:paraId="78684D9A" w14:textId="77777777" w:rsidR="00A026A8" w:rsidRDefault="00A026A8">
      <w:pPr>
        <w:widowControl w:val="0"/>
        <w:pBdr>
          <w:top w:val="nil"/>
          <w:left w:val="nil"/>
          <w:bottom w:val="nil"/>
          <w:right w:val="nil"/>
          <w:between w:val="nil"/>
        </w:pBdr>
        <w:spacing w:before="3" w:after="0" w:line="240" w:lineRule="auto"/>
        <w:rPr>
          <w:rFonts w:ascii="Times New Roman" w:eastAsia="Times New Roman" w:hAnsi="Times New Roman"/>
          <w:sz w:val="24"/>
          <w:szCs w:val="24"/>
          <w:highlight w:val="yellow"/>
        </w:rPr>
      </w:pPr>
    </w:p>
    <w:p w14:paraId="5476104B" w14:textId="77777777" w:rsidR="00A026A8" w:rsidRDefault="00A026A8">
      <w:pPr>
        <w:widowControl w:val="0"/>
        <w:pBdr>
          <w:top w:val="nil"/>
          <w:left w:val="nil"/>
          <w:bottom w:val="nil"/>
          <w:right w:val="nil"/>
          <w:between w:val="nil"/>
        </w:pBdr>
        <w:spacing w:before="3" w:after="0" w:line="240" w:lineRule="auto"/>
        <w:rPr>
          <w:rFonts w:ascii="Times New Roman" w:eastAsia="Times New Roman" w:hAnsi="Times New Roman"/>
          <w:sz w:val="24"/>
          <w:szCs w:val="24"/>
          <w:highlight w:val="yellow"/>
        </w:rPr>
      </w:pPr>
    </w:p>
    <w:p w14:paraId="505BF71E" w14:textId="77777777" w:rsidR="00A026A8" w:rsidRDefault="00A026A8">
      <w:pPr>
        <w:widowControl w:val="0"/>
        <w:pBdr>
          <w:top w:val="nil"/>
          <w:left w:val="nil"/>
          <w:bottom w:val="nil"/>
          <w:right w:val="nil"/>
          <w:between w:val="nil"/>
        </w:pBdr>
        <w:spacing w:before="3" w:after="0" w:line="240" w:lineRule="auto"/>
        <w:rPr>
          <w:rFonts w:ascii="Times New Roman" w:eastAsia="Times New Roman" w:hAnsi="Times New Roman"/>
          <w:sz w:val="24"/>
          <w:szCs w:val="24"/>
          <w:highlight w:val="yellow"/>
        </w:rPr>
      </w:pPr>
    </w:p>
    <w:p w14:paraId="73242CFC" w14:textId="77777777" w:rsidR="00A026A8" w:rsidRDefault="00A026A8">
      <w:pPr>
        <w:spacing w:after="0" w:line="240" w:lineRule="auto"/>
        <w:rPr>
          <w:rFonts w:ascii="Times New Roman" w:eastAsia="Times New Roman" w:hAnsi="Times New Roman"/>
          <w:sz w:val="24"/>
          <w:szCs w:val="24"/>
        </w:rPr>
        <w:sectPr w:rsidR="00A026A8">
          <w:pgSz w:w="12240" w:h="15840"/>
          <w:pgMar w:top="1417" w:right="1701" w:bottom="1417" w:left="1701" w:header="552" w:footer="720" w:gutter="0"/>
          <w:pgNumType w:start="1"/>
          <w:cols w:space="720"/>
        </w:sectPr>
      </w:pPr>
    </w:p>
    <w:p w14:paraId="4DDEBFC0" w14:textId="77777777" w:rsidR="00A026A8" w:rsidRDefault="00301297">
      <w:pPr>
        <w:spacing w:line="240" w:lineRule="auto"/>
        <w:ind w:right="-93"/>
        <w:jc w:val="center"/>
        <w:rPr>
          <w:rFonts w:ascii="Times New Roman" w:eastAsia="Times New Roman" w:hAnsi="Times New Roman"/>
          <w:b/>
          <w:sz w:val="24"/>
          <w:szCs w:val="24"/>
        </w:rPr>
      </w:pPr>
      <w:r>
        <w:rPr>
          <w:rFonts w:ascii="Times New Roman" w:eastAsia="Times New Roman" w:hAnsi="Times New Roman"/>
          <w:b/>
          <w:sz w:val="24"/>
          <w:szCs w:val="24"/>
        </w:rPr>
        <w:lastRenderedPageBreak/>
        <w:t>EXPOSICIÓN DE MOTIVOS PROYECTO DE LEY N°____</w:t>
      </w:r>
    </w:p>
    <w:p w14:paraId="756EFA7E" w14:textId="77777777" w:rsidR="00A026A8" w:rsidRDefault="0030129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Pr>
          <w:rFonts w:ascii="Times New Roman" w:eastAsia="Times New Roman" w:hAnsi="Times New Roman"/>
          <w:sz w:val="24"/>
          <w:szCs w:val="24"/>
        </w:rPr>
        <w:t xml:space="preserve">Por medio de la cual se crea una Estrategia Integral y Oportuna de Atención para garantizar la protección efectiva del derecho a la </w:t>
      </w:r>
      <w:r>
        <w:rPr>
          <w:rFonts w:ascii="Times New Roman" w:eastAsia="Times New Roman" w:hAnsi="Times New Roman"/>
          <w:sz w:val="24"/>
          <w:szCs w:val="24"/>
        </w:rPr>
        <w:t>seguridad e integridad personal de líderes sociales, defensores de derechos humanos y personas objeto de protección</w:t>
      </w:r>
      <w:r>
        <w:rPr>
          <w:rFonts w:ascii="Times New Roman" w:eastAsia="Times New Roman" w:hAnsi="Times New Roman"/>
          <w:b/>
          <w:sz w:val="24"/>
          <w:szCs w:val="24"/>
        </w:rPr>
        <w:t>”</w:t>
      </w:r>
    </w:p>
    <w:p w14:paraId="3D8CBA7F"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b/>
          <w:color w:val="000000"/>
          <w:sz w:val="24"/>
          <w:szCs w:val="24"/>
        </w:rPr>
      </w:pPr>
    </w:p>
    <w:p w14:paraId="5ADB6464" w14:textId="77777777" w:rsidR="00A026A8" w:rsidRDefault="00301297">
      <w:pPr>
        <w:widowControl w:val="0"/>
        <w:numPr>
          <w:ilvl w:val="0"/>
          <w:numId w:val="20"/>
        </w:numPr>
        <w:pBdr>
          <w:top w:val="nil"/>
          <w:left w:val="nil"/>
          <w:bottom w:val="nil"/>
          <w:right w:val="nil"/>
          <w:between w:val="nil"/>
        </w:pBdr>
        <w:spacing w:after="0" w:line="275" w:lineRule="auto"/>
        <w:jc w:val="both"/>
      </w:pPr>
      <w:r>
        <w:rPr>
          <w:rFonts w:ascii="Times New Roman" w:eastAsia="Times New Roman" w:hAnsi="Times New Roman"/>
          <w:b/>
          <w:color w:val="000000"/>
          <w:sz w:val="24"/>
          <w:szCs w:val="24"/>
        </w:rPr>
        <w:t>INTRODUCCIÓN</w:t>
      </w:r>
    </w:p>
    <w:p w14:paraId="2DA72A65"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011224E9" w14:textId="77777777" w:rsidR="00A026A8" w:rsidRDefault="00301297">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r>
        <w:rPr>
          <w:rFonts w:ascii="Times New Roman" w:eastAsia="Times New Roman" w:hAnsi="Times New Roman"/>
          <w:sz w:val="24"/>
          <w:szCs w:val="24"/>
        </w:rPr>
        <w:t>L</w:t>
      </w:r>
      <w:r>
        <w:rPr>
          <w:rFonts w:ascii="Times New Roman" w:eastAsia="Times New Roman" w:hAnsi="Times New Roman"/>
          <w:color w:val="000000"/>
          <w:sz w:val="24"/>
          <w:szCs w:val="24"/>
        </w:rPr>
        <w:t xml:space="preserve">a Constitución Política de 1991, </w:t>
      </w:r>
      <w:r>
        <w:rPr>
          <w:rFonts w:ascii="Times New Roman" w:eastAsia="Times New Roman" w:hAnsi="Times New Roman"/>
          <w:sz w:val="24"/>
          <w:szCs w:val="24"/>
        </w:rPr>
        <w:t>estableció</w:t>
      </w:r>
      <w:r>
        <w:rPr>
          <w:rFonts w:ascii="Times New Roman" w:eastAsia="Times New Roman" w:hAnsi="Times New Roman"/>
          <w:color w:val="000000"/>
          <w:sz w:val="24"/>
          <w:szCs w:val="24"/>
        </w:rPr>
        <w:t xml:space="preserve"> los fines esenciales de</w:t>
      </w:r>
      <w:r>
        <w:rPr>
          <w:rFonts w:ascii="Times New Roman" w:eastAsia="Times New Roman" w:hAnsi="Times New Roman"/>
          <w:sz w:val="24"/>
          <w:szCs w:val="24"/>
        </w:rPr>
        <w:t>l estado,</w:t>
      </w:r>
      <w:r>
        <w:rPr>
          <w:rFonts w:ascii="Times New Roman" w:eastAsia="Times New Roman" w:hAnsi="Times New Roman"/>
          <w:color w:val="000000"/>
          <w:sz w:val="24"/>
          <w:szCs w:val="24"/>
        </w:rPr>
        <w:t xml:space="preserve"> los deberes de</w:t>
      </w:r>
      <w:r>
        <w:rPr>
          <w:rFonts w:ascii="Times New Roman" w:eastAsia="Times New Roman" w:hAnsi="Times New Roman"/>
          <w:sz w:val="24"/>
          <w:szCs w:val="24"/>
        </w:rPr>
        <w:t xml:space="preserve"> garantía de derechos y los mecanismos para su protección efectiva, entre ellos y como presupuesto para el ejercicio de otros derechos fundamentales,</w:t>
      </w:r>
      <w:r>
        <w:rPr>
          <w:rFonts w:ascii="Times New Roman" w:eastAsia="Times New Roman" w:hAnsi="Times New Roman"/>
          <w:color w:val="000000"/>
          <w:sz w:val="24"/>
          <w:szCs w:val="24"/>
        </w:rPr>
        <w:t xml:space="preserve"> el de mantenimiento de la convivencia pacífica y la protección de todas las personas en su vida, bienes, h</w:t>
      </w:r>
      <w:r>
        <w:rPr>
          <w:rFonts w:ascii="Times New Roman" w:eastAsia="Times New Roman" w:hAnsi="Times New Roman"/>
          <w:color w:val="000000"/>
          <w:sz w:val="24"/>
          <w:szCs w:val="24"/>
        </w:rPr>
        <w:t>onra, creencias, así como la garantía de los demás derechos y libertades. Además, la Carta Política consagró la vida como un derecho fundamental inviolable, instituyó la dignidad humana y prohibió la desaparición forzada, la tortura y los tratos o penas cr</w:t>
      </w:r>
      <w:r>
        <w:rPr>
          <w:rFonts w:ascii="Times New Roman" w:eastAsia="Times New Roman" w:hAnsi="Times New Roman"/>
          <w:color w:val="000000"/>
          <w:sz w:val="24"/>
          <w:szCs w:val="24"/>
        </w:rPr>
        <w:t>ueles, inhumanas o degradantes.</w:t>
      </w:r>
    </w:p>
    <w:p w14:paraId="301EA54F"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22B8970D" w14:textId="77777777" w:rsidR="00A026A8" w:rsidRDefault="00301297">
      <w:pPr>
        <w:widowControl w:val="0"/>
        <w:pBdr>
          <w:top w:val="nil"/>
          <w:left w:val="nil"/>
          <w:bottom w:val="nil"/>
          <w:right w:val="nil"/>
          <w:between w:val="nil"/>
        </w:pBdr>
        <w:spacing w:after="0" w:line="275" w:lineRule="auto"/>
        <w:jc w:val="both"/>
        <w:rPr>
          <w:rFonts w:ascii="Times New Roman" w:eastAsia="Times New Roman" w:hAnsi="Times New Roman"/>
          <w:sz w:val="24"/>
          <w:szCs w:val="24"/>
        </w:rPr>
      </w:pPr>
      <w:r>
        <w:rPr>
          <w:rFonts w:ascii="Times New Roman" w:eastAsia="Times New Roman" w:hAnsi="Times New Roman"/>
          <w:sz w:val="24"/>
          <w:szCs w:val="24"/>
        </w:rPr>
        <w:t>Sin embargo, la Constitución de 1991 debe entenderse en el contexto amplio del Sistema Interamericano de Derechos Humanos y de los pronunciamientos que la Comisión, y en algunos casos la Corte IDH han realizado para estable</w:t>
      </w:r>
      <w:r>
        <w:rPr>
          <w:rFonts w:ascii="Times New Roman" w:eastAsia="Times New Roman" w:hAnsi="Times New Roman"/>
          <w:sz w:val="24"/>
          <w:szCs w:val="24"/>
        </w:rPr>
        <w:t xml:space="preserve">cer el deber de los Estados de adecuar la normatividad interna para garantizar la seguridad en la defensa y promoción de los DDHH. Un reto normativo cuyo desarrollo es transversal a todas las ramas del poder público, pero especialmente de los funcionarios </w:t>
      </w:r>
      <w:r>
        <w:rPr>
          <w:rFonts w:ascii="Times New Roman" w:eastAsia="Times New Roman" w:hAnsi="Times New Roman"/>
          <w:sz w:val="24"/>
          <w:szCs w:val="24"/>
        </w:rPr>
        <w:t>que deben ajustar sus acciones y conductas al control de convencionalidad, que no es otra cosa sino el arreglo institucional conforme a los lineamientos del Pacto de San José.</w:t>
      </w:r>
    </w:p>
    <w:p w14:paraId="1E879A6A"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sz w:val="24"/>
          <w:szCs w:val="24"/>
        </w:rPr>
      </w:pPr>
    </w:p>
    <w:p w14:paraId="533B97AE" w14:textId="77777777" w:rsidR="00A026A8" w:rsidRDefault="00301297">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Los líderes sociales son aquellas personas que se caracterizan por la defensa d</w:t>
      </w:r>
      <w:r>
        <w:rPr>
          <w:rFonts w:ascii="Times New Roman" w:eastAsia="Times New Roman" w:hAnsi="Times New Roman"/>
          <w:color w:val="000000"/>
          <w:sz w:val="24"/>
          <w:szCs w:val="24"/>
        </w:rPr>
        <w:t xml:space="preserve">e los derechos </w:t>
      </w:r>
      <w:r>
        <w:rPr>
          <w:rFonts w:ascii="Times New Roman" w:eastAsia="Times New Roman" w:hAnsi="Times New Roman"/>
          <w:sz w:val="24"/>
          <w:szCs w:val="24"/>
        </w:rPr>
        <w:t>de las colectividades</w:t>
      </w:r>
      <w:r>
        <w:rPr>
          <w:rFonts w:ascii="Times New Roman" w:eastAsia="Times New Roman" w:hAnsi="Times New Roman"/>
          <w:color w:val="000000"/>
          <w:sz w:val="24"/>
          <w:szCs w:val="24"/>
        </w:rPr>
        <w:t xml:space="preserve"> y que buscan desarrollar acciones encaminadas a la promoción y protección efectiva de los derechos humanos y los derechos fundamentales de los grupos o colectividades que representan y/o a sus territorios. Su trabajo es</w:t>
      </w:r>
      <w:r>
        <w:rPr>
          <w:rFonts w:ascii="Times New Roman" w:eastAsia="Times New Roman" w:hAnsi="Times New Roman"/>
          <w:color w:val="000000"/>
          <w:sz w:val="24"/>
          <w:szCs w:val="24"/>
        </w:rPr>
        <w:t xml:space="preserve"> esencial para la implementación universal de los derechos y libertades fundamentales, la existencia de una democracia plena y la consolidación del Estado Social de Derecho. </w:t>
      </w:r>
    </w:p>
    <w:p w14:paraId="3036D520"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429B05CA" w14:textId="77777777" w:rsidR="00A026A8" w:rsidRDefault="00301297">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 este sentido, los </w:t>
      </w:r>
      <w:r>
        <w:rPr>
          <w:rFonts w:ascii="Times New Roman" w:eastAsia="Times New Roman" w:hAnsi="Times New Roman"/>
          <w:sz w:val="24"/>
          <w:szCs w:val="24"/>
        </w:rPr>
        <w:t>líderes</w:t>
      </w:r>
      <w:r>
        <w:rPr>
          <w:rFonts w:ascii="Times New Roman" w:eastAsia="Times New Roman" w:hAnsi="Times New Roman"/>
          <w:color w:val="000000"/>
          <w:sz w:val="24"/>
          <w:szCs w:val="24"/>
        </w:rPr>
        <w:t xml:space="preserve"> sociales o defensores de derechos humanos se convie</w:t>
      </w:r>
      <w:r>
        <w:rPr>
          <w:rFonts w:ascii="Times New Roman" w:eastAsia="Times New Roman" w:hAnsi="Times New Roman"/>
          <w:color w:val="000000"/>
          <w:sz w:val="24"/>
          <w:szCs w:val="24"/>
        </w:rPr>
        <w:t>rten en un pilar esencial para el fortalecimiento y consolidación de la democracia, ya que el objeto de su labor es el beneficio social y comunitario. Bajo este precepto, cuando se presentan impedimentos que impiden la realización efectiva de su labor en p</w:t>
      </w:r>
      <w:r>
        <w:rPr>
          <w:rFonts w:ascii="Times New Roman" w:eastAsia="Times New Roman" w:hAnsi="Times New Roman"/>
          <w:color w:val="000000"/>
          <w:sz w:val="24"/>
          <w:szCs w:val="24"/>
        </w:rPr>
        <w:t xml:space="preserve">ro de la defensa y protección de los derechos fundamentales y los derechos humanos, se considera que se está presentando una afectación directa al resto de la sociedad. </w:t>
      </w:r>
    </w:p>
    <w:p w14:paraId="5039F611"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5AA1C24A" w14:textId="77777777" w:rsidR="00A026A8" w:rsidRDefault="00301297">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Dentro de su labor, los líderes sociales también ejercen un control ciudadano necesario sobre los funcionarios públicos y las instituciones en aras de garantizar la transparencia. Ahora </w:t>
      </w:r>
      <w:r>
        <w:rPr>
          <w:rFonts w:ascii="Times New Roman" w:eastAsia="Times New Roman" w:hAnsi="Times New Roman"/>
          <w:color w:val="000000"/>
          <w:sz w:val="24"/>
          <w:szCs w:val="24"/>
        </w:rPr>
        <w:lastRenderedPageBreak/>
        <w:t>bien, la determinación sobre quién es una persona defensora de Derecho</w:t>
      </w:r>
      <w:r>
        <w:rPr>
          <w:rFonts w:ascii="Times New Roman" w:eastAsia="Times New Roman" w:hAnsi="Times New Roman"/>
          <w:color w:val="000000"/>
          <w:sz w:val="24"/>
          <w:szCs w:val="24"/>
        </w:rPr>
        <w:t>s Humanos o un líder social se deriva de la declaración de la ONU de 1998, en la que se promulgó la Resolución A/RES/53/1445, la cual señaló que: “…el derecho y el deber de individuos, los grupos y las instituciones a promover y proteger los Derechos Human</w:t>
      </w:r>
      <w:r>
        <w:rPr>
          <w:rFonts w:ascii="Times New Roman" w:eastAsia="Times New Roman" w:hAnsi="Times New Roman"/>
          <w:color w:val="000000"/>
          <w:sz w:val="24"/>
          <w:szCs w:val="24"/>
        </w:rPr>
        <w:t>os y las libertades fundamentales…”.</w:t>
      </w:r>
    </w:p>
    <w:p w14:paraId="0AA7821A"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5736E487" w14:textId="77777777" w:rsidR="00A026A8" w:rsidRDefault="00301297">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igual manera, la Oficina del Alto Comisionado de las Naciones Unidas para los Derechos Humanos ha señalado que:</w:t>
      </w:r>
    </w:p>
    <w:p w14:paraId="6FE9FB03"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7E4F9879" w14:textId="77777777" w:rsidR="00A026A8" w:rsidRDefault="00301297">
      <w:pPr>
        <w:widowControl w:val="0"/>
        <w:pBdr>
          <w:top w:val="nil"/>
          <w:left w:val="nil"/>
          <w:bottom w:val="nil"/>
          <w:right w:val="nil"/>
          <w:between w:val="nil"/>
        </w:pBdr>
        <w:spacing w:after="0" w:line="275" w:lineRule="auto"/>
        <w:ind w:left="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existe una definición concreta de quién es o puede ser defensor de Derechos Humanos. En la Declara</w:t>
      </w:r>
      <w:r>
        <w:rPr>
          <w:rFonts w:ascii="Times New Roman" w:eastAsia="Times New Roman" w:hAnsi="Times New Roman"/>
          <w:color w:val="000000"/>
          <w:sz w:val="24"/>
          <w:szCs w:val="24"/>
        </w:rPr>
        <w:t xml:space="preserve">ción sobre los defensores de Derechos Humanos (A/RES/53/144) se hace referencia a “los individuos, los grupos y las instituciones </w:t>
      </w:r>
      <w:r>
        <w:rPr>
          <w:rFonts w:ascii="Times New Roman" w:eastAsia="Times New Roman" w:hAnsi="Times New Roman"/>
          <w:b/>
          <w:color w:val="000000"/>
          <w:sz w:val="24"/>
          <w:szCs w:val="24"/>
        </w:rPr>
        <w:t>que contribuyen</w:t>
      </w:r>
      <w:r>
        <w:rPr>
          <w:rFonts w:ascii="Times New Roman" w:eastAsia="Times New Roman" w:hAnsi="Times New Roman"/>
          <w:color w:val="000000"/>
          <w:sz w:val="24"/>
          <w:szCs w:val="24"/>
        </w:rPr>
        <w:t xml:space="preserve"> a la eliminación efectiva de todas las violaciones de los Derechos Humanos y las libertades fundamentales de l</w:t>
      </w:r>
      <w:r>
        <w:rPr>
          <w:rFonts w:ascii="Times New Roman" w:eastAsia="Times New Roman" w:hAnsi="Times New Roman"/>
          <w:color w:val="000000"/>
          <w:sz w:val="24"/>
          <w:szCs w:val="24"/>
        </w:rPr>
        <w:t xml:space="preserve">os pueblos y los individuos” (cuarto párrafo del preámbulo). </w:t>
      </w:r>
    </w:p>
    <w:p w14:paraId="4E9959DC" w14:textId="77777777" w:rsidR="00A026A8" w:rsidRDefault="00A026A8">
      <w:pPr>
        <w:widowControl w:val="0"/>
        <w:pBdr>
          <w:top w:val="nil"/>
          <w:left w:val="nil"/>
          <w:bottom w:val="nil"/>
          <w:right w:val="nil"/>
          <w:between w:val="nil"/>
        </w:pBdr>
        <w:spacing w:after="0" w:line="275" w:lineRule="auto"/>
        <w:ind w:left="708"/>
        <w:jc w:val="both"/>
        <w:rPr>
          <w:rFonts w:ascii="Times New Roman" w:eastAsia="Times New Roman" w:hAnsi="Times New Roman"/>
          <w:color w:val="000000"/>
          <w:sz w:val="24"/>
          <w:szCs w:val="24"/>
        </w:rPr>
      </w:pPr>
    </w:p>
    <w:p w14:paraId="6C192928" w14:textId="77777777" w:rsidR="00A026A8" w:rsidRDefault="00301297">
      <w:pPr>
        <w:widowControl w:val="0"/>
        <w:pBdr>
          <w:top w:val="nil"/>
          <w:left w:val="nil"/>
          <w:bottom w:val="nil"/>
          <w:right w:val="nil"/>
          <w:between w:val="nil"/>
        </w:pBdr>
        <w:spacing w:after="0" w:line="275" w:lineRule="auto"/>
        <w:ind w:left="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 acuerdo con esta definición general, pueden ser defensores cualesquiera personas o grupos de personas que se esfuercen en promover los Derechos Humanos, desde organizaciones intergubernament</w:t>
      </w:r>
      <w:r>
        <w:rPr>
          <w:rFonts w:ascii="Times New Roman" w:eastAsia="Times New Roman" w:hAnsi="Times New Roman"/>
          <w:color w:val="000000"/>
          <w:sz w:val="24"/>
          <w:szCs w:val="24"/>
        </w:rPr>
        <w:t>ales asentadas en las mayores ciudades del mundo, hasta individuos que trabajan en sus comunidades locales. Los defensores pueden ser de cualquier género, tener distintas edades, proceder de cualquier parte del mundo y tener cualesquiera antecedentes profe</w:t>
      </w:r>
      <w:r>
        <w:rPr>
          <w:rFonts w:ascii="Times New Roman" w:eastAsia="Times New Roman" w:hAnsi="Times New Roman"/>
          <w:color w:val="000000"/>
          <w:sz w:val="24"/>
          <w:szCs w:val="24"/>
        </w:rPr>
        <w:t>sionales o de otro tipo. Es importante observar, en particular, que los defensores de Derechos Humanos no sólo desarrollan sus actividades en ONG y organizaciones intergubernamentales, sino que, en algunos casos, también pueden ser empleados del Estado, fu</w:t>
      </w:r>
      <w:r>
        <w:rPr>
          <w:rFonts w:ascii="Times New Roman" w:eastAsia="Times New Roman" w:hAnsi="Times New Roman"/>
          <w:color w:val="000000"/>
          <w:sz w:val="24"/>
          <w:szCs w:val="24"/>
        </w:rPr>
        <w:t>ncionarios públicos o miembros del sector privado.”</w:t>
      </w:r>
    </w:p>
    <w:p w14:paraId="1C4CD460"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4A7C2FA1" w14:textId="77777777" w:rsidR="00A026A8" w:rsidRDefault="00301297">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Entonces, los </w:t>
      </w:r>
      <w:r>
        <w:rPr>
          <w:rFonts w:ascii="Times New Roman" w:eastAsia="Times New Roman" w:hAnsi="Times New Roman"/>
          <w:sz w:val="24"/>
          <w:szCs w:val="24"/>
        </w:rPr>
        <w:t>líderes</w:t>
      </w:r>
      <w:r>
        <w:rPr>
          <w:rFonts w:ascii="Times New Roman" w:eastAsia="Times New Roman" w:hAnsi="Times New Roman"/>
          <w:color w:val="000000"/>
          <w:sz w:val="24"/>
          <w:szCs w:val="24"/>
        </w:rPr>
        <w:t xml:space="preserve"> sociales o defensores de Derechos Humanos son personas que promueven o procuran de cualquier forma la práctica y protección de los Derechos Humanos y las libertades fundamentales re</w:t>
      </w:r>
      <w:r>
        <w:rPr>
          <w:rFonts w:ascii="Times New Roman" w:eastAsia="Times New Roman" w:hAnsi="Times New Roman"/>
          <w:color w:val="000000"/>
          <w:sz w:val="24"/>
          <w:szCs w:val="24"/>
        </w:rPr>
        <w:t xml:space="preserve">conocidas a nivel nacional o internacional. </w:t>
      </w:r>
    </w:p>
    <w:p w14:paraId="193C1BA4"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31FD287D" w14:textId="77777777" w:rsidR="00A026A8" w:rsidRDefault="00301297">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Los esfuerzos del Estado colombiano han ido evolucionando a partir del reconocimiento de los derechos y libertades y de la relevancia del liderazgo social para la vigencia del Estado Social de Derecho, democrát</w:t>
      </w:r>
      <w:r>
        <w:rPr>
          <w:rFonts w:ascii="Times New Roman" w:eastAsia="Times New Roman" w:hAnsi="Times New Roman"/>
          <w:color w:val="000000"/>
          <w:sz w:val="24"/>
          <w:szCs w:val="24"/>
        </w:rPr>
        <w:t xml:space="preserve">ico y pluralista. Cabe resaltar, por ejemplo, que en Colombia existe legislación que busca la protección de los líderes sociales, como las que se relacionan a continuación:  </w:t>
      </w:r>
    </w:p>
    <w:p w14:paraId="580708F1"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20EEF4F9"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Ley 418 de 1997, “Por la cual se consagran unos instrumentos para la búsqueda de</w:t>
      </w:r>
      <w:r>
        <w:rPr>
          <w:rFonts w:ascii="Times New Roman" w:eastAsia="Times New Roman" w:hAnsi="Times New Roman"/>
          <w:color w:val="000000"/>
          <w:sz w:val="24"/>
          <w:szCs w:val="24"/>
        </w:rPr>
        <w:t xml:space="preserve"> la convivencia, la eficacia de la justicia y se dictan otras disposiciones”. E</w:t>
      </w:r>
      <w:r>
        <w:rPr>
          <w:rFonts w:ascii="Times New Roman" w:eastAsia="Times New Roman" w:hAnsi="Times New Roman"/>
          <w:sz w:val="24"/>
          <w:szCs w:val="24"/>
        </w:rPr>
        <w:t xml:space="preserve">n el artículo 81 de esta ley se dispuso que el gobierno nacional podría poner en funcionamiento un programa de protección a personas, que se encuentren en situación de riesgo </w:t>
      </w:r>
      <w:r>
        <w:rPr>
          <w:rFonts w:ascii="Times New Roman" w:eastAsia="Times New Roman" w:hAnsi="Times New Roman"/>
          <w:sz w:val="24"/>
          <w:szCs w:val="24"/>
        </w:rPr>
        <w:lastRenderedPageBreak/>
        <w:t>in</w:t>
      </w:r>
      <w:r>
        <w:rPr>
          <w:rFonts w:ascii="Times New Roman" w:eastAsia="Times New Roman" w:hAnsi="Times New Roman"/>
          <w:sz w:val="24"/>
          <w:szCs w:val="24"/>
        </w:rPr>
        <w:t xml:space="preserve">minente contra su vida, integridad, seguridad o libertad, por causas relacionadas con la violencia política o ideológica, o con el conflicto armado interno.  </w:t>
      </w:r>
    </w:p>
    <w:p w14:paraId="0A38ABC2" w14:textId="77777777" w:rsidR="00A026A8" w:rsidRDefault="00A026A8">
      <w:pPr>
        <w:widowControl w:val="0"/>
        <w:pBdr>
          <w:top w:val="nil"/>
          <w:left w:val="nil"/>
          <w:bottom w:val="nil"/>
          <w:right w:val="nil"/>
          <w:between w:val="nil"/>
        </w:pBdr>
        <w:spacing w:after="0" w:line="240" w:lineRule="auto"/>
        <w:ind w:left="720"/>
        <w:jc w:val="both"/>
        <w:rPr>
          <w:rFonts w:ascii="Times New Roman" w:eastAsia="Times New Roman" w:hAnsi="Times New Roman"/>
          <w:color w:val="000000"/>
          <w:sz w:val="24"/>
          <w:szCs w:val="24"/>
        </w:rPr>
      </w:pPr>
    </w:p>
    <w:p w14:paraId="3B21E6E7"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978 de 2000, “Por el cual se crea el Programa Especial de Protección Integral para dirig</w:t>
      </w:r>
      <w:r>
        <w:rPr>
          <w:rFonts w:ascii="Times New Roman" w:eastAsia="Times New Roman" w:hAnsi="Times New Roman"/>
          <w:color w:val="000000"/>
          <w:sz w:val="24"/>
          <w:szCs w:val="24"/>
        </w:rPr>
        <w:t xml:space="preserve">entes, miembros y sobrevivientes de la Unión Patriótica y del Partido Comunista Colombiano”. </w:t>
      </w:r>
    </w:p>
    <w:p w14:paraId="1EA3F2F4"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12AC359D"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Decreto 2788 de 2003, “Por el cual se unifica y reglamenta el Comité de Reglamentación y Evaluación de Riesgos de los Programas de Protección de la Dirección de </w:t>
      </w:r>
      <w:r>
        <w:rPr>
          <w:rFonts w:ascii="Times New Roman" w:eastAsia="Times New Roman" w:hAnsi="Times New Roman"/>
          <w:color w:val="000000"/>
          <w:sz w:val="24"/>
          <w:szCs w:val="24"/>
        </w:rPr>
        <w:t xml:space="preserve">Derechos Humanos del Ministerio del Interior y de Justicia”. </w:t>
      </w:r>
    </w:p>
    <w:p w14:paraId="739179A3"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2EF4457F"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2816 de 2006, “Por el cual se diseña y reglamenta el Programa de Protección de Derechos Humanos del Ministerio del Interior y de Justicia y se adoptan otras disposiciones”.</w:t>
      </w:r>
    </w:p>
    <w:p w14:paraId="6C1AE689"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5F0B07F5"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Ley 1448 de</w:t>
      </w:r>
      <w:r>
        <w:rPr>
          <w:rFonts w:ascii="Times New Roman" w:eastAsia="Times New Roman" w:hAnsi="Times New Roman"/>
          <w:color w:val="000000"/>
          <w:sz w:val="24"/>
          <w:szCs w:val="24"/>
        </w:rPr>
        <w:t xml:space="preserve"> 2011, “Por la cual se dictan medidas de atención, asistencia y reparación integral a las víctimas del conflicto armado interno y se dictan otras disposiciones”.</w:t>
      </w:r>
    </w:p>
    <w:p w14:paraId="453D3B50"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591948D3"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Decreto 4065 de 2011, “Por el cual se crea la Unidad Nacional de Protección (UNP), se establecen su objetivo y estructura”. </w:t>
      </w:r>
    </w:p>
    <w:p w14:paraId="3A0B9B8C"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6A5B1BFB"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4912 de 2011, "Por el cual se organiza el Programa de Prevención y Protección de los derechos a la vida, la libertad, la i</w:t>
      </w:r>
      <w:r>
        <w:rPr>
          <w:rFonts w:ascii="Times New Roman" w:eastAsia="Times New Roman" w:hAnsi="Times New Roman"/>
          <w:color w:val="000000"/>
          <w:sz w:val="24"/>
          <w:szCs w:val="24"/>
        </w:rPr>
        <w:t xml:space="preserve">ntegridad y la seguridad de personas, grupos y comunidades del Ministerio del Interior y de la Unidad Nacional de Protección". </w:t>
      </w:r>
    </w:p>
    <w:p w14:paraId="444D4905"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63F720AD"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2096 de 2012, “Por el cual se unifica el Programa Especial de Protección Integral para dirigentes, miembros y sobrevivi</w:t>
      </w:r>
      <w:r>
        <w:rPr>
          <w:rFonts w:ascii="Times New Roman" w:eastAsia="Times New Roman" w:hAnsi="Times New Roman"/>
          <w:color w:val="000000"/>
          <w:sz w:val="24"/>
          <w:szCs w:val="24"/>
        </w:rPr>
        <w:t xml:space="preserve">entes de la Unión Patriótica y el Partido Comunista Colombiano y se dictan otras disposiciones”. </w:t>
      </w:r>
    </w:p>
    <w:p w14:paraId="1AAD8137"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0D42D1D5"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154 de 2017, “Por el cual se crea la Comisión Nacional de Garantías de Seguridad en el Marco del Acuerdo Final, suscrito entre el Gobierno Nacional y</w:t>
      </w:r>
      <w:r>
        <w:rPr>
          <w:rFonts w:ascii="Times New Roman" w:eastAsia="Times New Roman" w:hAnsi="Times New Roman"/>
          <w:color w:val="000000"/>
          <w:sz w:val="24"/>
          <w:szCs w:val="24"/>
        </w:rPr>
        <w:t xml:space="preserve"> las FARC-EP el 24 de noviembre de 2016”. </w:t>
      </w:r>
    </w:p>
    <w:p w14:paraId="57788A5B"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4660A4D1"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Decreto 1581 de 2017, “Por el cual se adiciona el Título 3 a la Parte 4, del Libro 2 del Decreto 1066 de 2015, Decreto Único Reglamentario del Sector Administrativo del Interior, para adoptar la política pública </w:t>
      </w:r>
      <w:r>
        <w:rPr>
          <w:rFonts w:ascii="Times New Roman" w:eastAsia="Times New Roman" w:hAnsi="Times New Roman"/>
          <w:color w:val="000000"/>
          <w:sz w:val="24"/>
          <w:szCs w:val="24"/>
        </w:rPr>
        <w:t xml:space="preserve">de prevención de violaciones a los derechos a la vida, integridad, libertad y seguridad de personas, grupos y comunidades, y se dictan otras disposiciones”. </w:t>
      </w:r>
    </w:p>
    <w:p w14:paraId="049FC504"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0055CAD4"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2078 de 2017, “Por el cual se adiciona el Capítulo 5, del Título 1, de la Parte 4, del Li</w:t>
      </w:r>
      <w:r>
        <w:rPr>
          <w:rFonts w:ascii="Times New Roman" w:eastAsia="Times New Roman" w:hAnsi="Times New Roman"/>
          <w:color w:val="000000"/>
          <w:sz w:val="24"/>
          <w:szCs w:val="24"/>
        </w:rPr>
        <w:t xml:space="preserve">bro 2 del Decreto 1066 de 2015, Decreto Único Reglamentario del Sector Administrativo del Interior, sobre la ruta de protección colectiva de los derechos a la vida, la libertad, la integridad y la seguridad personal de grupos y comunidades”. </w:t>
      </w:r>
    </w:p>
    <w:p w14:paraId="7652C61C"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6087089F"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2252</w:t>
      </w:r>
      <w:r>
        <w:rPr>
          <w:rFonts w:ascii="Times New Roman" w:eastAsia="Times New Roman" w:hAnsi="Times New Roman"/>
          <w:color w:val="000000"/>
          <w:sz w:val="24"/>
          <w:szCs w:val="24"/>
        </w:rPr>
        <w:t xml:space="preserve"> de 2017, “Por el cual se adiciona el Capítulo 6, del Título 1, de la Parte 4, del Libro 2 del Decreto 1066 de 2015, Decreto Único Reglamentario del Sector </w:t>
      </w:r>
      <w:r>
        <w:rPr>
          <w:rFonts w:ascii="Times New Roman" w:eastAsia="Times New Roman" w:hAnsi="Times New Roman"/>
          <w:color w:val="000000"/>
          <w:sz w:val="24"/>
          <w:szCs w:val="24"/>
        </w:rPr>
        <w:lastRenderedPageBreak/>
        <w:t>Administrativo del Interior, sobre la labor de gobernadores y alcaldes como agentes del Presidente d</w:t>
      </w:r>
      <w:r>
        <w:rPr>
          <w:rFonts w:ascii="Times New Roman" w:eastAsia="Times New Roman" w:hAnsi="Times New Roman"/>
          <w:color w:val="000000"/>
          <w:sz w:val="24"/>
          <w:szCs w:val="24"/>
        </w:rPr>
        <w:t xml:space="preserve">e la República en relación con la protección individual y colectiva de líderes y </w:t>
      </w:r>
      <w:r>
        <w:rPr>
          <w:rFonts w:ascii="Times New Roman" w:eastAsia="Times New Roman" w:hAnsi="Times New Roman"/>
          <w:sz w:val="24"/>
          <w:szCs w:val="24"/>
        </w:rPr>
        <w:t>líderes</w:t>
      </w:r>
      <w:r>
        <w:rPr>
          <w:rFonts w:ascii="Times New Roman" w:eastAsia="Times New Roman" w:hAnsi="Times New Roman"/>
          <w:color w:val="000000"/>
          <w:sz w:val="24"/>
          <w:szCs w:val="24"/>
        </w:rPr>
        <w:t>as de organizaciones y movimientos sociales y comunales, y defensores y defensoras de derechos humanos que se encuentren en situación de riesgo”.</w:t>
      </w:r>
    </w:p>
    <w:p w14:paraId="3762ABEE"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5F6AA014"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2124 de 2017,</w:t>
      </w:r>
      <w:r>
        <w:rPr>
          <w:rFonts w:ascii="Times New Roman" w:eastAsia="Times New Roman" w:hAnsi="Times New Roman"/>
          <w:color w:val="000000"/>
          <w:sz w:val="24"/>
          <w:szCs w:val="24"/>
        </w:rPr>
        <w:t xml:space="preserve"> “Por el cual se reglamenta el sistema de prevención y alerta para la reacción rápida a la presencia, acciones y/o actividades de las organizaciones, hechos y conductas criminales que pongan en riesgo los derechos de la población y la implementación del Ac</w:t>
      </w:r>
      <w:r>
        <w:rPr>
          <w:rFonts w:ascii="Times New Roman" w:eastAsia="Times New Roman" w:hAnsi="Times New Roman"/>
          <w:color w:val="000000"/>
          <w:sz w:val="24"/>
          <w:szCs w:val="24"/>
        </w:rPr>
        <w:t xml:space="preserve">uerdo Final para la Terminación del Conflicto y la Construcción de una Paz Estable y Duradera”. </w:t>
      </w:r>
    </w:p>
    <w:p w14:paraId="188BF835"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4CBDD408"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Ley 1908 de 2018, “Por medio de la cual se fortalecen la investigación y judicialización de organizaciones criminales, se adoptan medidas para su sujeción a l</w:t>
      </w:r>
      <w:r>
        <w:rPr>
          <w:rFonts w:ascii="Times New Roman" w:eastAsia="Times New Roman" w:hAnsi="Times New Roman"/>
          <w:color w:val="000000"/>
          <w:sz w:val="24"/>
          <w:szCs w:val="24"/>
        </w:rPr>
        <w:t>a justicia y se dictan otras disposiciones”.</w:t>
      </w:r>
    </w:p>
    <w:p w14:paraId="297C1B63"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19336EB2"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660 de 2018, “Por el cual se adiciona el Capítulo 7, del Título 1, de la Parte 4, del Libro 2 del Decreto 1066 de 2015, Único Reglamentario del Sector Administrativo del Interior, para crear y reglamentar el Programa Integral de Seguridad y Protecc</w:t>
      </w:r>
      <w:r>
        <w:rPr>
          <w:rFonts w:ascii="Times New Roman" w:eastAsia="Times New Roman" w:hAnsi="Times New Roman"/>
          <w:color w:val="000000"/>
          <w:sz w:val="24"/>
          <w:szCs w:val="24"/>
        </w:rPr>
        <w:t xml:space="preserve">ión para Comunidades y Organizaciones en los Territorios; y se dictan otras disposiciones”. </w:t>
      </w:r>
    </w:p>
    <w:p w14:paraId="652A7250"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28704420"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2137 de 2018, “Por el cual se crea la Comisión Intersectorial para el desarrollo del Plan de Acción Oportuna (PAO) de Prevención y Protección individual y</w:t>
      </w:r>
      <w:r>
        <w:rPr>
          <w:rFonts w:ascii="Times New Roman" w:eastAsia="Times New Roman" w:hAnsi="Times New Roman"/>
          <w:color w:val="000000"/>
          <w:sz w:val="24"/>
          <w:szCs w:val="24"/>
        </w:rPr>
        <w:t xml:space="preserve"> colectiva de los derechos a la vida, la libertad, la integridad y la seguridad de defensores de derechos humanos, líderes sociales, comunales, y periodistas - "Comisión del Plan de Acción Oportuna (PAO) para defensores de derechos humanos, líderes sociale</w:t>
      </w:r>
      <w:r>
        <w:rPr>
          <w:rFonts w:ascii="Times New Roman" w:eastAsia="Times New Roman" w:hAnsi="Times New Roman"/>
          <w:color w:val="000000"/>
          <w:sz w:val="24"/>
          <w:szCs w:val="24"/>
        </w:rPr>
        <w:t>s, comunales, y periodistas". (Consejería Presidencial para los derechos humanos y asuntos internacionales, 2010 - 2019).</w:t>
      </w:r>
    </w:p>
    <w:p w14:paraId="75F24A07"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6B0ED68B" w14:textId="77777777" w:rsidR="00A026A8" w:rsidRDefault="00301297">
      <w:pPr>
        <w:widowControl w:val="0"/>
        <w:numPr>
          <w:ilvl w:val="0"/>
          <w:numId w:val="15"/>
        </w:numPr>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Decreto 1138 de 2021, “Por medio del cual se modifica y adiciona el Decreto 2137 de 2018”.</w:t>
      </w:r>
    </w:p>
    <w:p w14:paraId="334970D5" w14:textId="77777777" w:rsidR="00A026A8" w:rsidRDefault="00A026A8">
      <w:pPr>
        <w:jc w:val="both"/>
        <w:rPr>
          <w:rFonts w:ascii="Times New Roman" w:eastAsia="Times New Roman" w:hAnsi="Times New Roman"/>
          <w:sz w:val="24"/>
          <w:szCs w:val="24"/>
        </w:rPr>
      </w:pPr>
    </w:p>
    <w:p w14:paraId="237A693B" w14:textId="77777777" w:rsidR="00A026A8" w:rsidRDefault="00301297">
      <w:pPr>
        <w:jc w:val="both"/>
        <w:rPr>
          <w:rFonts w:ascii="Times New Roman" w:eastAsia="Times New Roman" w:hAnsi="Times New Roman"/>
          <w:b/>
          <w:sz w:val="24"/>
          <w:szCs w:val="24"/>
        </w:rPr>
      </w:pPr>
      <w:r>
        <w:rPr>
          <w:rFonts w:ascii="Times New Roman" w:eastAsia="Times New Roman" w:hAnsi="Times New Roman"/>
          <w:sz w:val="24"/>
          <w:szCs w:val="24"/>
        </w:rPr>
        <w:t xml:space="preserve">Por su parte, la honorable Corte </w:t>
      </w:r>
      <w:r>
        <w:rPr>
          <w:rFonts w:ascii="Times New Roman" w:eastAsia="Times New Roman" w:hAnsi="Times New Roman"/>
          <w:sz w:val="24"/>
          <w:szCs w:val="24"/>
        </w:rPr>
        <w:t>Constitucional ha realizado un desarrollo jurisprudencial en aras de definir el deber de garantía, adecuación normativa y de protección de los derechos a la vida, la libertad, la integridad y la seguridad de defensores de Derechos Humanos y líderes sociale</w:t>
      </w:r>
      <w:r>
        <w:rPr>
          <w:rFonts w:ascii="Times New Roman" w:eastAsia="Times New Roman" w:hAnsi="Times New Roman"/>
          <w:sz w:val="24"/>
          <w:szCs w:val="24"/>
        </w:rPr>
        <w:t>s. A continuación, se traen a colación las más importantes:</w:t>
      </w:r>
    </w:p>
    <w:p w14:paraId="2A23CBB6"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u w:val="single"/>
        </w:rPr>
        <w:t>Sentencia T-102 de 1993</w:t>
      </w:r>
      <w:r>
        <w:rPr>
          <w:rFonts w:ascii="Times New Roman" w:eastAsia="Times New Roman" w:hAnsi="Times New Roman"/>
          <w:sz w:val="24"/>
          <w:szCs w:val="24"/>
          <w:u w:val="single"/>
        </w:rPr>
        <w:t>:</w:t>
      </w:r>
      <w:r>
        <w:rPr>
          <w:rFonts w:ascii="Times New Roman" w:eastAsia="Times New Roman" w:hAnsi="Times New Roman"/>
          <w:sz w:val="24"/>
          <w:szCs w:val="24"/>
        </w:rPr>
        <w:t xml:space="preserve"> La Corte establece que en materia constitucional la protección del derecho a la vida incluye en su núcleo conceptual la protección contra todo acto que amenace dicho derec</w:t>
      </w:r>
      <w:r>
        <w:rPr>
          <w:rFonts w:ascii="Times New Roman" w:eastAsia="Times New Roman" w:hAnsi="Times New Roman"/>
          <w:sz w:val="24"/>
          <w:szCs w:val="24"/>
        </w:rPr>
        <w:t>ho, no importa la magnitud o el grado de probabilidad de la amenaza, con tal de que ella sea cierta.  Así mismo, explica que la esfera del derecho fundamental a la vida se divide en dos ámbitos de obligatorio cumplimiento para el Estado: 1) el deber de res</w:t>
      </w:r>
      <w:r>
        <w:rPr>
          <w:rFonts w:ascii="Times New Roman" w:eastAsia="Times New Roman" w:hAnsi="Times New Roman"/>
          <w:sz w:val="24"/>
          <w:szCs w:val="24"/>
        </w:rPr>
        <w:t xml:space="preserve">petarla y 2) la obligación de protegerla, por consiguiente, las autoridades están doblemente obligadas a no vulnerar el derecho a la vida y a evitar que terceros lo afecten. </w:t>
      </w:r>
    </w:p>
    <w:p w14:paraId="3A4ABF56"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u w:val="single"/>
        </w:rPr>
        <w:lastRenderedPageBreak/>
        <w:t xml:space="preserve">Sentencia T-981 del 2001: </w:t>
      </w:r>
      <w:r>
        <w:rPr>
          <w:rFonts w:ascii="Times New Roman" w:eastAsia="Times New Roman" w:hAnsi="Times New Roman"/>
          <w:sz w:val="24"/>
          <w:szCs w:val="24"/>
        </w:rPr>
        <w:t xml:space="preserve">El Estado debe responder a las demandas de atención de </w:t>
      </w:r>
      <w:r>
        <w:rPr>
          <w:rFonts w:ascii="Times New Roman" w:eastAsia="Times New Roman" w:hAnsi="Times New Roman"/>
          <w:sz w:val="24"/>
          <w:szCs w:val="24"/>
        </w:rPr>
        <w:t>manera cierta y efectiva cuando se tenga conocimiento de amenazas sobre la existencia y tranquilidad de individuos o grupos que habitan zonas de confrontación o que desarrollan actividades de riesgo en los términos del conflicto. Así mismo, el Estado no pu</w:t>
      </w:r>
      <w:r>
        <w:rPr>
          <w:rFonts w:ascii="Times New Roman" w:eastAsia="Times New Roman" w:hAnsi="Times New Roman"/>
          <w:sz w:val="24"/>
          <w:szCs w:val="24"/>
        </w:rPr>
        <w:t xml:space="preserve">ede incumplir con sus deberes minimizando la realidad que afecta a ciertos grupos vulnerables y que requieren de especial protección por parte de las diferentes instituciones. </w:t>
      </w:r>
    </w:p>
    <w:p w14:paraId="609B2540" w14:textId="77777777" w:rsidR="00A026A8" w:rsidRDefault="00301297">
      <w:pPr>
        <w:jc w:val="both"/>
        <w:rPr>
          <w:rFonts w:ascii="Times New Roman" w:eastAsia="Times New Roman" w:hAnsi="Times New Roman"/>
          <w:sz w:val="24"/>
          <w:szCs w:val="24"/>
        </w:rPr>
      </w:pPr>
      <w:r>
        <w:rPr>
          <w:rFonts w:ascii="Times New Roman" w:eastAsia="Times New Roman" w:hAnsi="Times New Roman"/>
          <w:sz w:val="24"/>
          <w:szCs w:val="24"/>
        </w:rPr>
        <w:t>En este sentido, la Corte aclaró que las autoridades gozan de autonomía para to</w:t>
      </w:r>
      <w:r>
        <w:rPr>
          <w:rFonts w:ascii="Times New Roman" w:eastAsia="Times New Roman" w:hAnsi="Times New Roman"/>
          <w:sz w:val="24"/>
          <w:szCs w:val="24"/>
        </w:rPr>
        <w:t xml:space="preserve">mar las decisiones necesarias, siempre y cuando constituyan soluciones reales y efectivas. De igual manera, resalta que para poder establecer las circunstancias y decidir si hay lugar a protección especial se deben analizar factores objetivos y subjetivos </w:t>
      </w:r>
      <w:r>
        <w:rPr>
          <w:rFonts w:ascii="Times New Roman" w:eastAsia="Times New Roman" w:hAnsi="Times New Roman"/>
          <w:sz w:val="24"/>
          <w:szCs w:val="24"/>
        </w:rPr>
        <w:t xml:space="preserve">teniendo en cuenta los criterios fijados por la jurisprudencia, entre los cuales encuentran; </w:t>
      </w:r>
      <w:r>
        <w:rPr>
          <w:rFonts w:ascii="Times New Roman" w:eastAsia="Times New Roman" w:hAnsi="Times New Roman"/>
          <w:b/>
          <w:sz w:val="24"/>
          <w:szCs w:val="24"/>
        </w:rPr>
        <w:t xml:space="preserve">1) La realidad de la amenaza: </w:t>
      </w:r>
      <w:r>
        <w:rPr>
          <w:rFonts w:ascii="Times New Roman" w:eastAsia="Times New Roman" w:hAnsi="Times New Roman"/>
          <w:sz w:val="24"/>
          <w:szCs w:val="24"/>
        </w:rPr>
        <w:t>se exige que la amenaza sea real, en el sentido que haya sido comunicada o manifestada a la víctima y pueda ser convalidada objetivam</w:t>
      </w:r>
      <w:r>
        <w:rPr>
          <w:rFonts w:ascii="Times New Roman" w:eastAsia="Times New Roman" w:hAnsi="Times New Roman"/>
          <w:sz w:val="24"/>
          <w:szCs w:val="24"/>
        </w:rPr>
        <w:t xml:space="preserve">ente, lo que implica que no debe tratarse de un temor individual. </w:t>
      </w:r>
      <w:r>
        <w:rPr>
          <w:rFonts w:ascii="Times New Roman" w:eastAsia="Times New Roman" w:hAnsi="Times New Roman"/>
          <w:b/>
          <w:sz w:val="24"/>
          <w:szCs w:val="24"/>
        </w:rPr>
        <w:t>2) La individualidad de la amenaza:</w:t>
      </w:r>
      <w:r>
        <w:rPr>
          <w:rFonts w:ascii="Times New Roman" w:eastAsia="Times New Roman" w:hAnsi="Times New Roman"/>
          <w:sz w:val="24"/>
          <w:szCs w:val="24"/>
        </w:rPr>
        <w:t xml:space="preserve"> se requiere que la amenaza sea individualizada; para ello es necesario que se dirigida contra un sujeto o un grupo determinado o determinable de personas.</w:t>
      </w:r>
      <w:r>
        <w:rPr>
          <w:rFonts w:ascii="Times New Roman" w:eastAsia="Times New Roman" w:hAnsi="Times New Roman"/>
          <w:sz w:val="24"/>
          <w:szCs w:val="24"/>
        </w:rPr>
        <w:t xml:space="preserve"> </w:t>
      </w:r>
      <w:r>
        <w:rPr>
          <w:rFonts w:ascii="Times New Roman" w:eastAsia="Times New Roman" w:hAnsi="Times New Roman"/>
          <w:b/>
          <w:sz w:val="24"/>
          <w:szCs w:val="24"/>
        </w:rPr>
        <w:t>3) La situación específica del amenazado:</w:t>
      </w:r>
      <w:r>
        <w:rPr>
          <w:rFonts w:ascii="Times New Roman" w:eastAsia="Times New Roman" w:hAnsi="Times New Roman"/>
          <w:sz w:val="24"/>
          <w:szCs w:val="24"/>
        </w:rPr>
        <w:t xml:space="preserve"> en este criterio se deben tener en cuenta “aspectos subjetivos que rodean al peticionario, tales como el lugar de residencia, la pertenencia a un partido político, la actividad sindical, la situación económica, la</w:t>
      </w:r>
      <w:r>
        <w:rPr>
          <w:rFonts w:ascii="Times New Roman" w:eastAsia="Times New Roman" w:hAnsi="Times New Roman"/>
          <w:sz w:val="24"/>
          <w:szCs w:val="24"/>
        </w:rPr>
        <w:t xml:space="preserve"> actividad profesional, etc. Ahora bien, de manera paralela al análisis de los mencionados criterios, también es necesario analizar el escenario en que se presentan las amenazas, siendo estas las circunstancias históricas, sociales, económicas y políticas </w:t>
      </w:r>
      <w:r>
        <w:rPr>
          <w:rFonts w:ascii="Times New Roman" w:eastAsia="Times New Roman" w:hAnsi="Times New Roman"/>
          <w:sz w:val="24"/>
          <w:szCs w:val="24"/>
        </w:rPr>
        <w:t xml:space="preserve">donde se asegura que han ocurrido las amenazas. Una vez adelantada la valoración de los factores de riesgo, es menester que la autoridad competente adopte las medidas tendientes a otorgar suficiente protección a quien es objeto de intimidaciones. </w:t>
      </w:r>
    </w:p>
    <w:p w14:paraId="3AF0EE61"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u w:val="single"/>
        </w:rPr>
        <w:t>Sentenci</w:t>
      </w:r>
      <w:r>
        <w:rPr>
          <w:rFonts w:ascii="Times New Roman" w:eastAsia="Times New Roman" w:hAnsi="Times New Roman"/>
          <w:b/>
          <w:sz w:val="24"/>
          <w:szCs w:val="24"/>
          <w:u w:val="single"/>
        </w:rPr>
        <w:t>a T-719 del 2003:</w:t>
      </w:r>
      <w:r>
        <w:rPr>
          <w:rFonts w:ascii="Times New Roman" w:eastAsia="Times New Roman" w:hAnsi="Times New Roman"/>
          <w:b/>
          <w:sz w:val="24"/>
          <w:szCs w:val="24"/>
        </w:rPr>
        <w:t xml:space="preserve"> </w:t>
      </w:r>
      <w:r>
        <w:rPr>
          <w:rFonts w:ascii="Times New Roman" w:eastAsia="Times New Roman" w:hAnsi="Times New Roman"/>
          <w:sz w:val="24"/>
          <w:szCs w:val="24"/>
        </w:rPr>
        <w:t>Hace referencia al ámbito constitucional de las personas que ven afectada su seguridad, producto de sus labores profesionales, políticas o sociales. Los contextos de violencia en el país hacen que se presenten casos de trasgresión y amena</w:t>
      </w:r>
      <w:r>
        <w:rPr>
          <w:rFonts w:ascii="Times New Roman" w:eastAsia="Times New Roman" w:hAnsi="Times New Roman"/>
          <w:sz w:val="24"/>
          <w:szCs w:val="24"/>
        </w:rPr>
        <w:t>zas extraordinarias a la integridad de distintas poblaciones. Esto ha llevado a que el desarrollo del derecho a la seguridad personal sea una preocupación histórica</w:t>
      </w:r>
      <w:r>
        <w:rPr>
          <w:rFonts w:ascii="Times New Roman" w:eastAsia="Times New Roman" w:hAnsi="Times New Roman"/>
          <w:b/>
          <w:sz w:val="24"/>
          <w:szCs w:val="24"/>
        </w:rPr>
        <w:t>, esta sentencia representa el fallo fundacional de la línea jurisprudencial sólida sobre la</w:t>
      </w:r>
      <w:r>
        <w:rPr>
          <w:rFonts w:ascii="Times New Roman" w:eastAsia="Times New Roman" w:hAnsi="Times New Roman"/>
          <w:b/>
          <w:sz w:val="24"/>
          <w:szCs w:val="24"/>
        </w:rPr>
        <w:t xml:space="preserve"> materia, </w:t>
      </w:r>
      <w:r>
        <w:rPr>
          <w:rFonts w:ascii="Times New Roman" w:eastAsia="Times New Roman" w:hAnsi="Times New Roman"/>
          <w:sz w:val="24"/>
          <w:szCs w:val="24"/>
        </w:rPr>
        <w:t xml:space="preserve">al resolver el amparo impetrado por la compañera de un desmovilizado que fue asesinado pese a las amenazas conocidas en su contra y por las cuales no recibió la protección requerida a tiempo. </w:t>
      </w:r>
    </w:p>
    <w:p w14:paraId="47F5C8D1" w14:textId="77777777" w:rsidR="00A026A8" w:rsidRDefault="00301297">
      <w:pPr>
        <w:jc w:val="both"/>
        <w:rPr>
          <w:rFonts w:ascii="Times New Roman" w:eastAsia="Times New Roman" w:hAnsi="Times New Roman"/>
          <w:sz w:val="24"/>
          <w:szCs w:val="24"/>
        </w:rPr>
      </w:pPr>
      <w:r>
        <w:rPr>
          <w:rFonts w:ascii="Times New Roman" w:eastAsia="Times New Roman" w:hAnsi="Times New Roman"/>
          <w:sz w:val="24"/>
          <w:szCs w:val="24"/>
        </w:rPr>
        <w:t>La Corte aclaró que el ordenamiento ampara la protecc</w:t>
      </w:r>
      <w:r>
        <w:rPr>
          <w:rFonts w:ascii="Times New Roman" w:eastAsia="Times New Roman" w:hAnsi="Times New Roman"/>
          <w:sz w:val="24"/>
          <w:szCs w:val="24"/>
        </w:rPr>
        <w:t>ión reforzada y diferenciada de las personas que enfrentan riesgos de alta intensidad. Pero, “</w:t>
      </w:r>
      <w:r>
        <w:rPr>
          <w:rFonts w:ascii="Times New Roman" w:eastAsia="Times New Roman" w:hAnsi="Times New Roman"/>
          <w:i/>
          <w:sz w:val="24"/>
          <w:szCs w:val="24"/>
        </w:rPr>
        <w:t>¿Cuáles son los tipos de riesgo cubiertos por el derecho a la seguridad personal, y en qué se diferencian de los riesgos frente a los cuales operan los derechos f</w:t>
      </w:r>
      <w:r>
        <w:rPr>
          <w:rFonts w:ascii="Times New Roman" w:eastAsia="Times New Roman" w:hAnsi="Times New Roman"/>
          <w:i/>
          <w:sz w:val="24"/>
          <w:szCs w:val="24"/>
        </w:rPr>
        <w:t>undamentales a la vida e integridad personal?</w:t>
      </w:r>
      <w:r>
        <w:rPr>
          <w:rFonts w:ascii="Times New Roman" w:eastAsia="Times New Roman" w:hAnsi="Times New Roman"/>
          <w:sz w:val="24"/>
          <w:szCs w:val="24"/>
        </w:rPr>
        <w:t>” Para dar respuesta a este interrogante, estableció cuatro niveles de riesgo: mínimo, ordinario, extraordinario y extremo. También explicó que sólo respecto de estos dos últimos niveles les asiste a las autorid</w:t>
      </w:r>
      <w:r>
        <w:rPr>
          <w:rFonts w:ascii="Times New Roman" w:eastAsia="Times New Roman" w:hAnsi="Times New Roman"/>
          <w:sz w:val="24"/>
          <w:szCs w:val="24"/>
        </w:rPr>
        <w:t xml:space="preserve">ades la obligación de brindar atención y protección reforzada. Esta categorización resulta determinante “para diferenciar el campo de aplicación del derecho a la seguridad personal de las órbitas de otros dos derechos fundamentales con los cuales está </w:t>
      </w:r>
      <w:r>
        <w:rPr>
          <w:rFonts w:ascii="Times New Roman" w:eastAsia="Times New Roman" w:hAnsi="Times New Roman"/>
          <w:sz w:val="24"/>
          <w:szCs w:val="24"/>
        </w:rPr>
        <w:lastRenderedPageBreak/>
        <w:t>ínti</w:t>
      </w:r>
      <w:r>
        <w:rPr>
          <w:rFonts w:ascii="Times New Roman" w:eastAsia="Times New Roman" w:hAnsi="Times New Roman"/>
          <w:sz w:val="24"/>
          <w:szCs w:val="24"/>
        </w:rPr>
        <w:t>mamente relacionado, sin confundirse con ellos: la vida y la integridad personal”, y protegerse eficazmente el derecho a la seguridad personal.</w:t>
      </w:r>
      <w:r>
        <w:rPr>
          <w:rFonts w:ascii="Times New Roman" w:eastAsia="Times New Roman" w:hAnsi="Times New Roman"/>
          <w:sz w:val="24"/>
          <w:szCs w:val="24"/>
          <w:vertAlign w:val="superscript"/>
        </w:rPr>
        <w:footnoteReference w:id="1"/>
      </w:r>
      <w:r>
        <w:rPr>
          <w:rFonts w:ascii="Times New Roman" w:eastAsia="Times New Roman" w:hAnsi="Times New Roman"/>
          <w:sz w:val="24"/>
          <w:szCs w:val="24"/>
        </w:rPr>
        <w:t xml:space="preserve"> Esta fue la escala de clasificación, con algunas diferencias conceptuales, que finalmente se plasmó en el diseñ</w:t>
      </w:r>
      <w:r>
        <w:rPr>
          <w:rFonts w:ascii="Times New Roman" w:eastAsia="Times New Roman" w:hAnsi="Times New Roman"/>
          <w:sz w:val="24"/>
          <w:szCs w:val="24"/>
        </w:rPr>
        <w:t xml:space="preserve">o institucional de la UNP y que fue recogida, parcialmente, por el artículo 3 del Decreto 4912 de 2011, el cual, a su vez, fue compilado por el artículo 2.4.1.2.3. del Decreto 1066 de 2015. </w:t>
      </w:r>
      <w:r>
        <w:rPr>
          <w:rFonts w:ascii="Times New Roman" w:eastAsia="Times New Roman" w:hAnsi="Times New Roman"/>
          <w:sz w:val="24"/>
          <w:szCs w:val="24"/>
        </w:rPr>
        <w:tab/>
      </w:r>
    </w:p>
    <w:p w14:paraId="3B25E200" w14:textId="77777777" w:rsidR="00A026A8" w:rsidRDefault="00301297">
      <w:pPr>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Sentencia T-234 del 2012: </w:t>
      </w:r>
      <w:r>
        <w:rPr>
          <w:rFonts w:ascii="Times New Roman" w:eastAsia="Times New Roman" w:hAnsi="Times New Roman"/>
          <w:sz w:val="24"/>
          <w:szCs w:val="24"/>
        </w:rPr>
        <w:t>La Corte Constitucional se pronunció s</w:t>
      </w:r>
      <w:r>
        <w:rPr>
          <w:rFonts w:ascii="Times New Roman" w:eastAsia="Times New Roman" w:hAnsi="Times New Roman"/>
          <w:sz w:val="24"/>
          <w:szCs w:val="24"/>
        </w:rPr>
        <w:t>obre el concepto de seguridad de personas, grupos y comunidades como valor constitucional, derecho colectivo y fundamental, que se constituye en una garantía que debe ser preservada por el Estado, además que este tiene la obligación de otorgar especial pro</w:t>
      </w:r>
      <w:r>
        <w:rPr>
          <w:rFonts w:ascii="Times New Roman" w:eastAsia="Times New Roman" w:hAnsi="Times New Roman"/>
          <w:sz w:val="24"/>
          <w:szCs w:val="24"/>
        </w:rPr>
        <w:t xml:space="preserve">tección a los y las defensoras de Derechos humanos víctimas de violencia y emplear medidas y procedimientos tendientes a evitar la revictimización.  </w:t>
      </w:r>
      <w:r>
        <w:rPr>
          <w:rFonts w:ascii="Times New Roman" w:eastAsia="Times New Roman" w:hAnsi="Times New Roman"/>
          <w:b/>
          <w:sz w:val="24"/>
          <w:szCs w:val="24"/>
        </w:rPr>
        <w:t xml:space="preserve">Esta sentencia es de suma importancia </w:t>
      </w:r>
      <w:r>
        <w:rPr>
          <w:rFonts w:ascii="Times New Roman" w:eastAsia="Times New Roman" w:hAnsi="Times New Roman"/>
          <w:sz w:val="24"/>
          <w:szCs w:val="24"/>
        </w:rPr>
        <w:t>para la ratificación de la garantía de los derechos de las mujeres pu</w:t>
      </w:r>
      <w:r>
        <w:rPr>
          <w:rFonts w:ascii="Times New Roman" w:eastAsia="Times New Roman" w:hAnsi="Times New Roman"/>
          <w:sz w:val="24"/>
          <w:szCs w:val="24"/>
        </w:rPr>
        <w:t>es reconoce a las defensoras de Derechos Humanos como sujetos de especial protección, visibilizando las múltiples vulneraciones de las que son objeto por la discriminación y violencia de género en la que se encuentran como consecuencia de la sociedad patri</w:t>
      </w:r>
      <w:r>
        <w:rPr>
          <w:rFonts w:ascii="Times New Roman" w:eastAsia="Times New Roman" w:hAnsi="Times New Roman"/>
          <w:sz w:val="24"/>
          <w:szCs w:val="24"/>
        </w:rPr>
        <w:t>arcal, especialmente en el marco del conflicto armado. Por otro lado, la Corte hizo referencia a los tipos de riesgo (mínimo, ordinario, extraordinario, extremo y consumado), frente a los cuales debe protegerse el derecho a la seguridad personal, en el cas</w:t>
      </w:r>
      <w:r>
        <w:rPr>
          <w:rFonts w:ascii="Times New Roman" w:eastAsia="Times New Roman" w:hAnsi="Times New Roman"/>
          <w:sz w:val="24"/>
          <w:szCs w:val="24"/>
        </w:rPr>
        <w:t>o concreto  es claro que en un contexto como el colombiano se constituía en un principio de razón suficiente para concluir que sobre las autoridades demandadas, recaía la obligación positiva de adoptar medidas de protección, con la única finalidad de garan</w:t>
      </w:r>
      <w:r>
        <w:rPr>
          <w:rFonts w:ascii="Times New Roman" w:eastAsia="Times New Roman" w:hAnsi="Times New Roman"/>
          <w:sz w:val="24"/>
          <w:szCs w:val="24"/>
        </w:rPr>
        <w:t>tizar la efectividad de sus derechos fundamentales. La Corte Constitucional, concluyó que se vulnera el derecho a la vida y a la seguridad personal cuando dicha entidad omite en sus estudios de medidas de protección el contexto de violencia generalizada en</w:t>
      </w:r>
      <w:r>
        <w:rPr>
          <w:rFonts w:ascii="Times New Roman" w:eastAsia="Times New Roman" w:hAnsi="Times New Roman"/>
          <w:sz w:val="24"/>
          <w:szCs w:val="24"/>
        </w:rPr>
        <w:t xml:space="preserve"> contra de líderes sociales. </w:t>
      </w:r>
    </w:p>
    <w:p w14:paraId="375BFF4E"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u w:val="single"/>
        </w:rPr>
        <w:t xml:space="preserve">Sentencia T-078 del 2013: </w:t>
      </w:r>
      <w:r>
        <w:rPr>
          <w:rFonts w:ascii="Times New Roman" w:eastAsia="Times New Roman" w:hAnsi="Times New Roman"/>
          <w:sz w:val="24"/>
          <w:szCs w:val="24"/>
        </w:rPr>
        <w:t xml:space="preserve">Concluye que especial atención merece el caso de los defensores de Derechos Humanos, altos funcionarios, periodistas, líderes sindicales, docentes en zona de conflicto, minorías políticas o sociales, </w:t>
      </w:r>
      <w:r>
        <w:rPr>
          <w:rFonts w:ascii="Times New Roman" w:eastAsia="Times New Roman" w:hAnsi="Times New Roman"/>
          <w:sz w:val="24"/>
          <w:szCs w:val="24"/>
        </w:rPr>
        <w:t xml:space="preserve">reinsertados, personas en condiciones de indigencia, desplazados por el conflicto armado, personas privadas de la libertad, soldados que prestan servicio militar obligatorio, menores y sujetos de un especial grado de protección por su notoria situación de </w:t>
      </w:r>
      <w:r>
        <w:rPr>
          <w:rFonts w:ascii="Times New Roman" w:eastAsia="Times New Roman" w:hAnsi="Times New Roman"/>
          <w:sz w:val="24"/>
          <w:szCs w:val="24"/>
        </w:rPr>
        <w:t>indefensión.</w:t>
      </w:r>
    </w:p>
    <w:p w14:paraId="5F5E1CFD"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u w:val="single"/>
        </w:rPr>
        <w:t>Sentencia T-924 del 2014:</w:t>
      </w:r>
      <w:r>
        <w:rPr>
          <w:rFonts w:ascii="Times New Roman" w:eastAsia="Times New Roman" w:hAnsi="Times New Roman"/>
          <w:b/>
          <w:sz w:val="24"/>
          <w:szCs w:val="24"/>
        </w:rPr>
        <w:t xml:space="preserve"> </w:t>
      </w:r>
      <w:r>
        <w:rPr>
          <w:rFonts w:ascii="Times New Roman" w:eastAsia="Times New Roman" w:hAnsi="Times New Roman"/>
          <w:sz w:val="24"/>
          <w:szCs w:val="24"/>
        </w:rPr>
        <w:t>La Corte establece que, en el caso de los líderes sociales, por la función que cumplen y por su especial papel dentro del proceso de transición política que atraviesa el país, “se encuentran en esa categoría de una am</w:t>
      </w:r>
      <w:r>
        <w:rPr>
          <w:rFonts w:ascii="Times New Roman" w:eastAsia="Times New Roman" w:hAnsi="Times New Roman"/>
          <w:sz w:val="24"/>
          <w:szCs w:val="24"/>
        </w:rPr>
        <w:t>enaza mayor, en tanto al ser de alguna manera directa o indirectamente la cara visible de una comunidad u organización pueden ver afectada su integridad y seguridad personal. Por ende, tales sujetos gozan de una presunción de riesgo que solo podría ser des</w:t>
      </w:r>
      <w:r>
        <w:rPr>
          <w:rFonts w:ascii="Times New Roman" w:eastAsia="Times New Roman" w:hAnsi="Times New Roman"/>
          <w:sz w:val="24"/>
          <w:szCs w:val="24"/>
        </w:rPr>
        <w:t>virtuada por las autoridades luego de los estudios técnicos de seguridad. En efecto, los líderes que demuestren que se encuentran en riesgo y que soliciten medidas de protección para salvaguardar sus derechos deben recibir una atención especial y una pront</w:t>
      </w:r>
      <w:r>
        <w:rPr>
          <w:rFonts w:ascii="Times New Roman" w:eastAsia="Times New Roman" w:hAnsi="Times New Roman"/>
          <w:sz w:val="24"/>
          <w:szCs w:val="24"/>
        </w:rPr>
        <w:t xml:space="preserve">a respuesta por parte del Estado con la finalidad de evitar que </w:t>
      </w:r>
      <w:r>
        <w:rPr>
          <w:rFonts w:ascii="Times New Roman" w:eastAsia="Times New Roman" w:hAnsi="Times New Roman"/>
          <w:sz w:val="24"/>
          <w:szCs w:val="24"/>
        </w:rPr>
        <w:lastRenderedPageBreak/>
        <w:t>se consume el daño. De ahí que las entidades encargadas estén obligadas a tomar en consideración, como un factor de la mayor pertinencia, la condición de sujeto de especial protección constitu</w:t>
      </w:r>
      <w:r>
        <w:rPr>
          <w:rFonts w:ascii="Times New Roman" w:eastAsia="Times New Roman" w:hAnsi="Times New Roman"/>
          <w:sz w:val="24"/>
          <w:szCs w:val="24"/>
        </w:rPr>
        <w:t>cional que ostenta el afectado.</w:t>
      </w:r>
    </w:p>
    <w:p w14:paraId="388B04F4"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u w:val="single"/>
        </w:rPr>
        <w:t>Sentencia T-707 de 2015:</w:t>
      </w:r>
      <w:r>
        <w:rPr>
          <w:rFonts w:ascii="Times New Roman" w:eastAsia="Times New Roman" w:hAnsi="Times New Roman"/>
          <w:sz w:val="24"/>
          <w:szCs w:val="24"/>
        </w:rPr>
        <w:t xml:space="preserve"> Sostiene la Corte, que cuando la persona amenazada es un líder o defensor de Derechos Humanos, se ensancha considerablemente el espectro de derechos y principios involucrados, a tal punto que </w:t>
      </w:r>
      <w:r>
        <w:rPr>
          <w:rFonts w:ascii="Times New Roman" w:eastAsia="Times New Roman" w:hAnsi="Times New Roman"/>
          <w:i/>
          <w:sz w:val="24"/>
          <w:szCs w:val="24"/>
        </w:rPr>
        <w:t xml:space="preserve">su </w:t>
      </w:r>
      <w:r>
        <w:rPr>
          <w:rFonts w:ascii="Times New Roman" w:eastAsia="Times New Roman" w:hAnsi="Times New Roman"/>
          <w:i/>
          <w:sz w:val="24"/>
          <w:szCs w:val="24"/>
        </w:rPr>
        <w:t>amenaza compromete seriamente la vigencia del sistema democrático</w:t>
      </w:r>
      <w:r>
        <w:rPr>
          <w:rFonts w:ascii="Times New Roman" w:eastAsia="Times New Roman" w:hAnsi="Times New Roman"/>
          <w:sz w:val="24"/>
          <w:szCs w:val="24"/>
        </w:rPr>
        <w:t xml:space="preserve">. Por tanto, salvaguardar la vida de los líderes sociales es una “responsabilidad inalienable del Estado”. </w:t>
      </w:r>
    </w:p>
    <w:p w14:paraId="4849E5D3"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u w:val="single"/>
        </w:rPr>
        <w:t>Sentencia T-469 2020:</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La sentencia aborda en primer lugar, la temática relacionada, con la protección a los líderes sociales y defensores de Derechos Humanos como imperativo del Estado Social y democrático de Derecho y en segundo lugar, los desafíos que esta población enfrenta </w:t>
      </w:r>
      <w:r>
        <w:rPr>
          <w:rFonts w:ascii="Times New Roman" w:eastAsia="Times New Roman" w:hAnsi="Times New Roman"/>
          <w:sz w:val="24"/>
          <w:szCs w:val="24"/>
        </w:rPr>
        <w:t>actualmente en el país y por último el derecho a la seguridad y la vida de los líderes sociales, haciendo énfasis en las obligaciones que de allí se derivan para el Estado, puntualmente para la UNP, para esto se analizaron los criterios de apreciación de l</w:t>
      </w:r>
      <w:r>
        <w:rPr>
          <w:rFonts w:ascii="Times New Roman" w:eastAsia="Times New Roman" w:hAnsi="Times New Roman"/>
          <w:sz w:val="24"/>
          <w:szCs w:val="24"/>
        </w:rPr>
        <w:t>os hechos constitutivos de una amenaza para establecer la procedencia de la protección especial del Estado y se estableció que los líderes sociales gozan de una presunción de riesgo, por tanto beneficiarios de esquemas de seguridad. Por tanto, el Estado ti</w:t>
      </w:r>
      <w:r>
        <w:rPr>
          <w:rFonts w:ascii="Times New Roman" w:eastAsia="Times New Roman" w:hAnsi="Times New Roman"/>
          <w:sz w:val="24"/>
          <w:szCs w:val="24"/>
        </w:rPr>
        <w:t>ene la obligación de adoptar las medidas de protección necesarias para proteger a aquellos individuos que se encuentren sometidos a un nivel de amenaza ordinaria y extrema. Por último, resalta que existe un deber constitucional e internacional de protecció</w:t>
      </w:r>
      <w:r>
        <w:rPr>
          <w:rFonts w:ascii="Times New Roman" w:eastAsia="Times New Roman" w:hAnsi="Times New Roman"/>
          <w:sz w:val="24"/>
          <w:szCs w:val="24"/>
        </w:rPr>
        <w:t xml:space="preserve">n en cabeza del estado a los derechos fundamentales de defensores de derechos humanos, líderes sociales y políticos. La Corte reitera que salvaguardar la vida de los líderes sociales es una “responsabilidad inalienable del estado”. </w:t>
      </w:r>
    </w:p>
    <w:p w14:paraId="560299AE" w14:textId="77777777" w:rsidR="00A026A8" w:rsidRDefault="00301297">
      <w:pPr>
        <w:widowControl w:val="0"/>
        <w:spacing w:after="0" w:line="275"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Conforme al desarrollo </w:t>
      </w:r>
      <w:r>
        <w:rPr>
          <w:rFonts w:ascii="Times New Roman" w:eastAsia="Times New Roman" w:hAnsi="Times New Roman"/>
          <w:sz w:val="24"/>
          <w:szCs w:val="24"/>
        </w:rPr>
        <w:t xml:space="preserve">jurisprudencial expuesto, la Corte Constitucional ha reiterado el papel fundamental que tienen los líderes sociales en el país, pues son quienes asumen la defensa de los derechos humanos en los territorios, así mismo, protegen el medio ambiente, promueven </w:t>
      </w:r>
      <w:r>
        <w:rPr>
          <w:rFonts w:ascii="Times New Roman" w:eastAsia="Times New Roman" w:hAnsi="Times New Roman"/>
          <w:sz w:val="24"/>
          <w:szCs w:val="24"/>
        </w:rPr>
        <w:t>mejoras en la educación, defienden la cultura o incluso quienes lideran procesos comunales. Estas personas son reconocidas por la comunidad como agentes positivos de cambio; y normalmente, su empoderamiento y capacidad de acción se deriva del apoyo comunit</w:t>
      </w:r>
      <w:r>
        <w:rPr>
          <w:rFonts w:ascii="Times New Roman" w:eastAsia="Times New Roman" w:hAnsi="Times New Roman"/>
          <w:sz w:val="24"/>
          <w:szCs w:val="24"/>
        </w:rPr>
        <w:t>ario, por lo que proteger a los líderes sociales implica proteger a la comunidad en su conjunto.</w:t>
      </w:r>
    </w:p>
    <w:p w14:paraId="3CCE93BC" w14:textId="77777777" w:rsidR="00A026A8" w:rsidRDefault="00A026A8">
      <w:pPr>
        <w:widowControl w:val="0"/>
        <w:spacing w:after="0" w:line="275" w:lineRule="auto"/>
        <w:jc w:val="both"/>
        <w:rPr>
          <w:rFonts w:ascii="Times New Roman" w:eastAsia="Times New Roman" w:hAnsi="Times New Roman"/>
          <w:sz w:val="24"/>
          <w:szCs w:val="24"/>
        </w:rPr>
      </w:pPr>
    </w:p>
    <w:p w14:paraId="5C065FDF" w14:textId="77777777" w:rsidR="00A026A8" w:rsidRDefault="00301297">
      <w:pPr>
        <w:jc w:val="both"/>
        <w:rPr>
          <w:rFonts w:ascii="Times New Roman" w:eastAsia="Times New Roman" w:hAnsi="Times New Roman"/>
          <w:sz w:val="24"/>
          <w:szCs w:val="24"/>
          <w:highlight w:val="white"/>
        </w:rPr>
      </w:pPr>
      <w:r>
        <w:rPr>
          <w:rFonts w:ascii="Times New Roman" w:eastAsia="Times New Roman" w:hAnsi="Times New Roman"/>
          <w:sz w:val="24"/>
          <w:szCs w:val="24"/>
        </w:rPr>
        <w:t xml:space="preserve">No obstante lo anterior, pese al amplio marco normativo y desarrollo jurisprudencial sobre la protección de la vida e integridad de líderes sociales, </w:t>
      </w:r>
      <w:r>
        <w:rPr>
          <w:rFonts w:ascii="Times New Roman" w:eastAsia="Times New Roman" w:hAnsi="Times New Roman"/>
          <w:sz w:val="24"/>
          <w:szCs w:val="24"/>
          <w:highlight w:val="white"/>
        </w:rPr>
        <w:t>el panor</w:t>
      </w:r>
      <w:r>
        <w:rPr>
          <w:rFonts w:ascii="Times New Roman" w:eastAsia="Times New Roman" w:hAnsi="Times New Roman"/>
          <w:sz w:val="24"/>
          <w:szCs w:val="24"/>
          <w:highlight w:val="white"/>
        </w:rPr>
        <w:t xml:space="preserve">ama del país es preocupante teniendo en cuenta las cifras que se expondrán a continuación que corresponden a los asesinatos y agresiones en contra de los líderes sociales. </w:t>
      </w:r>
    </w:p>
    <w:p w14:paraId="7B98E046" w14:textId="77777777" w:rsidR="00A026A8" w:rsidRDefault="00301297">
      <w:pPr>
        <w:spacing w:before="240" w:after="240"/>
        <w:jc w:val="both"/>
        <w:rPr>
          <w:rFonts w:ascii="Times New Roman" w:eastAsia="Times New Roman" w:hAnsi="Times New Roman"/>
          <w:sz w:val="24"/>
          <w:szCs w:val="24"/>
        </w:rPr>
      </w:pPr>
      <w:r>
        <w:rPr>
          <w:rFonts w:ascii="Times New Roman" w:eastAsia="Times New Roman" w:hAnsi="Times New Roman"/>
          <w:sz w:val="24"/>
          <w:szCs w:val="24"/>
        </w:rPr>
        <w:t>Según Indepaz, desde que el nuevo gobierno llegó a la presidencia han asesinado a 1</w:t>
      </w:r>
      <w:r>
        <w:rPr>
          <w:rFonts w:ascii="Times New Roman" w:eastAsia="Times New Roman" w:hAnsi="Times New Roman"/>
          <w:sz w:val="24"/>
          <w:szCs w:val="24"/>
        </w:rPr>
        <w:t>00 líderes sociales, 15 excombatientes firmantes del acuerdo de paz, y se han registrado 60 masacres que han cobrado la vida de 205 víctimas hasta hoy. Los asesinatos a líderes sociales se han incrementado: entre agosto y diciembre de 2022 asesinaron 72 lí</w:t>
      </w:r>
      <w:r>
        <w:rPr>
          <w:rFonts w:ascii="Times New Roman" w:eastAsia="Times New Roman" w:hAnsi="Times New Roman"/>
          <w:sz w:val="24"/>
          <w:szCs w:val="24"/>
        </w:rPr>
        <w:t xml:space="preserve">deres sociales, 4 personas más frente al mismo periodo de 2021, representando un aumento de 6%. Por su parte, el número de masacres no ha disminuido en los primeros meses del actual gobierno </w:t>
      </w:r>
      <w:r>
        <w:rPr>
          <w:rFonts w:ascii="Times New Roman" w:eastAsia="Times New Roman" w:hAnsi="Times New Roman"/>
          <w:sz w:val="24"/>
          <w:szCs w:val="24"/>
        </w:rPr>
        <w:lastRenderedPageBreak/>
        <w:t>(agosto-septiembre 2022), por el contrario, aumentó frente al mis</w:t>
      </w:r>
      <w:r>
        <w:rPr>
          <w:rFonts w:ascii="Times New Roman" w:eastAsia="Times New Roman" w:hAnsi="Times New Roman"/>
          <w:sz w:val="24"/>
          <w:szCs w:val="24"/>
        </w:rPr>
        <w:t xml:space="preserve">mo periodo de 2021. Asimismo, en este mismo periodo estas masacres cobraron la vida de 127 víctimas, superando el número de víctimas de 2021 en un 7%. </w:t>
      </w:r>
    </w:p>
    <w:p w14:paraId="32E0DDB5" w14:textId="77777777" w:rsidR="00A026A8" w:rsidRDefault="00301297">
      <w:pPr>
        <w:spacing w:before="240" w:after="240"/>
        <w:jc w:val="both"/>
        <w:rPr>
          <w:rFonts w:ascii="Times New Roman" w:eastAsia="Times New Roman" w:hAnsi="Times New Roman"/>
          <w:sz w:val="24"/>
          <w:szCs w:val="24"/>
        </w:rPr>
      </w:pPr>
      <w:r>
        <w:rPr>
          <w:rFonts w:ascii="Times New Roman" w:eastAsia="Times New Roman" w:hAnsi="Times New Roman"/>
          <w:sz w:val="24"/>
          <w:szCs w:val="24"/>
        </w:rPr>
        <w:t xml:space="preserve">De los 100 líderes sociales asesinados desde la llegada del nuevo gobierno, 13 sucedieron en Nariño, 11 </w:t>
      </w:r>
      <w:r>
        <w:rPr>
          <w:rFonts w:ascii="Times New Roman" w:eastAsia="Times New Roman" w:hAnsi="Times New Roman"/>
          <w:sz w:val="24"/>
          <w:szCs w:val="24"/>
        </w:rPr>
        <w:t>en Antioquia, 11 en Cauca, 7 en Putumayo, 6 en Bolívar, 6 en el Valle del Cauca, 6 en Chocó y en Córdoba, representando en total el 60%. Córdoba, La Guajira, Magdalena, Norte de Santander y Sucre representan registraron cada uno 4 asesinatos, es decir, otr</w:t>
      </w:r>
      <w:r>
        <w:rPr>
          <w:rFonts w:ascii="Times New Roman" w:eastAsia="Times New Roman" w:hAnsi="Times New Roman"/>
          <w:sz w:val="24"/>
          <w:szCs w:val="24"/>
        </w:rPr>
        <w:t xml:space="preserve">o 20% del total. </w:t>
      </w:r>
    </w:p>
    <w:p w14:paraId="77A64164" w14:textId="77777777" w:rsidR="00A026A8" w:rsidRDefault="00301297">
      <w:pPr>
        <w:spacing w:before="240" w:after="240"/>
        <w:jc w:val="both"/>
        <w:rPr>
          <w:rFonts w:ascii="Times New Roman" w:eastAsia="Times New Roman" w:hAnsi="Times New Roman"/>
          <w:sz w:val="24"/>
          <w:szCs w:val="24"/>
        </w:rPr>
      </w:pPr>
      <w:r>
        <w:rPr>
          <w:rFonts w:ascii="Times New Roman" w:eastAsia="Times New Roman" w:hAnsi="Times New Roman"/>
          <w:sz w:val="24"/>
          <w:szCs w:val="24"/>
        </w:rPr>
        <w:t>Ahora bien, respecto a las agresiones en contra de líderes, de acuerdo con el último informe trimestral de julio a septiembre de 2022 del programa Somos Defensores, tuvieron lugar 182 agresiones contra defensores de derechos humanos, de l</w:t>
      </w:r>
      <w:r>
        <w:rPr>
          <w:rFonts w:ascii="Times New Roman" w:eastAsia="Times New Roman" w:hAnsi="Times New Roman"/>
          <w:sz w:val="24"/>
          <w:szCs w:val="24"/>
        </w:rPr>
        <w:t xml:space="preserve">as cuales el 80% de estas agresiones ocurrieron en agosto (69), y en septiembre (76). Del total de agresiones, 80 son amenazas, 25 asesinatos, 11 atentados, 3 judicializaciones, 3 desplazamientos forzados y 1 desaparición forzada. </w:t>
      </w:r>
    </w:p>
    <w:p w14:paraId="402794F6" w14:textId="77777777" w:rsidR="00A026A8" w:rsidRDefault="00301297">
      <w:pPr>
        <w:widowControl w:val="0"/>
        <w:spacing w:before="240" w:after="240" w:line="276" w:lineRule="auto"/>
        <w:jc w:val="both"/>
        <w:rPr>
          <w:rFonts w:ascii="Times New Roman" w:eastAsia="Times New Roman" w:hAnsi="Times New Roman"/>
          <w:sz w:val="24"/>
          <w:szCs w:val="24"/>
        </w:rPr>
      </w:pPr>
      <w:r>
        <w:rPr>
          <w:rFonts w:ascii="Times New Roman" w:eastAsia="Times New Roman" w:hAnsi="Times New Roman"/>
          <w:sz w:val="24"/>
          <w:szCs w:val="24"/>
        </w:rPr>
        <w:t>Por lo anterior, es clar</w:t>
      </w:r>
      <w:r>
        <w:rPr>
          <w:rFonts w:ascii="Times New Roman" w:eastAsia="Times New Roman" w:hAnsi="Times New Roman"/>
          <w:sz w:val="24"/>
          <w:szCs w:val="24"/>
        </w:rPr>
        <w:t>o que nos encontramos en un escenario de mayores victimizaciones y agresiones en contra de quienes defienden o promueven los derechos humanos en el país, por tal razón, se hace necesario establecer un marco normativo que articule a los diferentes niveles d</w:t>
      </w:r>
      <w:r>
        <w:rPr>
          <w:rFonts w:ascii="Times New Roman" w:eastAsia="Times New Roman" w:hAnsi="Times New Roman"/>
          <w:sz w:val="24"/>
          <w:szCs w:val="24"/>
        </w:rPr>
        <w:t>e gobierno para contrarrestar la evidente inobservancia en materia de garantías para el liderazgo social en el país, exacerbada tras el cambio de gobierno.</w:t>
      </w:r>
    </w:p>
    <w:p w14:paraId="498A701E" w14:textId="77777777" w:rsidR="00A026A8" w:rsidRDefault="00301297">
      <w:pPr>
        <w:widowControl w:val="0"/>
        <w:spacing w:before="240" w:after="0" w:line="276" w:lineRule="auto"/>
        <w:jc w:val="both"/>
        <w:rPr>
          <w:rFonts w:ascii="Times New Roman" w:eastAsia="Times New Roman" w:hAnsi="Times New Roman"/>
          <w:sz w:val="24"/>
          <w:szCs w:val="24"/>
        </w:rPr>
      </w:pPr>
      <w:r>
        <w:rPr>
          <w:rFonts w:ascii="Times New Roman" w:eastAsia="Times New Roman" w:hAnsi="Times New Roman"/>
          <w:sz w:val="24"/>
          <w:szCs w:val="24"/>
        </w:rPr>
        <w:t>La pasividad de la estrategia nacional, los procesos centralizados y la ausencia de medidas oportuna</w:t>
      </w:r>
      <w:r>
        <w:rPr>
          <w:rFonts w:ascii="Times New Roman" w:eastAsia="Times New Roman" w:hAnsi="Times New Roman"/>
          <w:sz w:val="24"/>
          <w:szCs w:val="24"/>
        </w:rPr>
        <w:t>s para la protección de los líderes sociales y defensores de Derechos Humanos amenazados han dificultado la protección efectiva de los mismos durante las últimas décadas, razón por la cual se requiere avanzar hacia una articulación efectiva de los diferent</w:t>
      </w:r>
      <w:r>
        <w:rPr>
          <w:rFonts w:ascii="Times New Roman" w:eastAsia="Times New Roman" w:hAnsi="Times New Roman"/>
          <w:sz w:val="24"/>
          <w:szCs w:val="24"/>
        </w:rPr>
        <w:t>es niveles de gobierno, con el fin a los desafíos actuales en materia de protección de líderes sociales. Para ello, se torna imperioso adoptar las diferentes medidas propuestas en el articulado de este proyecto de ley.</w:t>
      </w:r>
    </w:p>
    <w:p w14:paraId="5EFC0510" w14:textId="77777777" w:rsidR="00A026A8" w:rsidRDefault="00301297">
      <w:pPr>
        <w:widowControl w:val="0"/>
        <w:spacing w:before="240" w:after="0" w:line="276" w:lineRule="auto"/>
        <w:jc w:val="both"/>
        <w:rPr>
          <w:rFonts w:ascii="Times New Roman" w:eastAsia="Times New Roman" w:hAnsi="Times New Roman"/>
          <w:sz w:val="24"/>
          <w:szCs w:val="24"/>
        </w:rPr>
      </w:pPr>
      <w:r>
        <w:rPr>
          <w:rFonts w:ascii="Times New Roman" w:eastAsia="Times New Roman" w:hAnsi="Times New Roman"/>
          <w:sz w:val="24"/>
          <w:szCs w:val="24"/>
        </w:rPr>
        <w:t>Con esta iniciativa se propone la des</w:t>
      </w:r>
      <w:r>
        <w:rPr>
          <w:rFonts w:ascii="Times New Roman" w:eastAsia="Times New Roman" w:hAnsi="Times New Roman"/>
          <w:sz w:val="24"/>
          <w:szCs w:val="24"/>
        </w:rPr>
        <w:t xml:space="preserve">centralización y el fortalecimiento de la ruta de atención, respuesta y protección a los líderes sociales y defensores de derechos humanos que se encuentren en riesgo, otorgándoles responsabilidades a las entidades territoriales y haciendo más expedito el </w:t>
      </w:r>
      <w:r>
        <w:rPr>
          <w:rFonts w:ascii="Times New Roman" w:eastAsia="Times New Roman" w:hAnsi="Times New Roman"/>
          <w:sz w:val="24"/>
          <w:szCs w:val="24"/>
        </w:rPr>
        <w:t>procedimiento para que desde la denuncia de la situación de riesgo se proteja la vida e integridad del líder social y su familia, para ello se pretende crear una estrategia integral y oportuna de atención, con el fin de dotar a las Gobernaciones y Alcaldía</w:t>
      </w:r>
      <w:r>
        <w:rPr>
          <w:rFonts w:ascii="Times New Roman" w:eastAsia="Times New Roman" w:hAnsi="Times New Roman"/>
          <w:sz w:val="24"/>
          <w:szCs w:val="24"/>
        </w:rPr>
        <w:t>s de herramientas suficientes para el direccionamiento y otorgamiento de medidas iniciales y transitorias que garanticen la protección oportuna y efectiva de los derechos a la vida, la libertad, la integridad, la seguridad personal de líderes sociales y de</w:t>
      </w:r>
      <w:r>
        <w:rPr>
          <w:rFonts w:ascii="Times New Roman" w:eastAsia="Times New Roman" w:hAnsi="Times New Roman"/>
          <w:sz w:val="24"/>
          <w:szCs w:val="24"/>
        </w:rPr>
        <w:t>fensores de Derechos Humanos.</w:t>
      </w:r>
    </w:p>
    <w:p w14:paraId="055B32AC" w14:textId="77777777" w:rsidR="00A026A8" w:rsidRDefault="00301297">
      <w:pPr>
        <w:widowControl w:val="0"/>
        <w:spacing w:before="240"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Es de indicar que el fortalecimiento del nivel municipal y departamental de gobierno y la </w:t>
      </w:r>
      <w:r>
        <w:rPr>
          <w:rFonts w:ascii="Times New Roman" w:eastAsia="Times New Roman" w:hAnsi="Times New Roman"/>
          <w:sz w:val="24"/>
          <w:szCs w:val="24"/>
        </w:rPr>
        <w:lastRenderedPageBreak/>
        <w:t>profundización de la descentralización, impone un reto para las Gobernaciones, llamadas a cumplir con la función dinamizadora en la rela</w:t>
      </w:r>
      <w:r>
        <w:rPr>
          <w:rFonts w:ascii="Times New Roman" w:eastAsia="Times New Roman" w:hAnsi="Times New Roman"/>
          <w:sz w:val="24"/>
          <w:szCs w:val="24"/>
        </w:rPr>
        <w:t>ción entre el Gobierno nacional y los municipios. En este sentido, las administraciones departamentales, están llamadas a responder desde el marco de su autonomía y en desarrollo de los principios de subsidiariedad, coordinación, concurrencia y complementa</w:t>
      </w:r>
      <w:r>
        <w:rPr>
          <w:rFonts w:ascii="Times New Roman" w:eastAsia="Times New Roman" w:hAnsi="Times New Roman"/>
          <w:sz w:val="24"/>
          <w:szCs w:val="24"/>
        </w:rPr>
        <w:t>riedad, contenidos en el Decreto 1066 de 2015, en lo atinente a la protección de defensores de DDHH y líderes sociales, por lo que a través de esta iniciativa se pretende crear un fondo cuenta para la Atención y Protección de líderes sociales, financiado c</w:t>
      </w:r>
      <w:r>
        <w:rPr>
          <w:rFonts w:ascii="Times New Roman" w:eastAsia="Times New Roman" w:hAnsi="Times New Roman"/>
          <w:sz w:val="24"/>
          <w:szCs w:val="24"/>
        </w:rPr>
        <w:t xml:space="preserve">on recursos del Presupuesto General de la Nación, con el fin de que las entidades territoriales cuenten con los recursos necesarios para la implementación de la Estrategia Integral y Oportuna de Atención. </w:t>
      </w:r>
    </w:p>
    <w:p w14:paraId="16B3ADA1" w14:textId="77777777" w:rsidR="00A026A8" w:rsidRDefault="00301297">
      <w:pPr>
        <w:widowControl w:val="0"/>
        <w:spacing w:before="240" w:after="0" w:line="276" w:lineRule="auto"/>
        <w:jc w:val="both"/>
        <w:rPr>
          <w:rFonts w:ascii="Times New Roman" w:eastAsia="Times New Roman" w:hAnsi="Times New Roman"/>
          <w:sz w:val="24"/>
          <w:szCs w:val="24"/>
        </w:rPr>
      </w:pPr>
      <w:r>
        <w:rPr>
          <w:rFonts w:ascii="Times New Roman" w:eastAsia="Times New Roman" w:hAnsi="Times New Roman"/>
          <w:sz w:val="24"/>
          <w:szCs w:val="24"/>
        </w:rPr>
        <w:t>Todo lo anterior, cumple con las disposiciones est</w:t>
      </w:r>
      <w:r>
        <w:rPr>
          <w:rFonts w:ascii="Times New Roman" w:eastAsia="Times New Roman" w:hAnsi="Times New Roman"/>
          <w:sz w:val="24"/>
          <w:szCs w:val="24"/>
        </w:rPr>
        <w:t>ablecidas en el artículo 356 de la Constitución Política en materia de descentralización de competencias y asignación de recursos suficientes a las entidades territoriales para cumplir el propósito de frenar el aumento de los asesinatos y amenazas en contr</w:t>
      </w:r>
      <w:r>
        <w:rPr>
          <w:rFonts w:ascii="Times New Roman" w:eastAsia="Times New Roman" w:hAnsi="Times New Roman"/>
          <w:sz w:val="24"/>
          <w:szCs w:val="24"/>
        </w:rPr>
        <w:t xml:space="preserve">a de líderes sociales y defensores de derechos humanos. </w:t>
      </w:r>
    </w:p>
    <w:p w14:paraId="0618B55C"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sz w:val="24"/>
          <w:szCs w:val="24"/>
        </w:rPr>
      </w:pPr>
    </w:p>
    <w:p w14:paraId="7CF242EA"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74FE098F" w14:textId="77777777" w:rsidR="00A026A8" w:rsidRDefault="00301297">
      <w:pPr>
        <w:widowControl w:val="0"/>
        <w:numPr>
          <w:ilvl w:val="0"/>
          <w:numId w:val="20"/>
        </w:numPr>
        <w:pBdr>
          <w:top w:val="nil"/>
          <w:left w:val="nil"/>
          <w:bottom w:val="nil"/>
          <w:right w:val="nil"/>
          <w:between w:val="nil"/>
        </w:pBdr>
        <w:spacing w:after="0" w:line="275"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OBJETIVOS DEL PROYECTO DE LEY</w:t>
      </w:r>
    </w:p>
    <w:p w14:paraId="50C1AB35"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b/>
          <w:color w:val="000000"/>
          <w:sz w:val="24"/>
          <w:szCs w:val="24"/>
        </w:rPr>
      </w:pPr>
    </w:p>
    <w:p w14:paraId="30D1FEA0" w14:textId="77777777" w:rsidR="00A026A8" w:rsidRDefault="00301297">
      <w:pPr>
        <w:widowControl w:val="0"/>
        <w:pBdr>
          <w:top w:val="nil"/>
          <w:left w:val="nil"/>
          <w:bottom w:val="nil"/>
          <w:right w:val="nil"/>
          <w:between w:val="nil"/>
        </w:pBdr>
        <w:spacing w:after="0" w:line="240" w:lineRule="auto"/>
        <w:ind w:left="1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 objeto principal de este proyecto de ley es crear una </w:t>
      </w:r>
      <w:r>
        <w:rPr>
          <w:rFonts w:ascii="Times New Roman" w:eastAsia="Times New Roman" w:hAnsi="Times New Roman"/>
          <w:sz w:val="24"/>
          <w:szCs w:val="24"/>
        </w:rPr>
        <w:t>estrategia integral y oportuna de atención</w:t>
      </w:r>
      <w:r>
        <w:rPr>
          <w:rFonts w:ascii="Times New Roman" w:eastAsia="Times New Roman" w:hAnsi="Times New Roman"/>
          <w:color w:val="000000"/>
          <w:sz w:val="24"/>
          <w:szCs w:val="24"/>
        </w:rPr>
        <w:t xml:space="preserve"> que permita a los departamentos y municipios responder oportuna y eficazmente los casos de </w:t>
      </w:r>
      <w:r>
        <w:rPr>
          <w:rFonts w:ascii="Times New Roman" w:eastAsia="Times New Roman" w:hAnsi="Times New Roman"/>
          <w:sz w:val="24"/>
          <w:szCs w:val="24"/>
        </w:rPr>
        <w:t>líderes</w:t>
      </w:r>
      <w:r>
        <w:rPr>
          <w:rFonts w:ascii="Times New Roman" w:eastAsia="Times New Roman" w:hAnsi="Times New Roman"/>
          <w:color w:val="000000"/>
          <w:sz w:val="24"/>
          <w:szCs w:val="24"/>
        </w:rPr>
        <w:t xml:space="preserve"> sociales o defensores de Derechos Humanos, a través de los componentes de búsqueda activa y </w:t>
      </w:r>
      <w:r>
        <w:rPr>
          <w:rFonts w:ascii="Times New Roman" w:eastAsia="Times New Roman" w:hAnsi="Times New Roman"/>
          <w:sz w:val="24"/>
          <w:szCs w:val="24"/>
        </w:rPr>
        <w:t>ruta de atención</w:t>
      </w:r>
      <w:r>
        <w:rPr>
          <w:rFonts w:ascii="Times New Roman" w:eastAsia="Times New Roman" w:hAnsi="Times New Roman"/>
          <w:color w:val="000000"/>
          <w:sz w:val="24"/>
          <w:szCs w:val="24"/>
        </w:rPr>
        <w:t xml:space="preserve">. De esta manera, se busca garantizar desde el </w:t>
      </w:r>
      <w:r>
        <w:rPr>
          <w:rFonts w:ascii="Times New Roman" w:eastAsia="Times New Roman" w:hAnsi="Times New Roman"/>
          <w:color w:val="000000"/>
          <w:sz w:val="24"/>
          <w:szCs w:val="24"/>
        </w:rPr>
        <w:t>nivel intermedio de gobierno la protección efectiva del derecho a la seguridad e integridad personal de líderes sociales, defensores de Derechos Humanos y personas objeto de protección.</w:t>
      </w:r>
    </w:p>
    <w:p w14:paraId="032208F6" w14:textId="77777777" w:rsidR="00A026A8" w:rsidRDefault="00301297">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4BBE67C2" w14:textId="77777777" w:rsidR="00A026A8" w:rsidRDefault="00A026A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14:paraId="629F65A1" w14:textId="77777777" w:rsidR="00A026A8" w:rsidRDefault="00301297">
      <w:pPr>
        <w:widowControl w:val="0"/>
        <w:numPr>
          <w:ilvl w:val="0"/>
          <w:numId w:val="20"/>
        </w:numPr>
        <w:pBdr>
          <w:top w:val="nil"/>
          <w:left w:val="nil"/>
          <w:bottom w:val="nil"/>
          <w:right w:val="nil"/>
          <w:between w:val="nil"/>
        </w:pBdr>
        <w:spacing w:after="0" w:line="275"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MARCO NORMATIVO DEL PROYECTO</w:t>
      </w:r>
    </w:p>
    <w:p w14:paraId="180AAE67" w14:textId="77777777" w:rsidR="00A026A8" w:rsidRDefault="00A026A8">
      <w:pPr>
        <w:widowControl w:val="0"/>
        <w:pBdr>
          <w:top w:val="nil"/>
          <w:left w:val="nil"/>
          <w:bottom w:val="nil"/>
          <w:right w:val="nil"/>
          <w:between w:val="nil"/>
        </w:pBdr>
        <w:spacing w:after="0" w:line="275" w:lineRule="auto"/>
        <w:ind w:left="360"/>
        <w:jc w:val="both"/>
        <w:rPr>
          <w:rFonts w:ascii="Times New Roman" w:eastAsia="Times New Roman" w:hAnsi="Times New Roman"/>
          <w:color w:val="000000"/>
          <w:sz w:val="24"/>
          <w:szCs w:val="24"/>
        </w:rPr>
      </w:pPr>
    </w:p>
    <w:p w14:paraId="6CD161E2" w14:textId="77777777" w:rsidR="00A026A8" w:rsidRDefault="00301297">
      <w:pPr>
        <w:spacing w:line="240" w:lineRule="auto"/>
        <w:jc w:val="both"/>
        <w:rPr>
          <w:rFonts w:ascii="Times New Roman" w:eastAsia="Times New Roman" w:hAnsi="Times New Roman"/>
          <w:sz w:val="24"/>
          <w:szCs w:val="24"/>
          <w:highlight w:val="white"/>
        </w:rPr>
      </w:pPr>
      <w:r>
        <w:rPr>
          <w:rFonts w:ascii="Times New Roman" w:eastAsia="Times New Roman" w:hAnsi="Times New Roman"/>
          <w:i/>
          <w:sz w:val="24"/>
          <w:szCs w:val="24"/>
          <w:highlight w:val="white"/>
        </w:rPr>
        <w:t xml:space="preserve">Para esta iniciativa han de tenerse en cuenta y consultarse las siguientes disposiciones de orden constitucional y legal:  </w:t>
      </w:r>
    </w:p>
    <w:p w14:paraId="37A50B58" w14:textId="77777777" w:rsidR="00A026A8" w:rsidRDefault="00A026A8">
      <w:pPr>
        <w:widowControl w:val="0"/>
        <w:pBdr>
          <w:top w:val="nil"/>
          <w:left w:val="nil"/>
          <w:bottom w:val="nil"/>
          <w:right w:val="nil"/>
          <w:between w:val="nil"/>
        </w:pBdr>
        <w:spacing w:after="0" w:line="240" w:lineRule="auto"/>
        <w:jc w:val="both"/>
        <w:rPr>
          <w:rFonts w:ascii="Times New Roman" w:eastAsia="Times New Roman" w:hAnsi="Times New Roman"/>
          <w:b/>
          <w:color w:val="000000"/>
          <w:sz w:val="24"/>
          <w:szCs w:val="24"/>
        </w:rPr>
      </w:pPr>
    </w:p>
    <w:p w14:paraId="51B10CB4" w14:textId="77777777" w:rsidR="00A026A8" w:rsidRDefault="00301297">
      <w:pPr>
        <w:spacing w:line="240" w:lineRule="auto"/>
        <w:ind w:right="-91"/>
        <w:jc w:val="both"/>
        <w:rPr>
          <w:rFonts w:ascii="Times New Roman" w:eastAsia="Times New Roman" w:hAnsi="Times New Roman"/>
          <w:b/>
          <w:sz w:val="24"/>
          <w:szCs w:val="24"/>
        </w:rPr>
      </w:pPr>
      <w:r>
        <w:rPr>
          <w:rFonts w:ascii="Times New Roman" w:eastAsia="Times New Roman" w:hAnsi="Times New Roman"/>
          <w:b/>
          <w:sz w:val="24"/>
          <w:szCs w:val="24"/>
        </w:rPr>
        <w:t>CONSTITUCIÓN POLÍTICA DE COLOMBIA</w:t>
      </w:r>
    </w:p>
    <w:p w14:paraId="10413826" w14:textId="77777777" w:rsidR="00A026A8" w:rsidRDefault="00301297">
      <w:pPr>
        <w:spacing w:line="240" w:lineRule="auto"/>
        <w:ind w:right="-91"/>
        <w:jc w:val="both"/>
        <w:rPr>
          <w:rFonts w:ascii="Times New Roman" w:eastAsia="Times New Roman" w:hAnsi="Times New Roman"/>
          <w:sz w:val="24"/>
          <w:szCs w:val="24"/>
        </w:rPr>
      </w:pPr>
      <w:r>
        <w:rPr>
          <w:rFonts w:ascii="Times New Roman" w:eastAsia="Times New Roman" w:hAnsi="Times New Roman"/>
          <w:b/>
          <w:sz w:val="24"/>
          <w:szCs w:val="24"/>
        </w:rPr>
        <w:t>ARTÍCULO 2. </w:t>
      </w:r>
      <w:r>
        <w:rPr>
          <w:rFonts w:ascii="Times New Roman" w:eastAsia="Times New Roman" w:hAnsi="Times New Roman"/>
          <w:sz w:val="24"/>
          <w:szCs w:val="24"/>
        </w:rPr>
        <w:t xml:space="preserve">Son fines esenciales del Estado: servir a la comunidad, promover la prosperidad </w:t>
      </w:r>
      <w:r>
        <w:rPr>
          <w:rFonts w:ascii="Times New Roman" w:eastAsia="Times New Roman" w:hAnsi="Times New Roman"/>
          <w:sz w:val="24"/>
          <w:szCs w:val="24"/>
        </w:rPr>
        <w:t>general y garantizar la efectividad de los principios, derechos y deberes consagrados en la Constitución; facilitar la participación de todos en las decisiones que los afectan y en la vida económica, política, administrativa y cultural de la Nación; defend</w:t>
      </w:r>
      <w:r>
        <w:rPr>
          <w:rFonts w:ascii="Times New Roman" w:eastAsia="Times New Roman" w:hAnsi="Times New Roman"/>
          <w:sz w:val="24"/>
          <w:szCs w:val="24"/>
        </w:rPr>
        <w:t>er la independencia nacional, mantener la integridad territorial y asegurar la convivencia pacífica y la vigencia de un orden justo.</w:t>
      </w:r>
    </w:p>
    <w:p w14:paraId="3113CCB8" w14:textId="77777777" w:rsidR="00A026A8" w:rsidRDefault="00301297">
      <w:pPr>
        <w:spacing w:line="240" w:lineRule="auto"/>
        <w:ind w:right="-91"/>
        <w:jc w:val="both"/>
        <w:rPr>
          <w:rFonts w:ascii="Times New Roman" w:eastAsia="Times New Roman" w:hAnsi="Times New Roman"/>
          <w:sz w:val="24"/>
          <w:szCs w:val="24"/>
        </w:rPr>
      </w:pPr>
      <w:r>
        <w:rPr>
          <w:rFonts w:ascii="Times New Roman" w:eastAsia="Times New Roman" w:hAnsi="Times New Roman"/>
          <w:sz w:val="24"/>
          <w:szCs w:val="24"/>
        </w:rPr>
        <w:t>Las autoridades de la República están instituidas para proteger a todas las personas residentes en Colombia, en su vida, ho</w:t>
      </w:r>
      <w:r>
        <w:rPr>
          <w:rFonts w:ascii="Times New Roman" w:eastAsia="Times New Roman" w:hAnsi="Times New Roman"/>
          <w:sz w:val="24"/>
          <w:szCs w:val="24"/>
        </w:rPr>
        <w:t>nra, bienes, creencias, y demás derechos y libertades, y para asegurar el cumplimiento de los deberes sociales del Estado y de los particulares.</w:t>
      </w:r>
    </w:p>
    <w:p w14:paraId="5FA16A2F" w14:textId="77777777" w:rsidR="00A026A8" w:rsidRDefault="00301297">
      <w:pPr>
        <w:spacing w:line="240" w:lineRule="auto"/>
        <w:ind w:right="-91"/>
        <w:jc w:val="both"/>
        <w:rPr>
          <w:rFonts w:ascii="Times New Roman" w:eastAsia="Times New Roman" w:hAnsi="Times New Roman"/>
          <w:sz w:val="24"/>
          <w:szCs w:val="24"/>
        </w:rPr>
      </w:pPr>
      <w:r>
        <w:rPr>
          <w:rFonts w:ascii="Times New Roman" w:eastAsia="Times New Roman" w:hAnsi="Times New Roman"/>
          <w:b/>
          <w:sz w:val="24"/>
          <w:szCs w:val="24"/>
        </w:rPr>
        <w:lastRenderedPageBreak/>
        <w:t xml:space="preserve">ARTÍCULO 11. </w:t>
      </w:r>
      <w:r>
        <w:rPr>
          <w:rFonts w:ascii="Times New Roman" w:eastAsia="Times New Roman" w:hAnsi="Times New Roman"/>
          <w:sz w:val="24"/>
          <w:szCs w:val="24"/>
        </w:rPr>
        <w:t>El derecho a la vida es inviolable. No habrá pena de muerte.</w:t>
      </w:r>
    </w:p>
    <w:p w14:paraId="4E7387E2" w14:textId="77777777" w:rsidR="00A026A8" w:rsidRDefault="00301297">
      <w:pPr>
        <w:spacing w:line="240" w:lineRule="auto"/>
        <w:ind w:right="-91"/>
        <w:jc w:val="both"/>
        <w:rPr>
          <w:rFonts w:ascii="Times New Roman" w:eastAsia="Times New Roman" w:hAnsi="Times New Roman"/>
          <w:sz w:val="24"/>
          <w:szCs w:val="24"/>
        </w:rPr>
      </w:pPr>
      <w:r>
        <w:rPr>
          <w:rFonts w:ascii="Times New Roman" w:eastAsia="Times New Roman" w:hAnsi="Times New Roman"/>
          <w:b/>
          <w:sz w:val="24"/>
          <w:szCs w:val="24"/>
        </w:rPr>
        <w:t>ARTÍCULO 38. </w:t>
      </w:r>
      <w:r>
        <w:rPr>
          <w:rFonts w:ascii="Times New Roman" w:eastAsia="Times New Roman" w:hAnsi="Times New Roman"/>
          <w:sz w:val="24"/>
          <w:szCs w:val="24"/>
        </w:rPr>
        <w:t xml:space="preserve">Se garantiza el derecho </w:t>
      </w:r>
      <w:r>
        <w:rPr>
          <w:rFonts w:ascii="Times New Roman" w:eastAsia="Times New Roman" w:hAnsi="Times New Roman"/>
          <w:sz w:val="24"/>
          <w:szCs w:val="24"/>
        </w:rPr>
        <w:t>de libre asociación para el desarrollo de las distintas actividades que las personas realizan en sociedad.</w:t>
      </w:r>
    </w:p>
    <w:p w14:paraId="4130B7C7" w14:textId="77777777" w:rsidR="00A026A8" w:rsidRDefault="00301297">
      <w:pPr>
        <w:spacing w:line="240" w:lineRule="auto"/>
        <w:ind w:right="-91"/>
        <w:jc w:val="both"/>
        <w:rPr>
          <w:rFonts w:ascii="Times New Roman" w:eastAsia="Times New Roman" w:hAnsi="Times New Roman"/>
          <w:sz w:val="24"/>
          <w:szCs w:val="24"/>
        </w:rPr>
      </w:pPr>
      <w:r>
        <w:rPr>
          <w:rFonts w:ascii="Times New Roman" w:eastAsia="Times New Roman" w:hAnsi="Times New Roman"/>
          <w:b/>
          <w:sz w:val="24"/>
          <w:szCs w:val="24"/>
        </w:rPr>
        <w:t xml:space="preserve">ARTÍCULO 40. </w:t>
      </w:r>
      <w:r>
        <w:rPr>
          <w:rFonts w:ascii="Times New Roman" w:eastAsia="Times New Roman" w:hAnsi="Times New Roman"/>
          <w:sz w:val="24"/>
          <w:szCs w:val="24"/>
        </w:rPr>
        <w:t>Todo ciudadano tiene derecho a participar en la conformación, ejercicio y control del poder político. Para hacer efectivo este derecho p</w:t>
      </w:r>
      <w:r>
        <w:rPr>
          <w:rFonts w:ascii="Times New Roman" w:eastAsia="Times New Roman" w:hAnsi="Times New Roman"/>
          <w:sz w:val="24"/>
          <w:szCs w:val="24"/>
        </w:rPr>
        <w:t>uede:</w:t>
      </w:r>
    </w:p>
    <w:p w14:paraId="05071C7F" w14:textId="77777777" w:rsidR="00A026A8" w:rsidRDefault="00301297">
      <w:pPr>
        <w:widowControl w:val="0"/>
        <w:numPr>
          <w:ilvl w:val="0"/>
          <w:numId w:val="19"/>
        </w:numPr>
        <w:pBdr>
          <w:top w:val="nil"/>
          <w:left w:val="nil"/>
          <w:bottom w:val="nil"/>
          <w:right w:val="nil"/>
          <w:between w:val="nil"/>
        </w:pBdr>
        <w:spacing w:after="0" w:line="240" w:lineRule="auto"/>
        <w:ind w:right="-9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Elegir y ser elegido.</w:t>
      </w:r>
    </w:p>
    <w:p w14:paraId="7CDCE762" w14:textId="77777777" w:rsidR="00A026A8" w:rsidRDefault="00301297">
      <w:pPr>
        <w:widowControl w:val="0"/>
        <w:numPr>
          <w:ilvl w:val="0"/>
          <w:numId w:val="19"/>
        </w:numPr>
        <w:pBdr>
          <w:top w:val="nil"/>
          <w:left w:val="nil"/>
          <w:bottom w:val="nil"/>
          <w:right w:val="nil"/>
          <w:between w:val="nil"/>
        </w:pBdr>
        <w:spacing w:after="0" w:line="240" w:lineRule="auto"/>
        <w:ind w:right="-9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Tomar parte en elecciones, plebiscitos, referendos, consultas populares y otras formas de participación democrática.</w:t>
      </w:r>
    </w:p>
    <w:p w14:paraId="41A5A418" w14:textId="77777777" w:rsidR="00A026A8" w:rsidRDefault="00301297">
      <w:pPr>
        <w:widowControl w:val="0"/>
        <w:numPr>
          <w:ilvl w:val="0"/>
          <w:numId w:val="19"/>
        </w:numPr>
        <w:pBdr>
          <w:top w:val="nil"/>
          <w:left w:val="nil"/>
          <w:bottom w:val="nil"/>
          <w:right w:val="nil"/>
          <w:between w:val="nil"/>
        </w:pBdr>
        <w:spacing w:after="0" w:line="240" w:lineRule="auto"/>
        <w:ind w:right="-9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Constituir partidos, movimientos y agrupaciones políticas sin limitación alguna; formar parte de ellos libremen</w:t>
      </w:r>
      <w:r>
        <w:rPr>
          <w:rFonts w:ascii="Times New Roman" w:eastAsia="Times New Roman" w:hAnsi="Times New Roman"/>
          <w:color w:val="000000"/>
          <w:sz w:val="24"/>
          <w:szCs w:val="24"/>
        </w:rPr>
        <w:t>te y difundir sus ideas y programas.</w:t>
      </w:r>
    </w:p>
    <w:p w14:paraId="0A95128D" w14:textId="77777777" w:rsidR="00A026A8" w:rsidRDefault="00301297">
      <w:pPr>
        <w:widowControl w:val="0"/>
        <w:numPr>
          <w:ilvl w:val="0"/>
          <w:numId w:val="19"/>
        </w:numPr>
        <w:pBdr>
          <w:top w:val="nil"/>
          <w:left w:val="nil"/>
          <w:bottom w:val="nil"/>
          <w:right w:val="nil"/>
          <w:between w:val="nil"/>
        </w:pBdr>
        <w:spacing w:after="0" w:line="240" w:lineRule="auto"/>
        <w:ind w:right="-9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Revocar el mandato de los elegidos en los casos y en la forma que establecen la Constitución y la ley.</w:t>
      </w:r>
    </w:p>
    <w:p w14:paraId="13F558EF" w14:textId="77777777" w:rsidR="00A026A8" w:rsidRDefault="00301297">
      <w:pPr>
        <w:widowControl w:val="0"/>
        <w:numPr>
          <w:ilvl w:val="0"/>
          <w:numId w:val="19"/>
        </w:numPr>
        <w:pBdr>
          <w:top w:val="nil"/>
          <w:left w:val="nil"/>
          <w:bottom w:val="nil"/>
          <w:right w:val="nil"/>
          <w:between w:val="nil"/>
        </w:pBdr>
        <w:spacing w:after="0" w:line="240" w:lineRule="auto"/>
        <w:ind w:right="-9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Tener iniciativa en las corporaciones públicas.</w:t>
      </w:r>
    </w:p>
    <w:p w14:paraId="466174A8" w14:textId="77777777" w:rsidR="00A026A8" w:rsidRDefault="00301297">
      <w:pPr>
        <w:widowControl w:val="0"/>
        <w:numPr>
          <w:ilvl w:val="0"/>
          <w:numId w:val="19"/>
        </w:numPr>
        <w:pBdr>
          <w:top w:val="nil"/>
          <w:left w:val="nil"/>
          <w:bottom w:val="nil"/>
          <w:right w:val="nil"/>
          <w:between w:val="nil"/>
        </w:pBdr>
        <w:spacing w:after="0" w:line="240" w:lineRule="auto"/>
        <w:ind w:right="-9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Interponer acciones públicas en defensa de la Constitución y de la l</w:t>
      </w:r>
      <w:r>
        <w:rPr>
          <w:rFonts w:ascii="Times New Roman" w:eastAsia="Times New Roman" w:hAnsi="Times New Roman"/>
          <w:color w:val="000000"/>
          <w:sz w:val="24"/>
          <w:szCs w:val="24"/>
        </w:rPr>
        <w:t>ey.</w:t>
      </w:r>
    </w:p>
    <w:p w14:paraId="23C534D6" w14:textId="77777777" w:rsidR="00A026A8" w:rsidRDefault="00301297">
      <w:pPr>
        <w:widowControl w:val="0"/>
        <w:numPr>
          <w:ilvl w:val="0"/>
          <w:numId w:val="19"/>
        </w:numPr>
        <w:pBdr>
          <w:top w:val="nil"/>
          <w:left w:val="nil"/>
          <w:bottom w:val="nil"/>
          <w:right w:val="nil"/>
          <w:between w:val="nil"/>
        </w:pBdr>
        <w:spacing w:after="0" w:line="240" w:lineRule="auto"/>
        <w:ind w:right="-9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Acceder al desempeño de funciones y cargos públicos, salvo los colombianos, por nacimiento o por adopción, que tengan doble nacionalidad. La ley reglamentará esta excepción y determinará los casos a los cuales ha de aplicarse.</w:t>
      </w:r>
    </w:p>
    <w:p w14:paraId="5F88CD7B" w14:textId="77777777" w:rsidR="00A026A8" w:rsidRDefault="00A026A8">
      <w:pPr>
        <w:spacing w:line="240" w:lineRule="auto"/>
        <w:ind w:right="-91"/>
        <w:jc w:val="both"/>
        <w:rPr>
          <w:rFonts w:ascii="Times New Roman" w:eastAsia="Times New Roman" w:hAnsi="Times New Roman"/>
          <w:sz w:val="24"/>
          <w:szCs w:val="24"/>
        </w:rPr>
      </w:pPr>
    </w:p>
    <w:p w14:paraId="1E3FDC6D" w14:textId="77777777" w:rsidR="00A026A8" w:rsidRDefault="00301297">
      <w:pPr>
        <w:spacing w:line="240" w:lineRule="auto"/>
        <w:ind w:right="-91"/>
        <w:jc w:val="both"/>
        <w:rPr>
          <w:rFonts w:ascii="Times New Roman" w:eastAsia="Times New Roman" w:hAnsi="Times New Roman"/>
          <w:sz w:val="24"/>
          <w:szCs w:val="24"/>
        </w:rPr>
      </w:pPr>
      <w:r>
        <w:rPr>
          <w:rFonts w:ascii="Times New Roman" w:eastAsia="Times New Roman" w:hAnsi="Times New Roman"/>
          <w:sz w:val="24"/>
          <w:szCs w:val="24"/>
        </w:rPr>
        <w:t xml:space="preserve">Las autoridades </w:t>
      </w:r>
      <w:r>
        <w:rPr>
          <w:rFonts w:ascii="Times New Roman" w:eastAsia="Times New Roman" w:hAnsi="Times New Roman"/>
          <w:sz w:val="24"/>
          <w:szCs w:val="24"/>
        </w:rPr>
        <w:t>garantizarán la adecuada y efectiva participación de la mujer en los niveles decisorios de la Administración Pública.</w:t>
      </w:r>
    </w:p>
    <w:p w14:paraId="12F7F4ED" w14:textId="77777777" w:rsidR="00A026A8" w:rsidRDefault="00A026A8">
      <w:pPr>
        <w:spacing w:line="240" w:lineRule="auto"/>
        <w:ind w:right="-91"/>
        <w:jc w:val="both"/>
        <w:rPr>
          <w:rFonts w:ascii="Times New Roman" w:eastAsia="Times New Roman" w:hAnsi="Times New Roman"/>
          <w:sz w:val="24"/>
          <w:szCs w:val="24"/>
        </w:rPr>
      </w:pPr>
    </w:p>
    <w:p w14:paraId="4D7BEBD5" w14:textId="77777777" w:rsidR="00A026A8" w:rsidRDefault="00301297">
      <w:pPr>
        <w:spacing w:line="240" w:lineRule="auto"/>
        <w:ind w:right="-91"/>
        <w:jc w:val="both"/>
        <w:rPr>
          <w:rFonts w:ascii="Times New Roman" w:eastAsia="Times New Roman" w:hAnsi="Times New Roman"/>
          <w:b/>
          <w:sz w:val="24"/>
          <w:szCs w:val="24"/>
        </w:rPr>
      </w:pPr>
      <w:r>
        <w:rPr>
          <w:rFonts w:ascii="Times New Roman" w:eastAsia="Times New Roman" w:hAnsi="Times New Roman"/>
          <w:b/>
          <w:sz w:val="24"/>
          <w:szCs w:val="24"/>
        </w:rPr>
        <w:t>LEYES DE LA REPÚBLICA</w:t>
      </w:r>
    </w:p>
    <w:p w14:paraId="26132C03" w14:textId="77777777" w:rsidR="00A026A8" w:rsidRDefault="00A026A8">
      <w:pPr>
        <w:spacing w:line="240" w:lineRule="auto"/>
        <w:ind w:right="-91"/>
        <w:jc w:val="both"/>
        <w:rPr>
          <w:rFonts w:ascii="Times New Roman" w:eastAsia="Times New Roman" w:hAnsi="Times New Roman"/>
          <w:b/>
          <w:sz w:val="24"/>
          <w:szCs w:val="24"/>
        </w:rPr>
      </w:pPr>
    </w:p>
    <w:p w14:paraId="488C3C91"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Ley 418 de 1997</w:t>
      </w:r>
      <w:r>
        <w:rPr>
          <w:rFonts w:ascii="Times New Roman" w:eastAsia="Times New Roman" w:hAnsi="Times New Roman"/>
          <w:sz w:val="24"/>
          <w:szCs w:val="24"/>
        </w:rPr>
        <w:t>, “Por la cual se consagran unos instrumentos para la búsqueda de la convivencia, la eficacia de la</w:t>
      </w:r>
      <w:r>
        <w:rPr>
          <w:rFonts w:ascii="Times New Roman" w:eastAsia="Times New Roman" w:hAnsi="Times New Roman"/>
          <w:sz w:val="24"/>
          <w:szCs w:val="24"/>
        </w:rPr>
        <w:t xml:space="preserve"> justicia y se dictan otras disposiciones”.</w:t>
      </w:r>
    </w:p>
    <w:p w14:paraId="46FC5979"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2816 de 2006</w:t>
      </w:r>
      <w:r>
        <w:rPr>
          <w:rFonts w:ascii="Times New Roman" w:eastAsia="Times New Roman" w:hAnsi="Times New Roman"/>
          <w:sz w:val="24"/>
          <w:szCs w:val="24"/>
        </w:rPr>
        <w:t>, “Por el cual se diseña y reglamenta el Programa de Protección de Derechos Humanos del Ministerio del Interior y de Justicia y se adoptan otras disposiciones”.</w:t>
      </w:r>
    </w:p>
    <w:p w14:paraId="5A0145C8"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Ley 1448 de 2011</w:t>
      </w:r>
      <w:r>
        <w:rPr>
          <w:rFonts w:ascii="Times New Roman" w:eastAsia="Times New Roman" w:hAnsi="Times New Roman"/>
          <w:sz w:val="24"/>
          <w:szCs w:val="24"/>
        </w:rPr>
        <w:t xml:space="preserve">, “Por la cual </w:t>
      </w:r>
      <w:r>
        <w:rPr>
          <w:rFonts w:ascii="Times New Roman" w:eastAsia="Times New Roman" w:hAnsi="Times New Roman"/>
          <w:sz w:val="24"/>
          <w:szCs w:val="24"/>
        </w:rPr>
        <w:t>se dictan medidas de atención, asistencia y reparación integral a las víctimas del conflicto armado interno y se dictan otras disposiciones”.</w:t>
      </w:r>
    </w:p>
    <w:p w14:paraId="7DDEE6CA"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4065 de 2011</w:t>
      </w:r>
      <w:r>
        <w:rPr>
          <w:rFonts w:ascii="Times New Roman" w:eastAsia="Times New Roman" w:hAnsi="Times New Roman"/>
          <w:sz w:val="24"/>
          <w:szCs w:val="24"/>
        </w:rPr>
        <w:t>, “Por el cual se crea la Unidad Nacional de Protección (UNP), se establecen su objetivo y est</w:t>
      </w:r>
      <w:r>
        <w:rPr>
          <w:rFonts w:ascii="Times New Roman" w:eastAsia="Times New Roman" w:hAnsi="Times New Roman"/>
          <w:sz w:val="24"/>
          <w:szCs w:val="24"/>
        </w:rPr>
        <w:t xml:space="preserve">ructura”. </w:t>
      </w:r>
    </w:p>
    <w:p w14:paraId="6B48CB1E"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4912 de 2011</w:t>
      </w:r>
      <w:r>
        <w:rPr>
          <w:rFonts w:ascii="Times New Roman" w:eastAsia="Times New Roman" w:hAnsi="Times New Roman"/>
          <w:sz w:val="24"/>
          <w:szCs w:val="24"/>
        </w:rPr>
        <w:t>, "Por el cual se organiza el Programa de Prevención y Protección de los derechos a la vida, la libertad, la integridad y la seguridad de personas, grupos y comunidades del Ministerio del Interior y de la Unidad Nacional de P</w:t>
      </w:r>
      <w:r>
        <w:rPr>
          <w:rFonts w:ascii="Times New Roman" w:eastAsia="Times New Roman" w:hAnsi="Times New Roman"/>
          <w:sz w:val="24"/>
          <w:szCs w:val="24"/>
        </w:rPr>
        <w:t xml:space="preserve">rotección". </w:t>
      </w:r>
    </w:p>
    <w:p w14:paraId="62A521ED"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2096 de 2012</w:t>
      </w:r>
      <w:r>
        <w:rPr>
          <w:rFonts w:ascii="Times New Roman" w:eastAsia="Times New Roman" w:hAnsi="Times New Roman"/>
          <w:sz w:val="24"/>
          <w:szCs w:val="24"/>
        </w:rPr>
        <w:t xml:space="preserve">, “Por el cual se unifica el Programa Especial de Protección Integral para dirigentes, miembros y sobrevivientes de la Unión Patriótica y el Partido Comunista Colombiano y se dictan otras disposiciones”. </w:t>
      </w:r>
    </w:p>
    <w:p w14:paraId="74136DD1"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lastRenderedPageBreak/>
        <w:t>Decreto 154 de 201</w:t>
      </w:r>
      <w:r>
        <w:rPr>
          <w:rFonts w:ascii="Times New Roman" w:eastAsia="Times New Roman" w:hAnsi="Times New Roman"/>
          <w:b/>
          <w:sz w:val="24"/>
          <w:szCs w:val="24"/>
        </w:rPr>
        <w:t>7</w:t>
      </w:r>
      <w:r>
        <w:rPr>
          <w:rFonts w:ascii="Times New Roman" w:eastAsia="Times New Roman" w:hAnsi="Times New Roman"/>
          <w:sz w:val="24"/>
          <w:szCs w:val="24"/>
        </w:rPr>
        <w:t xml:space="preserve">, “Por el cual se crea la Comisión Nacional de Garantías de Seguridad en el Marco del Acuerdo Final, suscrito entre el Gobierno Nacional y las FARC-EP el 24 de noviembre de 2016”. </w:t>
      </w:r>
    </w:p>
    <w:p w14:paraId="2868DA45"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1581 de 2017</w:t>
      </w:r>
      <w:r>
        <w:rPr>
          <w:rFonts w:ascii="Times New Roman" w:eastAsia="Times New Roman" w:hAnsi="Times New Roman"/>
          <w:sz w:val="24"/>
          <w:szCs w:val="24"/>
        </w:rPr>
        <w:t>, “Por el cual se adiciona el Título 3 a la Parte 4, d</w:t>
      </w:r>
      <w:r>
        <w:rPr>
          <w:rFonts w:ascii="Times New Roman" w:eastAsia="Times New Roman" w:hAnsi="Times New Roman"/>
          <w:sz w:val="24"/>
          <w:szCs w:val="24"/>
        </w:rPr>
        <w:t>el Libro 2 del Decreto 1066 de 2015, Decreto Único Reglamentario del Sector Administrativo del Interior, para adoptar la política pública de prevención de violaciones a los derechos a la vida, integridad, libertad y seguridad de personas, grupos y comunida</w:t>
      </w:r>
      <w:r>
        <w:rPr>
          <w:rFonts w:ascii="Times New Roman" w:eastAsia="Times New Roman" w:hAnsi="Times New Roman"/>
          <w:sz w:val="24"/>
          <w:szCs w:val="24"/>
        </w:rPr>
        <w:t xml:space="preserve">des, y se dictan otras disposiciones”. </w:t>
      </w:r>
    </w:p>
    <w:p w14:paraId="598A5FE8"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2078 de 2017</w:t>
      </w:r>
      <w:r>
        <w:rPr>
          <w:rFonts w:ascii="Times New Roman" w:eastAsia="Times New Roman" w:hAnsi="Times New Roman"/>
          <w:sz w:val="24"/>
          <w:szCs w:val="24"/>
        </w:rPr>
        <w:t>, “Por el cual se adiciona el Capítulo 5, del Título 1, de la Parte 4, del Libro 2 del Decreto 1066 de 2015, Decreto Único Reglamentario del Sector Administrativo del Interior, sobre la ruta de pr</w:t>
      </w:r>
      <w:r>
        <w:rPr>
          <w:rFonts w:ascii="Times New Roman" w:eastAsia="Times New Roman" w:hAnsi="Times New Roman"/>
          <w:sz w:val="24"/>
          <w:szCs w:val="24"/>
        </w:rPr>
        <w:t xml:space="preserve">otección colectiva de los derechos a la vida, la libertad, la integridad y la seguridad personal de grupos y comunidades”. </w:t>
      </w:r>
    </w:p>
    <w:p w14:paraId="2C8E3521"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2252 de 2017</w:t>
      </w:r>
      <w:r>
        <w:rPr>
          <w:rFonts w:ascii="Times New Roman" w:eastAsia="Times New Roman" w:hAnsi="Times New Roman"/>
          <w:sz w:val="24"/>
          <w:szCs w:val="24"/>
        </w:rPr>
        <w:t>, “Por el cual se adiciona el Capítulo 6, del Título 1, de la Parte 4, del Libro 2 del Decreto 1066 de 2015, Dec</w:t>
      </w:r>
      <w:r>
        <w:rPr>
          <w:rFonts w:ascii="Times New Roman" w:eastAsia="Times New Roman" w:hAnsi="Times New Roman"/>
          <w:sz w:val="24"/>
          <w:szCs w:val="24"/>
        </w:rPr>
        <w:t>reto Único Reglamentario del Sector Administrativo del Interior, sobre la labor de gobernadores y alcaldes como agentes del Presidente de la República en relación con la protección individual y colectiva de líderes y líderesas de organizaciones y movimient</w:t>
      </w:r>
      <w:r>
        <w:rPr>
          <w:rFonts w:ascii="Times New Roman" w:eastAsia="Times New Roman" w:hAnsi="Times New Roman"/>
          <w:sz w:val="24"/>
          <w:szCs w:val="24"/>
        </w:rPr>
        <w:t>os sociales y comunales, y defensores y defensoras de derechos humanos que se encuentren en situación de riesgo”.</w:t>
      </w:r>
    </w:p>
    <w:p w14:paraId="6698F167"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2124 de 2017</w:t>
      </w:r>
      <w:r>
        <w:rPr>
          <w:rFonts w:ascii="Times New Roman" w:eastAsia="Times New Roman" w:hAnsi="Times New Roman"/>
          <w:sz w:val="24"/>
          <w:szCs w:val="24"/>
        </w:rPr>
        <w:t>, “Por el cual se reglamenta el sistema de prevención y alerta para la reacción rápida a la presencia, acciones y/o activi</w:t>
      </w:r>
      <w:r>
        <w:rPr>
          <w:rFonts w:ascii="Times New Roman" w:eastAsia="Times New Roman" w:hAnsi="Times New Roman"/>
          <w:sz w:val="24"/>
          <w:szCs w:val="24"/>
        </w:rPr>
        <w:t xml:space="preserve">dades de las organizaciones, hechos y conductas criminales que pongan en riesgo los derechos de la población y la implementación del Acuerdo Final para la Terminación del Conflicto y la Construcción de una Paz Estable y Duradera”. </w:t>
      </w:r>
    </w:p>
    <w:p w14:paraId="1471E206"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Ley 1908 de 2018</w:t>
      </w:r>
      <w:r>
        <w:rPr>
          <w:rFonts w:ascii="Times New Roman" w:eastAsia="Times New Roman" w:hAnsi="Times New Roman"/>
          <w:sz w:val="24"/>
          <w:szCs w:val="24"/>
        </w:rPr>
        <w:t>, “Por m</w:t>
      </w:r>
      <w:r>
        <w:rPr>
          <w:rFonts w:ascii="Times New Roman" w:eastAsia="Times New Roman" w:hAnsi="Times New Roman"/>
          <w:sz w:val="24"/>
          <w:szCs w:val="24"/>
        </w:rPr>
        <w:t>edio de la cual se fortalecen la investigación y judicialización de organizaciones criminales, se adoptan medidas para su sujeción a la justicia y se dictan otras disposiciones”.</w:t>
      </w:r>
    </w:p>
    <w:p w14:paraId="6FF8BF57"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660 de 2018</w:t>
      </w:r>
      <w:r>
        <w:rPr>
          <w:rFonts w:ascii="Times New Roman" w:eastAsia="Times New Roman" w:hAnsi="Times New Roman"/>
          <w:sz w:val="24"/>
          <w:szCs w:val="24"/>
        </w:rPr>
        <w:t>, “Por el cual se adiciona el Capítulo 7, del Título 1, de</w:t>
      </w:r>
      <w:r>
        <w:rPr>
          <w:rFonts w:ascii="Times New Roman" w:eastAsia="Times New Roman" w:hAnsi="Times New Roman"/>
          <w:sz w:val="24"/>
          <w:szCs w:val="24"/>
        </w:rPr>
        <w:t xml:space="preserve"> la Parte 4, del Libro 2 del Decreto 1066 de 2015, Único Reglamentario del Sector Administrativo del Interior, para crear y reglamentar el Programa Integral de Seguridad y Protección para Comunidades y Organizaciones en los Territorios; y se dictan otras d</w:t>
      </w:r>
      <w:r>
        <w:rPr>
          <w:rFonts w:ascii="Times New Roman" w:eastAsia="Times New Roman" w:hAnsi="Times New Roman"/>
          <w:sz w:val="24"/>
          <w:szCs w:val="24"/>
        </w:rPr>
        <w:t xml:space="preserve">isposiciones”. </w:t>
      </w:r>
    </w:p>
    <w:p w14:paraId="34D17187"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2137 de 2018</w:t>
      </w:r>
      <w:r>
        <w:rPr>
          <w:rFonts w:ascii="Times New Roman" w:eastAsia="Times New Roman" w:hAnsi="Times New Roman"/>
          <w:sz w:val="24"/>
          <w:szCs w:val="24"/>
        </w:rPr>
        <w:t>, “Por el cual se crea la Comisión Intersectorial para el desarrollo del Plan de Acción Oportuna (PAO) de Prevención y Protección individual y colectiva de los derechos a la vida, la libertad, la integridad y la segurida</w:t>
      </w:r>
      <w:r>
        <w:rPr>
          <w:rFonts w:ascii="Times New Roman" w:eastAsia="Times New Roman" w:hAnsi="Times New Roman"/>
          <w:sz w:val="24"/>
          <w:szCs w:val="24"/>
        </w:rPr>
        <w:t>d de defensores de derechos humanos, líderes sociales, comunales, y periodistas - "Comisión del Plan de Acción Oportuna (PAO) para defensores de derechos humanos, líderes sociales, comunales, y periodistas". (Consejería Presidencial para los derechos human</w:t>
      </w:r>
      <w:r>
        <w:rPr>
          <w:rFonts w:ascii="Times New Roman" w:eastAsia="Times New Roman" w:hAnsi="Times New Roman"/>
          <w:sz w:val="24"/>
          <w:szCs w:val="24"/>
        </w:rPr>
        <w:t>os y asuntos internacionales, 2010 - 2019).</w:t>
      </w:r>
    </w:p>
    <w:p w14:paraId="61FD2ADF" w14:textId="77777777" w:rsidR="00A026A8" w:rsidRDefault="00301297">
      <w:pPr>
        <w:jc w:val="both"/>
        <w:rPr>
          <w:rFonts w:ascii="Times New Roman" w:eastAsia="Times New Roman" w:hAnsi="Times New Roman"/>
          <w:sz w:val="24"/>
          <w:szCs w:val="24"/>
        </w:rPr>
      </w:pPr>
      <w:r>
        <w:rPr>
          <w:rFonts w:ascii="Times New Roman" w:eastAsia="Times New Roman" w:hAnsi="Times New Roman"/>
          <w:b/>
          <w:sz w:val="24"/>
          <w:szCs w:val="24"/>
        </w:rPr>
        <w:t>Decreto 1138 de 2021</w:t>
      </w:r>
      <w:r>
        <w:rPr>
          <w:rFonts w:ascii="Times New Roman" w:eastAsia="Times New Roman" w:hAnsi="Times New Roman"/>
          <w:sz w:val="24"/>
          <w:szCs w:val="24"/>
        </w:rPr>
        <w:t>, “Por medio del cual se modifica y adiciona el Decreto 2137 de 2018”.</w:t>
      </w:r>
    </w:p>
    <w:p w14:paraId="48629D41" w14:textId="77777777" w:rsidR="00A026A8" w:rsidRDefault="00A026A8">
      <w:pPr>
        <w:widowControl w:val="0"/>
        <w:pBdr>
          <w:top w:val="nil"/>
          <w:left w:val="nil"/>
          <w:bottom w:val="nil"/>
          <w:right w:val="nil"/>
          <w:between w:val="nil"/>
        </w:pBdr>
        <w:spacing w:after="0" w:line="275" w:lineRule="auto"/>
        <w:jc w:val="both"/>
        <w:rPr>
          <w:rFonts w:ascii="Times New Roman" w:eastAsia="Times New Roman" w:hAnsi="Times New Roman"/>
          <w:color w:val="000000"/>
          <w:sz w:val="24"/>
          <w:szCs w:val="24"/>
        </w:rPr>
      </w:pPr>
    </w:p>
    <w:p w14:paraId="0A37A434" w14:textId="77777777" w:rsidR="00A026A8" w:rsidRDefault="00301297">
      <w:pPr>
        <w:widowControl w:val="0"/>
        <w:numPr>
          <w:ilvl w:val="0"/>
          <w:numId w:val="20"/>
        </w:numPr>
        <w:pBdr>
          <w:top w:val="nil"/>
          <w:left w:val="nil"/>
          <w:bottom w:val="nil"/>
          <w:right w:val="nil"/>
          <w:between w:val="nil"/>
        </w:pBdr>
        <w:spacing w:after="0" w:line="275"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IMPACTO FISCAL</w:t>
      </w:r>
    </w:p>
    <w:p w14:paraId="13A30D59" w14:textId="77777777" w:rsidR="00A026A8" w:rsidRDefault="00A026A8">
      <w:pPr>
        <w:spacing w:line="240" w:lineRule="auto"/>
        <w:jc w:val="both"/>
        <w:rPr>
          <w:rFonts w:ascii="Times New Roman" w:eastAsia="Times New Roman" w:hAnsi="Times New Roman"/>
          <w:sz w:val="24"/>
          <w:szCs w:val="24"/>
        </w:rPr>
      </w:pPr>
    </w:p>
    <w:p w14:paraId="7143DA7C" w14:textId="77777777" w:rsidR="00A026A8" w:rsidRDefault="00301297">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El artículo 7 de la Ley 819 de 2.003 establece que </w:t>
      </w:r>
      <w:r>
        <w:rPr>
          <w:rFonts w:ascii="Times New Roman" w:eastAsia="Times New Roman" w:hAnsi="Times New Roman"/>
          <w:i/>
          <w:sz w:val="24"/>
          <w:szCs w:val="24"/>
        </w:rPr>
        <w:t xml:space="preserve">“el impacto fiscal de cualquier proyecto de ley, </w:t>
      </w:r>
      <w:r>
        <w:rPr>
          <w:rFonts w:ascii="Times New Roman" w:eastAsia="Times New Roman" w:hAnsi="Times New Roman"/>
          <w:i/>
          <w:sz w:val="24"/>
          <w:szCs w:val="24"/>
        </w:rPr>
        <w:t>ordenanza o acuerdo, que ordene gasto o que otorgue beneficios tributarios, deberá hacerse explícito y deberá ser compatible con el Marco Fiscal de Mediano Plazo</w:t>
      </w:r>
      <w:r>
        <w:rPr>
          <w:rFonts w:ascii="Times New Roman" w:eastAsia="Times New Roman" w:hAnsi="Times New Roman"/>
          <w:sz w:val="24"/>
          <w:szCs w:val="24"/>
        </w:rPr>
        <w:t>.”</w:t>
      </w:r>
    </w:p>
    <w:p w14:paraId="5321A801" w14:textId="77777777" w:rsidR="00A026A8" w:rsidRDefault="00301297">
      <w:pPr>
        <w:spacing w:before="240" w:after="24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El presente proyecto de ley se encuentra en el marco de las bases del PND – Colombia </w:t>
      </w:r>
      <w:r>
        <w:rPr>
          <w:rFonts w:ascii="Times New Roman" w:eastAsia="Times New Roman" w:hAnsi="Times New Roman"/>
          <w:sz w:val="24"/>
          <w:szCs w:val="24"/>
        </w:rPr>
        <w:t>Potencia Mundial de Vida 2022 -2022, donde la financiación de la inversión propuesta respeta los lineamientos del Marco Fiscal de Mediano Plazo, según el documento presentado por el Gobierno Nacional. Allí se encuentra que la Transformación 2, denominada S</w:t>
      </w:r>
      <w:r>
        <w:rPr>
          <w:rFonts w:ascii="Times New Roman" w:eastAsia="Times New Roman" w:hAnsi="Times New Roman"/>
          <w:sz w:val="24"/>
          <w:szCs w:val="24"/>
        </w:rPr>
        <w:t>eguridad Humana y Justica Social, prevé en el literal a del numeral 6 un capítulo llamado “</w:t>
      </w:r>
      <w:r>
        <w:rPr>
          <w:rFonts w:ascii="Times New Roman" w:eastAsia="Times New Roman" w:hAnsi="Times New Roman"/>
          <w:b/>
          <w:i/>
          <w:sz w:val="24"/>
          <w:szCs w:val="24"/>
        </w:rPr>
        <w:t xml:space="preserve">Prevención y protección para poblaciones vulnerables desde un enfoque diferencial, colectivo e individual” </w:t>
      </w:r>
      <w:r>
        <w:rPr>
          <w:rFonts w:ascii="Times New Roman" w:eastAsia="Times New Roman" w:hAnsi="Times New Roman"/>
          <w:sz w:val="24"/>
          <w:szCs w:val="24"/>
        </w:rPr>
        <w:t>y determina lo siguiente:</w:t>
      </w:r>
    </w:p>
    <w:p w14:paraId="4D370A00" w14:textId="77777777" w:rsidR="00A026A8" w:rsidRDefault="00301297">
      <w:pPr>
        <w:spacing w:before="240" w:after="240" w:line="276" w:lineRule="auto"/>
        <w:ind w:left="700"/>
        <w:jc w:val="both"/>
        <w:rPr>
          <w:rFonts w:ascii="Times New Roman" w:eastAsia="Times New Roman" w:hAnsi="Times New Roman"/>
          <w:sz w:val="24"/>
          <w:szCs w:val="24"/>
        </w:rPr>
      </w:pPr>
      <w:r>
        <w:rPr>
          <w:rFonts w:ascii="Times New Roman" w:eastAsia="Times New Roman" w:hAnsi="Times New Roman"/>
          <w:sz w:val="24"/>
          <w:szCs w:val="24"/>
        </w:rPr>
        <w:t>“Se actualizará la política públ</w:t>
      </w:r>
      <w:r>
        <w:rPr>
          <w:rFonts w:ascii="Times New Roman" w:eastAsia="Times New Roman" w:hAnsi="Times New Roman"/>
          <w:sz w:val="24"/>
          <w:szCs w:val="24"/>
        </w:rPr>
        <w:t>ica en materia de prevención, seguridad y protección individual y colectiva, y se ampliará la capacidad de respuesta del Cuerpo Élite de la Policía. Asimismo, se fortalecerá y modernizará la Unidad Nacional de Protección, en el marco de las funciones que l</w:t>
      </w:r>
      <w:r>
        <w:rPr>
          <w:rFonts w:ascii="Times New Roman" w:eastAsia="Times New Roman" w:hAnsi="Times New Roman"/>
          <w:sz w:val="24"/>
          <w:szCs w:val="24"/>
        </w:rPr>
        <w:t>e fueron asignadas por las normas, para que pueda lograr de manera eficaz y eficiente la protección de las personas, y comunidades, y lograr así la superación de vulnerabilidades de riesgo con un enfoque diferencial. Se priorizará el fortalecimiento de cap</w:t>
      </w:r>
      <w:r>
        <w:rPr>
          <w:rFonts w:ascii="Times New Roman" w:eastAsia="Times New Roman" w:hAnsi="Times New Roman"/>
          <w:sz w:val="24"/>
          <w:szCs w:val="24"/>
        </w:rPr>
        <w:t xml:space="preserve">acidades organizativas para la autoprotección y denuncia de las comunidades. Estos esfuerzos, además de estar sustentados en el diálogo permanente entre autoridades, comunidades y liderazgos sociales, buscarán garantizar el pleno ejercicio de los derechos </w:t>
      </w:r>
      <w:r>
        <w:rPr>
          <w:rFonts w:ascii="Times New Roman" w:eastAsia="Times New Roman" w:hAnsi="Times New Roman"/>
          <w:sz w:val="24"/>
          <w:szCs w:val="24"/>
        </w:rPr>
        <w:t>y libertades de la población vulnerable haciendo especial énfasis en los enfoques diferenciales. Esto se puede observar en la página 69 de las bases del PND.”</w:t>
      </w:r>
    </w:p>
    <w:p w14:paraId="53878175" w14:textId="77777777" w:rsidR="00A026A8" w:rsidRDefault="00301297">
      <w:pPr>
        <w:spacing w:before="240" w:after="240" w:line="276" w:lineRule="auto"/>
        <w:jc w:val="both"/>
        <w:rPr>
          <w:rFonts w:ascii="Times New Roman" w:eastAsia="Times New Roman" w:hAnsi="Times New Roman"/>
          <w:sz w:val="24"/>
          <w:szCs w:val="24"/>
        </w:rPr>
      </w:pPr>
      <w:r>
        <w:rPr>
          <w:rFonts w:ascii="Times New Roman" w:eastAsia="Times New Roman" w:hAnsi="Times New Roman"/>
          <w:sz w:val="24"/>
          <w:szCs w:val="24"/>
        </w:rPr>
        <w:t>Asimismo, en el numeral segundo del capítulo sobre Paz Total e integral, denominado “Participació</w:t>
      </w:r>
      <w:r>
        <w:rPr>
          <w:rFonts w:ascii="Times New Roman" w:eastAsia="Times New Roman" w:hAnsi="Times New Roman"/>
          <w:sz w:val="24"/>
          <w:szCs w:val="24"/>
        </w:rPr>
        <w:t>n política: Apertura democrática para construir la paz”, ubicado en la página 199, establece que:</w:t>
      </w:r>
    </w:p>
    <w:p w14:paraId="107E4F15" w14:textId="77777777" w:rsidR="00A026A8" w:rsidRDefault="00301297">
      <w:pPr>
        <w:spacing w:before="240" w:after="240" w:line="276" w:lineRule="auto"/>
        <w:ind w:left="700"/>
        <w:jc w:val="both"/>
        <w:rPr>
          <w:rFonts w:ascii="Times New Roman" w:eastAsia="Times New Roman" w:hAnsi="Times New Roman"/>
          <w:i/>
          <w:sz w:val="24"/>
          <w:szCs w:val="24"/>
        </w:rPr>
      </w:pPr>
      <w:r>
        <w:rPr>
          <w:rFonts w:ascii="Times New Roman" w:eastAsia="Times New Roman" w:hAnsi="Times New Roman"/>
          <w:i/>
          <w:sz w:val="24"/>
          <w:szCs w:val="24"/>
        </w:rPr>
        <w:t>“Se fortalecerán los programas de prevención y protección de poblaciones vulnerables, con especial énfasis en los líderes y líderesas sociales, defensores y d</w:t>
      </w:r>
      <w:r>
        <w:rPr>
          <w:rFonts w:ascii="Times New Roman" w:eastAsia="Times New Roman" w:hAnsi="Times New Roman"/>
          <w:i/>
          <w:sz w:val="24"/>
          <w:szCs w:val="24"/>
        </w:rPr>
        <w:t>efensoras de derechos humanos, y personas en proceso de reincorporación y sus familias. Se formularán planes interinstitucionales focalizados en los territorios, se garantizará la capacidad de respuesta del cuerpo élite de la policía y se fortalecerá la Un</w:t>
      </w:r>
      <w:r>
        <w:rPr>
          <w:rFonts w:ascii="Times New Roman" w:eastAsia="Times New Roman" w:hAnsi="Times New Roman"/>
          <w:i/>
          <w:sz w:val="24"/>
          <w:szCs w:val="24"/>
        </w:rPr>
        <w:t>idad Especial de Investigación de la Fiscalía General de la Nación. Dichas estrategias requerirán el impulso y reactivación del Sistema Integral de Seguridad para el Ejercicio de la Política (SISEP) y la Comisión Nacional de Garantías de Seguridad, creados</w:t>
      </w:r>
      <w:r>
        <w:rPr>
          <w:rFonts w:ascii="Times New Roman" w:eastAsia="Times New Roman" w:hAnsi="Times New Roman"/>
          <w:i/>
          <w:sz w:val="24"/>
          <w:szCs w:val="24"/>
        </w:rPr>
        <w:t xml:space="preserve"> en el Acuerdo de Paz.”</w:t>
      </w:r>
    </w:p>
    <w:p w14:paraId="58AC897B" w14:textId="77777777" w:rsidR="00A026A8" w:rsidRDefault="00301297">
      <w:pPr>
        <w:spacing w:before="240" w:after="24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Ahora bien, en el numeral segundo titulado “Construcción del tejido social diverso, con garantía de derechos y sin discriminación” del subcapítulo denominado “Colombia </w:t>
      </w:r>
      <w:r>
        <w:rPr>
          <w:rFonts w:ascii="Times New Roman" w:eastAsia="Times New Roman" w:hAnsi="Times New Roman"/>
          <w:sz w:val="24"/>
          <w:szCs w:val="24"/>
        </w:rPr>
        <w:lastRenderedPageBreak/>
        <w:t>igualitaria, diversa y libre de discriminación”, del capítulo “A</w:t>
      </w:r>
      <w:r>
        <w:rPr>
          <w:rFonts w:ascii="Times New Roman" w:eastAsia="Times New Roman" w:hAnsi="Times New Roman"/>
          <w:sz w:val="24"/>
          <w:szCs w:val="24"/>
        </w:rPr>
        <w:t>ctores diferenciales para el cambio”, ubicado en la página 221 de las bases del PND, establece que:</w:t>
      </w:r>
    </w:p>
    <w:p w14:paraId="6E231E01" w14:textId="77777777" w:rsidR="00A026A8" w:rsidRDefault="00301297">
      <w:pPr>
        <w:spacing w:before="240" w:after="240" w:line="276" w:lineRule="auto"/>
        <w:ind w:left="700"/>
        <w:jc w:val="both"/>
        <w:rPr>
          <w:rFonts w:ascii="Times New Roman" w:eastAsia="Times New Roman" w:hAnsi="Times New Roman"/>
          <w:i/>
          <w:sz w:val="24"/>
          <w:szCs w:val="24"/>
        </w:rPr>
      </w:pPr>
      <w:r>
        <w:rPr>
          <w:rFonts w:ascii="Times New Roman" w:eastAsia="Times New Roman" w:hAnsi="Times New Roman"/>
          <w:i/>
          <w:sz w:val="24"/>
          <w:szCs w:val="24"/>
        </w:rPr>
        <w:t>“Se reforzarán lineamientos de atención inclusiva en los Comisarías de Familia, Defensorías de Familia y la Policía Nacional. También se creará una instanci</w:t>
      </w:r>
      <w:r>
        <w:rPr>
          <w:rFonts w:ascii="Times New Roman" w:eastAsia="Times New Roman" w:hAnsi="Times New Roman"/>
          <w:i/>
          <w:sz w:val="24"/>
          <w:szCs w:val="24"/>
        </w:rPr>
        <w:t>a especial, en el marco del sistema de derecho humanos y protección, para el seguimiento a los casos y medidas de protección a líderes y líderesas, así como a defensoras y defensores de derechos humanos que hacen parte de la población LGBTIQ+. Se promoverá</w:t>
      </w:r>
      <w:r>
        <w:rPr>
          <w:rFonts w:ascii="Times New Roman" w:eastAsia="Times New Roman" w:hAnsi="Times New Roman"/>
          <w:i/>
          <w:sz w:val="24"/>
          <w:szCs w:val="24"/>
        </w:rPr>
        <w:t>n los ajustes necesarios para la garantía de derechos en centros penitenciarios y carcelarios para la población LGBTIQ+, así como centros de reacción inmediata y detención transitoria.”</w:t>
      </w:r>
    </w:p>
    <w:p w14:paraId="544302E6" w14:textId="77777777" w:rsidR="00A026A8" w:rsidRDefault="00301297">
      <w:pPr>
        <w:spacing w:before="240" w:after="24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Por otro lado, dentro de las Metas trazadoras del PMI4, del literal B </w:t>
      </w:r>
      <w:r>
        <w:rPr>
          <w:rFonts w:ascii="Times New Roman" w:eastAsia="Times New Roman" w:hAnsi="Times New Roman"/>
          <w:sz w:val="24"/>
          <w:szCs w:val="24"/>
        </w:rPr>
        <w:t>“Punto 2. Participación política: Apertura democrática para construir la paz”, del capítulo denominado “1. Titulado “Plan Cuatrienal de Implementación del Acuerdo de Paz con las FARC – EP”, ubicado en la página 282 de las bases del PND, se encuentra un ind</w:t>
      </w:r>
      <w:r>
        <w:rPr>
          <w:rFonts w:ascii="Times New Roman" w:eastAsia="Times New Roman" w:hAnsi="Times New Roman"/>
          <w:sz w:val="24"/>
          <w:szCs w:val="24"/>
        </w:rPr>
        <w:t>icador dedicado a la disminución significativa del asesinato de líderes sociales en el marco del SISEP.</w:t>
      </w:r>
    </w:p>
    <w:p w14:paraId="29D3192F" w14:textId="77777777" w:rsidR="00A026A8" w:rsidRDefault="00301297">
      <w:pPr>
        <w:spacing w:before="240" w:after="24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Finalmente, en la página 285 de las bases del PND, el numeral tercero denominado “Implementación del Punto 3 según Transformaciones del PND”, existe un </w:t>
      </w:r>
      <w:r>
        <w:rPr>
          <w:rFonts w:ascii="Times New Roman" w:eastAsia="Times New Roman" w:hAnsi="Times New Roman"/>
          <w:sz w:val="24"/>
          <w:szCs w:val="24"/>
        </w:rPr>
        <w:t>pilar titulado “Garantías de Seguridad y lucha contra organizaciones y conductas criminales”, la cual hace referencia a la transformación de Seguridad humana y justicia social y trata sobre el fortalecimiento de la prevención y protección para la población</w:t>
      </w:r>
      <w:r>
        <w:rPr>
          <w:rFonts w:ascii="Times New Roman" w:eastAsia="Times New Roman" w:hAnsi="Times New Roman"/>
          <w:sz w:val="24"/>
          <w:szCs w:val="24"/>
        </w:rPr>
        <w:t xml:space="preserve"> en situación de vulnerabilidad, con especial énfasis en los líderes y lideresas sociales, defensores de derechos humanos y personas en proceso de reincorporación y sus familiar; mediante planes interinstitucionales focalizados en los territorios.</w:t>
      </w:r>
    </w:p>
    <w:p w14:paraId="37E92C0F" w14:textId="111CCA88" w:rsidR="00A026A8" w:rsidRDefault="00301297">
      <w:pPr>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En este </w:t>
      </w:r>
      <w:r>
        <w:rPr>
          <w:rFonts w:ascii="Times New Roman" w:eastAsia="Times New Roman" w:hAnsi="Times New Roman"/>
          <w:sz w:val="24"/>
          <w:szCs w:val="24"/>
        </w:rPr>
        <w:t xml:space="preserve">aspecto, en el Plan Plurianual de Inversiones del PND – Colombia Potencia Mundial de la Vida se evidencia que la transformación de </w:t>
      </w:r>
      <w:r>
        <w:rPr>
          <w:rFonts w:ascii="Times New Roman" w:eastAsia="Times New Roman" w:hAnsi="Times New Roman"/>
          <w:i/>
          <w:sz w:val="24"/>
          <w:szCs w:val="24"/>
        </w:rPr>
        <w:t>Seguridad Humana y Justicia Social</w:t>
      </w:r>
      <w:r>
        <w:rPr>
          <w:rFonts w:ascii="Times New Roman" w:eastAsia="Times New Roman" w:hAnsi="Times New Roman"/>
          <w:sz w:val="24"/>
          <w:szCs w:val="24"/>
        </w:rPr>
        <w:t xml:space="preserve"> tiene una asignación de a $744,2 billones, fuente de donde se utilizarán los recursos para</w:t>
      </w:r>
      <w:r>
        <w:rPr>
          <w:rFonts w:ascii="Times New Roman" w:eastAsia="Times New Roman" w:hAnsi="Times New Roman"/>
          <w:sz w:val="24"/>
          <w:szCs w:val="24"/>
        </w:rPr>
        <w:t xml:space="preserve"> la implementación del presente proyecto de ley.</w:t>
      </w:r>
    </w:p>
    <w:p w14:paraId="074C01E3" w14:textId="77777777" w:rsidR="00A026A8" w:rsidRDefault="00301297">
      <w:pPr>
        <w:widowControl w:val="0"/>
        <w:numPr>
          <w:ilvl w:val="0"/>
          <w:numId w:val="20"/>
        </w:numPr>
        <w:pBdr>
          <w:top w:val="nil"/>
          <w:left w:val="nil"/>
          <w:bottom w:val="nil"/>
          <w:right w:val="nil"/>
          <w:between w:val="nil"/>
        </w:pBdr>
        <w:spacing w:before="280" w:after="28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CONFLICTOS DE INTERÉS</w:t>
      </w:r>
    </w:p>
    <w:p w14:paraId="09F10B0E" w14:textId="77777777" w:rsidR="00A026A8" w:rsidRDefault="00301297">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El presente Proyecto de Ley es de carácter general, sin embargo, en cumplimiento de la Ley 2003 de 2019, se hace la salvedad de que corresponde a la esfera privada de cada uno de los congresistas el examen del contenido del presente Proyecto de Ley, y de o</w:t>
      </w:r>
      <w:r>
        <w:rPr>
          <w:rFonts w:ascii="Times New Roman" w:eastAsia="Times New Roman" w:hAnsi="Times New Roman"/>
          <w:sz w:val="24"/>
          <w:szCs w:val="24"/>
        </w:rPr>
        <w:t xml:space="preserve">tros elementos que puedan derivarse o entenderse como generadores de conflicto de interés. </w:t>
      </w:r>
    </w:p>
    <w:p w14:paraId="7F41C44A" w14:textId="77777777" w:rsidR="00A026A8" w:rsidRDefault="00301297">
      <w:pPr>
        <w:spacing w:before="280" w:after="280" w:line="240" w:lineRule="auto"/>
        <w:jc w:val="both"/>
        <w:rPr>
          <w:rFonts w:ascii="Times New Roman" w:eastAsia="Times New Roman" w:hAnsi="Times New Roman"/>
          <w:sz w:val="24"/>
          <w:szCs w:val="24"/>
        </w:rPr>
      </w:pPr>
      <w:r>
        <w:rPr>
          <w:rFonts w:ascii="Times New Roman" w:eastAsia="Times New Roman" w:hAnsi="Times New Roman"/>
          <w:sz w:val="24"/>
          <w:szCs w:val="24"/>
        </w:rPr>
        <w:t>Por lo anterior, lo aquí advertido no exonera a cada uno de los congresistas de examinar minuciosamente posibles conflictos de interés para conocer y votar este pro</w:t>
      </w:r>
      <w:r>
        <w:rPr>
          <w:rFonts w:ascii="Times New Roman" w:eastAsia="Times New Roman" w:hAnsi="Times New Roman"/>
          <w:sz w:val="24"/>
          <w:szCs w:val="24"/>
        </w:rPr>
        <w:t>yecto, y en caso de existir algún conflicto, su responsabilidad de manifestarlo al Congreso de la República, durante el trámite de este.</w:t>
      </w:r>
    </w:p>
    <w:p w14:paraId="19145188" w14:textId="77777777" w:rsidR="00A026A8" w:rsidRDefault="00301297">
      <w:pPr>
        <w:widowControl w:val="0"/>
        <w:numPr>
          <w:ilvl w:val="0"/>
          <w:numId w:val="20"/>
        </w:numPr>
        <w:pBdr>
          <w:top w:val="nil"/>
          <w:left w:val="nil"/>
          <w:bottom w:val="nil"/>
          <w:right w:val="nil"/>
          <w:between w:val="nil"/>
        </w:pBdr>
        <w:spacing w:before="280" w:after="28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CONCLUSIÓN Y PRESENTACIÓN</w:t>
      </w:r>
    </w:p>
    <w:p w14:paraId="0147319E" w14:textId="18927FE0" w:rsidR="00A026A8" w:rsidRDefault="00301297" w:rsidP="009D1626">
      <w:pPr>
        <w:jc w:val="both"/>
        <w:rPr>
          <w:rFonts w:ascii="Times New Roman" w:eastAsia="Times New Roman" w:hAnsi="Times New Roman"/>
          <w:sz w:val="24"/>
          <w:szCs w:val="24"/>
        </w:rPr>
      </w:pPr>
      <w:r>
        <w:rPr>
          <w:rFonts w:ascii="Times New Roman" w:eastAsia="Times New Roman" w:hAnsi="Times New Roman"/>
          <w:sz w:val="24"/>
          <w:szCs w:val="24"/>
        </w:rPr>
        <w:t>Por las razones anteriormente expuestas, ponemos en consideración del Honorable Congreso de l</w:t>
      </w:r>
      <w:r>
        <w:rPr>
          <w:rFonts w:ascii="Times New Roman" w:eastAsia="Times New Roman" w:hAnsi="Times New Roman"/>
          <w:sz w:val="24"/>
          <w:szCs w:val="24"/>
        </w:rPr>
        <w:t>a República el presente Proyecto de Ley, que responde a la necesidad de garantizar desde el nivel intermedio de gobierno la protección oportuna y efectiva de los derechos a la vida, libertad y seguridad de los líderes sociales, defensores de derechos human</w:t>
      </w:r>
      <w:r>
        <w:rPr>
          <w:rFonts w:ascii="Times New Roman" w:eastAsia="Times New Roman" w:hAnsi="Times New Roman"/>
          <w:sz w:val="24"/>
          <w:szCs w:val="24"/>
        </w:rPr>
        <w:t xml:space="preserve">os, y personas objeto de protección, a través de una Búsqueda Activa de casos y la adopción de una Ruta de Atención. </w:t>
      </w:r>
    </w:p>
    <w:tbl>
      <w:tblPr>
        <w:tblStyle w:val="a3"/>
        <w:tblW w:w="8813" w:type="dxa"/>
        <w:tblInd w:w="15" w:type="dxa"/>
        <w:tblLayout w:type="fixed"/>
        <w:tblLook w:val="0400" w:firstRow="0" w:lastRow="0" w:firstColumn="0" w:lastColumn="0" w:noHBand="0" w:noVBand="1"/>
      </w:tblPr>
      <w:tblGrid>
        <w:gridCol w:w="4408"/>
        <w:gridCol w:w="4405"/>
      </w:tblGrid>
      <w:tr w:rsidR="00A026A8" w14:paraId="7DF65D54" w14:textId="77777777" w:rsidTr="009D1626">
        <w:tc>
          <w:tcPr>
            <w:tcW w:w="4408" w:type="dxa"/>
          </w:tcPr>
          <w:p w14:paraId="23473E5C" w14:textId="77777777" w:rsidR="00A026A8" w:rsidRDefault="00A026A8">
            <w:pPr>
              <w:pStyle w:val="Ttulo1"/>
              <w:ind w:firstLine="15"/>
              <w:jc w:val="left"/>
              <w:outlineLvl w:val="0"/>
            </w:pPr>
          </w:p>
          <w:p w14:paraId="7F301F98"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68896231" wp14:editId="7988EE41">
                  <wp:extent cx="2495550" cy="122872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495550" cy="1228725"/>
                          </a:xfrm>
                          <a:prstGeom prst="rect">
                            <a:avLst/>
                          </a:prstGeom>
                          <a:ln/>
                        </pic:spPr>
                      </pic:pic>
                    </a:graphicData>
                  </a:graphic>
                </wp:inline>
              </w:drawing>
            </w:r>
          </w:p>
        </w:tc>
        <w:tc>
          <w:tcPr>
            <w:tcW w:w="4405" w:type="dxa"/>
          </w:tcPr>
          <w:p w14:paraId="7438FD32" w14:textId="77777777" w:rsidR="00A026A8" w:rsidRDefault="00A026A8">
            <w:pPr>
              <w:spacing w:after="0"/>
              <w:rPr>
                <w:rFonts w:ascii="Times New Roman" w:eastAsia="Times New Roman" w:hAnsi="Times New Roman"/>
                <w:sz w:val="24"/>
                <w:szCs w:val="24"/>
              </w:rPr>
            </w:pPr>
          </w:p>
          <w:p w14:paraId="495649D8" w14:textId="77777777" w:rsidR="00A026A8" w:rsidRDefault="00301297">
            <w:pPr>
              <w:spacing w:after="0" w:line="276" w:lineRule="auto"/>
              <w:jc w:val="both"/>
              <w:rPr>
                <w:rFonts w:ascii="Arial" w:eastAsia="Arial" w:hAnsi="Arial" w:cs="Arial"/>
                <w:b/>
                <w:sz w:val="22"/>
                <w:szCs w:val="22"/>
              </w:rPr>
            </w:pPr>
            <w:r>
              <w:rPr>
                <w:rFonts w:ascii="Arial" w:eastAsia="Arial" w:hAnsi="Arial" w:cs="Arial"/>
                <w:b/>
                <w:noProof/>
              </w:rPr>
              <w:drawing>
                <wp:inline distT="114300" distB="114300" distL="114300" distR="114300" wp14:anchorId="15292881" wp14:editId="67039E20">
                  <wp:extent cx="2667000" cy="876300"/>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667000" cy="876300"/>
                          </a:xfrm>
                          <a:prstGeom prst="rect">
                            <a:avLst/>
                          </a:prstGeom>
                          <a:ln/>
                        </pic:spPr>
                      </pic:pic>
                    </a:graphicData>
                  </a:graphic>
                </wp:inline>
              </w:drawing>
            </w:r>
          </w:p>
          <w:p w14:paraId="0E5BC5DA" w14:textId="77777777" w:rsidR="00A026A8" w:rsidRDefault="00301297">
            <w:pPr>
              <w:spacing w:after="0" w:line="276" w:lineRule="auto"/>
              <w:jc w:val="center"/>
              <w:rPr>
                <w:rFonts w:ascii="Arial" w:eastAsia="Arial" w:hAnsi="Arial" w:cs="Arial"/>
                <w:b/>
                <w:sz w:val="22"/>
                <w:szCs w:val="22"/>
              </w:rPr>
            </w:pPr>
            <w:r>
              <w:rPr>
                <w:rFonts w:ascii="Arial" w:eastAsia="Arial" w:hAnsi="Arial" w:cs="Arial"/>
                <w:b/>
                <w:sz w:val="22"/>
                <w:szCs w:val="22"/>
              </w:rPr>
              <w:t>PALOMA VALENCIA LASERNA</w:t>
            </w:r>
          </w:p>
          <w:p w14:paraId="71C202A0" w14:textId="77777777" w:rsidR="00A026A8" w:rsidRDefault="00301297">
            <w:pPr>
              <w:spacing w:after="0"/>
              <w:jc w:val="center"/>
              <w:rPr>
                <w:rFonts w:ascii="Arial" w:eastAsia="Arial" w:hAnsi="Arial" w:cs="Arial"/>
                <w:b/>
                <w:sz w:val="22"/>
                <w:szCs w:val="22"/>
              </w:rPr>
            </w:pPr>
            <w:r>
              <w:rPr>
                <w:rFonts w:ascii="Arial" w:eastAsia="Arial" w:hAnsi="Arial" w:cs="Arial"/>
                <w:sz w:val="22"/>
                <w:szCs w:val="22"/>
              </w:rPr>
              <w:t>Senadora de la República</w:t>
            </w:r>
          </w:p>
          <w:p w14:paraId="3AEBAA70" w14:textId="77777777" w:rsidR="00A026A8" w:rsidRDefault="00A026A8">
            <w:pPr>
              <w:spacing w:after="0"/>
              <w:jc w:val="center"/>
              <w:rPr>
                <w:rFonts w:ascii="Times New Roman" w:eastAsia="Times New Roman" w:hAnsi="Times New Roman"/>
                <w:sz w:val="24"/>
                <w:szCs w:val="24"/>
              </w:rPr>
            </w:pPr>
          </w:p>
        </w:tc>
      </w:tr>
      <w:tr w:rsidR="00A026A8" w14:paraId="5594FD22" w14:textId="77777777" w:rsidTr="009D1626">
        <w:tc>
          <w:tcPr>
            <w:tcW w:w="4408" w:type="dxa"/>
          </w:tcPr>
          <w:p w14:paraId="6F676D21" w14:textId="77777777" w:rsidR="00A026A8" w:rsidRDefault="00301297">
            <w:pPr>
              <w:spacing w:after="0"/>
              <w:jc w:val="center"/>
            </w:pPr>
            <w:r>
              <w:rPr>
                <w:rFonts w:ascii="Times New Roman" w:eastAsia="Times New Roman" w:hAnsi="Times New Roman"/>
                <w:noProof/>
                <w:sz w:val="24"/>
                <w:szCs w:val="24"/>
              </w:rPr>
              <w:drawing>
                <wp:inline distT="114300" distB="114300" distL="114300" distR="114300" wp14:anchorId="10D6137C" wp14:editId="7FB63810">
                  <wp:extent cx="2028825" cy="1447800"/>
                  <wp:effectExtent l="0" t="0" r="0" b="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28825" cy="1447800"/>
                          </a:xfrm>
                          <a:prstGeom prst="rect">
                            <a:avLst/>
                          </a:prstGeom>
                          <a:ln/>
                        </pic:spPr>
                      </pic:pic>
                    </a:graphicData>
                  </a:graphic>
                </wp:inline>
              </w:drawing>
            </w:r>
          </w:p>
        </w:tc>
        <w:tc>
          <w:tcPr>
            <w:tcW w:w="4405" w:type="dxa"/>
          </w:tcPr>
          <w:p w14:paraId="6DD27083"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0C91AA9D" wp14:editId="4B4AF29F">
                  <wp:extent cx="1143000" cy="847725"/>
                  <wp:effectExtent l="0" t="0" r="0" b="0"/>
                  <wp:docPr id="2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143000" cy="847725"/>
                          </a:xfrm>
                          <a:prstGeom prst="rect">
                            <a:avLst/>
                          </a:prstGeom>
                          <a:ln/>
                        </pic:spPr>
                      </pic:pic>
                    </a:graphicData>
                  </a:graphic>
                </wp:inline>
              </w:drawing>
            </w:r>
          </w:p>
          <w:p w14:paraId="3D335697" w14:textId="77777777" w:rsidR="00A026A8" w:rsidRDefault="00301297">
            <w:pPr>
              <w:spacing w:after="0"/>
              <w:jc w:val="center"/>
              <w:rPr>
                <w:rFonts w:ascii="Arial" w:eastAsia="Arial" w:hAnsi="Arial" w:cs="Arial"/>
                <w:b/>
                <w:sz w:val="22"/>
                <w:szCs w:val="22"/>
              </w:rPr>
            </w:pPr>
            <w:r>
              <w:rPr>
                <w:rFonts w:ascii="Times New Roman" w:eastAsia="Times New Roman" w:hAnsi="Times New Roman"/>
                <w:b/>
                <w:sz w:val="24"/>
                <w:szCs w:val="24"/>
              </w:rPr>
              <w:t>P</w:t>
            </w:r>
            <w:r>
              <w:rPr>
                <w:rFonts w:ascii="Arial" w:eastAsia="Arial" w:hAnsi="Arial" w:cs="Arial"/>
                <w:b/>
                <w:sz w:val="22"/>
                <w:szCs w:val="22"/>
              </w:rPr>
              <w:t xml:space="preserve">AOLA HOLGUÍN MORENO </w:t>
            </w:r>
          </w:p>
          <w:p w14:paraId="758DA237" w14:textId="77777777" w:rsidR="00A026A8" w:rsidRDefault="00301297">
            <w:pPr>
              <w:spacing w:after="0"/>
              <w:jc w:val="center"/>
              <w:rPr>
                <w:rFonts w:ascii="Times New Roman" w:eastAsia="Times New Roman" w:hAnsi="Times New Roman"/>
                <w:sz w:val="24"/>
                <w:szCs w:val="24"/>
              </w:rPr>
            </w:pPr>
            <w:r>
              <w:rPr>
                <w:rFonts w:ascii="Arial" w:eastAsia="Arial" w:hAnsi="Arial" w:cs="Arial"/>
                <w:sz w:val="22"/>
                <w:szCs w:val="22"/>
              </w:rPr>
              <w:t xml:space="preserve">Senadora de la República </w:t>
            </w:r>
          </w:p>
        </w:tc>
      </w:tr>
      <w:tr w:rsidR="00A026A8" w14:paraId="42527F99" w14:textId="77777777" w:rsidTr="009D1626">
        <w:tc>
          <w:tcPr>
            <w:tcW w:w="4408" w:type="dxa"/>
          </w:tcPr>
          <w:p w14:paraId="4FBFE395"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noProof/>
                <w:sz w:val="24"/>
                <w:szCs w:val="24"/>
              </w:rPr>
              <w:drawing>
                <wp:inline distT="114300" distB="114300" distL="114300" distR="114300" wp14:anchorId="154A9056" wp14:editId="688FED29">
                  <wp:extent cx="2343150" cy="1144905"/>
                  <wp:effectExtent l="0" t="0" r="0" b="0"/>
                  <wp:docPr id="50"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2"/>
                          <a:srcRect/>
                          <a:stretch>
                            <a:fillRect/>
                          </a:stretch>
                        </pic:blipFill>
                        <pic:spPr>
                          <a:xfrm>
                            <a:off x="0" y="0"/>
                            <a:ext cx="2343150" cy="1144905"/>
                          </a:xfrm>
                          <a:prstGeom prst="rect">
                            <a:avLst/>
                          </a:prstGeom>
                          <a:ln/>
                        </pic:spPr>
                      </pic:pic>
                    </a:graphicData>
                  </a:graphic>
                </wp:inline>
              </w:drawing>
            </w:r>
          </w:p>
          <w:p w14:paraId="0F8AA9FE"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 xml:space="preserve">CARLOS EDWARD OSORIO </w:t>
            </w:r>
          </w:p>
          <w:p w14:paraId="55A8271A" w14:textId="77777777" w:rsidR="00A026A8" w:rsidRDefault="00301297">
            <w:pPr>
              <w:spacing w:after="0"/>
            </w:pPr>
            <w:r>
              <w:rPr>
                <w:rFonts w:ascii="Times New Roman" w:eastAsia="Times New Roman" w:hAnsi="Times New Roman"/>
                <w:sz w:val="24"/>
                <w:szCs w:val="24"/>
              </w:rPr>
              <w:t>Representante a la Cámara</w:t>
            </w:r>
          </w:p>
        </w:tc>
        <w:tc>
          <w:tcPr>
            <w:tcW w:w="4405" w:type="dxa"/>
          </w:tcPr>
          <w:p w14:paraId="2EF0E245" w14:textId="77777777" w:rsidR="00A026A8" w:rsidRDefault="00A026A8">
            <w:pPr>
              <w:spacing w:after="0"/>
              <w:rPr>
                <w:rFonts w:ascii="Times New Roman" w:eastAsia="Times New Roman" w:hAnsi="Times New Roman"/>
                <w:sz w:val="24"/>
                <w:szCs w:val="24"/>
              </w:rPr>
            </w:pPr>
          </w:p>
          <w:p w14:paraId="6A253207"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748A2764" wp14:editId="73161DF0">
                  <wp:extent cx="2667000" cy="685800"/>
                  <wp:effectExtent l="0" t="0" r="0" b="0"/>
                  <wp:docPr id="5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2667000" cy="685800"/>
                          </a:xfrm>
                          <a:prstGeom prst="rect">
                            <a:avLst/>
                          </a:prstGeom>
                          <a:ln/>
                        </pic:spPr>
                      </pic:pic>
                    </a:graphicData>
                  </a:graphic>
                </wp:inline>
              </w:drawing>
            </w:r>
          </w:p>
          <w:p w14:paraId="2FFD22E4" w14:textId="77777777" w:rsidR="00A026A8" w:rsidRDefault="00301297">
            <w:pPr>
              <w:spacing w:after="0" w:line="256" w:lineRule="auto"/>
              <w:jc w:val="both"/>
              <w:rPr>
                <w:rFonts w:ascii="Times New Roman" w:eastAsia="Times New Roman" w:hAnsi="Times New Roman"/>
                <w:b/>
                <w:sz w:val="24"/>
                <w:szCs w:val="24"/>
              </w:rPr>
            </w:pPr>
            <w:r>
              <w:rPr>
                <w:rFonts w:ascii="Times New Roman" w:eastAsia="Times New Roman" w:hAnsi="Times New Roman"/>
                <w:b/>
                <w:sz w:val="24"/>
                <w:szCs w:val="24"/>
              </w:rPr>
              <w:t>MARIA FERNANDA CABAL MOLINA</w:t>
            </w:r>
          </w:p>
          <w:p w14:paraId="1D305155" w14:textId="77777777" w:rsidR="00A026A8" w:rsidRDefault="00301297">
            <w:pPr>
              <w:spacing w:after="0" w:line="256" w:lineRule="auto"/>
              <w:jc w:val="both"/>
              <w:rPr>
                <w:rFonts w:ascii="Times New Roman" w:eastAsia="Times New Roman" w:hAnsi="Times New Roman"/>
                <w:sz w:val="24"/>
                <w:szCs w:val="24"/>
              </w:rPr>
            </w:pPr>
            <w:r>
              <w:rPr>
                <w:rFonts w:ascii="Times New Roman" w:eastAsia="Times New Roman" w:hAnsi="Times New Roman"/>
                <w:sz w:val="24"/>
                <w:szCs w:val="24"/>
              </w:rPr>
              <w:t>Senadora de la República de Colombia</w:t>
            </w:r>
          </w:p>
          <w:p w14:paraId="61ACEED0" w14:textId="77777777" w:rsidR="00A026A8" w:rsidRDefault="00A026A8">
            <w:pPr>
              <w:spacing w:after="0"/>
              <w:rPr>
                <w:rFonts w:ascii="Times New Roman" w:eastAsia="Times New Roman" w:hAnsi="Times New Roman"/>
                <w:sz w:val="24"/>
                <w:szCs w:val="24"/>
              </w:rPr>
            </w:pPr>
          </w:p>
        </w:tc>
      </w:tr>
      <w:tr w:rsidR="00A026A8" w14:paraId="21FEFB04" w14:textId="77777777" w:rsidTr="009D1626">
        <w:trPr>
          <w:trHeight w:val="226"/>
        </w:trPr>
        <w:tc>
          <w:tcPr>
            <w:tcW w:w="4408" w:type="dxa"/>
          </w:tcPr>
          <w:p w14:paraId="71F5E8D8"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32876EB5" wp14:editId="10AEEC99">
                  <wp:extent cx="1447800" cy="935886"/>
                  <wp:effectExtent l="0" t="0" r="0" b="0"/>
                  <wp:docPr id="3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447800" cy="935886"/>
                          </a:xfrm>
                          <a:prstGeom prst="rect">
                            <a:avLst/>
                          </a:prstGeom>
                          <a:ln/>
                        </pic:spPr>
                      </pic:pic>
                    </a:graphicData>
                  </a:graphic>
                </wp:inline>
              </w:drawing>
            </w:r>
          </w:p>
          <w:p w14:paraId="01F2A5A0" w14:textId="77777777" w:rsidR="00A026A8" w:rsidRDefault="00301297">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ANDRÉS GUERRA </w:t>
            </w:r>
          </w:p>
          <w:p w14:paraId="54C8A80A"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sz w:val="24"/>
                <w:szCs w:val="24"/>
              </w:rPr>
              <w:t>Senador de la República</w:t>
            </w:r>
          </w:p>
        </w:tc>
        <w:tc>
          <w:tcPr>
            <w:tcW w:w="4405" w:type="dxa"/>
          </w:tcPr>
          <w:p w14:paraId="30E37B53"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21B77111" wp14:editId="15795798">
                  <wp:extent cx="2667000" cy="15240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667000" cy="1524000"/>
                          </a:xfrm>
                          <a:prstGeom prst="rect">
                            <a:avLst/>
                          </a:prstGeom>
                          <a:ln/>
                        </pic:spPr>
                      </pic:pic>
                    </a:graphicData>
                  </a:graphic>
                </wp:inline>
              </w:drawing>
            </w:r>
          </w:p>
        </w:tc>
      </w:tr>
      <w:tr w:rsidR="00A026A8" w14:paraId="672DFD38" w14:textId="77777777" w:rsidTr="009D1626">
        <w:tc>
          <w:tcPr>
            <w:tcW w:w="4408" w:type="dxa"/>
          </w:tcPr>
          <w:p w14:paraId="4DF09674"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114300" distB="114300" distL="114300" distR="114300" wp14:anchorId="6B222175" wp14:editId="176A6B09">
                  <wp:extent cx="2667000" cy="660400"/>
                  <wp:effectExtent l="0" t="0" r="0" b="0"/>
                  <wp:docPr id="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2667000" cy="660400"/>
                          </a:xfrm>
                          <a:prstGeom prst="rect">
                            <a:avLst/>
                          </a:prstGeom>
                          <a:ln/>
                        </pic:spPr>
                      </pic:pic>
                    </a:graphicData>
                  </a:graphic>
                </wp:inline>
              </w:drawing>
            </w:r>
          </w:p>
          <w:p w14:paraId="21C8BD5B"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ENRIQUE CABRALES BAQUERO</w:t>
            </w:r>
          </w:p>
          <w:p w14:paraId="2D14FE0A" w14:textId="77777777" w:rsidR="00A026A8" w:rsidRDefault="00301297">
            <w:pPr>
              <w:spacing w:after="0"/>
              <w:rPr>
                <w:rFonts w:ascii="Arial" w:eastAsia="Arial" w:hAnsi="Arial" w:cs="Arial"/>
                <w:sz w:val="22"/>
                <w:szCs w:val="22"/>
              </w:rPr>
            </w:pPr>
            <w:r>
              <w:rPr>
                <w:rFonts w:ascii="Times New Roman" w:eastAsia="Times New Roman" w:hAnsi="Times New Roman"/>
                <w:sz w:val="24"/>
                <w:szCs w:val="24"/>
              </w:rPr>
              <w:t>Senador de la República</w:t>
            </w:r>
          </w:p>
        </w:tc>
        <w:tc>
          <w:tcPr>
            <w:tcW w:w="4405" w:type="dxa"/>
          </w:tcPr>
          <w:p w14:paraId="19627F08" w14:textId="77777777" w:rsidR="00A026A8" w:rsidRDefault="00A026A8">
            <w:pPr>
              <w:spacing w:after="0" w:line="256" w:lineRule="auto"/>
              <w:jc w:val="both"/>
              <w:rPr>
                <w:rFonts w:ascii="Times New Roman" w:eastAsia="Times New Roman" w:hAnsi="Times New Roman"/>
                <w:sz w:val="24"/>
                <w:szCs w:val="24"/>
              </w:rPr>
            </w:pPr>
          </w:p>
          <w:p w14:paraId="72B00EA0"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6898F08A" wp14:editId="4E50C7C8">
                  <wp:extent cx="2567087" cy="1368306"/>
                  <wp:effectExtent l="0" t="0" r="0" b="0"/>
                  <wp:docPr id="24"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7"/>
                          <a:srcRect r="24428" b="32243"/>
                          <a:stretch>
                            <a:fillRect/>
                          </a:stretch>
                        </pic:blipFill>
                        <pic:spPr>
                          <a:xfrm>
                            <a:off x="0" y="0"/>
                            <a:ext cx="2567087" cy="1368306"/>
                          </a:xfrm>
                          <a:prstGeom prst="rect">
                            <a:avLst/>
                          </a:prstGeom>
                          <a:ln/>
                        </pic:spPr>
                      </pic:pic>
                    </a:graphicData>
                  </a:graphic>
                </wp:inline>
              </w:drawing>
            </w:r>
          </w:p>
        </w:tc>
      </w:tr>
      <w:tr w:rsidR="00A026A8" w14:paraId="063A1DA2" w14:textId="77777777" w:rsidTr="009D1626">
        <w:tc>
          <w:tcPr>
            <w:tcW w:w="4408" w:type="dxa"/>
          </w:tcPr>
          <w:p w14:paraId="6A58392A" w14:textId="77777777" w:rsidR="00A026A8" w:rsidRDefault="00301297">
            <w:pPr>
              <w:spacing w:after="0" w:line="259" w:lineRule="auto"/>
              <w:rPr>
                <w:rFonts w:ascii="Bookman Old Style" w:eastAsia="Bookman Old Style" w:hAnsi="Bookman Old Style" w:cs="Bookman Old Style"/>
                <w:b/>
                <w:sz w:val="24"/>
                <w:szCs w:val="24"/>
              </w:rPr>
            </w:pPr>
            <w:r>
              <w:rPr>
                <w:rFonts w:ascii="Bookman Old Style" w:eastAsia="Bookman Old Style" w:hAnsi="Bookman Old Style" w:cs="Bookman Old Style"/>
                <w:b/>
                <w:noProof/>
                <w:sz w:val="24"/>
                <w:szCs w:val="24"/>
              </w:rPr>
              <w:drawing>
                <wp:inline distT="114300" distB="114300" distL="114300" distR="114300" wp14:anchorId="0C0D21D8" wp14:editId="6ED81B4E">
                  <wp:extent cx="2656523" cy="985200"/>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6523" cy="985200"/>
                          </a:xfrm>
                          <a:prstGeom prst="rect">
                            <a:avLst/>
                          </a:prstGeom>
                          <a:ln/>
                        </pic:spPr>
                      </pic:pic>
                    </a:graphicData>
                  </a:graphic>
                </wp:inline>
              </w:drawing>
            </w:r>
          </w:p>
          <w:p w14:paraId="5595E8B5" w14:textId="77777777" w:rsidR="00A026A8" w:rsidRDefault="00301297">
            <w:pPr>
              <w:spacing w:after="0" w:line="259" w:lineRule="auto"/>
              <w:jc w:val="center"/>
              <w:rPr>
                <w:rFonts w:ascii="Arial" w:eastAsia="Arial" w:hAnsi="Arial" w:cs="Arial"/>
                <w:b/>
                <w:sz w:val="22"/>
                <w:szCs w:val="22"/>
              </w:rPr>
            </w:pPr>
            <w:r>
              <w:rPr>
                <w:rFonts w:ascii="Arial" w:eastAsia="Arial" w:hAnsi="Arial" w:cs="Arial"/>
                <w:b/>
                <w:sz w:val="22"/>
                <w:szCs w:val="22"/>
              </w:rPr>
              <w:t>HERNÁN DARÍO CADAVID MÁRQUEZ</w:t>
            </w:r>
          </w:p>
          <w:p w14:paraId="730D4988" w14:textId="77777777" w:rsidR="00A026A8" w:rsidRDefault="00301297">
            <w:pPr>
              <w:spacing w:after="0" w:line="259" w:lineRule="auto"/>
              <w:jc w:val="center"/>
              <w:rPr>
                <w:rFonts w:ascii="Times New Roman" w:eastAsia="Times New Roman" w:hAnsi="Times New Roman"/>
                <w:sz w:val="24"/>
                <w:szCs w:val="24"/>
              </w:rPr>
            </w:pPr>
            <w:r>
              <w:rPr>
                <w:rFonts w:ascii="Arial" w:eastAsia="Arial" w:hAnsi="Arial" w:cs="Arial"/>
                <w:b/>
                <w:sz w:val="22"/>
                <w:szCs w:val="22"/>
              </w:rPr>
              <w:t>Representante a la Cámara</w:t>
            </w:r>
          </w:p>
        </w:tc>
        <w:tc>
          <w:tcPr>
            <w:tcW w:w="4405" w:type="dxa"/>
          </w:tcPr>
          <w:p w14:paraId="5FCAE82E" w14:textId="77777777" w:rsidR="00A026A8" w:rsidRDefault="00301297">
            <w:pPr>
              <w:spacing w:after="0"/>
              <w:jc w:val="both"/>
              <w:rPr>
                <w:rFonts w:ascii="Times New Roman" w:eastAsia="Times New Roman" w:hAnsi="Times New Roman"/>
                <w:sz w:val="24"/>
                <w:szCs w:val="24"/>
              </w:rPr>
            </w:pPr>
            <w:r>
              <w:rPr>
                <w:rFonts w:ascii="Arial" w:eastAsia="Arial" w:hAnsi="Arial" w:cs="Arial"/>
                <w:noProof/>
                <w:sz w:val="24"/>
                <w:szCs w:val="24"/>
              </w:rPr>
              <w:drawing>
                <wp:inline distT="114300" distB="114300" distL="114300" distR="114300" wp14:anchorId="739C763F" wp14:editId="547132EA">
                  <wp:extent cx="2647520" cy="996097"/>
                  <wp:effectExtent l="0" t="0" r="0" b="0"/>
                  <wp:docPr id="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2647520" cy="996097"/>
                          </a:xfrm>
                          <a:prstGeom prst="rect">
                            <a:avLst/>
                          </a:prstGeom>
                          <a:ln/>
                        </pic:spPr>
                      </pic:pic>
                    </a:graphicData>
                  </a:graphic>
                </wp:inline>
              </w:drawing>
            </w:r>
          </w:p>
        </w:tc>
      </w:tr>
      <w:tr w:rsidR="00A026A8" w14:paraId="62AD021A" w14:textId="77777777" w:rsidTr="009D1626">
        <w:tc>
          <w:tcPr>
            <w:tcW w:w="4408" w:type="dxa"/>
          </w:tcPr>
          <w:p w14:paraId="7E8F790F" w14:textId="77777777" w:rsidR="00A026A8" w:rsidRDefault="00301297">
            <w:pPr>
              <w:spacing w:before="240" w:after="0"/>
              <w:jc w:val="center"/>
              <w:rPr>
                <w:rFonts w:ascii="Bookman Old Style" w:eastAsia="Bookman Old Style" w:hAnsi="Bookman Old Style" w:cs="Bookman Old Style"/>
                <w:b/>
              </w:rPr>
            </w:pPr>
            <w:r>
              <w:rPr>
                <w:rFonts w:ascii="Bookman Old Style" w:eastAsia="Bookman Old Style" w:hAnsi="Bookman Old Style" w:cs="Bookman Old Style"/>
                <w:b/>
                <w:noProof/>
              </w:rPr>
              <w:drawing>
                <wp:inline distT="114300" distB="114300" distL="114300" distR="114300" wp14:anchorId="15BB27BB" wp14:editId="47EFF9EA">
                  <wp:extent cx="1967865" cy="817814"/>
                  <wp:effectExtent l="0" t="0" r="0" b="0"/>
                  <wp:docPr id="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967865" cy="817814"/>
                          </a:xfrm>
                          <a:prstGeom prst="rect">
                            <a:avLst/>
                          </a:prstGeom>
                          <a:ln/>
                        </pic:spPr>
                      </pic:pic>
                    </a:graphicData>
                  </a:graphic>
                </wp:inline>
              </w:drawing>
            </w:r>
          </w:p>
          <w:p w14:paraId="612430E7" w14:textId="77777777" w:rsidR="00A026A8" w:rsidRDefault="00301297">
            <w:pPr>
              <w:spacing w:after="0"/>
              <w:jc w:val="center"/>
              <w:rPr>
                <w:rFonts w:ascii="Bookman Old Style" w:eastAsia="Bookman Old Style" w:hAnsi="Bookman Old Style" w:cs="Bookman Old Style"/>
                <w:b/>
              </w:rPr>
            </w:pPr>
            <w:r>
              <w:rPr>
                <w:rFonts w:ascii="Bookman Old Style" w:eastAsia="Bookman Old Style" w:hAnsi="Bookman Old Style" w:cs="Bookman Old Style"/>
                <w:b/>
              </w:rPr>
              <w:t>EDINSON VLADIMIR OLAYA MANCIPE</w:t>
            </w:r>
          </w:p>
          <w:p w14:paraId="447502E2" w14:textId="77777777" w:rsidR="00A026A8" w:rsidRDefault="00301297">
            <w:pPr>
              <w:spacing w:after="0"/>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Casanare</w:t>
            </w:r>
          </w:p>
          <w:p w14:paraId="57FC6055" w14:textId="77777777" w:rsidR="00A026A8" w:rsidRDefault="00301297">
            <w:pPr>
              <w:spacing w:after="0"/>
              <w:jc w:val="center"/>
              <w:rPr>
                <w:rFonts w:ascii="Bookman Old Style" w:eastAsia="Bookman Old Style" w:hAnsi="Bookman Old Style" w:cs="Bookman Old Style"/>
              </w:rPr>
            </w:pPr>
            <w:r>
              <w:rPr>
                <w:rFonts w:ascii="Bookman Old Style" w:eastAsia="Bookman Old Style" w:hAnsi="Bookman Old Style" w:cs="Bookman Old Style"/>
              </w:rPr>
              <w:t>Partido Centro Democrático</w:t>
            </w:r>
          </w:p>
          <w:p w14:paraId="08087A9E" w14:textId="77777777" w:rsidR="00A026A8" w:rsidRDefault="00A026A8">
            <w:pPr>
              <w:spacing w:after="0" w:line="259" w:lineRule="auto"/>
              <w:jc w:val="center"/>
              <w:rPr>
                <w:rFonts w:ascii="Arial" w:eastAsia="Arial" w:hAnsi="Arial" w:cs="Arial"/>
                <w:b/>
                <w:sz w:val="22"/>
                <w:szCs w:val="22"/>
              </w:rPr>
            </w:pPr>
          </w:p>
        </w:tc>
        <w:tc>
          <w:tcPr>
            <w:tcW w:w="4405" w:type="dxa"/>
          </w:tcPr>
          <w:p w14:paraId="4854BBCA"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5C535CB3" wp14:editId="05181EF1">
                  <wp:extent cx="2048827" cy="1246795"/>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2048827" cy="1246795"/>
                          </a:xfrm>
                          <a:prstGeom prst="rect">
                            <a:avLst/>
                          </a:prstGeom>
                          <a:ln/>
                        </pic:spPr>
                      </pic:pic>
                    </a:graphicData>
                  </a:graphic>
                </wp:inline>
              </w:drawing>
            </w:r>
          </w:p>
          <w:p w14:paraId="75B51DA7" w14:textId="77777777" w:rsidR="00A026A8" w:rsidRDefault="00301297">
            <w:pPr>
              <w:spacing w:after="0"/>
              <w:jc w:val="center"/>
              <w:rPr>
                <w:rFonts w:ascii="Times New Roman" w:eastAsia="Times New Roman" w:hAnsi="Times New Roman"/>
                <w:b/>
                <w:sz w:val="24"/>
                <w:szCs w:val="24"/>
              </w:rPr>
            </w:pPr>
            <w:r>
              <w:rPr>
                <w:rFonts w:ascii="Times New Roman" w:eastAsia="Times New Roman" w:hAnsi="Times New Roman"/>
                <w:b/>
                <w:sz w:val="24"/>
                <w:szCs w:val="24"/>
              </w:rPr>
              <w:t>José Jaime Uscátegui Pastrana</w:t>
            </w:r>
          </w:p>
          <w:p w14:paraId="403F97BD"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sz w:val="24"/>
                <w:szCs w:val="24"/>
              </w:rPr>
              <w:t>Representante a la Cámara por Bogotá D.C. Centro Democrático</w:t>
            </w:r>
          </w:p>
        </w:tc>
      </w:tr>
      <w:tr w:rsidR="00A026A8" w14:paraId="5088F40C" w14:textId="77777777" w:rsidTr="009D1626">
        <w:trPr>
          <w:trHeight w:val="3226"/>
        </w:trPr>
        <w:tc>
          <w:tcPr>
            <w:tcW w:w="4408" w:type="dxa"/>
          </w:tcPr>
          <w:p w14:paraId="2236947C" w14:textId="77777777" w:rsidR="00A026A8" w:rsidRDefault="00A026A8">
            <w:pPr>
              <w:spacing w:after="0"/>
              <w:rPr>
                <w:rFonts w:ascii="Times New Roman" w:eastAsia="Times New Roman" w:hAnsi="Times New Roman"/>
                <w:sz w:val="24"/>
                <w:szCs w:val="24"/>
              </w:rPr>
            </w:pPr>
          </w:p>
          <w:p w14:paraId="22EB2840"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noProof/>
                <w:sz w:val="24"/>
                <w:szCs w:val="24"/>
              </w:rPr>
              <w:drawing>
                <wp:inline distT="114300" distB="114300" distL="114300" distR="114300" wp14:anchorId="0967A3D9" wp14:editId="68057A52">
                  <wp:extent cx="1982153" cy="1118957"/>
                  <wp:effectExtent l="0" t="0" r="0" b="0"/>
                  <wp:docPr id="1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1982153" cy="1118957"/>
                          </a:xfrm>
                          <a:prstGeom prst="rect">
                            <a:avLst/>
                          </a:prstGeom>
                          <a:ln/>
                        </pic:spPr>
                      </pic:pic>
                    </a:graphicData>
                  </a:graphic>
                </wp:inline>
              </w:drawing>
            </w:r>
          </w:p>
          <w:p w14:paraId="3273D281"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b/>
                <w:sz w:val="24"/>
                <w:szCs w:val="24"/>
              </w:rPr>
              <w:t>Josue Alirio Barrera Rodríguez</w:t>
            </w:r>
            <w:r>
              <w:rPr>
                <w:rFonts w:ascii="Times New Roman" w:eastAsia="Times New Roman" w:hAnsi="Times New Roman"/>
                <w:sz w:val="24"/>
                <w:szCs w:val="24"/>
              </w:rPr>
              <w:t xml:space="preserve"> </w:t>
            </w:r>
          </w:p>
          <w:p w14:paraId="205F5BA2"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 xml:space="preserve">Senador de la República </w:t>
            </w:r>
          </w:p>
        </w:tc>
        <w:tc>
          <w:tcPr>
            <w:tcW w:w="4405" w:type="dxa"/>
          </w:tcPr>
          <w:p w14:paraId="054B153F" w14:textId="77777777" w:rsidR="00A026A8" w:rsidRDefault="00A026A8">
            <w:pPr>
              <w:spacing w:after="0"/>
              <w:rPr>
                <w:rFonts w:ascii="Times New Roman" w:eastAsia="Times New Roman" w:hAnsi="Times New Roman"/>
                <w:sz w:val="24"/>
                <w:szCs w:val="24"/>
              </w:rPr>
            </w:pPr>
          </w:p>
          <w:p w14:paraId="2C7AB8A0" w14:textId="77777777" w:rsidR="00A026A8" w:rsidRDefault="00A026A8">
            <w:pPr>
              <w:spacing w:after="0"/>
              <w:jc w:val="center"/>
              <w:rPr>
                <w:rFonts w:ascii="Times New Roman" w:eastAsia="Times New Roman" w:hAnsi="Times New Roman"/>
                <w:sz w:val="24"/>
                <w:szCs w:val="24"/>
              </w:rPr>
            </w:pPr>
          </w:p>
          <w:p w14:paraId="7B09A870" w14:textId="77777777" w:rsidR="00A026A8" w:rsidRDefault="00A026A8">
            <w:pPr>
              <w:spacing w:after="0"/>
              <w:jc w:val="center"/>
              <w:rPr>
                <w:rFonts w:ascii="Times New Roman" w:eastAsia="Times New Roman" w:hAnsi="Times New Roman"/>
                <w:sz w:val="24"/>
                <w:szCs w:val="24"/>
              </w:rPr>
            </w:pPr>
          </w:p>
          <w:p w14:paraId="3C8FDA7B"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3532885C" wp14:editId="6EA612D3">
                  <wp:extent cx="2229802" cy="1102184"/>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2229802" cy="1102184"/>
                          </a:xfrm>
                          <a:prstGeom prst="rect">
                            <a:avLst/>
                          </a:prstGeom>
                          <a:ln/>
                        </pic:spPr>
                      </pic:pic>
                    </a:graphicData>
                  </a:graphic>
                </wp:inline>
              </w:drawing>
            </w:r>
          </w:p>
          <w:p w14:paraId="75BD7C05"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 xml:space="preserve">JUAN ESPINAL </w:t>
            </w:r>
          </w:p>
          <w:p w14:paraId="014BB5C5"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Representante a la Cámara</w:t>
            </w:r>
          </w:p>
        </w:tc>
      </w:tr>
      <w:tr w:rsidR="00A026A8" w14:paraId="01713392" w14:textId="77777777" w:rsidTr="009D1626">
        <w:trPr>
          <w:trHeight w:val="260"/>
        </w:trPr>
        <w:tc>
          <w:tcPr>
            <w:tcW w:w="4408" w:type="dxa"/>
          </w:tcPr>
          <w:p w14:paraId="31075404"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742D2DF2" wp14:editId="0448A284">
                  <wp:extent cx="2667000" cy="914400"/>
                  <wp:effectExtent l="0" t="0" r="0" b="0"/>
                  <wp:docPr id="1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4"/>
                          <a:srcRect/>
                          <a:stretch>
                            <a:fillRect/>
                          </a:stretch>
                        </pic:blipFill>
                        <pic:spPr>
                          <a:xfrm>
                            <a:off x="0" y="0"/>
                            <a:ext cx="2667000" cy="914400"/>
                          </a:xfrm>
                          <a:prstGeom prst="rect">
                            <a:avLst/>
                          </a:prstGeom>
                          <a:ln/>
                        </pic:spPr>
                      </pic:pic>
                    </a:graphicData>
                  </a:graphic>
                </wp:inline>
              </w:drawing>
            </w:r>
          </w:p>
          <w:p w14:paraId="012EF2BA" w14:textId="77777777" w:rsidR="00A026A8" w:rsidRDefault="00A026A8">
            <w:pPr>
              <w:spacing w:after="0"/>
              <w:rPr>
                <w:rFonts w:ascii="Times New Roman" w:eastAsia="Times New Roman" w:hAnsi="Times New Roman"/>
                <w:sz w:val="24"/>
                <w:szCs w:val="24"/>
              </w:rPr>
            </w:pPr>
          </w:p>
        </w:tc>
        <w:tc>
          <w:tcPr>
            <w:tcW w:w="4405" w:type="dxa"/>
          </w:tcPr>
          <w:p w14:paraId="012271D0"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noProof/>
                <w:sz w:val="24"/>
                <w:szCs w:val="24"/>
              </w:rPr>
              <w:drawing>
                <wp:inline distT="114300" distB="114300" distL="114300" distR="114300" wp14:anchorId="718F5055" wp14:editId="2209B76E">
                  <wp:extent cx="2667000" cy="1143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2667000" cy="1143000"/>
                          </a:xfrm>
                          <a:prstGeom prst="rect">
                            <a:avLst/>
                          </a:prstGeom>
                          <a:ln/>
                        </pic:spPr>
                      </pic:pic>
                    </a:graphicData>
                  </a:graphic>
                </wp:inline>
              </w:drawing>
            </w:r>
          </w:p>
          <w:p w14:paraId="2174DA6F"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ESTEBAN QUINTERO CARDONA</w:t>
            </w:r>
          </w:p>
          <w:p w14:paraId="1AEC9733"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Senador de la República</w:t>
            </w:r>
          </w:p>
        </w:tc>
      </w:tr>
      <w:tr w:rsidR="00A026A8" w14:paraId="7CDD5F8C" w14:textId="77777777" w:rsidTr="009D1626">
        <w:trPr>
          <w:trHeight w:val="305"/>
        </w:trPr>
        <w:tc>
          <w:tcPr>
            <w:tcW w:w="4408" w:type="dxa"/>
          </w:tcPr>
          <w:p w14:paraId="6ED40E10"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noProof/>
                <w:sz w:val="24"/>
                <w:szCs w:val="24"/>
              </w:rPr>
              <w:lastRenderedPageBreak/>
              <w:drawing>
                <wp:inline distT="114300" distB="114300" distL="114300" distR="114300" wp14:anchorId="69CEB5D3" wp14:editId="3A2248B4">
                  <wp:extent cx="1809750" cy="1485900"/>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6"/>
                          <a:srcRect/>
                          <a:stretch>
                            <a:fillRect/>
                          </a:stretch>
                        </pic:blipFill>
                        <pic:spPr>
                          <a:xfrm>
                            <a:off x="0" y="0"/>
                            <a:ext cx="1809750" cy="1485900"/>
                          </a:xfrm>
                          <a:prstGeom prst="rect">
                            <a:avLst/>
                          </a:prstGeom>
                          <a:ln/>
                        </pic:spPr>
                      </pic:pic>
                    </a:graphicData>
                  </a:graphic>
                </wp:inline>
              </w:drawing>
            </w:r>
          </w:p>
          <w:p w14:paraId="582C6FD7" w14:textId="77777777" w:rsidR="00A026A8" w:rsidRDefault="00301297">
            <w:pPr>
              <w:spacing w:after="0"/>
              <w:rPr>
                <w:rFonts w:ascii="Times New Roman" w:eastAsia="Times New Roman" w:hAnsi="Times New Roman"/>
                <w:b/>
                <w:sz w:val="24"/>
                <w:szCs w:val="24"/>
              </w:rPr>
            </w:pPr>
            <w:r>
              <w:rPr>
                <w:rFonts w:ascii="Times New Roman" w:eastAsia="Times New Roman" w:hAnsi="Times New Roman"/>
                <w:b/>
                <w:sz w:val="24"/>
                <w:szCs w:val="24"/>
              </w:rPr>
              <w:t>Oscar Leonardo Villamizar Meneses</w:t>
            </w:r>
          </w:p>
          <w:p w14:paraId="3BCB67A4" w14:textId="77777777" w:rsidR="00A026A8" w:rsidRDefault="00301297">
            <w:pPr>
              <w:spacing w:after="0"/>
              <w:rPr>
                <w:rFonts w:ascii="Times New Roman" w:eastAsia="Times New Roman" w:hAnsi="Times New Roman"/>
                <w:sz w:val="24"/>
                <w:szCs w:val="24"/>
              </w:rPr>
            </w:pPr>
            <w:r>
              <w:rPr>
                <w:rFonts w:ascii="Times New Roman" w:eastAsia="Times New Roman" w:hAnsi="Times New Roman"/>
                <w:sz w:val="24"/>
                <w:szCs w:val="24"/>
              </w:rPr>
              <w:t>Representante a la Cámara</w:t>
            </w:r>
          </w:p>
        </w:tc>
        <w:tc>
          <w:tcPr>
            <w:tcW w:w="4405" w:type="dxa"/>
          </w:tcPr>
          <w:p w14:paraId="0553E4EF" w14:textId="44832828" w:rsidR="00A026A8" w:rsidRDefault="00A026A8">
            <w:pPr>
              <w:spacing w:after="0"/>
              <w:rPr>
                <w:rFonts w:ascii="Times New Roman" w:eastAsia="Times New Roman" w:hAnsi="Times New Roman"/>
                <w:sz w:val="24"/>
                <w:szCs w:val="24"/>
              </w:rPr>
            </w:pPr>
          </w:p>
          <w:p w14:paraId="3F409770" w14:textId="745A1722" w:rsidR="009D1626" w:rsidRDefault="009D1626">
            <w:pPr>
              <w:spacing w:after="0"/>
              <w:jc w:val="center"/>
              <w:rPr>
                <w:rFonts w:ascii="Times New Roman" w:eastAsia="Times New Roman" w:hAnsi="Times New Roman"/>
                <w:b/>
                <w:sz w:val="24"/>
                <w:szCs w:val="24"/>
              </w:rPr>
            </w:pPr>
          </w:p>
          <w:p w14:paraId="59C9DC41" w14:textId="76A85414" w:rsidR="009D1626" w:rsidRDefault="009D1626">
            <w:pPr>
              <w:spacing w:after="0"/>
              <w:jc w:val="center"/>
              <w:rPr>
                <w:rFonts w:ascii="Times New Roman" w:eastAsia="Times New Roman" w:hAnsi="Times New Roman"/>
                <w:b/>
                <w:sz w:val="24"/>
                <w:szCs w:val="24"/>
              </w:rPr>
            </w:pPr>
            <w:r>
              <w:rPr>
                <w:rFonts w:ascii="Times New Roman" w:eastAsia="Times New Roman" w:hAnsi="Times New Roman"/>
                <w:noProof/>
                <w:sz w:val="24"/>
                <w:szCs w:val="24"/>
              </w:rPr>
              <w:drawing>
                <wp:anchor distT="0" distB="0" distL="114300" distR="114300" simplePos="0" relativeHeight="251660288" behindDoc="0" locked="0" layoutInCell="1" allowOverlap="1" wp14:anchorId="504BEE31" wp14:editId="2C6B94E2">
                  <wp:simplePos x="0" y="0"/>
                  <wp:positionH relativeFrom="column">
                    <wp:posOffset>-4445</wp:posOffset>
                  </wp:positionH>
                  <wp:positionV relativeFrom="paragraph">
                    <wp:posOffset>49530</wp:posOffset>
                  </wp:positionV>
                  <wp:extent cx="2563178" cy="847725"/>
                  <wp:effectExtent l="0" t="0" r="8890" b="0"/>
                  <wp:wrapThrough wrapText="bothSides">
                    <wp:wrapPolygon edited="0">
                      <wp:start x="2248" y="0"/>
                      <wp:lineTo x="1606" y="8737"/>
                      <wp:lineTo x="1445" y="11649"/>
                      <wp:lineTo x="1445" y="18445"/>
                      <wp:lineTo x="1927" y="20872"/>
                      <wp:lineTo x="2729" y="20872"/>
                      <wp:lineTo x="15092" y="20387"/>
                      <wp:lineTo x="20390" y="19416"/>
                      <wp:lineTo x="20230" y="16503"/>
                      <wp:lineTo x="21514" y="13106"/>
                      <wp:lineTo x="21514" y="12135"/>
                      <wp:lineTo x="21354" y="4854"/>
                      <wp:lineTo x="15574" y="2427"/>
                      <wp:lineTo x="3211" y="0"/>
                      <wp:lineTo x="2248" y="0"/>
                    </wp:wrapPolygon>
                  </wp:wrapThrough>
                  <wp:docPr id="5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7">
                            <a:extLst>
                              <a:ext uri="{28A0092B-C50C-407E-A947-70E740481C1C}">
                                <a14:useLocalDpi xmlns:a14="http://schemas.microsoft.com/office/drawing/2010/main" val="0"/>
                              </a:ext>
                            </a:extLst>
                          </a:blip>
                          <a:srcRect/>
                          <a:stretch>
                            <a:fillRect/>
                          </a:stretch>
                        </pic:blipFill>
                        <pic:spPr>
                          <a:xfrm>
                            <a:off x="0" y="0"/>
                            <a:ext cx="2563178" cy="847725"/>
                          </a:xfrm>
                          <a:prstGeom prst="rect">
                            <a:avLst/>
                          </a:prstGeom>
                          <a:ln/>
                        </pic:spPr>
                      </pic:pic>
                    </a:graphicData>
                  </a:graphic>
                </wp:anchor>
              </w:drawing>
            </w:r>
          </w:p>
          <w:p w14:paraId="7E825CF1" w14:textId="2BFE6733" w:rsidR="00A026A8" w:rsidRDefault="00301297">
            <w:pPr>
              <w:spacing w:after="0"/>
              <w:jc w:val="center"/>
              <w:rPr>
                <w:rFonts w:ascii="Times New Roman" w:eastAsia="Times New Roman" w:hAnsi="Times New Roman"/>
                <w:b/>
                <w:sz w:val="24"/>
                <w:szCs w:val="24"/>
              </w:rPr>
            </w:pPr>
            <w:r>
              <w:rPr>
                <w:rFonts w:ascii="Times New Roman" w:eastAsia="Times New Roman" w:hAnsi="Times New Roman"/>
                <w:b/>
                <w:sz w:val="24"/>
                <w:szCs w:val="24"/>
              </w:rPr>
              <w:t>HONORIO MIGUEL HENRÍQUEZ PINEDO</w:t>
            </w:r>
          </w:p>
          <w:p w14:paraId="6A348BA0" w14:textId="77777777" w:rsidR="00A026A8" w:rsidRDefault="00301297">
            <w:pPr>
              <w:spacing w:after="0"/>
              <w:jc w:val="center"/>
              <w:rPr>
                <w:rFonts w:ascii="Times New Roman" w:eastAsia="Times New Roman" w:hAnsi="Times New Roman"/>
                <w:sz w:val="24"/>
                <w:szCs w:val="24"/>
              </w:rPr>
            </w:pPr>
            <w:r>
              <w:rPr>
                <w:rFonts w:ascii="Times New Roman" w:eastAsia="Times New Roman" w:hAnsi="Times New Roman"/>
                <w:sz w:val="24"/>
                <w:szCs w:val="24"/>
              </w:rPr>
              <w:t>Senador de la República</w:t>
            </w:r>
          </w:p>
        </w:tc>
      </w:tr>
      <w:tr w:rsidR="00A026A8" w14:paraId="4F00343B" w14:textId="77777777" w:rsidTr="009D1626">
        <w:trPr>
          <w:trHeight w:val="290"/>
        </w:trPr>
        <w:tc>
          <w:tcPr>
            <w:tcW w:w="4408" w:type="dxa"/>
          </w:tcPr>
          <w:p w14:paraId="53A789AD" w14:textId="77777777" w:rsidR="00A026A8" w:rsidRDefault="00A026A8">
            <w:pPr>
              <w:spacing w:after="0"/>
              <w:rPr>
                <w:rFonts w:ascii="Times New Roman" w:eastAsia="Times New Roman" w:hAnsi="Times New Roman"/>
                <w:sz w:val="24"/>
                <w:szCs w:val="24"/>
              </w:rPr>
            </w:pPr>
          </w:p>
        </w:tc>
        <w:tc>
          <w:tcPr>
            <w:tcW w:w="4405" w:type="dxa"/>
          </w:tcPr>
          <w:p w14:paraId="5D598996" w14:textId="77777777" w:rsidR="00A026A8" w:rsidRDefault="00A026A8">
            <w:pPr>
              <w:spacing w:after="0"/>
              <w:rPr>
                <w:rFonts w:ascii="Times New Roman" w:eastAsia="Times New Roman" w:hAnsi="Times New Roman"/>
                <w:sz w:val="24"/>
                <w:szCs w:val="24"/>
              </w:rPr>
            </w:pPr>
          </w:p>
        </w:tc>
      </w:tr>
      <w:tr w:rsidR="00A026A8" w14:paraId="720B9B0D" w14:textId="77777777" w:rsidTr="009D1626">
        <w:trPr>
          <w:trHeight w:val="305"/>
        </w:trPr>
        <w:tc>
          <w:tcPr>
            <w:tcW w:w="4408" w:type="dxa"/>
          </w:tcPr>
          <w:p w14:paraId="55E0951F" w14:textId="77777777" w:rsidR="00A026A8" w:rsidRDefault="00A026A8">
            <w:pPr>
              <w:spacing w:after="0"/>
              <w:rPr>
                <w:rFonts w:ascii="Times New Roman" w:eastAsia="Times New Roman" w:hAnsi="Times New Roman"/>
                <w:sz w:val="24"/>
                <w:szCs w:val="24"/>
              </w:rPr>
            </w:pPr>
          </w:p>
        </w:tc>
        <w:tc>
          <w:tcPr>
            <w:tcW w:w="4405" w:type="dxa"/>
          </w:tcPr>
          <w:p w14:paraId="23C5B05D" w14:textId="77777777" w:rsidR="00A026A8" w:rsidRDefault="00A026A8">
            <w:pPr>
              <w:spacing w:after="0"/>
              <w:rPr>
                <w:rFonts w:ascii="Times New Roman" w:eastAsia="Times New Roman" w:hAnsi="Times New Roman"/>
                <w:sz w:val="24"/>
                <w:szCs w:val="24"/>
              </w:rPr>
            </w:pPr>
          </w:p>
        </w:tc>
      </w:tr>
      <w:tr w:rsidR="00A026A8" w14:paraId="76B2C8BC" w14:textId="77777777" w:rsidTr="009D1626">
        <w:tc>
          <w:tcPr>
            <w:tcW w:w="4408" w:type="dxa"/>
          </w:tcPr>
          <w:p w14:paraId="42483590" w14:textId="77777777" w:rsidR="00A026A8" w:rsidRDefault="00A026A8">
            <w:pPr>
              <w:spacing w:after="0"/>
              <w:rPr>
                <w:rFonts w:ascii="Times New Roman" w:eastAsia="Times New Roman" w:hAnsi="Times New Roman"/>
                <w:sz w:val="24"/>
                <w:szCs w:val="24"/>
              </w:rPr>
            </w:pPr>
          </w:p>
        </w:tc>
        <w:tc>
          <w:tcPr>
            <w:tcW w:w="4405" w:type="dxa"/>
          </w:tcPr>
          <w:p w14:paraId="673BA842" w14:textId="77777777" w:rsidR="00A026A8" w:rsidRDefault="00A026A8">
            <w:pPr>
              <w:spacing w:after="0"/>
              <w:rPr>
                <w:rFonts w:ascii="Times New Roman" w:eastAsia="Times New Roman" w:hAnsi="Times New Roman"/>
                <w:sz w:val="24"/>
                <w:szCs w:val="24"/>
              </w:rPr>
            </w:pPr>
          </w:p>
        </w:tc>
      </w:tr>
      <w:tr w:rsidR="00A026A8" w14:paraId="2A1C7876" w14:textId="77777777" w:rsidTr="009D1626">
        <w:tc>
          <w:tcPr>
            <w:tcW w:w="4408" w:type="dxa"/>
          </w:tcPr>
          <w:p w14:paraId="43CBCF8E" w14:textId="77777777" w:rsidR="00A026A8" w:rsidRDefault="00A026A8">
            <w:pPr>
              <w:spacing w:after="0"/>
              <w:rPr>
                <w:rFonts w:ascii="Times New Roman" w:eastAsia="Times New Roman" w:hAnsi="Times New Roman"/>
                <w:sz w:val="24"/>
                <w:szCs w:val="24"/>
              </w:rPr>
            </w:pPr>
          </w:p>
        </w:tc>
        <w:tc>
          <w:tcPr>
            <w:tcW w:w="4405" w:type="dxa"/>
          </w:tcPr>
          <w:p w14:paraId="7CE64CC7" w14:textId="77777777" w:rsidR="00A026A8" w:rsidRDefault="00A026A8">
            <w:pPr>
              <w:spacing w:after="0"/>
              <w:rPr>
                <w:rFonts w:ascii="Times New Roman" w:eastAsia="Times New Roman" w:hAnsi="Times New Roman"/>
                <w:sz w:val="24"/>
                <w:szCs w:val="24"/>
              </w:rPr>
            </w:pPr>
          </w:p>
        </w:tc>
      </w:tr>
    </w:tbl>
    <w:p w14:paraId="21461E9C" w14:textId="77777777" w:rsidR="00A026A8" w:rsidRDefault="00A026A8">
      <w:pPr>
        <w:widowControl w:val="0"/>
        <w:spacing w:after="0" w:line="240" w:lineRule="auto"/>
        <w:ind w:left="15"/>
        <w:rPr>
          <w:rFonts w:ascii="Times New Roman" w:eastAsia="Times New Roman" w:hAnsi="Times New Roman"/>
          <w:sz w:val="24"/>
          <w:szCs w:val="24"/>
        </w:rPr>
      </w:pPr>
    </w:p>
    <w:p w14:paraId="1A11150D" w14:textId="77777777" w:rsidR="00A026A8" w:rsidRDefault="00A026A8">
      <w:pPr>
        <w:widowControl w:val="0"/>
        <w:spacing w:after="0" w:line="240" w:lineRule="auto"/>
        <w:rPr>
          <w:rFonts w:ascii="Times New Roman" w:eastAsia="Times New Roman" w:hAnsi="Times New Roman"/>
          <w:sz w:val="24"/>
          <w:szCs w:val="24"/>
        </w:rPr>
      </w:pPr>
    </w:p>
    <w:p w14:paraId="1C61470D" w14:textId="77777777" w:rsidR="00A026A8" w:rsidRDefault="00A026A8">
      <w:pPr>
        <w:spacing w:line="240" w:lineRule="auto"/>
        <w:ind w:right="-93"/>
        <w:jc w:val="both"/>
        <w:rPr>
          <w:rFonts w:ascii="Times New Roman" w:eastAsia="Times New Roman" w:hAnsi="Times New Roman"/>
          <w:sz w:val="24"/>
          <w:szCs w:val="24"/>
        </w:rPr>
      </w:pPr>
    </w:p>
    <w:p w14:paraId="5AEF8175" w14:textId="77777777" w:rsidR="00A026A8" w:rsidRDefault="00A026A8">
      <w:pPr>
        <w:spacing w:line="240" w:lineRule="auto"/>
        <w:ind w:right="-93"/>
        <w:rPr>
          <w:rFonts w:ascii="Times New Roman" w:eastAsia="Times New Roman" w:hAnsi="Times New Roman"/>
          <w:sz w:val="24"/>
          <w:szCs w:val="24"/>
        </w:rPr>
      </w:pPr>
    </w:p>
    <w:p w14:paraId="31464723" w14:textId="77777777" w:rsidR="00A026A8" w:rsidRDefault="00A026A8">
      <w:pPr>
        <w:pStyle w:val="Ttulo1"/>
        <w:tabs>
          <w:tab w:val="left" w:pos="3311"/>
        </w:tabs>
        <w:spacing w:before="90"/>
        <w:ind w:left="0"/>
        <w:jc w:val="left"/>
      </w:pPr>
    </w:p>
    <w:p w14:paraId="7023D730" w14:textId="77777777" w:rsidR="00A026A8" w:rsidRDefault="00A026A8">
      <w:pPr>
        <w:pStyle w:val="Ttulo1"/>
        <w:tabs>
          <w:tab w:val="left" w:pos="3311"/>
        </w:tabs>
        <w:spacing w:before="90"/>
        <w:ind w:left="0"/>
        <w:jc w:val="left"/>
      </w:pPr>
    </w:p>
    <w:p w14:paraId="2A034599" w14:textId="77777777" w:rsidR="00A026A8" w:rsidRDefault="00A026A8">
      <w:pPr>
        <w:pStyle w:val="Ttulo1"/>
        <w:tabs>
          <w:tab w:val="left" w:pos="3311"/>
        </w:tabs>
        <w:spacing w:before="90"/>
        <w:ind w:left="0"/>
        <w:jc w:val="left"/>
      </w:pPr>
      <w:bookmarkStart w:id="5" w:name="_heading=h.ko4rn0e0cw61" w:colFirst="0" w:colLast="0"/>
      <w:bookmarkEnd w:id="5"/>
    </w:p>
    <w:p w14:paraId="5A91CD7B" w14:textId="77777777" w:rsidR="00A026A8" w:rsidRDefault="00A026A8">
      <w:pPr>
        <w:rPr>
          <w:rFonts w:ascii="Times New Roman" w:eastAsia="Times New Roman" w:hAnsi="Times New Roman"/>
          <w:sz w:val="24"/>
          <w:szCs w:val="24"/>
        </w:rPr>
      </w:pPr>
    </w:p>
    <w:sectPr w:rsidR="00A026A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349B3" w14:textId="77777777" w:rsidR="00301297" w:rsidRDefault="00301297">
      <w:pPr>
        <w:spacing w:after="0" w:line="240" w:lineRule="auto"/>
      </w:pPr>
      <w:r>
        <w:separator/>
      </w:r>
    </w:p>
  </w:endnote>
  <w:endnote w:type="continuationSeparator" w:id="0">
    <w:p w14:paraId="32673E6C" w14:textId="77777777" w:rsidR="00301297" w:rsidRDefault="0030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F47DE" w14:textId="77777777" w:rsidR="00301297" w:rsidRDefault="00301297">
      <w:pPr>
        <w:spacing w:after="0" w:line="240" w:lineRule="auto"/>
      </w:pPr>
      <w:r>
        <w:separator/>
      </w:r>
    </w:p>
  </w:footnote>
  <w:footnote w:type="continuationSeparator" w:id="0">
    <w:p w14:paraId="4516E23F" w14:textId="77777777" w:rsidR="00301297" w:rsidRDefault="00301297">
      <w:pPr>
        <w:spacing w:after="0" w:line="240" w:lineRule="auto"/>
      </w:pPr>
      <w:r>
        <w:continuationSeparator/>
      </w:r>
    </w:p>
  </w:footnote>
  <w:footnote w:id="1">
    <w:p w14:paraId="7F1E5882" w14:textId="77777777" w:rsidR="00A026A8" w:rsidRDefault="00301297">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olor w:val="2D2D2D"/>
          <w:sz w:val="20"/>
          <w:szCs w:val="20"/>
          <w:highlight w:val="white"/>
        </w:rPr>
        <w:t>Sentencia T-719 de 2003. M.P. Manuel José Cepeda Espinosa. Estas obligaciones fueron reiteradas en las sentencias T-750 de 2011. M.P. Luis Ernesto Vargas Silva; T-411 de 2018. M.P.</w:t>
      </w:r>
      <w:r>
        <w:rPr>
          <w:rFonts w:ascii="Times New Roman" w:eastAsia="Times New Roman" w:hAnsi="Times New Roman"/>
          <w:color w:val="2D2D2D"/>
          <w:sz w:val="20"/>
          <w:szCs w:val="20"/>
          <w:highlight w:val="white"/>
        </w:rPr>
        <w:t xml:space="preserve"> Carlos Bernal Pulido, T-199 de 2019. M.P. Gloria Stella Ortiz Delgado; y T-388 de 2019. M.P. Diana Fajardo Rivera.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3B75"/>
    <w:multiLevelType w:val="multilevel"/>
    <w:tmpl w:val="7B0E3272"/>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652674"/>
    <w:multiLevelType w:val="multilevel"/>
    <w:tmpl w:val="E3DC050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1F77E7"/>
    <w:multiLevelType w:val="multilevel"/>
    <w:tmpl w:val="57A6D0F4"/>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C5A71F9"/>
    <w:multiLevelType w:val="multilevel"/>
    <w:tmpl w:val="400455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D0937"/>
    <w:multiLevelType w:val="multilevel"/>
    <w:tmpl w:val="71EA92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EB5C1A"/>
    <w:multiLevelType w:val="multilevel"/>
    <w:tmpl w:val="18FCEEF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3971EA5"/>
    <w:multiLevelType w:val="multilevel"/>
    <w:tmpl w:val="A23A2C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EB76E2"/>
    <w:multiLevelType w:val="multilevel"/>
    <w:tmpl w:val="3408927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44A348F"/>
    <w:multiLevelType w:val="multilevel"/>
    <w:tmpl w:val="42680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622731"/>
    <w:multiLevelType w:val="multilevel"/>
    <w:tmpl w:val="66DCA580"/>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357212A6"/>
    <w:multiLevelType w:val="multilevel"/>
    <w:tmpl w:val="5BBE1AE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57E5919"/>
    <w:multiLevelType w:val="multilevel"/>
    <w:tmpl w:val="B8F6457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79E7267"/>
    <w:multiLevelType w:val="multilevel"/>
    <w:tmpl w:val="5616E2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4152C6"/>
    <w:multiLevelType w:val="multilevel"/>
    <w:tmpl w:val="54500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5A029C"/>
    <w:multiLevelType w:val="multilevel"/>
    <w:tmpl w:val="97FC1B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0E6518A"/>
    <w:multiLevelType w:val="multilevel"/>
    <w:tmpl w:val="C2722C8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CA7F94"/>
    <w:multiLevelType w:val="multilevel"/>
    <w:tmpl w:val="57FCD714"/>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A607020"/>
    <w:multiLevelType w:val="multilevel"/>
    <w:tmpl w:val="94B6A1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685590A"/>
    <w:multiLevelType w:val="multilevel"/>
    <w:tmpl w:val="507E5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F3758F"/>
    <w:multiLevelType w:val="multilevel"/>
    <w:tmpl w:val="798A03A6"/>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968070F"/>
    <w:multiLevelType w:val="multilevel"/>
    <w:tmpl w:val="E3C24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016734"/>
    <w:multiLevelType w:val="multilevel"/>
    <w:tmpl w:val="020CD9A4"/>
    <w:lvl w:ilvl="0">
      <w:start w:val="1"/>
      <w:numFmt w:val="decimal"/>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15:restartNumberingAfterBreak="0">
    <w:nsid w:val="75465B33"/>
    <w:multiLevelType w:val="multilevel"/>
    <w:tmpl w:val="128CC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6"/>
  </w:num>
  <w:num w:numId="3">
    <w:abstractNumId w:val="10"/>
  </w:num>
  <w:num w:numId="4">
    <w:abstractNumId w:val="9"/>
  </w:num>
  <w:num w:numId="5">
    <w:abstractNumId w:val="19"/>
  </w:num>
  <w:num w:numId="6">
    <w:abstractNumId w:val="17"/>
  </w:num>
  <w:num w:numId="7">
    <w:abstractNumId w:val="13"/>
  </w:num>
  <w:num w:numId="8">
    <w:abstractNumId w:val="8"/>
  </w:num>
  <w:num w:numId="9">
    <w:abstractNumId w:val="5"/>
  </w:num>
  <w:num w:numId="10">
    <w:abstractNumId w:val="0"/>
  </w:num>
  <w:num w:numId="11">
    <w:abstractNumId w:val="7"/>
  </w:num>
  <w:num w:numId="12">
    <w:abstractNumId w:val="3"/>
  </w:num>
  <w:num w:numId="13">
    <w:abstractNumId w:val="4"/>
  </w:num>
  <w:num w:numId="14">
    <w:abstractNumId w:val="12"/>
  </w:num>
  <w:num w:numId="15">
    <w:abstractNumId w:val="6"/>
  </w:num>
  <w:num w:numId="16">
    <w:abstractNumId w:val="18"/>
  </w:num>
  <w:num w:numId="17">
    <w:abstractNumId w:val="14"/>
  </w:num>
  <w:num w:numId="18">
    <w:abstractNumId w:val="1"/>
  </w:num>
  <w:num w:numId="19">
    <w:abstractNumId w:val="21"/>
  </w:num>
  <w:num w:numId="20">
    <w:abstractNumId w:val="15"/>
  </w:num>
  <w:num w:numId="21">
    <w:abstractNumId w:val="20"/>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A8"/>
    <w:rsid w:val="00301297"/>
    <w:rsid w:val="005436AD"/>
    <w:rsid w:val="008F1CF0"/>
    <w:rsid w:val="009D1626"/>
    <w:rsid w:val="00A026A8"/>
    <w:rsid w:val="00B744E5"/>
    <w:rsid w:val="00F34D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FCBE"/>
  <w15:docId w15:val="{BF837FCC-A930-44E4-878D-AF886F3C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25"/>
    <w:rPr>
      <w:rFonts w:cs="Times New Roman"/>
    </w:rPr>
  </w:style>
  <w:style w:type="paragraph" w:styleId="Ttulo1">
    <w:name w:val="heading 1"/>
    <w:basedOn w:val="Normal"/>
    <w:link w:val="Ttulo1Car"/>
    <w:uiPriority w:val="9"/>
    <w:qFormat/>
    <w:rsid w:val="004E4125"/>
    <w:pPr>
      <w:widowControl w:val="0"/>
      <w:autoSpaceDE w:val="0"/>
      <w:autoSpaceDN w:val="0"/>
      <w:spacing w:after="0" w:line="240" w:lineRule="auto"/>
      <w:ind w:left="15"/>
      <w:jc w:val="center"/>
      <w:outlineLvl w:val="0"/>
    </w:pPr>
    <w:rPr>
      <w:rFonts w:ascii="Times New Roman" w:eastAsia="Times New Roman" w:hAnsi="Times New Roman"/>
      <w:b/>
      <w:bCs/>
      <w:sz w:val="24"/>
      <w:szCs w:val="24"/>
      <w:lang w:val="es-ES"/>
    </w:rPr>
  </w:style>
  <w:style w:type="paragraph" w:styleId="Ttulo2">
    <w:name w:val="heading 2"/>
    <w:basedOn w:val="Normal"/>
    <w:next w:val="Normal"/>
    <w:link w:val="Ttulo2Car"/>
    <w:uiPriority w:val="9"/>
    <w:semiHidden/>
    <w:unhideWhenUsed/>
    <w:qFormat/>
    <w:rsid w:val="004E412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E4125"/>
    <w:rPr>
      <w:rFonts w:ascii="Times New Roman" w:eastAsia="Times New Roman" w:hAnsi="Times New Roman" w:cs="Times New Roman"/>
      <w:b/>
      <w:bCs/>
      <w:sz w:val="24"/>
      <w:szCs w:val="24"/>
      <w:lang w:val="es-ES"/>
    </w:rPr>
  </w:style>
  <w:style w:type="character" w:customStyle="1" w:styleId="Ttulo2Car">
    <w:name w:val="Título 2 Car"/>
    <w:basedOn w:val="Fuentedeprrafopredeter"/>
    <w:link w:val="Ttulo2"/>
    <w:uiPriority w:val="9"/>
    <w:semiHidden/>
    <w:rsid w:val="004E4125"/>
    <w:rPr>
      <w:rFonts w:ascii="Calibri Light" w:eastAsia="Times New Roman" w:hAnsi="Calibri Light" w:cs="Times New Roman"/>
      <w:b/>
      <w:bCs/>
      <w:i/>
      <w:iCs/>
      <w:sz w:val="28"/>
      <w:szCs w:val="28"/>
    </w:rPr>
  </w:style>
  <w:style w:type="character" w:styleId="Hipervnculo">
    <w:name w:val="Hyperlink"/>
    <w:uiPriority w:val="99"/>
    <w:unhideWhenUsed/>
    <w:rsid w:val="004E4125"/>
    <w:rPr>
      <w:color w:val="0000FF"/>
      <w:u w:val="single"/>
    </w:rPr>
  </w:style>
  <w:style w:type="paragraph" w:styleId="NormalWeb">
    <w:name w:val="Normal (Web)"/>
    <w:basedOn w:val="Normal"/>
    <w:uiPriority w:val="99"/>
    <w:semiHidden/>
    <w:unhideWhenUsed/>
    <w:qFormat/>
    <w:rsid w:val="004E4125"/>
    <w:pPr>
      <w:spacing w:before="100" w:beforeAutospacing="1" w:after="100" w:afterAutospacing="1" w:line="240" w:lineRule="auto"/>
    </w:pPr>
    <w:rPr>
      <w:rFonts w:ascii="Times New Roman" w:eastAsia="Times New Roman" w:hAnsi="Times New Roman"/>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Ca Car"/>
    <w:basedOn w:val="Fuentedeprrafopredeter"/>
    <w:link w:val="Textonotapie"/>
    <w:uiPriority w:val="99"/>
    <w:semiHidden/>
    <w:qFormat/>
    <w:locked/>
    <w:rsid w:val="004E4125"/>
    <w:rPr>
      <w:rFonts w:ascii="Times New Roman" w:eastAsia="Times New Roman" w:hAnsi="Times New Roman" w:cs="Times New Roman"/>
      <w:sz w:val="20"/>
      <w:szCs w:val="20"/>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Ca"/>
    <w:basedOn w:val="Normal"/>
    <w:link w:val="TextonotapieCar"/>
    <w:uiPriority w:val="99"/>
    <w:semiHidden/>
    <w:unhideWhenUsed/>
    <w:qFormat/>
    <w:rsid w:val="004E4125"/>
    <w:pPr>
      <w:spacing w:after="0" w:line="240" w:lineRule="auto"/>
    </w:pPr>
    <w:rPr>
      <w:rFonts w:ascii="Times New Roman" w:eastAsia="Times New Roman" w:hAnsi="Times New Roman"/>
      <w:sz w:val="20"/>
      <w:szCs w:val="20"/>
      <w:lang w:eastAsia="es-ES_tradnl"/>
    </w:rPr>
  </w:style>
  <w:style w:type="character" w:customStyle="1" w:styleId="TextonotapieCar1">
    <w:name w:val="Texto nota pie Car1"/>
    <w:basedOn w:val="Fuentedeprrafopredeter"/>
    <w:uiPriority w:val="99"/>
    <w:semiHidden/>
    <w:rsid w:val="004E4125"/>
    <w:rPr>
      <w:rFonts w:ascii="Calibri" w:eastAsia="Calibri" w:hAnsi="Calibri" w:cs="Times New Roman"/>
      <w:sz w:val="20"/>
      <w:szCs w:val="20"/>
    </w:rPr>
  </w:style>
  <w:style w:type="paragraph" w:styleId="Textoindependiente">
    <w:name w:val="Body Text"/>
    <w:basedOn w:val="Normal"/>
    <w:link w:val="TextoindependienteCar"/>
    <w:uiPriority w:val="1"/>
    <w:unhideWhenUsed/>
    <w:qFormat/>
    <w:rsid w:val="004E4125"/>
    <w:pPr>
      <w:widowControl w:val="0"/>
      <w:autoSpaceDE w:val="0"/>
      <w:autoSpaceDN w:val="0"/>
      <w:spacing w:after="0" w:line="240" w:lineRule="auto"/>
    </w:pPr>
    <w:rPr>
      <w:rFonts w:ascii="Times New Roman" w:eastAsia="Times New Roman" w:hAnsi="Times New Roman"/>
      <w:sz w:val="24"/>
      <w:szCs w:val="24"/>
      <w:lang w:val="es-ES"/>
    </w:rPr>
  </w:style>
  <w:style w:type="character" w:customStyle="1" w:styleId="TextoindependienteCar">
    <w:name w:val="Texto independiente Car"/>
    <w:basedOn w:val="Fuentedeprrafopredeter"/>
    <w:link w:val="Textoindependiente"/>
    <w:uiPriority w:val="1"/>
    <w:rsid w:val="004E4125"/>
    <w:rPr>
      <w:rFonts w:ascii="Times New Roman" w:eastAsia="Times New Roman" w:hAnsi="Times New Roman" w:cs="Times New Roman"/>
      <w:sz w:val="24"/>
      <w:szCs w:val="24"/>
      <w:lang w:val="es-ES"/>
    </w:rPr>
  </w:style>
  <w:style w:type="character" w:customStyle="1" w:styleId="PrrafodelistaCar">
    <w:name w:val="Párrafo de lista Car"/>
    <w:aliases w:val="No Spacing Car,Bullet Car,titulo 3 Car,Párrafo de lista1 Car,HOJA Car,Bolita Car,Párrafo de lista4 Car,BOLADEF Car,Párrafo de lista2 Car,Párrafo de lista3 Car,Párrafo de lista21 Car,BOLA Car,Nivel 1 OS Car,Colorful List Accent 1 Car"/>
    <w:link w:val="Prrafodelista"/>
    <w:uiPriority w:val="34"/>
    <w:qFormat/>
    <w:locked/>
    <w:rsid w:val="004E4125"/>
    <w:rPr>
      <w:rFonts w:ascii="Times New Roman" w:eastAsia="Times New Roman" w:hAnsi="Times New Roman" w:cs="Times New Roman"/>
      <w:lang w:val="es-ES"/>
    </w:rPr>
  </w:style>
  <w:style w:type="paragraph" w:styleId="Prrafodelista">
    <w:name w:val="List Paragraph"/>
    <w:aliases w:val="No Spacing,Bullet,titulo 3,Párrafo de lista1,HOJA,Bolita,Párrafo de lista4,BOLADEF,Párrafo de lista2,Párrafo de lista3,Párrafo de lista21,BOLA,Nivel 1 OS,Colorful List Accent 1,Colorful List - Accent 11,Dot pt,Lista vistosa - Énfasis 11"/>
    <w:basedOn w:val="Normal"/>
    <w:link w:val="PrrafodelistaCar"/>
    <w:uiPriority w:val="34"/>
    <w:qFormat/>
    <w:rsid w:val="004E4125"/>
    <w:pPr>
      <w:widowControl w:val="0"/>
      <w:autoSpaceDE w:val="0"/>
      <w:autoSpaceDN w:val="0"/>
      <w:spacing w:after="0" w:line="240" w:lineRule="auto"/>
    </w:pPr>
    <w:rPr>
      <w:rFonts w:ascii="Times New Roman" w:eastAsia="Times New Roman" w:hAnsi="Times New Roman"/>
      <w:sz w:val="26"/>
      <w:szCs w:val="26"/>
      <w:lang w:val="es-ES"/>
    </w:rPr>
  </w:style>
  <w:style w:type="paragraph" w:customStyle="1" w:styleId="Default">
    <w:name w:val="Default"/>
    <w:qFormat/>
    <w:rsid w:val="004E4125"/>
    <w:pPr>
      <w:autoSpaceDE w:val="0"/>
      <w:autoSpaceDN w:val="0"/>
      <w:adjustRightInd w:val="0"/>
      <w:spacing w:line="240" w:lineRule="auto"/>
    </w:pPr>
    <w:rPr>
      <w:rFonts w:ascii="Georgia" w:hAnsi="Georgia" w:cs="Georgia"/>
      <w:color w:val="000000"/>
      <w:sz w:val="24"/>
      <w:szCs w:val="24"/>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Ref1"/>
    <w:uiPriority w:val="99"/>
    <w:semiHidden/>
    <w:unhideWhenUsed/>
    <w:qFormat/>
    <w:rsid w:val="004E4125"/>
    <w:rPr>
      <w:vertAlign w:val="superscript"/>
    </w:rPr>
  </w:style>
  <w:style w:type="character" w:customStyle="1" w:styleId="baj">
    <w:name w:val="b_aj"/>
    <w:basedOn w:val="Fuentedeprrafopredeter"/>
    <w:rsid w:val="004E4125"/>
  </w:style>
  <w:style w:type="character" w:customStyle="1" w:styleId="Ninguno">
    <w:name w:val="Ninguno"/>
    <w:rsid w:val="004E4125"/>
  </w:style>
  <w:style w:type="table" w:styleId="Tablaconcuadrcula">
    <w:name w:val="Table Grid"/>
    <w:basedOn w:val="Tablanormal"/>
    <w:uiPriority w:val="39"/>
    <w:rsid w:val="004E4125"/>
    <w:pPr>
      <w:widowControl w:val="0"/>
      <w:autoSpaceDE w:val="0"/>
      <w:autoSpaceDN w:val="0"/>
      <w:spacing w:line="240" w:lineRule="auto"/>
    </w:pPr>
    <w:rPr>
      <w:rFonts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4E4125"/>
    <w:rPr>
      <w:i/>
      <w:iCs/>
    </w:rPr>
  </w:style>
  <w:style w:type="character" w:customStyle="1" w:styleId="UnresolvedMention">
    <w:name w:val="Unresolved Mention"/>
    <w:basedOn w:val="Fuentedeprrafopredeter"/>
    <w:uiPriority w:val="99"/>
    <w:semiHidden/>
    <w:unhideWhenUsed/>
    <w:rsid w:val="004E4125"/>
    <w:rPr>
      <w:color w:val="605E5C"/>
      <w:shd w:val="clear" w:color="auto" w:fill="E1DFDD"/>
    </w:rPr>
  </w:style>
  <w:style w:type="character" w:styleId="Textoennegrita">
    <w:name w:val="Strong"/>
    <w:basedOn w:val="Fuentedeprrafopredeter"/>
    <w:uiPriority w:val="22"/>
    <w:qFormat/>
    <w:rsid w:val="00576342"/>
    <w:rPr>
      <w:b/>
      <w:bCs/>
    </w:rPr>
  </w:style>
  <w:style w:type="paragraph" w:styleId="Revisin">
    <w:name w:val="Revision"/>
    <w:hidden/>
    <w:uiPriority w:val="99"/>
    <w:semiHidden/>
    <w:rsid w:val="004E74C2"/>
    <w:pPr>
      <w:spacing w:line="240" w:lineRule="auto"/>
    </w:pPr>
    <w:rPr>
      <w:rFonts w:cs="Times New Roman"/>
    </w:rPr>
  </w:style>
  <w:style w:type="paragraph" w:styleId="Textodeglobo">
    <w:name w:val="Balloon Text"/>
    <w:basedOn w:val="Normal"/>
    <w:link w:val="TextodegloboCar"/>
    <w:uiPriority w:val="99"/>
    <w:semiHidden/>
    <w:unhideWhenUsed/>
    <w:rsid w:val="008D02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2DA"/>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2F7883"/>
    <w:rPr>
      <w:sz w:val="16"/>
      <w:szCs w:val="16"/>
    </w:rPr>
  </w:style>
  <w:style w:type="paragraph" w:styleId="Textocomentario">
    <w:name w:val="annotation text"/>
    <w:basedOn w:val="Normal"/>
    <w:link w:val="TextocomentarioCar"/>
    <w:uiPriority w:val="99"/>
    <w:semiHidden/>
    <w:unhideWhenUsed/>
    <w:rsid w:val="002F78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788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F7883"/>
    <w:rPr>
      <w:b/>
      <w:bCs/>
    </w:rPr>
  </w:style>
  <w:style w:type="character" w:customStyle="1" w:styleId="AsuntodelcomentarioCar">
    <w:name w:val="Asunto del comentario Car"/>
    <w:basedOn w:val="TextocomentarioCar"/>
    <w:link w:val="Asuntodelcomentario"/>
    <w:uiPriority w:val="99"/>
    <w:semiHidden/>
    <w:rsid w:val="002F7883"/>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widowControl w:val="0"/>
      <w:spacing w:line="240" w:lineRule="auto"/>
    </w:pPr>
    <w:rPr>
      <w:sz w:val="20"/>
      <w:szCs w:val="20"/>
    </w:rPr>
    <w:tblPr>
      <w:tblStyleRowBandSize w:val="1"/>
      <w:tblStyleColBandSize w:val="1"/>
      <w:tblCellMar>
        <w:left w:w="108" w:type="dxa"/>
        <w:right w:w="108" w:type="dxa"/>
      </w:tblCellMar>
    </w:tblPr>
  </w:style>
  <w:style w:type="table" w:customStyle="1" w:styleId="a1">
    <w:basedOn w:val="TableNormal0"/>
    <w:pPr>
      <w:widowControl w:val="0"/>
      <w:spacing w:line="240" w:lineRule="auto"/>
    </w:pPr>
    <w:rPr>
      <w:sz w:val="20"/>
      <w:szCs w:val="20"/>
    </w:rPr>
    <w:tblPr>
      <w:tblStyleRowBandSize w:val="1"/>
      <w:tblStyleColBandSize w:val="1"/>
      <w:tblCellMar>
        <w:left w:w="108" w:type="dxa"/>
        <w:right w:w="108" w:type="dxa"/>
      </w:tblCellMar>
    </w:tblPr>
  </w:style>
  <w:style w:type="table" w:customStyle="1" w:styleId="a2">
    <w:basedOn w:val="TableNormal0"/>
    <w:pPr>
      <w:widowControl w:val="0"/>
      <w:spacing w:line="240" w:lineRule="auto"/>
    </w:pPr>
    <w:rPr>
      <w:sz w:val="20"/>
      <w:szCs w:val="20"/>
    </w:rPr>
    <w:tblPr>
      <w:tblStyleRowBandSize w:val="1"/>
      <w:tblStyleColBandSize w:val="1"/>
      <w:tblCellMar>
        <w:left w:w="108" w:type="dxa"/>
        <w:right w:w="108" w:type="dxa"/>
      </w:tblCellMar>
    </w:tblPr>
  </w:style>
  <w:style w:type="table" w:customStyle="1" w:styleId="a3">
    <w:basedOn w:val="TableNormal0"/>
    <w:pPr>
      <w:widowControl w:val="0"/>
      <w:spacing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6sHU/AG+VpmqqHi2yCWzgwsNTA==">AMUW2mUj3jhvefeKfWiPrW466ZlmrqY8r9zpYSqGU6ZYmk6x+Gu3VfZw0lkgsOGoUse3P0qFnrChQc3RYOgId2PUKzYZbu1Jmcl4gXRQeuhoHmRVQbiZroBQ6x5YRo2dB3KqV17gM2dUSFx9wMDr8ddjea1eel3nRtM6vTQkArdwILM4+TUk8DO2b9G6UOAZfvNyyYaFrzbC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12063</Words>
  <Characters>66351</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Fuentes</dc:creator>
  <cp:lastModifiedBy>SEC GNRAL</cp:lastModifiedBy>
  <cp:revision>2</cp:revision>
  <dcterms:created xsi:type="dcterms:W3CDTF">2023-03-30T21:06:00Z</dcterms:created>
  <dcterms:modified xsi:type="dcterms:W3CDTF">2023-03-30T21:06:00Z</dcterms:modified>
</cp:coreProperties>
</file>