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D5" w:rsidRPr="00D308C3" w:rsidRDefault="00B941D5" w:rsidP="002F2ABE">
      <w:pPr>
        <w:jc w:val="center"/>
        <w:rPr>
          <w:rFonts w:ascii="Century Gothic" w:hAnsi="Century Gothic"/>
          <w:sz w:val="24"/>
          <w:szCs w:val="24"/>
        </w:rPr>
      </w:pPr>
      <w:bookmarkStart w:id="0" w:name="_GoBack"/>
      <w:bookmarkEnd w:id="0"/>
      <w:r w:rsidRPr="00D308C3">
        <w:rPr>
          <w:rFonts w:ascii="Century Gothic" w:hAnsi="Century Gothic"/>
          <w:noProof/>
          <w:sz w:val="24"/>
          <w:szCs w:val="24"/>
          <w:lang w:eastAsia="es-CO"/>
        </w:rPr>
        <w:drawing>
          <wp:inline distT="0" distB="0" distL="0" distR="0" wp14:anchorId="6AC6B554" wp14:editId="64274848">
            <wp:extent cx="2498583" cy="943610"/>
            <wp:effectExtent l="0" t="0" r="0" b="0"/>
            <wp:docPr id="1" name="Imagen 1" descr="Logo Secretaría 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cretaría Senado"/>
                    <pic:cNvPicPr>
                      <a:picLocks noChangeAspect="1" noChangeArrowheads="1"/>
                    </pic:cNvPicPr>
                  </pic:nvPicPr>
                  <pic:blipFill rotWithShape="1">
                    <a:blip r:embed="rId5">
                      <a:extLst>
                        <a:ext uri="{28A0092B-C50C-407E-A947-70E740481C1C}">
                          <a14:useLocalDpi xmlns:a14="http://schemas.microsoft.com/office/drawing/2010/main" val="0"/>
                        </a:ext>
                      </a:extLst>
                    </a:blip>
                    <a:srcRect r="56870"/>
                    <a:stretch/>
                  </pic:blipFill>
                  <pic:spPr bwMode="auto">
                    <a:xfrm>
                      <a:off x="0" y="0"/>
                      <a:ext cx="2498586" cy="943611"/>
                    </a:xfrm>
                    <a:prstGeom prst="rect">
                      <a:avLst/>
                    </a:prstGeom>
                    <a:noFill/>
                    <a:ln>
                      <a:noFill/>
                    </a:ln>
                    <a:extLst>
                      <a:ext uri="{53640926-AAD7-44D8-BBD7-CCE9431645EC}">
                        <a14:shadowObscured xmlns:a14="http://schemas.microsoft.com/office/drawing/2010/main"/>
                      </a:ext>
                    </a:extLst>
                  </pic:spPr>
                </pic:pic>
              </a:graphicData>
            </a:graphic>
          </wp:inline>
        </w:drawing>
      </w:r>
    </w:p>
    <w:p w:rsidR="005D2A72" w:rsidRPr="00D308C3" w:rsidRDefault="005D2A72" w:rsidP="00B84D1B">
      <w:pPr>
        <w:jc w:val="both"/>
        <w:rPr>
          <w:rFonts w:ascii="Century Gothic" w:hAnsi="Century Gothic"/>
          <w:sz w:val="24"/>
          <w:szCs w:val="24"/>
        </w:rPr>
      </w:pPr>
      <w:r w:rsidRPr="00D308C3">
        <w:rPr>
          <w:rFonts w:ascii="Century Gothic" w:hAnsi="Century Gothic"/>
          <w:sz w:val="24"/>
          <w:szCs w:val="24"/>
        </w:rPr>
        <w:t>PROYECTO DE ACTO LEGISLATIVO ______ DE 202</w:t>
      </w:r>
      <w:r w:rsidR="00EB4304" w:rsidRPr="00D308C3">
        <w:rPr>
          <w:rFonts w:ascii="Century Gothic" w:hAnsi="Century Gothic"/>
          <w:sz w:val="24"/>
          <w:szCs w:val="24"/>
        </w:rPr>
        <w:t>3</w:t>
      </w:r>
    </w:p>
    <w:p w:rsidR="005D2A72" w:rsidRPr="00D308C3" w:rsidRDefault="005D2A72" w:rsidP="00B84D1B">
      <w:pPr>
        <w:jc w:val="both"/>
        <w:rPr>
          <w:rFonts w:ascii="Century Gothic" w:hAnsi="Century Gothic"/>
          <w:sz w:val="24"/>
          <w:szCs w:val="24"/>
        </w:rPr>
      </w:pPr>
    </w:p>
    <w:p w:rsidR="005D2A72" w:rsidRPr="00D308C3" w:rsidRDefault="00EE4D60" w:rsidP="00B84D1B">
      <w:pPr>
        <w:jc w:val="both"/>
        <w:rPr>
          <w:rFonts w:ascii="Century Gothic" w:hAnsi="Century Gothic"/>
          <w:b/>
          <w:bCs/>
          <w:sz w:val="24"/>
          <w:szCs w:val="24"/>
        </w:rPr>
      </w:pPr>
      <w:r w:rsidRPr="00D308C3">
        <w:rPr>
          <w:rStyle w:val="Textoennegrita"/>
          <w:rFonts w:ascii="Century Gothic" w:hAnsi="Century Gothic"/>
          <w:b w:val="0"/>
          <w:bCs w:val="0"/>
          <w:color w:val="242424"/>
          <w:sz w:val="24"/>
          <w:szCs w:val="24"/>
          <w:shd w:val="clear" w:color="auto" w:fill="FFFFFF"/>
        </w:rPr>
        <w:t>“</w:t>
      </w:r>
      <w:r w:rsidR="005D2A72" w:rsidRPr="00D308C3">
        <w:rPr>
          <w:rStyle w:val="Textoennegrita"/>
          <w:rFonts w:ascii="Century Gothic" w:hAnsi="Century Gothic"/>
          <w:b w:val="0"/>
          <w:bCs w:val="0"/>
          <w:color w:val="242424"/>
          <w:sz w:val="24"/>
          <w:szCs w:val="24"/>
          <w:shd w:val="clear" w:color="auto" w:fill="FFFFFF"/>
        </w:rPr>
        <w:t xml:space="preserve">Por la cual se adiciona </w:t>
      </w:r>
      <w:r w:rsidR="00EB4304" w:rsidRPr="00D308C3">
        <w:rPr>
          <w:rStyle w:val="Textoennegrita"/>
          <w:rFonts w:ascii="Century Gothic" w:hAnsi="Century Gothic"/>
          <w:b w:val="0"/>
          <w:bCs w:val="0"/>
          <w:color w:val="242424"/>
          <w:sz w:val="24"/>
          <w:szCs w:val="24"/>
          <w:shd w:val="clear" w:color="auto" w:fill="FFFFFF"/>
        </w:rPr>
        <w:t>un parágrafo al</w:t>
      </w:r>
      <w:r w:rsidR="005D2A72" w:rsidRPr="00D308C3">
        <w:rPr>
          <w:rStyle w:val="Textoennegrita"/>
          <w:rFonts w:ascii="Century Gothic" w:hAnsi="Century Gothic"/>
          <w:b w:val="0"/>
          <w:bCs w:val="0"/>
          <w:color w:val="242424"/>
          <w:sz w:val="24"/>
          <w:szCs w:val="24"/>
          <w:shd w:val="clear" w:color="auto" w:fill="FFFFFF"/>
        </w:rPr>
        <w:t xml:space="preserve"> Acto Legislativo 01 de 2005</w:t>
      </w:r>
      <w:r w:rsidR="00761FEC" w:rsidRPr="00D308C3">
        <w:rPr>
          <w:rStyle w:val="Textoennegrita"/>
          <w:rFonts w:ascii="Century Gothic" w:hAnsi="Century Gothic"/>
          <w:b w:val="0"/>
          <w:bCs w:val="0"/>
          <w:color w:val="242424"/>
          <w:sz w:val="24"/>
          <w:szCs w:val="24"/>
          <w:shd w:val="clear" w:color="auto" w:fill="FFFFFF"/>
        </w:rPr>
        <w:t xml:space="preserve"> y</w:t>
      </w:r>
      <w:r w:rsidR="00EB4304" w:rsidRPr="00D308C3">
        <w:rPr>
          <w:rStyle w:val="Textoennegrita"/>
          <w:rFonts w:ascii="Century Gothic" w:hAnsi="Century Gothic"/>
          <w:b w:val="0"/>
          <w:bCs w:val="0"/>
          <w:color w:val="242424"/>
          <w:sz w:val="24"/>
          <w:szCs w:val="24"/>
          <w:shd w:val="clear" w:color="auto" w:fill="FFFFFF"/>
        </w:rPr>
        <w:t xml:space="preserve"> se </w:t>
      </w:r>
      <w:r w:rsidR="00761FEC" w:rsidRPr="00D308C3">
        <w:rPr>
          <w:rFonts w:ascii="Century Gothic" w:eastAsia="Times New Roman" w:hAnsi="Century Gothic" w:cs="Segoe UI"/>
          <w:color w:val="333333"/>
          <w:sz w:val="24"/>
          <w:szCs w:val="24"/>
          <w:lang w:eastAsia="es-CO"/>
        </w:rPr>
        <w:t>adiciona el </w:t>
      </w:r>
      <w:hyperlink r:id="rId6" w:history="1">
        <w:r w:rsidR="00761FEC" w:rsidRPr="00D308C3">
          <w:rPr>
            <w:rFonts w:ascii="Century Gothic" w:eastAsia="Times New Roman" w:hAnsi="Century Gothic" w:cs="Segoe UI"/>
            <w:sz w:val="24"/>
            <w:szCs w:val="24"/>
            <w:lang w:eastAsia="es-CO"/>
          </w:rPr>
          <w:t>artículo 48</w:t>
        </w:r>
      </w:hyperlink>
      <w:r w:rsidR="00761FEC" w:rsidRPr="00D308C3">
        <w:rPr>
          <w:rFonts w:ascii="Century Gothic" w:eastAsia="Times New Roman" w:hAnsi="Century Gothic" w:cs="Segoe UI"/>
          <w:sz w:val="24"/>
          <w:szCs w:val="24"/>
          <w:lang w:eastAsia="es-CO"/>
        </w:rPr>
        <w:t> de la </w:t>
      </w:r>
      <w:hyperlink r:id="rId7" w:history="1">
        <w:r w:rsidR="00761FEC" w:rsidRPr="00D308C3">
          <w:rPr>
            <w:rFonts w:ascii="Century Gothic" w:eastAsia="Times New Roman" w:hAnsi="Century Gothic" w:cs="Segoe UI"/>
            <w:sz w:val="24"/>
            <w:szCs w:val="24"/>
            <w:lang w:eastAsia="es-CO"/>
          </w:rPr>
          <w:t>Constitución Política</w:t>
        </w:r>
      </w:hyperlink>
      <w:r w:rsidR="00272B3D" w:rsidRPr="00D308C3">
        <w:rPr>
          <w:rFonts w:ascii="Century Gothic" w:eastAsia="Times New Roman" w:hAnsi="Century Gothic" w:cs="Segoe UI"/>
          <w:sz w:val="24"/>
          <w:szCs w:val="24"/>
          <w:lang w:eastAsia="es-CO"/>
        </w:rPr>
        <w:t xml:space="preserve"> de Colombia</w:t>
      </w:r>
      <w:r w:rsidR="00EC30B9" w:rsidRPr="00D308C3">
        <w:rPr>
          <w:rStyle w:val="Textoennegrita"/>
          <w:rFonts w:ascii="Century Gothic" w:hAnsi="Century Gothic"/>
          <w:b w:val="0"/>
          <w:bCs w:val="0"/>
          <w:color w:val="242424"/>
          <w:sz w:val="24"/>
          <w:szCs w:val="24"/>
          <w:shd w:val="clear" w:color="auto" w:fill="FFFFFF"/>
        </w:rPr>
        <w:t>”</w:t>
      </w:r>
      <w:r w:rsidR="005D2A72" w:rsidRPr="00D308C3">
        <w:rPr>
          <w:rStyle w:val="Textoennegrita"/>
          <w:rFonts w:ascii="Century Gothic" w:hAnsi="Century Gothic"/>
          <w:b w:val="0"/>
          <w:bCs w:val="0"/>
          <w:color w:val="242424"/>
          <w:sz w:val="24"/>
          <w:szCs w:val="24"/>
          <w:shd w:val="clear" w:color="auto" w:fill="FFFFFF"/>
        </w:rPr>
        <w:t>. (</w:t>
      </w:r>
      <w:r w:rsidR="00EC30B9" w:rsidRPr="00D308C3">
        <w:rPr>
          <w:rStyle w:val="Textoennegrita"/>
          <w:rFonts w:ascii="Century Gothic" w:hAnsi="Century Gothic"/>
          <w:b w:val="0"/>
          <w:bCs w:val="0"/>
          <w:color w:val="242424"/>
          <w:sz w:val="24"/>
          <w:szCs w:val="24"/>
          <w:shd w:val="clear" w:color="auto" w:fill="FFFFFF"/>
        </w:rPr>
        <w:t>S</w:t>
      </w:r>
      <w:r w:rsidR="005D2A72" w:rsidRPr="00D308C3">
        <w:rPr>
          <w:rStyle w:val="Textoennegrita"/>
          <w:rFonts w:ascii="Century Gothic" w:hAnsi="Century Gothic"/>
          <w:b w:val="0"/>
          <w:bCs w:val="0"/>
          <w:color w:val="242424"/>
          <w:sz w:val="24"/>
          <w:szCs w:val="24"/>
          <w:shd w:val="clear" w:color="auto" w:fill="FFFFFF"/>
        </w:rPr>
        <w:t>e</w:t>
      </w:r>
      <w:r w:rsidR="00EB4304" w:rsidRPr="00D308C3">
        <w:rPr>
          <w:rStyle w:val="Textoennegrita"/>
          <w:rFonts w:ascii="Century Gothic" w:hAnsi="Century Gothic"/>
          <w:b w:val="0"/>
          <w:bCs w:val="0"/>
          <w:color w:val="242424"/>
          <w:sz w:val="24"/>
          <w:szCs w:val="24"/>
          <w:shd w:val="clear" w:color="auto" w:fill="FFFFFF"/>
        </w:rPr>
        <w:t xml:space="preserve"> </w:t>
      </w:r>
      <w:r w:rsidR="005D2A72" w:rsidRPr="00D308C3">
        <w:rPr>
          <w:rStyle w:val="Textoennegrita"/>
          <w:rFonts w:ascii="Century Gothic" w:hAnsi="Century Gothic"/>
          <w:b w:val="0"/>
          <w:bCs w:val="0"/>
          <w:color w:val="242424"/>
          <w:sz w:val="24"/>
          <w:szCs w:val="24"/>
          <w:shd w:val="clear" w:color="auto" w:fill="FFFFFF"/>
        </w:rPr>
        <w:t>conserva la mesada 14 a los miembros de la Fuerza Pública).</w:t>
      </w:r>
    </w:p>
    <w:p w:rsidR="005D2A72" w:rsidRPr="00D308C3" w:rsidRDefault="005D2A72" w:rsidP="00B84D1B">
      <w:pPr>
        <w:jc w:val="both"/>
        <w:rPr>
          <w:rFonts w:ascii="Century Gothic" w:hAnsi="Century Gothic"/>
          <w:sz w:val="24"/>
          <w:szCs w:val="24"/>
        </w:rPr>
      </w:pPr>
    </w:p>
    <w:p w:rsidR="005D2A72" w:rsidRPr="00D308C3" w:rsidRDefault="005D2A72" w:rsidP="00AF2AD1">
      <w:pPr>
        <w:jc w:val="center"/>
        <w:rPr>
          <w:rFonts w:ascii="Century Gothic" w:hAnsi="Century Gothic"/>
          <w:sz w:val="24"/>
          <w:szCs w:val="24"/>
        </w:rPr>
      </w:pPr>
      <w:r w:rsidRPr="00D308C3">
        <w:rPr>
          <w:rFonts w:ascii="Century Gothic" w:hAnsi="Century Gothic"/>
          <w:sz w:val="24"/>
          <w:szCs w:val="24"/>
        </w:rPr>
        <w:t>EL CONGRESO DE COLOMBIA</w:t>
      </w:r>
    </w:p>
    <w:p w:rsidR="005D2A72" w:rsidRPr="00D308C3" w:rsidRDefault="005D2A72" w:rsidP="00AF2AD1">
      <w:pPr>
        <w:jc w:val="center"/>
        <w:rPr>
          <w:rFonts w:ascii="Century Gothic" w:hAnsi="Century Gothic"/>
          <w:sz w:val="24"/>
          <w:szCs w:val="24"/>
        </w:rPr>
      </w:pPr>
      <w:r w:rsidRPr="00D308C3">
        <w:rPr>
          <w:rFonts w:ascii="Century Gothic" w:hAnsi="Century Gothic"/>
          <w:sz w:val="24"/>
          <w:szCs w:val="24"/>
        </w:rPr>
        <w:t>En virtud del Procedimiento Legislativo Especial,</w:t>
      </w:r>
    </w:p>
    <w:p w:rsidR="00B941D5" w:rsidRPr="00D308C3" w:rsidRDefault="00B941D5" w:rsidP="00B84D1B">
      <w:pPr>
        <w:jc w:val="both"/>
        <w:rPr>
          <w:rFonts w:ascii="Century Gothic" w:hAnsi="Century Gothic"/>
          <w:sz w:val="24"/>
          <w:szCs w:val="24"/>
        </w:rPr>
      </w:pPr>
    </w:p>
    <w:p w:rsidR="005D2A72" w:rsidRPr="00D308C3" w:rsidRDefault="005D2A72" w:rsidP="00AF2AD1">
      <w:pPr>
        <w:jc w:val="center"/>
        <w:rPr>
          <w:rFonts w:ascii="Century Gothic" w:hAnsi="Century Gothic"/>
          <w:sz w:val="24"/>
          <w:szCs w:val="24"/>
        </w:rPr>
      </w:pPr>
      <w:r w:rsidRPr="00D308C3">
        <w:rPr>
          <w:rFonts w:ascii="Century Gothic" w:hAnsi="Century Gothic"/>
          <w:sz w:val="24"/>
          <w:szCs w:val="24"/>
        </w:rPr>
        <w:t>DECRETA:</w:t>
      </w:r>
    </w:p>
    <w:p w:rsidR="00336B18" w:rsidRPr="00D308C3" w:rsidRDefault="005D2A72" w:rsidP="00B84D1B">
      <w:pPr>
        <w:jc w:val="both"/>
        <w:rPr>
          <w:rFonts w:ascii="Century Gothic" w:hAnsi="Century Gothic"/>
          <w:sz w:val="24"/>
          <w:szCs w:val="24"/>
        </w:rPr>
      </w:pPr>
      <w:r w:rsidRPr="00D308C3">
        <w:rPr>
          <w:rFonts w:ascii="Century Gothic" w:hAnsi="Century Gothic"/>
          <w:sz w:val="24"/>
          <w:szCs w:val="24"/>
        </w:rPr>
        <w:t xml:space="preserve">Artículo 1°. </w:t>
      </w:r>
      <w:r w:rsidR="00336B18" w:rsidRPr="00D308C3">
        <w:rPr>
          <w:rFonts w:ascii="Century Gothic" w:hAnsi="Century Gothic"/>
          <w:sz w:val="24"/>
          <w:szCs w:val="24"/>
        </w:rPr>
        <w:t>Adiciónese un parágrafo transitorio al acto legislativo 01 de 2005, el cual será el siguiente:</w:t>
      </w:r>
    </w:p>
    <w:p w:rsidR="00336B18" w:rsidRPr="00D308C3" w:rsidRDefault="00336B18" w:rsidP="00B84D1B">
      <w:pPr>
        <w:jc w:val="both"/>
        <w:rPr>
          <w:rFonts w:ascii="Century Gothic" w:hAnsi="Century Gothic"/>
          <w:sz w:val="24"/>
          <w:szCs w:val="24"/>
        </w:rPr>
      </w:pPr>
      <w:r w:rsidRPr="00D308C3">
        <w:rPr>
          <w:rFonts w:ascii="Century Gothic" w:hAnsi="Century Gothic"/>
          <w:sz w:val="24"/>
          <w:szCs w:val="24"/>
        </w:rPr>
        <w:t>Parágrafo transitorio 7º. Se exceptúan de lo establecido por el inciso 8° del artículo 1 del acto legislativo 01 de 2005, los miembros</w:t>
      </w:r>
      <w:r w:rsidRPr="00D308C3">
        <w:rPr>
          <w:rStyle w:val="Textoennegrita"/>
          <w:rFonts w:ascii="Century Gothic" w:hAnsi="Century Gothic"/>
          <w:color w:val="242424"/>
          <w:sz w:val="24"/>
          <w:szCs w:val="24"/>
          <w:shd w:val="clear" w:color="auto" w:fill="FFFFFF"/>
        </w:rPr>
        <w:t xml:space="preserve"> </w:t>
      </w:r>
      <w:r w:rsidRPr="00D308C3">
        <w:rPr>
          <w:rStyle w:val="Textoennegrita"/>
          <w:rFonts w:ascii="Century Gothic" w:hAnsi="Century Gothic"/>
          <w:b w:val="0"/>
          <w:bCs w:val="0"/>
          <w:color w:val="242424"/>
          <w:sz w:val="24"/>
          <w:szCs w:val="24"/>
          <w:shd w:val="clear" w:color="auto" w:fill="FFFFFF"/>
        </w:rPr>
        <w:t>de la Fuerza Pública</w:t>
      </w:r>
      <w:r w:rsidR="00EB4304" w:rsidRPr="00D308C3">
        <w:rPr>
          <w:rStyle w:val="Textoennegrita"/>
          <w:rFonts w:ascii="Century Gothic" w:hAnsi="Century Gothic"/>
          <w:b w:val="0"/>
          <w:bCs w:val="0"/>
          <w:color w:val="242424"/>
          <w:sz w:val="24"/>
          <w:szCs w:val="24"/>
          <w:shd w:val="clear" w:color="auto" w:fill="FFFFFF"/>
        </w:rPr>
        <w:t>.</w:t>
      </w:r>
    </w:p>
    <w:p w:rsidR="005D2A72" w:rsidRPr="00D308C3" w:rsidRDefault="005D2A72" w:rsidP="00761FEC">
      <w:pPr>
        <w:jc w:val="both"/>
        <w:rPr>
          <w:rFonts w:ascii="Century Gothic" w:hAnsi="Century Gothic"/>
          <w:sz w:val="24"/>
          <w:szCs w:val="24"/>
        </w:rPr>
      </w:pPr>
      <w:r w:rsidRPr="00D308C3">
        <w:rPr>
          <w:rFonts w:ascii="Century Gothic" w:hAnsi="Century Gothic"/>
          <w:sz w:val="24"/>
          <w:szCs w:val="24"/>
        </w:rPr>
        <w:t xml:space="preserve">Artículo 2°. </w:t>
      </w:r>
      <w:r w:rsidR="00761FEC" w:rsidRPr="00D308C3">
        <w:rPr>
          <w:rFonts w:ascii="Century Gothic" w:hAnsi="Century Gothic"/>
          <w:sz w:val="24"/>
          <w:szCs w:val="24"/>
        </w:rPr>
        <w:t xml:space="preserve">Adiciónese el presente Parágrafo transitorio, al </w:t>
      </w:r>
      <w:hyperlink r:id="rId8" w:history="1">
        <w:r w:rsidR="00761FEC" w:rsidRPr="00D308C3">
          <w:rPr>
            <w:rFonts w:ascii="Century Gothic" w:eastAsia="Times New Roman" w:hAnsi="Century Gothic" w:cs="Segoe UI"/>
            <w:sz w:val="24"/>
            <w:szCs w:val="24"/>
            <w:lang w:eastAsia="es-CO"/>
          </w:rPr>
          <w:t>artículo 48</w:t>
        </w:r>
      </w:hyperlink>
      <w:r w:rsidR="00761FEC" w:rsidRPr="00D308C3">
        <w:rPr>
          <w:rFonts w:ascii="Century Gothic" w:eastAsia="Times New Roman" w:hAnsi="Century Gothic" w:cs="Segoe UI"/>
          <w:sz w:val="24"/>
          <w:szCs w:val="24"/>
          <w:lang w:eastAsia="es-CO"/>
        </w:rPr>
        <w:t> de la </w:t>
      </w:r>
      <w:hyperlink r:id="rId9" w:history="1">
        <w:r w:rsidR="00761FEC" w:rsidRPr="00D308C3">
          <w:rPr>
            <w:rFonts w:ascii="Century Gothic" w:eastAsia="Times New Roman" w:hAnsi="Century Gothic" w:cs="Segoe UI"/>
            <w:sz w:val="24"/>
            <w:szCs w:val="24"/>
            <w:lang w:eastAsia="es-CO"/>
          </w:rPr>
          <w:t>Constitución Política</w:t>
        </w:r>
      </w:hyperlink>
      <w:r w:rsidR="00272B3D" w:rsidRPr="00D308C3">
        <w:rPr>
          <w:rFonts w:ascii="Century Gothic" w:eastAsia="Times New Roman" w:hAnsi="Century Gothic" w:cs="Segoe UI"/>
          <w:sz w:val="24"/>
          <w:szCs w:val="24"/>
          <w:lang w:eastAsia="es-CO"/>
        </w:rPr>
        <w:t xml:space="preserve"> de Colombia</w:t>
      </w:r>
      <w:r w:rsidRPr="00D308C3">
        <w:rPr>
          <w:rFonts w:ascii="Century Gothic" w:hAnsi="Century Gothic"/>
          <w:sz w:val="24"/>
          <w:szCs w:val="24"/>
        </w:rPr>
        <w:t xml:space="preserve">.  </w:t>
      </w:r>
    </w:p>
    <w:p w:rsidR="00761FEC" w:rsidRPr="00D308C3" w:rsidRDefault="00761FEC" w:rsidP="00761FEC">
      <w:pPr>
        <w:jc w:val="both"/>
        <w:rPr>
          <w:rFonts w:ascii="Century Gothic" w:hAnsi="Century Gothic"/>
          <w:sz w:val="24"/>
          <w:szCs w:val="24"/>
        </w:rPr>
      </w:pPr>
      <w:r w:rsidRPr="00D308C3">
        <w:rPr>
          <w:rFonts w:ascii="Century Gothic" w:hAnsi="Century Gothic"/>
          <w:sz w:val="24"/>
          <w:szCs w:val="24"/>
        </w:rPr>
        <w:t xml:space="preserve">Artículo 3°. El presente acto legislativo rige a partir de su promulgación.  </w:t>
      </w:r>
    </w:p>
    <w:p w:rsidR="00761FEC" w:rsidRPr="00D308C3" w:rsidRDefault="00761FEC" w:rsidP="00B84D1B">
      <w:pPr>
        <w:jc w:val="both"/>
        <w:rPr>
          <w:rFonts w:ascii="Century Gothic" w:hAnsi="Century Gothic"/>
          <w:sz w:val="24"/>
          <w:szCs w:val="24"/>
        </w:rPr>
      </w:pPr>
    </w:p>
    <w:p w:rsidR="00EE4D60" w:rsidRDefault="00EE4D60" w:rsidP="00B84D1B">
      <w:pPr>
        <w:jc w:val="both"/>
        <w:rPr>
          <w:rFonts w:ascii="Century Gothic" w:hAnsi="Century Gothic"/>
          <w:sz w:val="24"/>
          <w:szCs w:val="24"/>
        </w:rPr>
      </w:pPr>
      <w:r w:rsidRPr="00D308C3">
        <w:rPr>
          <w:rFonts w:ascii="Century Gothic" w:hAnsi="Century Gothic"/>
          <w:sz w:val="24"/>
          <w:szCs w:val="24"/>
        </w:rPr>
        <w:t>Representante a la Cámara</w:t>
      </w:r>
    </w:p>
    <w:p w:rsidR="00295D76" w:rsidRDefault="00295D76" w:rsidP="00B84D1B">
      <w:pPr>
        <w:jc w:val="both"/>
        <w:rPr>
          <w:rFonts w:ascii="Century Gothic" w:hAnsi="Century Gothic"/>
          <w:sz w:val="24"/>
          <w:szCs w:val="24"/>
        </w:rPr>
      </w:pPr>
    </w:p>
    <w:p w:rsidR="00295D76" w:rsidRDefault="00295D76" w:rsidP="00B84D1B">
      <w:pPr>
        <w:jc w:val="both"/>
        <w:rPr>
          <w:rFonts w:ascii="Century Gothic" w:hAnsi="Century Gothic"/>
          <w:sz w:val="24"/>
          <w:szCs w:val="24"/>
        </w:rPr>
      </w:pPr>
    </w:p>
    <w:p w:rsidR="00295D76" w:rsidRPr="00D308C3" w:rsidRDefault="00295D76" w:rsidP="00B84D1B">
      <w:pPr>
        <w:jc w:val="both"/>
        <w:rPr>
          <w:rFonts w:ascii="Century Gothic" w:hAnsi="Century Gothic"/>
          <w:sz w:val="24"/>
          <w:szCs w:val="24"/>
        </w:rPr>
      </w:pPr>
      <w:r>
        <w:rPr>
          <w:rFonts w:ascii="Century Gothic" w:hAnsi="Century Gothic"/>
          <w:sz w:val="24"/>
          <w:szCs w:val="24"/>
        </w:rPr>
        <w:t>JUAN MANUEL CORTES</w:t>
      </w:r>
      <w:r w:rsidR="00D816F7">
        <w:rPr>
          <w:rFonts w:ascii="Century Gothic" w:hAnsi="Century Gothic"/>
          <w:sz w:val="24"/>
          <w:szCs w:val="24"/>
        </w:rPr>
        <w:t xml:space="preserve"> DUEÑAS</w:t>
      </w:r>
    </w:p>
    <w:p w:rsidR="00F105C3" w:rsidRPr="00D308C3" w:rsidRDefault="00F105C3" w:rsidP="00B84D1B">
      <w:pPr>
        <w:jc w:val="both"/>
        <w:rPr>
          <w:rFonts w:ascii="Century Gothic" w:hAnsi="Century Gothic"/>
          <w:sz w:val="24"/>
          <w:szCs w:val="24"/>
        </w:rPr>
      </w:pPr>
    </w:p>
    <w:p w:rsidR="00F105C3" w:rsidRPr="00D308C3" w:rsidRDefault="00F105C3" w:rsidP="00B84D1B">
      <w:pPr>
        <w:jc w:val="both"/>
        <w:rPr>
          <w:rFonts w:ascii="Century Gothic" w:hAnsi="Century Gothic"/>
          <w:sz w:val="24"/>
          <w:szCs w:val="24"/>
        </w:rPr>
      </w:pPr>
    </w:p>
    <w:p w:rsidR="00F105C3" w:rsidRPr="00D308C3" w:rsidRDefault="00F105C3" w:rsidP="00B84D1B">
      <w:pPr>
        <w:jc w:val="both"/>
        <w:rPr>
          <w:rFonts w:ascii="Century Gothic" w:hAnsi="Century Gothic"/>
          <w:sz w:val="24"/>
          <w:szCs w:val="24"/>
        </w:rPr>
      </w:pPr>
    </w:p>
    <w:p w:rsidR="00F105C3" w:rsidRPr="00D308C3" w:rsidRDefault="00F105C3" w:rsidP="00B84D1B">
      <w:pPr>
        <w:jc w:val="both"/>
        <w:rPr>
          <w:rFonts w:ascii="Century Gothic" w:hAnsi="Century Gothic"/>
          <w:sz w:val="24"/>
          <w:szCs w:val="24"/>
        </w:rPr>
      </w:pPr>
    </w:p>
    <w:p w:rsidR="002F2ABE" w:rsidRPr="00D308C3" w:rsidRDefault="002F2ABE" w:rsidP="00B84D1B">
      <w:pPr>
        <w:jc w:val="center"/>
        <w:rPr>
          <w:rFonts w:ascii="Century Gothic" w:hAnsi="Century Gothic"/>
          <w:b/>
          <w:sz w:val="24"/>
          <w:szCs w:val="24"/>
        </w:rPr>
      </w:pPr>
      <w:r w:rsidRPr="00D308C3">
        <w:rPr>
          <w:rFonts w:ascii="Century Gothic" w:hAnsi="Century Gothic"/>
          <w:noProof/>
          <w:sz w:val="24"/>
          <w:szCs w:val="24"/>
          <w:lang w:eastAsia="es-CO"/>
        </w:rPr>
        <w:lastRenderedPageBreak/>
        <w:drawing>
          <wp:inline distT="0" distB="0" distL="0" distR="0" wp14:anchorId="371691EC" wp14:editId="77E8CC72">
            <wp:extent cx="2498583" cy="943610"/>
            <wp:effectExtent l="0" t="0" r="0" b="0"/>
            <wp:docPr id="2" name="Imagen 2" descr="Logo Secretaría 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cretaría Senado"/>
                    <pic:cNvPicPr>
                      <a:picLocks noChangeAspect="1" noChangeArrowheads="1"/>
                    </pic:cNvPicPr>
                  </pic:nvPicPr>
                  <pic:blipFill rotWithShape="1">
                    <a:blip r:embed="rId5">
                      <a:extLst>
                        <a:ext uri="{28A0092B-C50C-407E-A947-70E740481C1C}">
                          <a14:useLocalDpi xmlns:a14="http://schemas.microsoft.com/office/drawing/2010/main" val="0"/>
                        </a:ext>
                      </a:extLst>
                    </a:blip>
                    <a:srcRect r="56870"/>
                    <a:stretch/>
                  </pic:blipFill>
                  <pic:spPr bwMode="auto">
                    <a:xfrm>
                      <a:off x="0" y="0"/>
                      <a:ext cx="2498586" cy="943611"/>
                    </a:xfrm>
                    <a:prstGeom prst="rect">
                      <a:avLst/>
                    </a:prstGeom>
                    <a:noFill/>
                    <a:ln>
                      <a:noFill/>
                    </a:ln>
                    <a:extLst>
                      <a:ext uri="{53640926-AAD7-44D8-BBD7-CCE9431645EC}">
                        <a14:shadowObscured xmlns:a14="http://schemas.microsoft.com/office/drawing/2010/main"/>
                      </a:ext>
                    </a:extLst>
                  </pic:spPr>
                </pic:pic>
              </a:graphicData>
            </a:graphic>
          </wp:inline>
        </w:drawing>
      </w:r>
    </w:p>
    <w:p w:rsidR="00F105C3" w:rsidRPr="00D308C3" w:rsidRDefault="00F105C3" w:rsidP="00B84D1B">
      <w:pPr>
        <w:jc w:val="center"/>
        <w:rPr>
          <w:rFonts w:ascii="Century Gothic" w:hAnsi="Century Gothic"/>
          <w:b/>
          <w:sz w:val="24"/>
          <w:szCs w:val="24"/>
        </w:rPr>
      </w:pPr>
      <w:r w:rsidRPr="00D308C3">
        <w:rPr>
          <w:rFonts w:ascii="Century Gothic" w:hAnsi="Century Gothic"/>
          <w:b/>
          <w:sz w:val="24"/>
          <w:szCs w:val="24"/>
        </w:rPr>
        <w:t>EXPOSICION DE MOTIVOS</w:t>
      </w:r>
    </w:p>
    <w:p w:rsidR="00F105C3" w:rsidRPr="00D308C3" w:rsidRDefault="00F105C3" w:rsidP="00B84D1B">
      <w:pPr>
        <w:jc w:val="both"/>
        <w:rPr>
          <w:rFonts w:ascii="Century Gothic" w:hAnsi="Century Gothic"/>
          <w:sz w:val="24"/>
          <w:szCs w:val="24"/>
        </w:rPr>
      </w:pPr>
    </w:p>
    <w:p w:rsidR="00F105C3" w:rsidRPr="00D308C3" w:rsidRDefault="00F105C3" w:rsidP="00153C87">
      <w:pPr>
        <w:spacing w:line="276" w:lineRule="auto"/>
        <w:jc w:val="both"/>
        <w:rPr>
          <w:rFonts w:ascii="Century Gothic" w:hAnsi="Century Gothic"/>
          <w:sz w:val="24"/>
          <w:szCs w:val="24"/>
        </w:rPr>
      </w:pPr>
      <w:r w:rsidRPr="00D308C3">
        <w:rPr>
          <w:rFonts w:ascii="Century Gothic" w:hAnsi="Century Gothic"/>
          <w:sz w:val="24"/>
          <w:szCs w:val="24"/>
        </w:rPr>
        <w:t>Se justifica permanencia de</w:t>
      </w:r>
      <w:r w:rsidR="00B84D1B" w:rsidRPr="00D308C3">
        <w:rPr>
          <w:rFonts w:ascii="Century Gothic" w:hAnsi="Century Gothic"/>
          <w:sz w:val="24"/>
          <w:szCs w:val="24"/>
        </w:rPr>
        <w:t xml:space="preserve"> </w:t>
      </w:r>
      <w:r w:rsidRPr="00D308C3">
        <w:rPr>
          <w:rFonts w:ascii="Century Gothic" w:hAnsi="Century Gothic"/>
          <w:sz w:val="24"/>
          <w:szCs w:val="24"/>
        </w:rPr>
        <w:t>la mesada 14 para los mi</w:t>
      </w:r>
      <w:r w:rsidR="00B84D1B" w:rsidRPr="00D308C3">
        <w:rPr>
          <w:rFonts w:ascii="Century Gothic" w:hAnsi="Century Gothic"/>
          <w:sz w:val="24"/>
          <w:szCs w:val="24"/>
        </w:rPr>
        <w:t>e</w:t>
      </w:r>
      <w:r w:rsidRPr="00D308C3">
        <w:rPr>
          <w:rFonts w:ascii="Century Gothic" w:hAnsi="Century Gothic"/>
          <w:sz w:val="24"/>
          <w:szCs w:val="24"/>
        </w:rPr>
        <w:t>mbros de</w:t>
      </w:r>
      <w:r w:rsidR="00B84D1B" w:rsidRPr="00D308C3">
        <w:rPr>
          <w:rFonts w:ascii="Century Gothic" w:hAnsi="Century Gothic"/>
          <w:sz w:val="24"/>
          <w:szCs w:val="24"/>
        </w:rPr>
        <w:t xml:space="preserve"> </w:t>
      </w:r>
      <w:r w:rsidRPr="00D308C3">
        <w:rPr>
          <w:rFonts w:ascii="Century Gothic" w:hAnsi="Century Gothic"/>
          <w:sz w:val="24"/>
          <w:szCs w:val="24"/>
        </w:rPr>
        <w:t xml:space="preserve">la </w:t>
      </w:r>
      <w:r w:rsidR="00AF62AE" w:rsidRPr="00D308C3">
        <w:rPr>
          <w:rFonts w:ascii="Century Gothic" w:hAnsi="Century Gothic"/>
          <w:color w:val="2D2D2D"/>
          <w:sz w:val="24"/>
          <w:szCs w:val="24"/>
          <w:shd w:val="clear" w:color="auto" w:fill="FFFFFF"/>
        </w:rPr>
        <w:t>Fuerza Pública</w:t>
      </w:r>
      <w:r w:rsidRPr="00D308C3">
        <w:rPr>
          <w:rFonts w:ascii="Century Gothic" w:hAnsi="Century Gothic"/>
          <w:sz w:val="24"/>
          <w:szCs w:val="24"/>
        </w:rPr>
        <w:t xml:space="preserve">, </w:t>
      </w:r>
      <w:r w:rsidR="00B84D1B" w:rsidRPr="00D308C3">
        <w:rPr>
          <w:rFonts w:ascii="Century Gothic" w:hAnsi="Century Gothic"/>
          <w:sz w:val="24"/>
          <w:szCs w:val="24"/>
        </w:rPr>
        <w:t xml:space="preserve">exceptuándose de su eliminación, </w:t>
      </w:r>
      <w:r w:rsidRPr="00D308C3">
        <w:rPr>
          <w:rFonts w:ascii="Century Gothic" w:hAnsi="Century Gothic"/>
          <w:sz w:val="24"/>
          <w:szCs w:val="24"/>
        </w:rPr>
        <w:t xml:space="preserve">teniendo en cuenta las funciones que cumple de conformidad con la </w:t>
      </w:r>
      <w:r w:rsidR="00B84D1B" w:rsidRPr="00D308C3">
        <w:rPr>
          <w:rFonts w:ascii="Century Gothic" w:hAnsi="Century Gothic"/>
          <w:sz w:val="24"/>
          <w:szCs w:val="24"/>
        </w:rPr>
        <w:t>Constitución</w:t>
      </w:r>
      <w:r w:rsidRPr="00D308C3">
        <w:rPr>
          <w:rFonts w:ascii="Century Gothic" w:hAnsi="Century Gothic"/>
          <w:sz w:val="24"/>
          <w:szCs w:val="24"/>
        </w:rPr>
        <w:t xml:space="preserve"> Nacional articulo 217 y 218, y es que el hecho de mantener en el acto legislativo 01 de 2005 su régimen especial y exceptuado, fue </w:t>
      </w:r>
      <w:r w:rsidR="00B84D1B" w:rsidRPr="00D308C3">
        <w:rPr>
          <w:rFonts w:ascii="Century Gothic" w:hAnsi="Century Gothic"/>
          <w:sz w:val="24"/>
          <w:szCs w:val="24"/>
        </w:rPr>
        <w:t>precisamente</w:t>
      </w:r>
      <w:r w:rsidRPr="00D308C3">
        <w:rPr>
          <w:rFonts w:ascii="Century Gothic" w:hAnsi="Century Gothic"/>
          <w:sz w:val="24"/>
          <w:szCs w:val="24"/>
        </w:rPr>
        <w:t xml:space="preserve"> por esa labor que prestan a los Colombianos las 24 horas del </w:t>
      </w:r>
      <w:r w:rsidR="00B84D1B" w:rsidRPr="00D308C3">
        <w:rPr>
          <w:rFonts w:ascii="Century Gothic" w:hAnsi="Century Gothic"/>
          <w:sz w:val="24"/>
          <w:szCs w:val="24"/>
        </w:rPr>
        <w:t>día</w:t>
      </w:r>
      <w:r w:rsidRPr="00D308C3">
        <w:rPr>
          <w:rFonts w:ascii="Century Gothic" w:hAnsi="Century Gothic"/>
          <w:sz w:val="24"/>
          <w:szCs w:val="24"/>
        </w:rPr>
        <w:t xml:space="preserve">, dominicales, festivos, navidad y año nuevo, </w:t>
      </w:r>
      <w:r w:rsidR="00B84D1B" w:rsidRPr="00D308C3">
        <w:rPr>
          <w:rFonts w:ascii="Century Gothic" w:hAnsi="Century Gothic"/>
          <w:sz w:val="24"/>
          <w:szCs w:val="24"/>
        </w:rPr>
        <w:t>así</w:t>
      </w:r>
      <w:r w:rsidRPr="00D308C3">
        <w:rPr>
          <w:rFonts w:ascii="Century Gothic" w:hAnsi="Century Gothic"/>
          <w:sz w:val="24"/>
          <w:szCs w:val="24"/>
        </w:rPr>
        <w:t xml:space="preserve"> mismo lo ha sostenido la honorable Corte Constitucional en diferentes sentencias entre las cuales me permito traer a colación la sentencia C-432 DE 2004, la cual en sus apartes señala:</w:t>
      </w:r>
    </w:p>
    <w:p w:rsidR="00F105C3" w:rsidRPr="00D308C3" w:rsidRDefault="00F105C3" w:rsidP="003C581E">
      <w:pPr>
        <w:ind w:left="426" w:firstLine="708"/>
        <w:jc w:val="both"/>
        <w:rPr>
          <w:rFonts w:ascii="Century Gothic" w:hAnsi="Century Gothic"/>
        </w:rPr>
      </w:pPr>
      <w:r w:rsidRPr="00D308C3">
        <w:rPr>
          <w:rFonts w:ascii="Century Gothic" w:hAnsi="Century Gothic"/>
        </w:rPr>
        <w:t>“</w:t>
      </w:r>
    </w:p>
    <w:p w:rsidR="00F105C3" w:rsidRPr="00D308C3" w:rsidRDefault="00F105C3" w:rsidP="003C581E">
      <w:pPr>
        <w:ind w:left="426" w:firstLine="708"/>
        <w:jc w:val="both"/>
        <w:rPr>
          <w:rFonts w:ascii="Century Gothic" w:hAnsi="Century Gothic"/>
        </w:rPr>
      </w:pPr>
      <w:r w:rsidRPr="00D308C3">
        <w:rPr>
          <w:rFonts w:ascii="Century Gothic" w:hAnsi="Century Gothic"/>
        </w:rPr>
        <w:t>(…)</w:t>
      </w:r>
    </w:p>
    <w:p w:rsidR="00B84D1B" w:rsidRPr="00D308C3" w:rsidRDefault="00B84D1B" w:rsidP="003C581E">
      <w:pPr>
        <w:shd w:val="clear" w:color="auto" w:fill="FFFFFF"/>
        <w:spacing w:after="100" w:afterAutospacing="1" w:line="240" w:lineRule="auto"/>
        <w:ind w:left="1134" w:right="1185"/>
        <w:jc w:val="both"/>
        <w:rPr>
          <w:rFonts w:ascii="Century Gothic" w:eastAsia="Times New Roman" w:hAnsi="Century Gothic" w:cs="Arial"/>
          <w:color w:val="333333"/>
          <w:lang w:eastAsia="es-CO"/>
        </w:rPr>
      </w:pPr>
      <w:r w:rsidRPr="00D308C3">
        <w:rPr>
          <w:rFonts w:ascii="Century Gothic" w:eastAsia="Times New Roman" w:hAnsi="Century Gothic" w:cs="Arial"/>
          <w:b/>
          <w:bCs/>
          <w:color w:val="333333"/>
          <w:lang w:eastAsia="es-CO"/>
        </w:rPr>
        <w:t>FUERZA PUBLICA</w:t>
      </w:r>
      <w:r w:rsidRPr="00D308C3">
        <w:rPr>
          <w:rFonts w:ascii="Century Gothic" w:eastAsia="Times New Roman" w:hAnsi="Century Gothic" w:cs="Arial"/>
          <w:color w:val="333333"/>
          <w:lang w:eastAsia="es-CO"/>
        </w:rPr>
        <w:t>-Derecho a un régimen prestacional especial</w:t>
      </w:r>
    </w:p>
    <w:p w:rsidR="00B84D1B" w:rsidRPr="00D308C3" w:rsidRDefault="00B84D1B" w:rsidP="003C581E">
      <w:pPr>
        <w:shd w:val="clear" w:color="auto" w:fill="FFFFFF"/>
        <w:spacing w:after="100" w:afterAutospacing="1" w:line="240" w:lineRule="auto"/>
        <w:ind w:left="1134" w:right="1185" w:firstLine="75"/>
        <w:jc w:val="both"/>
        <w:rPr>
          <w:rFonts w:ascii="Century Gothic" w:eastAsia="Times New Roman" w:hAnsi="Century Gothic" w:cs="Arial"/>
          <w:color w:val="333333"/>
          <w:lang w:eastAsia="es-CO"/>
        </w:rPr>
      </w:pPr>
      <w:r w:rsidRPr="00D308C3">
        <w:rPr>
          <w:rFonts w:ascii="Century Gothic" w:eastAsia="Times New Roman" w:hAnsi="Century Gothic" w:cs="Arial"/>
          <w:i/>
          <w:iCs/>
          <w:color w:val="333333"/>
          <w:lang w:eastAsia="es-CO"/>
        </w:rPr>
        <w:t>La Corte ha reconocido que con fundamento en los artículos 150, numeral 19, literal e), 217 y 218 del Texto Superior, los miembros de la fuerza pública tienen derecho a un régimen prestacional especial, en razón al riesgo latente que envuelve la función pública que prestan y desarrollan. Es claro que la existencia de un régimen especial para los miembros de la fuerza pública, no sólo tiene su fundamento constitucional en la consagración expresa de los artículos 150, numeral 19, literal e), 217 y 218 del Texto Superior, sino también en la diversidad de vínculos jurídicos para acceder a la función pública y que, sin lugar a dudas, conducen a una distinta nominación del empleo, de la categoría del servidor y de la naturaleza de sus funciones, que lógicamente conllevan al señalamiento de un régimen salarial y prestacional distinto.</w:t>
      </w:r>
    </w:p>
    <w:p w:rsidR="00B84D1B" w:rsidRPr="00D308C3" w:rsidRDefault="00B84D1B" w:rsidP="002347E0">
      <w:pPr>
        <w:pStyle w:val="Textoindependiente"/>
        <w:shd w:val="clear" w:color="auto" w:fill="FFFFFF"/>
        <w:spacing w:before="0" w:beforeAutospacing="0"/>
        <w:ind w:left="1134" w:right="1185"/>
        <w:jc w:val="both"/>
        <w:rPr>
          <w:rFonts w:ascii="Century Gothic" w:hAnsi="Century Gothic" w:cs="Arial"/>
          <w:color w:val="333333"/>
          <w:sz w:val="22"/>
          <w:szCs w:val="22"/>
        </w:rPr>
      </w:pPr>
      <w:r w:rsidRPr="00D308C3">
        <w:rPr>
          <w:rFonts w:ascii="Century Gothic" w:hAnsi="Century Gothic" w:cs="Arial"/>
          <w:b/>
          <w:bCs/>
          <w:color w:val="333333"/>
          <w:sz w:val="22"/>
          <w:szCs w:val="22"/>
        </w:rPr>
        <w:t>REGIMEN PRESTACIONAL ESPECIAL PARA LA FUERZA PUBLICA</w:t>
      </w:r>
    </w:p>
    <w:p w:rsidR="00B84D1B" w:rsidRPr="00D308C3" w:rsidRDefault="00B84D1B" w:rsidP="003C581E">
      <w:pPr>
        <w:pStyle w:val="Textoindependiente"/>
        <w:shd w:val="clear" w:color="auto" w:fill="FFFFFF"/>
        <w:spacing w:before="0" w:beforeAutospacing="0"/>
        <w:ind w:left="1209" w:right="1185"/>
        <w:jc w:val="both"/>
        <w:rPr>
          <w:rFonts w:ascii="Century Gothic" w:hAnsi="Century Gothic" w:cs="Arial"/>
          <w:color w:val="333333"/>
          <w:sz w:val="22"/>
          <w:szCs w:val="22"/>
        </w:rPr>
      </w:pPr>
      <w:r w:rsidRPr="00D308C3">
        <w:rPr>
          <w:rFonts w:ascii="Century Gothic" w:hAnsi="Century Gothic" w:cs="Arial"/>
          <w:b/>
          <w:bCs/>
          <w:color w:val="333333"/>
          <w:sz w:val="22"/>
          <w:szCs w:val="22"/>
        </w:rPr>
        <w:t>REGIMEN NORMATIVO</w:t>
      </w:r>
      <w:r w:rsidRPr="00D308C3">
        <w:rPr>
          <w:rFonts w:ascii="Century Gothic" w:hAnsi="Century Gothic" w:cs="Arial"/>
          <w:color w:val="333333"/>
          <w:sz w:val="22"/>
          <w:szCs w:val="22"/>
        </w:rPr>
        <w:t>-Carácter especial se contrapone a lo excepcional y autónomo</w:t>
      </w:r>
      <w:r w:rsidRPr="00D308C3">
        <w:rPr>
          <w:rFonts w:ascii="Century Gothic" w:hAnsi="Century Gothic" w:cs="Arial"/>
          <w:b/>
          <w:bCs/>
          <w:color w:val="333333"/>
          <w:sz w:val="22"/>
          <w:szCs w:val="22"/>
        </w:rPr>
        <w:t>/DERECHO EXCEPCIONAL, AUTONOMO Y ESPECIAL</w:t>
      </w:r>
      <w:r w:rsidRPr="00D308C3">
        <w:rPr>
          <w:rFonts w:ascii="Century Gothic" w:hAnsi="Century Gothic" w:cs="Arial"/>
          <w:color w:val="333333"/>
          <w:sz w:val="22"/>
          <w:szCs w:val="22"/>
        </w:rPr>
        <w:t>-Conceptos</w:t>
      </w:r>
    </w:p>
    <w:p w:rsidR="00B84D1B" w:rsidRPr="00D308C3" w:rsidRDefault="00B84D1B" w:rsidP="002347E0">
      <w:pPr>
        <w:pStyle w:val="NormalWeb"/>
        <w:shd w:val="clear" w:color="auto" w:fill="FFFFFF"/>
        <w:spacing w:before="0" w:beforeAutospacing="0"/>
        <w:ind w:right="1185" w:firstLine="1134"/>
        <w:jc w:val="both"/>
        <w:rPr>
          <w:rFonts w:ascii="Century Gothic" w:hAnsi="Century Gothic" w:cs="Arial"/>
          <w:color w:val="333333"/>
          <w:sz w:val="22"/>
          <w:szCs w:val="22"/>
        </w:rPr>
      </w:pPr>
      <w:r w:rsidRPr="00D308C3">
        <w:rPr>
          <w:rFonts w:ascii="Century Gothic" w:hAnsi="Century Gothic" w:cs="Arial"/>
          <w:color w:val="333333"/>
          <w:sz w:val="22"/>
          <w:szCs w:val="22"/>
        </w:rPr>
        <w:t> </w:t>
      </w:r>
    </w:p>
    <w:p w:rsidR="00F7208C" w:rsidRPr="00D308C3" w:rsidRDefault="00B84D1B" w:rsidP="002347E0">
      <w:pPr>
        <w:pStyle w:val="Textoindependiente"/>
        <w:shd w:val="clear" w:color="auto" w:fill="FFFFFF"/>
        <w:spacing w:before="0" w:beforeAutospacing="0"/>
        <w:ind w:left="1134" w:right="1185"/>
        <w:jc w:val="both"/>
        <w:rPr>
          <w:rFonts w:ascii="Century Gothic" w:hAnsi="Century Gothic" w:cs="Arial"/>
          <w:i/>
          <w:iCs/>
          <w:color w:val="333333"/>
          <w:sz w:val="22"/>
          <w:szCs w:val="22"/>
        </w:rPr>
      </w:pPr>
      <w:r w:rsidRPr="00D308C3">
        <w:rPr>
          <w:rFonts w:ascii="Century Gothic" w:hAnsi="Century Gothic" w:cs="Arial"/>
          <w:i/>
          <w:iCs/>
          <w:color w:val="333333"/>
          <w:sz w:val="22"/>
          <w:szCs w:val="22"/>
        </w:rPr>
        <w:lastRenderedPageBreak/>
        <w:t xml:space="preserve">El carácter especial se contrapone a los calificativos excepcional y autónomo, en torno al ámbito de la aplicación de un régimen normativo en un determinado ordenamiento jurídico. Así, lo reconoce la doctrina, al establecer que el derecho excepcional es aquel </w:t>
      </w:r>
    </w:p>
    <w:p w:rsidR="00B84D1B" w:rsidRPr="00D308C3" w:rsidRDefault="00B84D1B" w:rsidP="002347E0">
      <w:pPr>
        <w:pStyle w:val="Textoindependiente"/>
        <w:shd w:val="clear" w:color="auto" w:fill="FFFFFF"/>
        <w:spacing w:before="0" w:beforeAutospacing="0"/>
        <w:ind w:left="1134" w:right="1185"/>
        <w:jc w:val="both"/>
        <w:rPr>
          <w:rFonts w:ascii="Century Gothic" w:hAnsi="Century Gothic" w:cs="Arial"/>
          <w:color w:val="333333"/>
          <w:sz w:val="22"/>
          <w:szCs w:val="22"/>
        </w:rPr>
      </w:pPr>
      <w:r w:rsidRPr="00D308C3">
        <w:rPr>
          <w:rFonts w:ascii="Century Gothic" w:hAnsi="Century Gothic" w:cs="Arial"/>
          <w:i/>
          <w:iCs/>
          <w:color w:val="333333"/>
          <w:sz w:val="22"/>
          <w:szCs w:val="22"/>
        </w:rPr>
        <w:t>régimen normativo que supone la existencia de otro -de mayor alcance y jerarquía- frente al cual se introducen derogaciones, subrogaciones o modificaciones en aspectos puntuales. Es derecho autónomo el conjunto de disposiciones jurídicas que dependen de si mismas y se encuentran sujetas a sus propios principios generales. Finalmente, es derecho especial aquel régimen normativo que, sin llegar a ser autónomo, supone una regulación separada y libre de una materia independiente, que responde a una cierta y exclusiva individualidad técnica y económica.</w:t>
      </w:r>
    </w:p>
    <w:p w:rsidR="00B84D1B" w:rsidRPr="00D308C3" w:rsidRDefault="00B84D1B" w:rsidP="002347E0">
      <w:pPr>
        <w:pStyle w:val="NormalWeb"/>
        <w:shd w:val="clear" w:color="auto" w:fill="FFFFFF"/>
        <w:spacing w:before="0" w:beforeAutospacing="0"/>
        <w:ind w:right="1185" w:firstLine="1134"/>
        <w:jc w:val="both"/>
        <w:rPr>
          <w:rFonts w:ascii="Century Gothic" w:hAnsi="Century Gothic" w:cs="Arial"/>
          <w:color w:val="333333"/>
          <w:sz w:val="22"/>
          <w:szCs w:val="22"/>
        </w:rPr>
      </w:pPr>
      <w:r w:rsidRPr="00D308C3">
        <w:rPr>
          <w:rFonts w:ascii="Century Gothic" w:hAnsi="Century Gothic" w:cs="Arial"/>
          <w:b/>
          <w:bCs/>
          <w:color w:val="333333"/>
          <w:sz w:val="22"/>
          <w:szCs w:val="22"/>
        </w:rPr>
        <w:t>REGIMEN PRESTACIONAL EXCEPCIONAL</w:t>
      </w:r>
      <w:r w:rsidRPr="00D308C3">
        <w:rPr>
          <w:rFonts w:ascii="Century Gothic" w:hAnsi="Century Gothic" w:cs="Arial"/>
          <w:color w:val="333333"/>
          <w:sz w:val="22"/>
          <w:szCs w:val="22"/>
        </w:rPr>
        <w:t>-Concepto</w:t>
      </w:r>
    </w:p>
    <w:p w:rsidR="00B84D1B" w:rsidRPr="00D308C3" w:rsidRDefault="00B84D1B" w:rsidP="00470ED9">
      <w:pPr>
        <w:pStyle w:val="NormalWeb"/>
        <w:shd w:val="clear" w:color="auto" w:fill="FFFFFF"/>
        <w:spacing w:before="0" w:beforeAutospacing="0"/>
        <w:ind w:left="1134" w:right="1185" w:firstLine="60"/>
        <w:jc w:val="both"/>
        <w:rPr>
          <w:rFonts w:ascii="Century Gothic" w:hAnsi="Century Gothic" w:cs="Arial"/>
          <w:color w:val="333333"/>
          <w:sz w:val="22"/>
          <w:szCs w:val="22"/>
        </w:rPr>
      </w:pPr>
      <w:r w:rsidRPr="00D308C3">
        <w:rPr>
          <w:rFonts w:ascii="Century Gothic" w:hAnsi="Century Gothic" w:cs="Arial"/>
          <w:i/>
          <w:iCs/>
          <w:color w:val="333333"/>
          <w:sz w:val="22"/>
          <w:szCs w:val="22"/>
        </w:rPr>
        <w:t>Se puede considerar que un régimen prestacional especial es aquel conjunto normativo que crea, regula, establece y desarrolla una serie o catálogo de prestaciones a favor de un grupo social determinado que, a pesar de tener su origen en un derecho general o de mayor entidad, goza de una regulación propia, en virtud de ciertas características individuales que le dotan de plena singularidad.</w:t>
      </w:r>
    </w:p>
    <w:p w:rsidR="00B84D1B" w:rsidRPr="00D308C3" w:rsidRDefault="00B84D1B" w:rsidP="00470ED9">
      <w:pPr>
        <w:pStyle w:val="Textoindependiente"/>
        <w:shd w:val="clear" w:color="auto" w:fill="FFFFFF"/>
        <w:spacing w:before="0" w:beforeAutospacing="0"/>
        <w:ind w:left="1134" w:right="1185" w:firstLine="60"/>
        <w:jc w:val="both"/>
        <w:rPr>
          <w:rFonts w:ascii="Century Gothic" w:hAnsi="Century Gothic" w:cs="Arial"/>
          <w:color w:val="333333"/>
          <w:sz w:val="22"/>
          <w:szCs w:val="22"/>
        </w:rPr>
      </w:pPr>
      <w:r w:rsidRPr="00D308C3">
        <w:rPr>
          <w:rFonts w:ascii="Century Gothic" w:hAnsi="Century Gothic" w:cs="Arial"/>
          <w:b/>
          <w:bCs/>
          <w:color w:val="333333"/>
          <w:sz w:val="22"/>
          <w:szCs w:val="22"/>
        </w:rPr>
        <w:t>REGIMEN PRESTACIONAL ESPECIAL DE SEGURIDAD SOCIAL</w:t>
      </w:r>
      <w:r w:rsidRPr="00D308C3">
        <w:rPr>
          <w:rFonts w:ascii="Century Gothic" w:hAnsi="Century Gothic" w:cs="Arial"/>
          <w:color w:val="333333"/>
          <w:sz w:val="22"/>
          <w:szCs w:val="22"/>
        </w:rPr>
        <w:t>-Implicaciones de la existencia</w:t>
      </w:r>
    </w:p>
    <w:p w:rsidR="00B84D1B" w:rsidRPr="00D308C3" w:rsidRDefault="00B84D1B" w:rsidP="003C581E">
      <w:pPr>
        <w:pStyle w:val="Textoindependiente"/>
        <w:shd w:val="clear" w:color="auto" w:fill="FFFFFF"/>
        <w:spacing w:before="0" w:beforeAutospacing="0"/>
        <w:ind w:left="1134" w:right="1185" w:firstLine="75"/>
        <w:jc w:val="both"/>
        <w:rPr>
          <w:rFonts w:ascii="Century Gothic" w:hAnsi="Century Gothic" w:cs="Arial"/>
          <w:color w:val="333333"/>
          <w:sz w:val="22"/>
          <w:szCs w:val="22"/>
        </w:rPr>
      </w:pPr>
      <w:r w:rsidRPr="00D308C3">
        <w:rPr>
          <w:rFonts w:ascii="Century Gothic" w:hAnsi="Century Gothic" w:cs="Arial"/>
          <w:i/>
          <w:iCs/>
          <w:color w:val="333333"/>
          <w:sz w:val="22"/>
          <w:szCs w:val="22"/>
        </w:rPr>
        <w:t>La existencia de un régimen especial prestacional de seguridad social, implica la imposibilidad de someter a sus beneficiarios al sistema normativo general (Ley 100 de 1993 y Ley 797 de 2003). Por el contrario, su especialidad conduce a crear o regular distintas modalidades de prestaciones que permitan reconocer el fin constitucional que legitima su exclusión del sistema general, es decir, es indispensable adoptar medidas de protección superiores, en aras de propender por la igualdad material, la equidad y la justicia social de las minorías beneficiadas con la especial protección prevista en la Constitución.</w:t>
      </w:r>
    </w:p>
    <w:p w:rsidR="00B84D1B" w:rsidRPr="00D308C3" w:rsidRDefault="00B84D1B" w:rsidP="00470ED9">
      <w:pPr>
        <w:pStyle w:val="Textoindependiente"/>
        <w:shd w:val="clear" w:color="auto" w:fill="FFFFFF"/>
        <w:spacing w:before="0" w:beforeAutospacing="0"/>
        <w:ind w:left="1134" w:right="1185" w:firstLine="60"/>
        <w:jc w:val="both"/>
        <w:rPr>
          <w:rFonts w:ascii="Century Gothic" w:hAnsi="Century Gothic" w:cs="Arial"/>
          <w:color w:val="333333"/>
          <w:sz w:val="22"/>
          <w:szCs w:val="22"/>
        </w:rPr>
      </w:pPr>
      <w:r w:rsidRPr="00D308C3">
        <w:rPr>
          <w:rFonts w:ascii="Century Gothic" w:hAnsi="Century Gothic" w:cs="Arial"/>
          <w:b/>
          <w:bCs/>
          <w:color w:val="333333"/>
          <w:sz w:val="22"/>
          <w:szCs w:val="22"/>
        </w:rPr>
        <w:t>SISTEMA GENERAL DE SEGURIDAD SOCIAL</w:t>
      </w:r>
      <w:r w:rsidRPr="00D308C3">
        <w:rPr>
          <w:rFonts w:ascii="Century Gothic" w:hAnsi="Century Gothic" w:cs="Arial"/>
          <w:color w:val="333333"/>
          <w:sz w:val="22"/>
          <w:szCs w:val="22"/>
        </w:rPr>
        <w:t>-Exclusión de miembros de la Fuerza Pública</w:t>
      </w:r>
    </w:p>
    <w:p w:rsidR="00B84D1B" w:rsidRPr="00D308C3" w:rsidRDefault="00B84D1B" w:rsidP="003C581E">
      <w:pPr>
        <w:pStyle w:val="NormalWeb"/>
        <w:shd w:val="clear" w:color="auto" w:fill="FFFFFF"/>
        <w:spacing w:before="0" w:beforeAutospacing="0"/>
        <w:ind w:left="1209" w:right="1185"/>
        <w:jc w:val="both"/>
        <w:rPr>
          <w:rFonts w:ascii="Century Gothic" w:hAnsi="Century Gothic" w:cs="Arial"/>
          <w:color w:val="333333"/>
          <w:sz w:val="22"/>
          <w:szCs w:val="22"/>
        </w:rPr>
      </w:pPr>
      <w:r w:rsidRPr="00D308C3">
        <w:rPr>
          <w:rFonts w:ascii="Century Gothic" w:hAnsi="Century Gothic" w:cs="Arial"/>
          <w:b/>
          <w:bCs/>
          <w:color w:val="333333"/>
          <w:sz w:val="22"/>
          <w:szCs w:val="22"/>
        </w:rPr>
        <w:t>REGIMEN PRESTACIONAL ESPECIAL PARA LA FUERZA PUBLICA</w:t>
      </w:r>
      <w:r w:rsidRPr="00D308C3">
        <w:rPr>
          <w:rFonts w:ascii="Century Gothic" w:hAnsi="Century Gothic" w:cs="Arial"/>
          <w:color w:val="333333"/>
          <w:sz w:val="22"/>
          <w:szCs w:val="22"/>
        </w:rPr>
        <w:t>-Objetivo y límites</w:t>
      </w:r>
    </w:p>
    <w:p w:rsidR="00F7208C" w:rsidRPr="00D308C3" w:rsidRDefault="00B84D1B" w:rsidP="003C581E">
      <w:pPr>
        <w:pStyle w:val="NormalWeb"/>
        <w:shd w:val="clear" w:color="auto" w:fill="FFFFFF"/>
        <w:spacing w:before="0" w:beforeAutospacing="0"/>
        <w:ind w:left="1134" w:right="1185" w:firstLine="75"/>
        <w:jc w:val="both"/>
        <w:rPr>
          <w:rFonts w:ascii="Century Gothic" w:hAnsi="Century Gothic" w:cs="Arial"/>
          <w:i/>
          <w:iCs/>
          <w:color w:val="333333"/>
          <w:sz w:val="22"/>
          <w:szCs w:val="22"/>
        </w:rPr>
      </w:pPr>
      <w:r w:rsidRPr="00D308C3">
        <w:rPr>
          <w:rFonts w:ascii="Century Gothic" w:hAnsi="Century Gothic" w:cs="Arial"/>
          <w:i/>
          <w:iCs/>
          <w:color w:val="333333"/>
          <w:sz w:val="22"/>
          <w:szCs w:val="22"/>
        </w:rPr>
        <w:t xml:space="preserve">La existencia de prestaciones especiales a favor de los miembros de la fuerza pública, lejos de ser inconstitucionales, </w:t>
      </w:r>
      <w:r w:rsidRPr="00D308C3">
        <w:rPr>
          <w:rFonts w:ascii="Century Gothic" w:hAnsi="Century Gothic" w:cs="Arial"/>
          <w:i/>
          <w:iCs/>
          <w:color w:val="333333"/>
          <w:sz w:val="22"/>
          <w:szCs w:val="22"/>
        </w:rPr>
        <w:lastRenderedPageBreak/>
        <w:t xml:space="preserve">pretenden hacer efectivos los principios de igualdad material y equidad, a partir del establecimiento de unas mejores condiciones que permitan acceder a un régimen pensional más benéfico en tiempo, en porcentajes o en derechos, en aras equilibrar el desgaste físico y emocional sufrido durante un largo período de tiempo, por la prestación ininterrumpida de una función pública que envuelve un peligro inminente. Pero no se trata de reconocer privilegios o prerrogativas que desborden el </w:t>
      </w:r>
    </w:p>
    <w:p w:rsidR="00B84D1B" w:rsidRPr="00D308C3" w:rsidRDefault="00B84D1B" w:rsidP="00F7208C">
      <w:pPr>
        <w:pStyle w:val="NormalWeb"/>
        <w:shd w:val="clear" w:color="auto" w:fill="FFFFFF"/>
        <w:spacing w:before="0" w:beforeAutospacing="0"/>
        <w:ind w:left="1134" w:right="1185"/>
        <w:jc w:val="both"/>
        <w:rPr>
          <w:rFonts w:ascii="Century Gothic" w:hAnsi="Century Gothic" w:cs="Arial"/>
          <w:color w:val="333333"/>
          <w:sz w:val="22"/>
          <w:szCs w:val="22"/>
        </w:rPr>
      </w:pPr>
      <w:r w:rsidRPr="00D308C3">
        <w:rPr>
          <w:rFonts w:ascii="Century Gothic" w:hAnsi="Century Gothic" w:cs="Arial"/>
          <w:i/>
          <w:iCs/>
          <w:color w:val="333333"/>
          <w:sz w:val="22"/>
          <w:szCs w:val="22"/>
        </w:rPr>
        <w:t>contenido prestacional de la garantía a la seguridad social, es decir, la regulación especial que para el efecto establezca, debe enmarcarse dentro del fin constitucional que cumplen los preceptos superiores que la autorizan (C.P. artículos 150, numeral 19, literal e) y 217 y 218), y, además, debe ser proporcional a los hechos que le sirven de causa. En esta medida, dichas prestaciones resultan razonables y proporcionales si permiten nivelar a los miembros de la fuerza pública con el resto de servidores del Estado, a través del señalamiento de derechos prestacionales que repongan el desgaste físico y emocional a que se someten los primeros, principalmente en razón de sus servicios. De lo contrario, esto es, si el objetivo de la prestación desborda los citados limites, el reconocimiento de dicha prestación resulta inconstitucional, pues otorga un beneficio carente de una causa constitucional real y efectiva. </w:t>
      </w:r>
    </w:p>
    <w:p w:rsidR="00B84D1B" w:rsidRPr="00D308C3" w:rsidRDefault="00B84D1B" w:rsidP="002347E0">
      <w:pPr>
        <w:pStyle w:val="NormalWeb"/>
        <w:shd w:val="clear" w:color="auto" w:fill="FFFFFF"/>
        <w:spacing w:before="0" w:beforeAutospacing="0"/>
        <w:ind w:right="1185" w:firstLine="1134"/>
        <w:jc w:val="both"/>
        <w:rPr>
          <w:rFonts w:ascii="Century Gothic" w:hAnsi="Century Gothic" w:cs="Arial"/>
          <w:color w:val="333333"/>
          <w:sz w:val="22"/>
          <w:szCs w:val="22"/>
        </w:rPr>
      </w:pPr>
      <w:r w:rsidRPr="00D308C3">
        <w:rPr>
          <w:rFonts w:ascii="Century Gothic" w:hAnsi="Century Gothic" w:cs="Arial"/>
          <w:color w:val="333333"/>
          <w:sz w:val="22"/>
          <w:szCs w:val="22"/>
        </w:rPr>
        <w:t> </w:t>
      </w:r>
      <w:r w:rsidRPr="00D308C3">
        <w:rPr>
          <w:rFonts w:ascii="Century Gothic" w:hAnsi="Century Gothic" w:cs="Arial"/>
          <w:b/>
          <w:bCs/>
          <w:color w:val="333333"/>
          <w:sz w:val="22"/>
          <w:szCs w:val="22"/>
        </w:rPr>
        <w:t>ASIGNACION DE RETIRO</w:t>
      </w:r>
      <w:r w:rsidRPr="00D308C3">
        <w:rPr>
          <w:rFonts w:ascii="Century Gothic" w:hAnsi="Century Gothic" w:cs="Arial"/>
          <w:color w:val="333333"/>
          <w:sz w:val="22"/>
          <w:szCs w:val="22"/>
        </w:rPr>
        <w:t>-Naturaleza jurídica</w:t>
      </w:r>
    </w:p>
    <w:p w:rsidR="00B84D1B" w:rsidRPr="00D308C3" w:rsidRDefault="00B84D1B" w:rsidP="003C581E">
      <w:pPr>
        <w:pStyle w:val="NormalWeb"/>
        <w:shd w:val="clear" w:color="auto" w:fill="FFFFFF"/>
        <w:spacing w:before="0" w:beforeAutospacing="0"/>
        <w:ind w:left="1209" w:right="1185"/>
        <w:jc w:val="both"/>
        <w:rPr>
          <w:rFonts w:ascii="Century Gothic" w:hAnsi="Century Gothic" w:cs="Arial"/>
          <w:color w:val="333333"/>
          <w:sz w:val="22"/>
          <w:szCs w:val="22"/>
        </w:rPr>
      </w:pPr>
      <w:r w:rsidRPr="00D308C3">
        <w:rPr>
          <w:rFonts w:ascii="Century Gothic" w:hAnsi="Century Gothic" w:cs="Arial"/>
          <w:b/>
          <w:bCs/>
          <w:color w:val="333333"/>
          <w:sz w:val="22"/>
          <w:szCs w:val="22"/>
        </w:rPr>
        <w:t>ASIGNACION DE RETIRO PARA LA FUERZA PUBLICA</w:t>
      </w:r>
      <w:r w:rsidRPr="00D308C3">
        <w:rPr>
          <w:rFonts w:ascii="Century Gothic" w:hAnsi="Century Gothic" w:cs="Arial"/>
          <w:color w:val="333333"/>
          <w:sz w:val="22"/>
          <w:szCs w:val="22"/>
        </w:rPr>
        <w:t>-Naturaleza jurídica</w:t>
      </w:r>
    </w:p>
    <w:p w:rsidR="00B84D1B" w:rsidRPr="00D308C3" w:rsidRDefault="00B84D1B" w:rsidP="002347E0">
      <w:pPr>
        <w:pStyle w:val="NormalWeb"/>
        <w:shd w:val="clear" w:color="auto" w:fill="FFFFFF"/>
        <w:spacing w:before="0" w:beforeAutospacing="0"/>
        <w:ind w:right="1185" w:firstLine="1134"/>
        <w:jc w:val="both"/>
        <w:rPr>
          <w:rFonts w:ascii="Century Gothic" w:hAnsi="Century Gothic" w:cs="Arial"/>
          <w:color w:val="333333"/>
          <w:sz w:val="22"/>
          <w:szCs w:val="22"/>
        </w:rPr>
      </w:pPr>
      <w:r w:rsidRPr="00D308C3">
        <w:rPr>
          <w:rFonts w:ascii="Century Gothic" w:hAnsi="Century Gothic" w:cs="Arial"/>
          <w:color w:val="333333"/>
          <w:sz w:val="22"/>
          <w:szCs w:val="22"/>
        </w:rPr>
        <w:t> </w:t>
      </w:r>
      <w:r w:rsidRPr="00D308C3">
        <w:rPr>
          <w:rFonts w:ascii="Century Gothic" w:hAnsi="Century Gothic" w:cs="Arial"/>
          <w:b/>
          <w:bCs/>
          <w:color w:val="333333"/>
          <w:sz w:val="22"/>
          <w:szCs w:val="22"/>
        </w:rPr>
        <w:t>ASIGNACION DE RETIRO</w:t>
      </w:r>
      <w:r w:rsidRPr="00D308C3">
        <w:rPr>
          <w:rFonts w:ascii="Century Gothic" w:hAnsi="Century Gothic" w:cs="Arial"/>
          <w:color w:val="333333"/>
          <w:sz w:val="22"/>
          <w:szCs w:val="22"/>
        </w:rPr>
        <w:t>-Compatibilidad</w:t>
      </w:r>
    </w:p>
    <w:p w:rsidR="00B84D1B" w:rsidRPr="00D308C3" w:rsidRDefault="00B84D1B" w:rsidP="003C581E">
      <w:pPr>
        <w:pStyle w:val="NormalWeb"/>
        <w:shd w:val="clear" w:color="auto" w:fill="FFFFFF"/>
        <w:spacing w:before="0" w:beforeAutospacing="0"/>
        <w:ind w:left="1209" w:right="1185"/>
        <w:jc w:val="both"/>
        <w:rPr>
          <w:rFonts w:ascii="Century Gothic" w:hAnsi="Century Gothic" w:cs="Arial"/>
          <w:color w:val="333333"/>
          <w:sz w:val="22"/>
          <w:szCs w:val="22"/>
        </w:rPr>
      </w:pPr>
      <w:r w:rsidRPr="00D308C3">
        <w:rPr>
          <w:rFonts w:ascii="Century Gothic" w:hAnsi="Century Gothic" w:cs="Arial"/>
          <w:b/>
          <w:bCs/>
          <w:color w:val="333333"/>
          <w:sz w:val="22"/>
          <w:szCs w:val="22"/>
        </w:rPr>
        <w:t>ASIGNACION DE RETIRO PARA LA FUERZA PUBLICA</w:t>
      </w:r>
      <w:r w:rsidRPr="00D308C3">
        <w:rPr>
          <w:rFonts w:ascii="Century Gothic" w:hAnsi="Century Gothic" w:cs="Arial"/>
          <w:color w:val="333333"/>
          <w:sz w:val="22"/>
          <w:szCs w:val="22"/>
        </w:rPr>
        <w:t>-Naturaleza prestacional</w:t>
      </w:r>
    </w:p>
    <w:p w:rsidR="00B84D1B" w:rsidRPr="00D308C3" w:rsidRDefault="00B84D1B" w:rsidP="003C581E">
      <w:pPr>
        <w:pStyle w:val="NormalWeb"/>
        <w:shd w:val="clear" w:color="auto" w:fill="FFFFFF"/>
        <w:spacing w:before="0" w:beforeAutospacing="0"/>
        <w:ind w:left="1134" w:right="1185" w:firstLine="75"/>
        <w:jc w:val="both"/>
        <w:rPr>
          <w:rFonts w:ascii="Century Gothic" w:hAnsi="Century Gothic" w:cs="Arial"/>
          <w:color w:val="333333"/>
          <w:sz w:val="22"/>
          <w:szCs w:val="22"/>
        </w:rPr>
      </w:pPr>
      <w:r w:rsidRPr="00D308C3">
        <w:rPr>
          <w:rFonts w:ascii="Century Gothic" w:hAnsi="Century Gothic" w:cs="Arial"/>
          <w:i/>
          <w:iCs/>
          <w:color w:val="333333"/>
          <w:sz w:val="22"/>
          <w:szCs w:val="22"/>
        </w:rPr>
        <w:t>No existe duda alguna en relación con la naturaleza prestacional de la asignación de retiro. Adicionalmente, es indiscutible que dicha prestación cumple un fin constitucional determinado, pues conforme a lo expuesto, tiene como objetivo principal beneficiar a los miembros de la fuerza pública, con un tratamiento diferencial encaminado a mejorar sus condiciones económicas por la ejecución de una función pública que envuelve un riesgo inminente para sus vidas y las de sus familiares.</w:t>
      </w:r>
    </w:p>
    <w:p w:rsidR="00B84D1B" w:rsidRPr="00D308C3" w:rsidRDefault="00B84D1B" w:rsidP="003C581E">
      <w:pPr>
        <w:pStyle w:val="NormalWeb"/>
        <w:shd w:val="clear" w:color="auto" w:fill="FFFFFF"/>
        <w:spacing w:before="0" w:beforeAutospacing="0"/>
        <w:ind w:left="1134" w:right="1185" w:firstLine="75"/>
        <w:jc w:val="both"/>
        <w:rPr>
          <w:rFonts w:ascii="Century Gothic" w:hAnsi="Century Gothic" w:cs="Arial"/>
          <w:color w:val="333333"/>
          <w:sz w:val="22"/>
          <w:szCs w:val="22"/>
        </w:rPr>
      </w:pPr>
      <w:r w:rsidRPr="00D308C3">
        <w:rPr>
          <w:rFonts w:ascii="Century Gothic" w:hAnsi="Century Gothic" w:cs="Arial"/>
          <w:b/>
          <w:bCs/>
          <w:color w:val="333333"/>
          <w:sz w:val="22"/>
          <w:szCs w:val="22"/>
        </w:rPr>
        <w:t>LEY MARCO</w:t>
      </w:r>
      <w:r w:rsidRPr="00D308C3">
        <w:rPr>
          <w:rFonts w:ascii="Century Gothic" w:hAnsi="Century Gothic" w:cs="Arial"/>
          <w:color w:val="333333"/>
          <w:sz w:val="22"/>
          <w:szCs w:val="22"/>
        </w:rPr>
        <w:t>-Imposibilidad de regular sus materias a través de facultades extraordinarias</w:t>
      </w:r>
    </w:p>
    <w:p w:rsidR="00B84D1B" w:rsidRPr="00D308C3" w:rsidRDefault="00B84D1B" w:rsidP="003C581E">
      <w:pPr>
        <w:pStyle w:val="NormalWeb"/>
        <w:shd w:val="clear" w:color="auto" w:fill="FFFFFF"/>
        <w:spacing w:before="0" w:beforeAutospacing="0"/>
        <w:ind w:left="1134" w:right="1185" w:firstLine="75"/>
        <w:jc w:val="both"/>
        <w:rPr>
          <w:rFonts w:ascii="Century Gothic" w:hAnsi="Century Gothic" w:cs="Arial"/>
          <w:color w:val="333333"/>
          <w:sz w:val="22"/>
          <w:szCs w:val="22"/>
        </w:rPr>
      </w:pPr>
      <w:r w:rsidRPr="00D308C3">
        <w:rPr>
          <w:rFonts w:ascii="Century Gothic" w:hAnsi="Century Gothic" w:cs="Arial"/>
          <w:b/>
          <w:bCs/>
          <w:color w:val="333333"/>
          <w:sz w:val="22"/>
          <w:szCs w:val="22"/>
        </w:rPr>
        <w:lastRenderedPageBreak/>
        <w:t>LEY MARCO EN REGIMEN SALARIAL Y PRESTACIONAL DE LA FUERZA PUBLICA</w:t>
      </w:r>
      <w:r w:rsidRPr="00D308C3">
        <w:rPr>
          <w:rFonts w:ascii="Century Gothic" w:hAnsi="Century Gothic" w:cs="Arial"/>
          <w:color w:val="333333"/>
          <w:sz w:val="22"/>
          <w:szCs w:val="22"/>
        </w:rPr>
        <w:t>-Establecimiento por el Congreso que incluye la asignación de retiro</w:t>
      </w:r>
      <w:r w:rsidRPr="00D308C3">
        <w:rPr>
          <w:rFonts w:ascii="Century Gothic" w:hAnsi="Century Gothic" w:cs="Arial"/>
          <w:b/>
          <w:bCs/>
          <w:color w:val="333333"/>
          <w:sz w:val="22"/>
          <w:szCs w:val="22"/>
        </w:rPr>
        <w:t>/LEY MARCO EN REGIMEN SALARIAL Y PRESTACIONAL DE LA FUERZA PUBLICA</w:t>
      </w:r>
      <w:r w:rsidRPr="00D308C3">
        <w:rPr>
          <w:rFonts w:ascii="Century Gothic" w:hAnsi="Century Gothic" w:cs="Arial"/>
          <w:color w:val="333333"/>
          <w:sz w:val="22"/>
          <w:szCs w:val="22"/>
        </w:rPr>
        <w:t>-Reserva impide su expedición por decreto con fuerza de ley</w:t>
      </w:r>
      <w:r w:rsidR="002347E0" w:rsidRPr="00D308C3">
        <w:rPr>
          <w:rFonts w:ascii="Century Gothic" w:hAnsi="Century Gothic" w:cs="Arial"/>
          <w:color w:val="333333"/>
          <w:sz w:val="22"/>
          <w:szCs w:val="22"/>
        </w:rPr>
        <w:t>.</w:t>
      </w:r>
    </w:p>
    <w:p w:rsidR="00FE33D0" w:rsidRPr="00D308C3" w:rsidRDefault="00B84D1B" w:rsidP="00470ED9">
      <w:pPr>
        <w:pStyle w:val="NormalWeb"/>
        <w:shd w:val="clear" w:color="auto" w:fill="FFFFFF"/>
        <w:spacing w:before="0" w:beforeAutospacing="0"/>
        <w:ind w:left="1134" w:right="1185" w:firstLine="60"/>
        <w:jc w:val="both"/>
        <w:rPr>
          <w:rFonts w:ascii="Century Gothic" w:hAnsi="Century Gothic" w:cs="Arial"/>
          <w:i/>
          <w:iCs/>
          <w:color w:val="333333"/>
          <w:sz w:val="22"/>
          <w:szCs w:val="22"/>
        </w:rPr>
      </w:pPr>
      <w:r w:rsidRPr="00D308C3">
        <w:rPr>
          <w:rFonts w:ascii="Century Gothic" w:hAnsi="Century Gothic" w:cs="Arial"/>
          <w:i/>
          <w:iCs/>
          <w:color w:val="333333"/>
          <w:sz w:val="22"/>
          <w:szCs w:val="22"/>
        </w:rPr>
        <w:t xml:space="preserve">Al Congreso de la República le corresponde establecer directamente, por medio de una ley marco, las normas generales y los </w:t>
      </w:r>
    </w:p>
    <w:p w:rsidR="007806FF" w:rsidRPr="00D308C3" w:rsidRDefault="00B84D1B" w:rsidP="00FE33D0">
      <w:pPr>
        <w:pStyle w:val="NormalWeb"/>
        <w:shd w:val="clear" w:color="auto" w:fill="FFFFFF"/>
        <w:spacing w:before="0" w:beforeAutospacing="0"/>
        <w:ind w:left="1134" w:right="1185"/>
        <w:jc w:val="both"/>
        <w:rPr>
          <w:rFonts w:ascii="Century Gothic" w:hAnsi="Century Gothic" w:cs="Arial"/>
          <w:i/>
          <w:iCs/>
          <w:color w:val="333333"/>
          <w:sz w:val="22"/>
          <w:szCs w:val="22"/>
        </w:rPr>
      </w:pPr>
      <w:r w:rsidRPr="00D308C3">
        <w:rPr>
          <w:rFonts w:ascii="Century Gothic" w:hAnsi="Century Gothic" w:cs="Arial"/>
          <w:i/>
          <w:iCs/>
          <w:color w:val="333333"/>
          <w:sz w:val="22"/>
          <w:szCs w:val="22"/>
        </w:rPr>
        <w:t xml:space="preserve">objetivos y criterios a que debe sujetarse el Gobierno Nacional en la fijación del régimen salarial y prestacional de los miembros de la fuerza pública. De igual manera, es innegable que la regulación de dicho régimen prestacional especial, incluye a la asignación de retiro como </w:t>
      </w:r>
    </w:p>
    <w:p w:rsidR="002347E0" w:rsidRPr="00D308C3" w:rsidRDefault="00B84D1B" w:rsidP="007806FF">
      <w:pPr>
        <w:pStyle w:val="NormalWeb"/>
        <w:shd w:val="clear" w:color="auto" w:fill="FFFFFF"/>
        <w:spacing w:before="0" w:beforeAutospacing="0"/>
        <w:ind w:left="1134" w:right="1185"/>
        <w:jc w:val="both"/>
        <w:rPr>
          <w:rFonts w:ascii="Century Gothic" w:hAnsi="Century Gothic" w:cs="Arial"/>
          <w:i/>
          <w:iCs/>
          <w:color w:val="333333"/>
          <w:sz w:val="22"/>
          <w:szCs w:val="22"/>
        </w:rPr>
      </w:pPr>
      <w:r w:rsidRPr="00D308C3">
        <w:rPr>
          <w:rFonts w:ascii="Century Gothic" w:hAnsi="Century Gothic" w:cs="Arial"/>
          <w:i/>
          <w:iCs/>
          <w:color w:val="333333"/>
          <w:sz w:val="22"/>
          <w:szCs w:val="22"/>
        </w:rPr>
        <w:t xml:space="preserve">una modalidad particular de pensión de vejez para los miembros de las fuerzas militares y de la policía nacional, </w:t>
      </w:r>
      <w:proofErr w:type="gramStart"/>
      <w:r w:rsidRPr="00D308C3">
        <w:rPr>
          <w:rFonts w:ascii="Century Gothic" w:hAnsi="Century Gothic" w:cs="Arial"/>
          <w:i/>
          <w:iCs/>
          <w:color w:val="333333"/>
          <w:sz w:val="22"/>
          <w:szCs w:val="22"/>
        </w:rPr>
        <w:t>y</w:t>
      </w:r>
      <w:proofErr w:type="gramEnd"/>
      <w:r w:rsidRPr="00D308C3">
        <w:rPr>
          <w:rFonts w:ascii="Century Gothic" w:hAnsi="Century Gothic" w:cs="Arial"/>
          <w:i/>
          <w:iCs/>
          <w:color w:val="333333"/>
          <w:sz w:val="22"/>
          <w:szCs w:val="22"/>
        </w:rPr>
        <w:t xml:space="preserve"> por ende, su regulación debe realizarse a través de dicha tipología legal. Ahora bien, según lo ha sostenido reiteradamente esta Corporación, es indiscutible que, dicha reserva por expreso mandato constitucional, impide que las materias propias de una ley marco - como la referente a la fijación del régimen salarial y prestacional de los miembros de la fuerza pública -  puedan ser expedidas por decreto ley, pues en este punto, el Congreso no puede conferir facultades extraordinarias al Presidente de la República. Por consiguiente, las obligaciones que surgen del régimen prestacional de los miembros de la fuerza pública, son susceptibles de regulación exclusivamente mediante ley marco y no admiten, en su desarrollo, otra modalidad normativa, principalmente, a través del ejercicio de facultades extraordinarias por expresa prohibición constitucional. En efecto, el otorgamiento de facultades al Presidente de la República para regular de manera general y abstracta un asunto sometido a reserva de ley marco, desconocería el ejercicio de la competencia concurrente que para la regulación de dichas materias ha establecido el Constituyente: Entre el Congreso de la República y el Gobierno Nacional</w:t>
      </w:r>
      <w:r w:rsidR="002347E0" w:rsidRPr="00D308C3">
        <w:rPr>
          <w:rFonts w:ascii="Century Gothic" w:hAnsi="Century Gothic" w:cs="Arial"/>
          <w:i/>
          <w:iCs/>
          <w:color w:val="333333"/>
          <w:sz w:val="22"/>
          <w:szCs w:val="22"/>
        </w:rPr>
        <w:t>…</w:t>
      </w:r>
      <w:r w:rsidR="00A619D5" w:rsidRPr="00D308C3">
        <w:rPr>
          <w:rFonts w:ascii="Century Gothic" w:hAnsi="Century Gothic" w:cs="Arial"/>
          <w:i/>
          <w:iCs/>
          <w:color w:val="333333"/>
          <w:sz w:val="22"/>
          <w:szCs w:val="22"/>
        </w:rPr>
        <w:t>”</w:t>
      </w:r>
    </w:p>
    <w:p w:rsidR="00153C87" w:rsidRPr="00D308C3" w:rsidRDefault="00B84D1B" w:rsidP="00153C87">
      <w:pPr>
        <w:spacing w:line="276" w:lineRule="auto"/>
        <w:jc w:val="both"/>
        <w:rPr>
          <w:rFonts w:ascii="Century Gothic" w:hAnsi="Century Gothic"/>
          <w:sz w:val="24"/>
          <w:szCs w:val="24"/>
        </w:rPr>
      </w:pPr>
      <w:r w:rsidRPr="00D308C3">
        <w:rPr>
          <w:rFonts w:ascii="Century Gothic" w:hAnsi="Century Gothic"/>
          <w:sz w:val="24"/>
          <w:szCs w:val="24"/>
        </w:rPr>
        <w:t>Por lo que hay que señalar</w:t>
      </w:r>
      <w:r w:rsidR="001D2F8D" w:rsidRPr="00D308C3">
        <w:rPr>
          <w:rFonts w:ascii="Century Gothic" w:hAnsi="Century Gothic"/>
          <w:sz w:val="24"/>
          <w:szCs w:val="24"/>
        </w:rPr>
        <w:t>,</w:t>
      </w:r>
      <w:r w:rsidRPr="00D308C3">
        <w:rPr>
          <w:rFonts w:ascii="Century Gothic" w:hAnsi="Century Gothic"/>
          <w:sz w:val="24"/>
          <w:szCs w:val="24"/>
        </w:rPr>
        <w:t xml:space="preserve"> que la intención del legislador de mantener esa condición especial a los miembros de</w:t>
      </w:r>
      <w:r w:rsidR="009E4788" w:rsidRPr="00D308C3">
        <w:rPr>
          <w:rFonts w:ascii="Century Gothic" w:hAnsi="Century Gothic"/>
          <w:sz w:val="24"/>
          <w:szCs w:val="24"/>
        </w:rPr>
        <w:t xml:space="preserve"> </w:t>
      </w:r>
      <w:r w:rsidRPr="00D308C3">
        <w:rPr>
          <w:rFonts w:ascii="Century Gothic" w:hAnsi="Century Gothic"/>
          <w:sz w:val="24"/>
          <w:szCs w:val="24"/>
        </w:rPr>
        <w:t xml:space="preserve">la </w:t>
      </w:r>
      <w:r w:rsidR="009E4788" w:rsidRPr="00D308C3">
        <w:rPr>
          <w:rFonts w:ascii="Century Gothic" w:hAnsi="Century Gothic"/>
          <w:color w:val="2D2D2D"/>
          <w:sz w:val="24"/>
          <w:szCs w:val="24"/>
          <w:shd w:val="clear" w:color="auto" w:fill="FFFFFF"/>
        </w:rPr>
        <w:t>Fuerza Pública</w:t>
      </w:r>
      <w:r w:rsidRPr="00D308C3">
        <w:rPr>
          <w:rFonts w:ascii="Century Gothic" w:hAnsi="Century Gothic"/>
          <w:sz w:val="24"/>
          <w:szCs w:val="24"/>
        </w:rPr>
        <w:t>, no fue solo para te</w:t>
      </w:r>
      <w:r w:rsidR="003C581E" w:rsidRPr="00D308C3">
        <w:rPr>
          <w:rFonts w:ascii="Century Gothic" w:hAnsi="Century Gothic"/>
          <w:sz w:val="24"/>
          <w:szCs w:val="24"/>
        </w:rPr>
        <w:t>ma</w:t>
      </w:r>
      <w:r w:rsidRPr="00D308C3">
        <w:rPr>
          <w:rFonts w:ascii="Century Gothic" w:hAnsi="Century Gothic"/>
          <w:sz w:val="24"/>
          <w:szCs w:val="24"/>
        </w:rPr>
        <w:t>s prestacionales o pensionales, sino también salarial,</w:t>
      </w:r>
      <w:r w:rsidR="00290E4C" w:rsidRPr="00D308C3">
        <w:rPr>
          <w:rFonts w:ascii="Century Gothic" w:hAnsi="Century Gothic"/>
          <w:sz w:val="24"/>
          <w:szCs w:val="24"/>
        </w:rPr>
        <w:t xml:space="preserve"> y </w:t>
      </w:r>
      <w:r w:rsidR="00F20479" w:rsidRPr="00D308C3">
        <w:rPr>
          <w:rFonts w:ascii="Century Gothic" w:hAnsi="Century Gothic"/>
          <w:sz w:val="24"/>
          <w:szCs w:val="24"/>
        </w:rPr>
        <w:t>así</w:t>
      </w:r>
      <w:r w:rsidR="00290E4C" w:rsidRPr="00D308C3">
        <w:rPr>
          <w:rFonts w:ascii="Century Gothic" w:hAnsi="Century Gothic"/>
          <w:sz w:val="24"/>
          <w:szCs w:val="24"/>
        </w:rPr>
        <w:t xml:space="preserve"> compensar ese desgaste al que es sometido durante largos periodos, no sólo el militar, sino también los miembros de su familia,</w:t>
      </w:r>
      <w:r w:rsidRPr="00D308C3">
        <w:rPr>
          <w:rFonts w:ascii="Century Gothic" w:hAnsi="Century Gothic"/>
          <w:sz w:val="24"/>
          <w:szCs w:val="24"/>
        </w:rPr>
        <w:t xml:space="preserve"> </w:t>
      </w:r>
      <w:r w:rsidR="00153C87" w:rsidRPr="00D308C3">
        <w:rPr>
          <w:rFonts w:ascii="Century Gothic" w:hAnsi="Century Gothic"/>
          <w:sz w:val="24"/>
          <w:szCs w:val="24"/>
        </w:rPr>
        <w:t>ese</w:t>
      </w:r>
      <w:r w:rsidR="00153C87" w:rsidRPr="00D308C3">
        <w:rPr>
          <w:rFonts w:ascii="Century Gothic" w:hAnsi="Century Gothic"/>
          <w:sz w:val="24"/>
          <w:szCs w:val="24"/>
          <w:shd w:val="clear" w:color="auto" w:fill="FFFFFF"/>
        </w:rPr>
        <w:t xml:space="preserve"> el riesgo latente que entraña la función pública que prestan y desarrollan sus miembros de acuerdo con las finalidades expresadas en los artículos 217 y 218 Superiores</w:t>
      </w:r>
      <w:r w:rsidR="000F4EAE" w:rsidRPr="00D308C3">
        <w:rPr>
          <w:rFonts w:ascii="Century Gothic" w:hAnsi="Century Gothic"/>
          <w:sz w:val="24"/>
          <w:szCs w:val="24"/>
          <w:shd w:val="clear" w:color="auto" w:fill="FFFFFF"/>
        </w:rPr>
        <w:t>,</w:t>
      </w:r>
      <w:r w:rsidR="00153C87" w:rsidRPr="00D308C3">
        <w:rPr>
          <w:rFonts w:ascii="Century Gothic" w:hAnsi="Century Gothic"/>
          <w:sz w:val="24"/>
          <w:szCs w:val="24"/>
          <w:shd w:val="clear" w:color="auto" w:fill="FFFFFF"/>
        </w:rPr>
        <w:t xml:space="preserve"> relacionadas con la defensa de la soberanía, la independencia, la integridad del territorio nacional, del orden constitucional, el mantenimiento de las condiciones necesarias para el </w:t>
      </w:r>
      <w:r w:rsidR="00153C87" w:rsidRPr="00D308C3">
        <w:rPr>
          <w:rFonts w:ascii="Century Gothic" w:hAnsi="Century Gothic"/>
          <w:sz w:val="24"/>
          <w:szCs w:val="24"/>
          <w:shd w:val="clear" w:color="auto" w:fill="FFFFFF"/>
        </w:rPr>
        <w:lastRenderedPageBreak/>
        <w:t>ejercicio de los derechos y libertades públicas y para asegurar la convivencia pacífica.</w:t>
      </w:r>
    </w:p>
    <w:p w:rsidR="004D31DB" w:rsidRPr="00D308C3" w:rsidRDefault="004D31DB" w:rsidP="00D308C3">
      <w:pPr>
        <w:pStyle w:val="Prrafodelista"/>
        <w:spacing w:after="0"/>
        <w:jc w:val="both"/>
        <w:rPr>
          <w:rFonts w:ascii="Century Gothic" w:hAnsi="Century Gothic"/>
          <w:sz w:val="24"/>
          <w:szCs w:val="24"/>
        </w:rPr>
      </w:pPr>
      <w:r w:rsidRPr="00D308C3">
        <w:rPr>
          <w:rFonts w:ascii="Century Gothic" w:hAnsi="Century Gothic"/>
          <w:sz w:val="24"/>
          <w:szCs w:val="24"/>
        </w:rPr>
        <w:t xml:space="preserve">Ahora hay que tener en cuenta que el acto legislativo quiso mantener el régimen especial de los miembros de la fuerza pública y en el </w:t>
      </w:r>
      <w:r w:rsidRPr="00D308C3">
        <w:rPr>
          <w:rFonts w:ascii="Century Gothic" w:hAnsi="Century Gothic" w:cs="Arial"/>
          <w:sz w:val="24"/>
          <w:szCs w:val="24"/>
        </w:rPr>
        <w:t xml:space="preserve">parágrafo transitorio 2°, </w:t>
      </w:r>
      <w:r w:rsidRPr="00D308C3">
        <w:rPr>
          <w:rFonts w:ascii="Century Gothic" w:hAnsi="Century Gothic" w:cs="Arial"/>
          <w:b/>
          <w:sz w:val="24"/>
          <w:szCs w:val="24"/>
        </w:rPr>
        <w:t>exceptuó</w:t>
      </w:r>
      <w:r w:rsidRPr="00D308C3">
        <w:rPr>
          <w:rFonts w:ascii="Century Gothic" w:hAnsi="Century Gothic" w:cs="Arial"/>
          <w:sz w:val="24"/>
          <w:szCs w:val="24"/>
        </w:rPr>
        <w:t xml:space="preserve"> de su aplicación a los Miembros de la Fuerza Pública, de la siguiente forma:</w:t>
      </w:r>
    </w:p>
    <w:p w:rsidR="004D31DB" w:rsidRPr="00D308C3" w:rsidRDefault="004D31DB" w:rsidP="004D31DB">
      <w:pPr>
        <w:pStyle w:val="Prrafodelista"/>
        <w:spacing w:after="0" w:line="360" w:lineRule="auto"/>
        <w:jc w:val="both"/>
        <w:rPr>
          <w:rFonts w:ascii="Century Gothic" w:hAnsi="Century Gothic" w:cs="Arial"/>
          <w:sz w:val="24"/>
          <w:szCs w:val="24"/>
        </w:rPr>
      </w:pPr>
    </w:p>
    <w:p w:rsidR="004D31DB" w:rsidRPr="00D308C3" w:rsidRDefault="004D31DB" w:rsidP="004D31DB">
      <w:pPr>
        <w:pStyle w:val="NormalWeb"/>
        <w:spacing w:before="0" w:beforeAutospacing="0" w:after="0" w:afterAutospacing="0"/>
        <w:ind w:left="1416" w:right="616"/>
        <w:jc w:val="both"/>
        <w:rPr>
          <w:rFonts w:ascii="Century Gothic" w:eastAsia="Calibri" w:hAnsi="Century Gothic" w:cs="Arial"/>
          <w:i/>
          <w:lang w:eastAsia="en-US"/>
        </w:rPr>
      </w:pPr>
      <w:r w:rsidRPr="00D308C3">
        <w:rPr>
          <w:rFonts w:ascii="Century Gothic" w:eastAsia="Calibri" w:hAnsi="Century Gothic" w:cs="Arial"/>
          <w:i/>
          <w:lang w:eastAsia="en-US"/>
        </w:rPr>
        <w:t xml:space="preserve">"A partir de la vigencia del presente Acto Legislativo, no habrá regímenes especiales ni exceptuados, </w:t>
      </w:r>
      <w:r w:rsidRPr="00D308C3">
        <w:rPr>
          <w:rFonts w:ascii="Century Gothic" w:eastAsia="Calibri" w:hAnsi="Century Gothic" w:cs="Arial"/>
          <w:b/>
          <w:i/>
          <w:u w:val="single"/>
          <w:lang w:eastAsia="en-US"/>
        </w:rPr>
        <w:t>sin perjuicio del aplicable a la fuerza pública</w:t>
      </w:r>
      <w:r w:rsidRPr="00D308C3">
        <w:rPr>
          <w:rFonts w:ascii="Century Gothic" w:eastAsia="Calibri" w:hAnsi="Century Gothic" w:cs="Arial"/>
          <w:i/>
          <w:lang w:eastAsia="en-US"/>
        </w:rPr>
        <w:t>, al Presidente de la República y a lo establecido en los parágrafos del presente artículo" (Subrayas fuera de texto).</w:t>
      </w:r>
    </w:p>
    <w:p w:rsidR="004D31DB" w:rsidRPr="00D308C3" w:rsidRDefault="004D31DB" w:rsidP="00153C87">
      <w:pPr>
        <w:spacing w:line="276" w:lineRule="auto"/>
        <w:jc w:val="both"/>
        <w:rPr>
          <w:rFonts w:ascii="Century Gothic" w:hAnsi="Century Gothic"/>
          <w:sz w:val="24"/>
          <w:szCs w:val="24"/>
        </w:rPr>
      </w:pPr>
    </w:p>
    <w:p w:rsidR="00153C87" w:rsidRPr="00D308C3" w:rsidRDefault="004D31DB" w:rsidP="00153C87">
      <w:pPr>
        <w:spacing w:line="276" w:lineRule="auto"/>
        <w:jc w:val="both"/>
        <w:rPr>
          <w:rFonts w:ascii="Century Gothic" w:hAnsi="Century Gothic"/>
          <w:sz w:val="24"/>
          <w:szCs w:val="24"/>
        </w:rPr>
      </w:pPr>
      <w:r w:rsidRPr="00D308C3">
        <w:rPr>
          <w:rFonts w:ascii="Century Gothic" w:hAnsi="Century Gothic"/>
          <w:sz w:val="24"/>
          <w:szCs w:val="24"/>
        </w:rPr>
        <w:t xml:space="preserve">Por lo tanto, no tendría coherencia que se quisiera mantener su régimen especial y exceptuado, pero eliminársele la mesada 14, cuando lo que se trata es de conservar esa protección especial en todos sus aspectos. </w:t>
      </w:r>
    </w:p>
    <w:p w:rsidR="00FE33D0" w:rsidRPr="00D308C3" w:rsidRDefault="00153C87" w:rsidP="00153C87">
      <w:pPr>
        <w:spacing w:line="276" w:lineRule="auto"/>
        <w:jc w:val="both"/>
        <w:rPr>
          <w:rFonts w:ascii="Century Gothic" w:hAnsi="Century Gothic"/>
          <w:sz w:val="24"/>
          <w:szCs w:val="24"/>
        </w:rPr>
      </w:pPr>
      <w:r w:rsidRPr="00D308C3">
        <w:rPr>
          <w:rFonts w:ascii="Century Gothic" w:hAnsi="Century Gothic"/>
          <w:sz w:val="24"/>
          <w:szCs w:val="24"/>
        </w:rPr>
        <w:t>L</w:t>
      </w:r>
      <w:r w:rsidR="00B84D1B" w:rsidRPr="00D308C3">
        <w:rPr>
          <w:rFonts w:ascii="Century Gothic" w:hAnsi="Century Gothic"/>
          <w:sz w:val="24"/>
          <w:szCs w:val="24"/>
        </w:rPr>
        <w:t>o que nos lleva a conc</w:t>
      </w:r>
      <w:r w:rsidR="002347E0" w:rsidRPr="00D308C3">
        <w:rPr>
          <w:rFonts w:ascii="Century Gothic" w:hAnsi="Century Gothic"/>
          <w:sz w:val="24"/>
          <w:szCs w:val="24"/>
        </w:rPr>
        <w:t>l</w:t>
      </w:r>
      <w:r w:rsidR="00B84D1B" w:rsidRPr="00D308C3">
        <w:rPr>
          <w:rFonts w:ascii="Century Gothic" w:hAnsi="Century Gothic"/>
          <w:sz w:val="24"/>
          <w:szCs w:val="24"/>
        </w:rPr>
        <w:t xml:space="preserve">uir que deben quedar exceptuados de la eliminación de la mesada 14, como </w:t>
      </w:r>
      <w:r w:rsidR="002347E0" w:rsidRPr="00D308C3">
        <w:rPr>
          <w:rFonts w:ascii="Century Gothic" w:hAnsi="Century Gothic"/>
          <w:sz w:val="24"/>
          <w:szCs w:val="24"/>
        </w:rPr>
        <w:t xml:space="preserve">quedó regulada en el acto legislativo 01 de 2005, creo que es lo mínimo que podemos hacer por estos hombres y mujeres que a diario </w:t>
      </w:r>
    </w:p>
    <w:p w:rsidR="00B84D1B" w:rsidRPr="00D308C3" w:rsidRDefault="002347E0" w:rsidP="00153C87">
      <w:pPr>
        <w:spacing w:line="276" w:lineRule="auto"/>
        <w:jc w:val="both"/>
        <w:rPr>
          <w:rFonts w:ascii="Century Gothic" w:hAnsi="Century Gothic"/>
          <w:sz w:val="24"/>
          <w:szCs w:val="24"/>
        </w:rPr>
      </w:pPr>
      <w:r w:rsidRPr="00D308C3">
        <w:rPr>
          <w:rFonts w:ascii="Century Gothic" w:hAnsi="Century Gothic"/>
          <w:sz w:val="24"/>
          <w:szCs w:val="24"/>
        </w:rPr>
        <w:t xml:space="preserve">exponen sus vidas para proteger la vida de todos los Colombianos, por ello ponemos a consideración de ustedes colegas este proyecto de acto legislativo para que no se le arrebate a los </w:t>
      </w:r>
      <w:r w:rsidRPr="00D308C3">
        <w:rPr>
          <w:rFonts w:ascii="Century Gothic" w:hAnsi="Century Gothic"/>
          <w:b/>
          <w:sz w:val="24"/>
          <w:szCs w:val="24"/>
        </w:rPr>
        <w:t xml:space="preserve">miembros de la </w:t>
      </w:r>
      <w:r w:rsidR="009E4788" w:rsidRPr="00D308C3">
        <w:rPr>
          <w:rFonts w:ascii="Century Gothic" w:hAnsi="Century Gothic"/>
          <w:b/>
          <w:color w:val="2D2D2D"/>
          <w:sz w:val="24"/>
          <w:szCs w:val="24"/>
          <w:shd w:val="clear" w:color="auto" w:fill="FFFFFF"/>
        </w:rPr>
        <w:t>Fuerza Pública</w:t>
      </w:r>
      <w:r w:rsidR="001C0142" w:rsidRPr="00D308C3">
        <w:rPr>
          <w:rFonts w:ascii="Century Gothic" w:hAnsi="Century Gothic"/>
          <w:b/>
          <w:color w:val="2D2D2D"/>
          <w:sz w:val="24"/>
          <w:szCs w:val="24"/>
          <w:shd w:val="clear" w:color="auto" w:fill="FFFFFF"/>
        </w:rPr>
        <w:t>,</w:t>
      </w:r>
      <w:r w:rsidRPr="00D308C3">
        <w:rPr>
          <w:rFonts w:ascii="Century Gothic" w:hAnsi="Century Gothic"/>
          <w:sz w:val="24"/>
          <w:szCs w:val="24"/>
        </w:rPr>
        <w:t xml:space="preserve"> esa mesada 14 o de mitad de año como se denomina, hacerlo sería un acto de injusticia con miles de hombres y mujeres de </w:t>
      </w:r>
      <w:r w:rsidR="00153C87" w:rsidRPr="00D308C3">
        <w:rPr>
          <w:rFonts w:ascii="Century Gothic" w:hAnsi="Century Gothic"/>
          <w:sz w:val="24"/>
          <w:szCs w:val="24"/>
        </w:rPr>
        <w:t xml:space="preserve">estas fuerzas, </w:t>
      </w:r>
      <w:r w:rsidR="00174E27" w:rsidRPr="00D308C3">
        <w:rPr>
          <w:rFonts w:ascii="Century Gothic" w:hAnsi="Century Gothic"/>
          <w:sz w:val="24"/>
          <w:szCs w:val="24"/>
        </w:rPr>
        <w:t xml:space="preserve">razón que </w:t>
      </w:r>
      <w:r w:rsidR="009579AE" w:rsidRPr="00D308C3">
        <w:rPr>
          <w:rFonts w:ascii="Century Gothic" w:hAnsi="Century Gothic"/>
          <w:sz w:val="24"/>
          <w:szCs w:val="24"/>
        </w:rPr>
        <w:t xml:space="preserve">se </w:t>
      </w:r>
      <w:r w:rsidR="00174E27" w:rsidRPr="00D308C3">
        <w:rPr>
          <w:rFonts w:ascii="Century Gothic" w:hAnsi="Century Gothic"/>
          <w:sz w:val="24"/>
          <w:szCs w:val="24"/>
        </w:rPr>
        <w:t xml:space="preserve">considera </w:t>
      </w:r>
      <w:r w:rsidR="00153C87" w:rsidRPr="00D308C3">
        <w:rPr>
          <w:rFonts w:ascii="Century Gothic" w:hAnsi="Century Gothic"/>
          <w:sz w:val="24"/>
          <w:szCs w:val="24"/>
        </w:rPr>
        <w:t xml:space="preserve">más que </w:t>
      </w:r>
      <w:r w:rsidR="00174E27" w:rsidRPr="00D308C3">
        <w:rPr>
          <w:rFonts w:ascii="Century Gothic" w:hAnsi="Century Gothic"/>
          <w:sz w:val="24"/>
          <w:szCs w:val="24"/>
        </w:rPr>
        <w:t xml:space="preserve">suficiente para que sea aprobado el presente acto legislativo, </w:t>
      </w:r>
      <w:r w:rsidR="003C581E" w:rsidRPr="00D308C3">
        <w:rPr>
          <w:rFonts w:ascii="Century Gothic" w:hAnsi="Century Gothic"/>
          <w:sz w:val="24"/>
          <w:szCs w:val="24"/>
        </w:rPr>
        <w:t>y así de esta manera mejorar sus condiciones económicas en situación de retiro</w:t>
      </w:r>
      <w:r w:rsidR="009579AE" w:rsidRPr="00D308C3">
        <w:rPr>
          <w:rFonts w:ascii="Century Gothic" w:hAnsi="Century Gothic"/>
          <w:sz w:val="24"/>
          <w:szCs w:val="24"/>
        </w:rPr>
        <w:t xml:space="preserve"> de este grupo poblacional</w:t>
      </w:r>
      <w:r w:rsidRPr="00D308C3">
        <w:rPr>
          <w:rFonts w:ascii="Century Gothic" w:hAnsi="Century Gothic"/>
          <w:sz w:val="24"/>
          <w:szCs w:val="24"/>
        </w:rPr>
        <w:t>.</w:t>
      </w:r>
      <w:r w:rsidR="00B84D1B" w:rsidRPr="00D308C3">
        <w:rPr>
          <w:rFonts w:ascii="Century Gothic" w:hAnsi="Century Gothic"/>
          <w:sz w:val="24"/>
          <w:szCs w:val="24"/>
        </w:rPr>
        <w:t> </w:t>
      </w:r>
    </w:p>
    <w:p w:rsidR="00A56C91" w:rsidRPr="00D308C3" w:rsidRDefault="00A56C91" w:rsidP="00153C87">
      <w:pPr>
        <w:spacing w:line="276" w:lineRule="auto"/>
        <w:jc w:val="both"/>
        <w:rPr>
          <w:rFonts w:ascii="Century Gothic" w:hAnsi="Century Gothic"/>
          <w:sz w:val="24"/>
          <w:szCs w:val="24"/>
        </w:rPr>
      </w:pPr>
    </w:p>
    <w:p w:rsidR="00A56C91" w:rsidRPr="00D308C3" w:rsidRDefault="009F4EA6" w:rsidP="00153C87">
      <w:pPr>
        <w:spacing w:line="276" w:lineRule="auto"/>
        <w:jc w:val="both"/>
        <w:rPr>
          <w:rFonts w:ascii="Century Gothic" w:hAnsi="Century Gothic"/>
          <w:sz w:val="24"/>
          <w:szCs w:val="24"/>
        </w:rPr>
      </w:pPr>
      <w:r w:rsidRPr="00D308C3">
        <w:rPr>
          <w:rFonts w:ascii="Century Gothic" w:hAnsi="Century Gothic"/>
          <w:sz w:val="24"/>
          <w:szCs w:val="24"/>
        </w:rPr>
        <w:t>Representante</w:t>
      </w:r>
      <w:r w:rsidR="00994239" w:rsidRPr="00D308C3">
        <w:rPr>
          <w:rFonts w:ascii="Century Gothic" w:hAnsi="Century Gothic"/>
          <w:sz w:val="24"/>
          <w:szCs w:val="24"/>
        </w:rPr>
        <w:t>,</w:t>
      </w:r>
    </w:p>
    <w:p w:rsidR="00F105C3" w:rsidRPr="00D308C3" w:rsidRDefault="00F105C3" w:rsidP="00153C87">
      <w:pPr>
        <w:spacing w:line="276" w:lineRule="auto"/>
        <w:jc w:val="both"/>
        <w:rPr>
          <w:rFonts w:ascii="Century Gothic" w:hAnsi="Century Gothic"/>
          <w:sz w:val="24"/>
          <w:szCs w:val="24"/>
        </w:rPr>
      </w:pPr>
    </w:p>
    <w:p w:rsidR="00F105C3" w:rsidRPr="00D308C3" w:rsidRDefault="00295D76" w:rsidP="00B84D1B">
      <w:pPr>
        <w:jc w:val="both"/>
        <w:rPr>
          <w:rFonts w:ascii="Century Gothic" w:hAnsi="Century Gothic"/>
          <w:sz w:val="24"/>
          <w:szCs w:val="24"/>
        </w:rPr>
      </w:pPr>
      <w:r>
        <w:rPr>
          <w:rFonts w:ascii="Century Gothic" w:hAnsi="Century Gothic"/>
          <w:sz w:val="24"/>
          <w:szCs w:val="24"/>
        </w:rPr>
        <w:t>JUAN MANUEL CORTES</w:t>
      </w:r>
      <w:r w:rsidR="00D816F7">
        <w:rPr>
          <w:rFonts w:ascii="Century Gothic" w:hAnsi="Century Gothic"/>
          <w:sz w:val="24"/>
          <w:szCs w:val="24"/>
        </w:rPr>
        <w:t xml:space="preserve"> DUEÑAS</w:t>
      </w:r>
    </w:p>
    <w:sectPr w:rsidR="00F105C3" w:rsidRPr="00D308C3" w:rsidSect="00FC2A7B">
      <w:pgSz w:w="12242" w:h="18722" w:code="281"/>
      <w:pgMar w:top="1418" w:right="1418" w:bottom="360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72"/>
    <w:rsid w:val="000F4EAE"/>
    <w:rsid w:val="00153C87"/>
    <w:rsid w:val="00174E27"/>
    <w:rsid w:val="001C0142"/>
    <w:rsid w:val="001D2F8D"/>
    <w:rsid w:val="001D77E5"/>
    <w:rsid w:val="002347E0"/>
    <w:rsid w:val="00272B3D"/>
    <w:rsid w:val="00290E4C"/>
    <w:rsid w:val="00295D76"/>
    <w:rsid w:val="002A032D"/>
    <w:rsid w:val="002F2ABE"/>
    <w:rsid w:val="00336B18"/>
    <w:rsid w:val="003C581E"/>
    <w:rsid w:val="00470ED9"/>
    <w:rsid w:val="004C6CC8"/>
    <w:rsid w:val="004D31DB"/>
    <w:rsid w:val="005B779F"/>
    <w:rsid w:val="005D2A72"/>
    <w:rsid w:val="006E361B"/>
    <w:rsid w:val="00761FEC"/>
    <w:rsid w:val="007806FF"/>
    <w:rsid w:val="009579AE"/>
    <w:rsid w:val="00994239"/>
    <w:rsid w:val="009E4788"/>
    <w:rsid w:val="009F4EA6"/>
    <w:rsid w:val="00A56C91"/>
    <w:rsid w:val="00A619D5"/>
    <w:rsid w:val="00A778A3"/>
    <w:rsid w:val="00AE7DAB"/>
    <w:rsid w:val="00AF2AD1"/>
    <w:rsid w:val="00AF62AE"/>
    <w:rsid w:val="00B84D1B"/>
    <w:rsid w:val="00B90121"/>
    <w:rsid w:val="00B91BA6"/>
    <w:rsid w:val="00B941D5"/>
    <w:rsid w:val="00D308C3"/>
    <w:rsid w:val="00D816F7"/>
    <w:rsid w:val="00E557D8"/>
    <w:rsid w:val="00EB4304"/>
    <w:rsid w:val="00EC30B9"/>
    <w:rsid w:val="00EE4D60"/>
    <w:rsid w:val="00EF6541"/>
    <w:rsid w:val="00F105C3"/>
    <w:rsid w:val="00F20479"/>
    <w:rsid w:val="00F413EE"/>
    <w:rsid w:val="00F7208C"/>
    <w:rsid w:val="00FC2A7B"/>
    <w:rsid w:val="00FE33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BCABA-0A4A-4CFF-8F8E-CA8E3401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D2A72"/>
    <w:rPr>
      <w:b/>
      <w:bCs/>
    </w:rPr>
  </w:style>
  <w:style w:type="paragraph" w:styleId="Textoindependiente">
    <w:name w:val="Body Text"/>
    <w:basedOn w:val="Normal"/>
    <w:link w:val="TextoindependienteCar"/>
    <w:uiPriority w:val="99"/>
    <w:unhideWhenUsed/>
    <w:rsid w:val="00B84D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B84D1B"/>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B84D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A032D"/>
  </w:style>
  <w:style w:type="paragraph" w:styleId="Prrafodelista">
    <w:name w:val="List Paragraph"/>
    <w:basedOn w:val="Normal"/>
    <w:uiPriority w:val="34"/>
    <w:qFormat/>
    <w:rsid w:val="004D31D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109">
      <w:bodyDiv w:val="1"/>
      <w:marLeft w:val="0"/>
      <w:marRight w:val="0"/>
      <w:marTop w:val="0"/>
      <w:marBottom w:val="0"/>
      <w:divBdr>
        <w:top w:val="none" w:sz="0" w:space="0" w:color="auto"/>
        <w:left w:val="none" w:sz="0" w:space="0" w:color="auto"/>
        <w:bottom w:val="none" w:sz="0" w:space="0" w:color="auto"/>
        <w:right w:val="none" w:sz="0" w:space="0" w:color="auto"/>
      </w:divBdr>
    </w:div>
    <w:div w:id="1708069049">
      <w:bodyDiv w:val="1"/>
      <w:marLeft w:val="0"/>
      <w:marRight w:val="0"/>
      <w:marTop w:val="0"/>
      <w:marBottom w:val="0"/>
      <w:divBdr>
        <w:top w:val="none" w:sz="0" w:space="0" w:color="auto"/>
        <w:left w:val="none" w:sz="0" w:space="0" w:color="auto"/>
        <w:bottom w:val="none" w:sz="0" w:space="0" w:color="auto"/>
        <w:right w:val="none" w:sz="0" w:space="0" w:color="auto"/>
      </w:divBdr>
    </w:div>
    <w:div w:id="17404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ex.com.co/vid/constitucion-politica-colombia-42867930" TargetMode="External"/><Relationship Id="rId3" Type="http://schemas.openxmlformats.org/officeDocument/2006/relationships/settings" Target="settings.xml"/><Relationship Id="rId7" Type="http://schemas.openxmlformats.org/officeDocument/2006/relationships/hyperlink" Target="https://vlex.com.co/vid/constitucion-politica-colombia-428679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lex.com.co/vid/constitucion-politica-colombia-4286793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lex.com.co/vid/constitucion-politica-colombia-428679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B4CAC-BF73-4EA1-A589-B84158A2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9873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SEC GNRAL</cp:lastModifiedBy>
  <cp:revision>2</cp:revision>
  <dcterms:created xsi:type="dcterms:W3CDTF">2023-03-29T21:57:00Z</dcterms:created>
  <dcterms:modified xsi:type="dcterms:W3CDTF">2023-03-29T21:57:00Z</dcterms:modified>
</cp:coreProperties>
</file>