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D6F3" w14:textId="32D9087C" w:rsidR="00D66324" w:rsidRDefault="003071F1" w:rsidP="00D66324">
      <w:r>
        <w:t>Bogotá, 23 de marzo de 2023</w:t>
      </w:r>
    </w:p>
    <w:p w14:paraId="4B275889" w14:textId="3F7C514B" w:rsidR="003071F1" w:rsidRDefault="003071F1" w:rsidP="00D66324"/>
    <w:p w14:paraId="1F4775B4" w14:textId="290F8824" w:rsidR="003071F1" w:rsidRDefault="003071F1" w:rsidP="00D66324">
      <w:r>
        <w:t>Señores:</w:t>
      </w:r>
    </w:p>
    <w:p w14:paraId="53E698AE" w14:textId="73E5D500" w:rsidR="003071F1" w:rsidRPr="003071F1" w:rsidRDefault="003071F1" w:rsidP="00D66324">
      <w:pPr>
        <w:rPr>
          <w:b/>
          <w:bCs/>
        </w:rPr>
      </w:pPr>
      <w:r w:rsidRPr="003071F1">
        <w:rPr>
          <w:b/>
          <w:bCs/>
        </w:rPr>
        <w:t>MINISTERIO DEL INTERIOR</w:t>
      </w:r>
    </w:p>
    <w:p w14:paraId="106635AB" w14:textId="38DA2311" w:rsidR="003071F1" w:rsidRDefault="003071F1" w:rsidP="003071F1">
      <w:proofErr w:type="spellStart"/>
      <w:r>
        <w:t>Atte</w:t>
      </w:r>
      <w:proofErr w:type="spellEnd"/>
      <w:r>
        <w:t xml:space="preserve">: </w:t>
      </w:r>
      <w:r>
        <w:t xml:space="preserve">FRANCISNEY DÍAZ RODRIGUÉZ </w:t>
      </w:r>
    </w:p>
    <w:p w14:paraId="53295344" w14:textId="6A6263CF" w:rsidR="003071F1" w:rsidRDefault="003071F1" w:rsidP="003071F1">
      <w:r>
        <w:t>Coordinadora del Grupo de Programación y Gestión Presupuestal – Oficina Asesora de Planeación</w:t>
      </w:r>
      <w:r>
        <w:t>.</w:t>
      </w:r>
    </w:p>
    <w:p w14:paraId="5B9BF428" w14:textId="6C4BFBA4" w:rsidR="003071F1" w:rsidRPr="006077B9" w:rsidRDefault="003071F1" w:rsidP="003071F1">
      <w:r>
        <w:t>E.S.D.</w:t>
      </w:r>
    </w:p>
    <w:p w14:paraId="01C11857" w14:textId="77777777" w:rsidR="003071F1" w:rsidRDefault="003071F1">
      <w:pPr>
        <w:rPr>
          <w:b/>
          <w:bCs/>
          <w:lang w:val="es-MX"/>
        </w:rPr>
      </w:pPr>
    </w:p>
    <w:p w14:paraId="215268B4" w14:textId="1DBBEED3" w:rsidR="00A33CA7" w:rsidRPr="008D50D9" w:rsidRDefault="003071F1">
      <w:pPr>
        <w:rPr>
          <w:b/>
          <w:bCs/>
        </w:rPr>
      </w:pPr>
      <w:r>
        <w:rPr>
          <w:b/>
          <w:bCs/>
          <w:lang w:val="es-MX"/>
        </w:rPr>
        <w:t xml:space="preserve">Ref. </w:t>
      </w:r>
      <w:r w:rsidR="00844F66" w:rsidRPr="008D50D9">
        <w:rPr>
          <w:b/>
          <w:bCs/>
          <w:lang w:val="es-MX"/>
        </w:rPr>
        <w:t xml:space="preserve">Respuestas al cuestionario de la </w:t>
      </w:r>
      <w:r w:rsidR="00350273">
        <w:rPr>
          <w:b/>
          <w:bCs/>
          <w:lang w:val="es-MX"/>
        </w:rPr>
        <w:t>C</w:t>
      </w:r>
      <w:r w:rsidR="00350273" w:rsidRPr="008D50D9">
        <w:rPr>
          <w:b/>
          <w:bCs/>
          <w:lang w:val="es-MX"/>
        </w:rPr>
        <w:t>ámara</w:t>
      </w:r>
      <w:r w:rsidR="00844F66" w:rsidRPr="008D50D9">
        <w:rPr>
          <w:b/>
          <w:bCs/>
          <w:lang w:val="es-MX"/>
        </w:rPr>
        <w:t xml:space="preserve"> de </w:t>
      </w:r>
      <w:r w:rsidR="00350273">
        <w:rPr>
          <w:b/>
          <w:bCs/>
          <w:lang w:val="es-MX"/>
        </w:rPr>
        <w:t>R</w:t>
      </w:r>
      <w:r w:rsidR="00844F66" w:rsidRPr="008D50D9">
        <w:rPr>
          <w:b/>
          <w:bCs/>
          <w:lang w:val="es-MX"/>
        </w:rPr>
        <w:t>epresentantes</w:t>
      </w:r>
      <w:r w:rsidR="008D50D9" w:rsidRPr="008D50D9">
        <w:rPr>
          <w:b/>
          <w:bCs/>
          <w:lang w:val="es-MX"/>
        </w:rPr>
        <w:t xml:space="preserve"> de la </w:t>
      </w:r>
      <w:r w:rsidR="00350273">
        <w:rPr>
          <w:b/>
          <w:bCs/>
          <w:lang w:val="es-MX"/>
        </w:rPr>
        <w:t>U</w:t>
      </w:r>
      <w:r w:rsidR="008D50D9" w:rsidRPr="008D50D9">
        <w:rPr>
          <w:b/>
          <w:bCs/>
          <w:lang w:val="es-MX"/>
        </w:rPr>
        <w:t xml:space="preserve">nidad </w:t>
      </w:r>
      <w:r w:rsidR="00350273">
        <w:rPr>
          <w:b/>
          <w:bCs/>
          <w:lang w:val="es-MX"/>
        </w:rPr>
        <w:t>A</w:t>
      </w:r>
      <w:r w:rsidR="008D50D9" w:rsidRPr="008D50D9">
        <w:rPr>
          <w:b/>
          <w:bCs/>
          <w:lang w:val="es-MX"/>
        </w:rPr>
        <w:t xml:space="preserve">dministrativa </w:t>
      </w:r>
      <w:r w:rsidR="00350273">
        <w:rPr>
          <w:b/>
          <w:bCs/>
          <w:lang w:val="es-MX"/>
        </w:rPr>
        <w:t>E</w:t>
      </w:r>
      <w:r w:rsidR="008D50D9" w:rsidRPr="008D50D9">
        <w:rPr>
          <w:b/>
          <w:bCs/>
          <w:lang w:val="es-MX"/>
        </w:rPr>
        <w:t xml:space="preserve">special </w:t>
      </w:r>
      <w:r w:rsidR="00350273">
        <w:rPr>
          <w:b/>
          <w:bCs/>
          <w:lang w:val="es-MX"/>
        </w:rPr>
        <w:t>D</w:t>
      </w:r>
      <w:r w:rsidR="008D50D9" w:rsidRPr="008D50D9">
        <w:rPr>
          <w:b/>
          <w:bCs/>
          <w:lang w:val="es-MX"/>
        </w:rPr>
        <w:t xml:space="preserve">irección </w:t>
      </w:r>
      <w:r w:rsidR="00350273">
        <w:rPr>
          <w:b/>
          <w:bCs/>
          <w:lang w:val="es-MX"/>
        </w:rPr>
        <w:t>N</w:t>
      </w:r>
      <w:r w:rsidR="008D50D9" w:rsidRPr="008D50D9">
        <w:rPr>
          <w:b/>
          <w:bCs/>
          <w:lang w:val="es-MX"/>
        </w:rPr>
        <w:t xml:space="preserve">acional de </w:t>
      </w:r>
      <w:r w:rsidR="00350273">
        <w:rPr>
          <w:b/>
          <w:bCs/>
          <w:lang w:val="es-MX"/>
        </w:rPr>
        <w:t>D</w:t>
      </w:r>
      <w:r w:rsidR="008D50D9" w:rsidRPr="008D50D9">
        <w:rPr>
          <w:b/>
          <w:bCs/>
          <w:lang w:val="es-MX"/>
        </w:rPr>
        <w:t xml:space="preserve">erecho de </w:t>
      </w:r>
      <w:r w:rsidR="00350273">
        <w:rPr>
          <w:b/>
          <w:bCs/>
          <w:lang w:val="es-MX"/>
        </w:rPr>
        <w:t>A</w:t>
      </w:r>
      <w:r w:rsidR="008D50D9" w:rsidRPr="008D50D9">
        <w:rPr>
          <w:b/>
          <w:bCs/>
          <w:lang w:val="es-MX"/>
        </w:rPr>
        <w:t>utor</w:t>
      </w:r>
      <w:r w:rsidR="00396EB2">
        <w:rPr>
          <w:b/>
          <w:bCs/>
          <w:lang w:val="es-MX"/>
        </w:rPr>
        <w:t xml:space="preserve"> UAE-DNDA</w:t>
      </w:r>
    </w:p>
    <w:p w14:paraId="4327E1B1" w14:textId="77777777" w:rsidR="0069694E" w:rsidRDefault="0069694E"/>
    <w:p w14:paraId="5DAD617C" w14:textId="50E06426" w:rsidR="0069694E" w:rsidRPr="008E7D00" w:rsidRDefault="00350273" w:rsidP="00350273">
      <w:pPr>
        <w:pStyle w:val="Prrafodelista"/>
        <w:numPr>
          <w:ilvl w:val="0"/>
          <w:numId w:val="1"/>
        </w:numPr>
        <w:rPr>
          <w:i/>
          <w:iCs/>
          <w:lang w:val="es-MX"/>
        </w:rPr>
      </w:pPr>
      <w:r w:rsidRPr="008E7D00">
        <w:rPr>
          <w:i/>
          <w:iCs/>
          <w:lang w:val="es-MX"/>
        </w:rPr>
        <w:t>¿C</w:t>
      </w:r>
      <w:r w:rsidR="0069694E" w:rsidRPr="008E7D00">
        <w:rPr>
          <w:i/>
          <w:iCs/>
          <w:lang w:val="es-MX"/>
        </w:rPr>
        <w:t xml:space="preserve">uál fue el papel de su entidad en la construcción del </w:t>
      </w:r>
      <w:r w:rsidRPr="008E7D00">
        <w:rPr>
          <w:i/>
          <w:iCs/>
          <w:lang w:val="es-MX"/>
        </w:rPr>
        <w:t>P</w:t>
      </w:r>
      <w:r w:rsidR="0069694E" w:rsidRPr="008E7D00">
        <w:rPr>
          <w:i/>
          <w:iCs/>
          <w:lang w:val="es-MX"/>
        </w:rPr>
        <w:t xml:space="preserve">lan </w:t>
      </w:r>
      <w:r w:rsidRPr="008E7D00">
        <w:rPr>
          <w:i/>
          <w:iCs/>
          <w:lang w:val="es-MX"/>
        </w:rPr>
        <w:t>N</w:t>
      </w:r>
      <w:r w:rsidR="0069694E" w:rsidRPr="008E7D00">
        <w:rPr>
          <w:i/>
          <w:iCs/>
          <w:lang w:val="es-MX"/>
        </w:rPr>
        <w:t xml:space="preserve">acional de </w:t>
      </w:r>
      <w:r w:rsidRPr="008E7D00">
        <w:rPr>
          <w:i/>
          <w:iCs/>
          <w:lang w:val="es-MX"/>
        </w:rPr>
        <w:t>D</w:t>
      </w:r>
      <w:r w:rsidR="0069694E" w:rsidRPr="008E7D00">
        <w:rPr>
          <w:i/>
          <w:iCs/>
          <w:lang w:val="es-MX"/>
        </w:rPr>
        <w:t>esarrollo y cómo se tuvieron en cuenta los aportes de su entidad en este proyecto</w:t>
      </w:r>
      <w:r w:rsidR="001A2C90" w:rsidRPr="008E7D00">
        <w:rPr>
          <w:i/>
          <w:iCs/>
          <w:lang w:val="es-MX"/>
        </w:rPr>
        <w:t>?</w:t>
      </w:r>
    </w:p>
    <w:p w14:paraId="06BA59CA" w14:textId="77777777" w:rsidR="004437E9" w:rsidRPr="004437E9" w:rsidRDefault="004437E9" w:rsidP="004437E9">
      <w:pPr>
        <w:rPr>
          <w:lang w:val="es-MX"/>
        </w:rPr>
      </w:pPr>
    </w:p>
    <w:p w14:paraId="75D76202" w14:textId="29CBBFE9" w:rsidR="001A2C90" w:rsidRDefault="00416427" w:rsidP="001A2C90">
      <w:pPr>
        <w:rPr>
          <w:lang w:val="es-MX"/>
        </w:rPr>
      </w:pPr>
      <w:r>
        <w:rPr>
          <w:lang w:val="es-MX"/>
        </w:rPr>
        <w:t xml:space="preserve">En cumplimiento del marco Constitucional, la Ley 152 de 1994, la Ley </w:t>
      </w:r>
      <w:r w:rsidR="00C357CE">
        <w:rPr>
          <w:lang w:val="es-MX"/>
        </w:rPr>
        <w:t>489 de 1998</w:t>
      </w:r>
      <w:r w:rsidR="006B2614">
        <w:rPr>
          <w:lang w:val="es-MX"/>
        </w:rPr>
        <w:t xml:space="preserve">, la Ley 23 de </w:t>
      </w:r>
      <w:r w:rsidR="005960B9">
        <w:rPr>
          <w:lang w:val="es-MX"/>
        </w:rPr>
        <w:t>1982 y Ley 44 de 19</w:t>
      </w:r>
      <w:r w:rsidR="002535C6">
        <w:rPr>
          <w:lang w:val="es-MX"/>
        </w:rPr>
        <w:t>9</w:t>
      </w:r>
      <w:r w:rsidR="005960B9">
        <w:rPr>
          <w:lang w:val="es-MX"/>
        </w:rPr>
        <w:t>3</w:t>
      </w:r>
      <w:r w:rsidR="002535C6">
        <w:rPr>
          <w:lang w:val="es-MX"/>
        </w:rPr>
        <w:t>, entre otras, e</w:t>
      </w:r>
      <w:r w:rsidR="00396EB2">
        <w:rPr>
          <w:lang w:val="es-MX"/>
        </w:rPr>
        <w:t xml:space="preserve">l </w:t>
      </w:r>
      <w:proofErr w:type="gramStart"/>
      <w:r w:rsidR="00396EB2">
        <w:rPr>
          <w:lang w:val="es-MX"/>
        </w:rPr>
        <w:t xml:space="preserve">Director </w:t>
      </w:r>
      <w:r w:rsidR="002A4916">
        <w:rPr>
          <w:lang w:val="es-MX"/>
        </w:rPr>
        <w:t>General</w:t>
      </w:r>
      <w:proofErr w:type="gramEnd"/>
      <w:r w:rsidR="002A4916">
        <w:rPr>
          <w:lang w:val="es-MX"/>
        </w:rPr>
        <w:t xml:space="preserve"> y</w:t>
      </w:r>
      <w:r w:rsidR="00EA2000">
        <w:rPr>
          <w:lang w:val="es-MX"/>
        </w:rPr>
        <w:t xml:space="preserve"> el Subdirector de Capacitación investigación y Desarrollo </w:t>
      </w:r>
      <w:r w:rsidR="00396EB2">
        <w:rPr>
          <w:lang w:val="es-MX"/>
        </w:rPr>
        <w:t xml:space="preserve">de la UAE-DNDA </w:t>
      </w:r>
      <w:r w:rsidR="00EA2000" w:rsidRPr="001A2C90">
        <w:rPr>
          <w:lang w:val="es-MX"/>
        </w:rPr>
        <w:t>hic</w:t>
      </w:r>
      <w:r w:rsidR="00EA2000">
        <w:rPr>
          <w:lang w:val="es-MX"/>
        </w:rPr>
        <w:t>ieron</w:t>
      </w:r>
      <w:r w:rsidR="001A2C90" w:rsidRPr="001A2C90">
        <w:rPr>
          <w:lang w:val="es-MX"/>
        </w:rPr>
        <w:t xml:space="preserve"> presencia y particip</w:t>
      </w:r>
      <w:r w:rsidR="00EA2000">
        <w:rPr>
          <w:lang w:val="es-MX"/>
        </w:rPr>
        <w:t>aron</w:t>
      </w:r>
      <w:r w:rsidR="001A2C90" w:rsidRPr="001A2C90">
        <w:rPr>
          <w:lang w:val="es-MX"/>
        </w:rPr>
        <w:t xml:space="preserve"> en las </w:t>
      </w:r>
      <w:r w:rsidR="00396EB2">
        <w:rPr>
          <w:lang w:val="es-MX"/>
        </w:rPr>
        <w:t>M</w:t>
      </w:r>
      <w:r w:rsidR="001A2C90" w:rsidRPr="001A2C90">
        <w:rPr>
          <w:lang w:val="es-MX"/>
        </w:rPr>
        <w:t xml:space="preserve">esas de </w:t>
      </w:r>
      <w:r w:rsidR="00396EB2">
        <w:rPr>
          <w:lang w:val="es-MX"/>
        </w:rPr>
        <w:t>D</w:t>
      </w:r>
      <w:r w:rsidR="001A2C90" w:rsidRPr="001A2C90">
        <w:rPr>
          <w:lang w:val="es-MX"/>
        </w:rPr>
        <w:t xml:space="preserve">iálogo </w:t>
      </w:r>
      <w:r w:rsidR="00396EB2">
        <w:rPr>
          <w:lang w:val="es-MX"/>
        </w:rPr>
        <w:t>R</w:t>
      </w:r>
      <w:r w:rsidR="001A2C90" w:rsidRPr="001A2C90">
        <w:rPr>
          <w:lang w:val="es-MX"/>
        </w:rPr>
        <w:t>egional</w:t>
      </w:r>
      <w:r w:rsidR="0033584C" w:rsidRPr="0033584C">
        <w:rPr>
          <w:lang w:val="es-MX"/>
        </w:rPr>
        <w:t xml:space="preserve"> que se dieron </w:t>
      </w:r>
      <w:r w:rsidR="00396EB2">
        <w:rPr>
          <w:lang w:val="es-MX"/>
        </w:rPr>
        <w:t xml:space="preserve">en Arauca, Santander de Quilichao y </w:t>
      </w:r>
      <w:r w:rsidR="00EA2000">
        <w:rPr>
          <w:lang w:val="es-MX"/>
        </w:rPr>
        <w:t>Pereira</w:t>
      </w:r>
      <w:r w:rsidR="00C13447">
        <w:rPr>
          <w:lang w:val="es-MX"/>
        </w:rPr>
        <w:t>,</w:t>
      </w:r>
      <w:r w:rsidR="0033584C" w:rsidRPr="0033584C">
        <w:rPr>
          <w:lang w:val="es-MX"/>
        </w:rPr>
        <w:t xml:space="preserve"> en la cual se recogieron las diversas inquietudes de las comunidades</w:t>
      </w:r>
      <w:r w:rsidR="0033584C">
        <w:rPr>
          <w:lang w:val="es-MX"/>
        </w:rPr>
        <w:t xml:space="preserve">. </w:t>
      </w:r>
      <w:r w:rsidR="002E4953" w:rsidRPr="002E4953">
        <w:rPr>
          <w:lang w:val="es-MX"/>
        </w:rPr>
        <w:t xml:space="preserve">De igual forma se hizo presencia y participación en las mesas de trabajo con </w:t>
      </w:r>
      <w:r w:rsidR="000808F2">
        <w:rPr>
          <w:lang w:val="es-MX"/>
        </w:rPr>
        <w:t>e</w:t>
      </w:r>
      <w:r w:rsidR="002E4953" w:rsidRPr="002E4953">
        <w:rPr>
          <w:lang w:val="es-MX"/>
        </w:rPr>
        <w:t xml:space="preserve">l </w:t>
      </w:r>
      <w:r w:rsidR="00C13447">
        <w:rPr>
          <w:lang w:val="es-MX"/>
        </w:rPr>
        <w:t>D</w:t>
      </w:r>
      <w:r w:rsidR="002E4953" w:rsidRPr="002E4953">
        <w:rPr>
          <w:lang w:val="es-MX"/>
        </w:rPr>
        <w:t xml:space="preserve">epartamento </w:t>
      </w:r>
      <w:r w:rsidR="00C13447">
        <w:rPr>
          <w:lang w:val="es-MX"/>
        </w:rPr>
        <w:t>N</w:t>
      </w:r>
      <w:r w:rsidR="002E4953" w:rsidRPr="002E4953">
        <w:rPr>
          <w:lang w:val="es-MX"/>
        </w:rPr>
        <w:t xml:space="preserve">acional de </w:t>
      </w:r>
      <w:r w:rsidR="00C13447">
        <w:rPr>
          <w:lang w:val="es-MX"/>
        </w:rPr>
        <w:t>P</w:t>
      </w:r>
      <w:r w:rsidR="002E4953" w:rsidRPr="002E4953">
        <w:rPr>
          <w:lang w:val="es-MX"/>
        </w:rPr>
        <w:t>laneación</w:t>
      </w:r>
      <w:r w:rsidR="002A4916">
        <w:rPr>
          <w:lang w:val="es-MX"/>
        </w:rPr>
        <w:t xml:space="preserve"> y en</w:t>
      </w:r>
      <w:r w:rsidR="008A25D5">
        <w:rPr>
          <w:lang w:val="es-MX"/>
        </w:rPr>
        <w:t xml:space="preserve"> </w:t>
      </w:r>
      <w:r w:rsidR="008A25D5" w:rsidRPr="008A25D5">
        <w:rPr>
          <w:lang w:val="es-MX"/>
        </w:rPr>
        <w:t xml:space="preserve">la </w:t>
      </w:r>
      <w:r w:rsidR="00C13447">
        <w:rPr>
          <w:lang w:val="es-MX"/>
        </w:rPr>
        <w:t>M</w:t>
      </w:r>
      <w:r w:rsidR="008A25D5" w:rsidRPr="008A25D5">
        <w:rPr>
          <w:lang w:val="es-MX"/>
        </w:rPr>
        <w:t xml:space="preserve">esa </w:t>
      </w:r>
      <w:r w:rsidR="00C13447">
        <w:rPr>
          <w:lang w:val="es-MX"/>
        </w:rPr>
        <w:t>P</w:t>
      </w:r>
      <w:r w:rsidR="008A25D5" w:rsidRPr="008A25D5">
        <w:rPr>
          <w:lang w:val="es-MX"/>
        </w:rPr>
        <w:t xml:space="preserve">ermanente de </w:t>
      </w:r>
      <w:r w:rsidR="00C13447">
        <w:rPr>
          <w:lang w:val="es-MX"/>
        </w:rPr>
        <w:t>C</w:t>
      </w:r>
      <w:r w:rsidR="008A25D5" w:rsidRPr="008A25D5">
        <w:rPr>
          <w:lang w:val="es-MX"/>
        </w:rPr>
        <w:t xml:space="preserve">oncertación con los </w:t>
      </w:r>
      <w:r w:rsidR="00C13447">
        <w:rPr>
          <w:lang w:val="es-MX"/>
        </w:rPr>
        <w:t>P</w:t>
      </w:r>
      <w:r w:rsidR="008A25D5" w:rsidRPr="008A25D5">
        <w:rPr>
          <w:lang w:val="es-MX"/>
        </w:rPr>
        <w:t xml:space="preserve">ueblos </w:t>
      </w:r>
      <w:r w:rsidR="00C13447">
        <w:rPr>
          <w:lang w:val="es-MX"/>
        </w:rPr>
        <w:t>I</w:t>
      </w:r>
      <w:r w:rsidR="008A25D5" w:rsidRPr="008A25D5">
        <w:rPr>
          <w:lang w:val="es-MX"/>
        </w:rPr>
        <w:t>ndígenas</w:t>
      </w:r>
      <w:r w:rsidR="001C1102">
        <w:rPr>
          <w:lang w:val="es-MX"/>
        </w:rPr>
        <w:t>,</w:t>
      </w:r>
      <w:r w:rsidR="008A25D5">
        <w:rPr>
          <w:lang w:val="es-MX"/>
        </w:rPr>
        <w:t xml:space="preserve"> </w:t>
      </w:r>
      <w:r w:rsidR="008A25D5" w:rsidRPr="008A25D5">
        <w:rPr>
          <w:lang w:val="es-MX"/>
        </w:rPr>
        <w:t>entre otros espacios de diálogo</w:t>
      </w:r>
      <w:r w:rsidR="001C1102">
        <w:rPr>
          <w:lang w:val="es-MX"/>
        </w:rPr>
        <w:t xml:space="preserve">, trabajo </w:t>
      </w:r>
      <w:r w:rsidR="000808F2">
        <w:rPr>
          <w:lang w:val="es-MX"/>
        </w:rPr>
        <w:t xml:space="preserve">y </w:t>
      </w:r>
      <w:r w:rsidR="000808F2" w:rsidRPr="000808F2">
        <w:rPr>
          <w:lang w:val="es-MX"/>
        </w:rPr>
        <w:t>concertación</w:t>
      </w:r>
      <w:r w:rsidR="001C1102">
        <w:rPr>
          <w:lang w:val="es-MX"/>
        </w:rPr>
        <w:t>.</w:t>
      </w:r>
    </w:p>
    <w:p w14:paraId="0F9F376D" w14:textId="77777777" w:rsidR="009001E6" w:rsidRDefault="009001E6" w:rsidP="001A2C90">
      <w:pPr>
        <w:rPr>
          <w:lang w:val="es-MX"/>
        </w:rPr>
      </w:pPr>
    </w:p>
    <w:p w14:paraId="1C94DE51" w14:textId="482383CE" w:rsidR="009001E6" w:rsidRPr="001A2C90" w:rsidRDefault="00077789" w:rsidP="00064FF2">
      <w:pPr>
        <w:rPr>
          <w:lang w:val="es-MX"/>
        </w:rPr>
      </w:pPr>
      <w:r>
        <w:rPr>
          <w:lang w:val="es-MX"/>
        </w:rPr>
        <w:t>De como se tuvieron en cuenta los aportes de la entidad en el PND, se parte del Programa de Gobierno del Presidente electo</w:t>
      </w:r>
      <w:r w:rsidR="009561BF">
        <w:rPr>
          <w:lang w:val="es-MX"/>
        </w:rPr>
        <w:t xml:space="preserve">, en la cual se </w:t>
      </w:r>
      <w:r w:rsidR="00EF6F17">
        <w:rPr>
          <w:lang w:val="es-MX"/>
        </w:rPr>
        <w:t>contempló</w:t>
      </w:r>
      <w:r w:rsidR="009561BF">
        <w:rPr>
          <w:lang w:val="es-MX"/>
        </w:rPr>
        <w:t xml:space="preserve"> </w:t>
      </w:r>
      <w:r w:rsidR="00EF6F17">
        <w:rPr>
          <w:lang w:val="es-MX"/>
        </w:rPr>
        <w:t xml:space="preserve">en el </w:t>
      </w:r>
      <w:r w:rsidR="00EF6F17" w:rsidRPr="00EF6F17">
        <w:rPr>
          <w:lang w:val="es-MX"/>
        </w:rPr>
        <w:t>Legado 14:</w:t>
      </w:r>
      <w:r w:rsidR="00EF6F17">
        <w:rPr>
          <w:lang w:val="es-MX"/>
        </w:rPr>
        <w:t xml:space="preserve"> </w:t>
      </w:r>
      <w:r w:rsidR="00EF6F17" w:rsidRPr="008E7D00">
        <w:rPr>
          <w:i/>
          <w:iCs/>
          <w:lang w:val="es-MX"/>
        </w:rPr>
        <w:t>“Una sociedad para la vida, garante de derechos y en condiciones de igualdad hasta que la dignidad se haga costumbre”</w:t>
      </w:r>
      <w:r w:rsidR="00EF6F17">
        <w:rPr>
          <w:lang w:val="es-MX"/>
        </w:rPr>
        <w:t>, plenamente coordinado con el Ministerio del Interior, como cabeza del Sector</w:t>
      </w:r>
      <w:r w:rsidR="008E7D00">
        <w:rPr>
          <w:lang w:val="es-MX"/>
        </w:rPr>
        <w:t xml:space="preserve"> se trabaja en la preparación del Plan Estratégico Sectorial</w:t>
      </w:r>
      <w:r w:rsidR="005115B7">
        <w:rPr>
          <w:lang w:val="es-MX"/>
        </w:rPr>
        <w:t xml:space="preserve"> </w:t>
      </w:r>
      <w:r w:rsidR="0020346C">
        <w:rPr>
          <w:lang w:val="es-MX"/>
        </w:rPr>
        <w:t xml:space="preserve">2022 – 2026 </w:t>
      </w:r>
      <w:r w:rsidR="005115B7">
        <w:rPr>
          <w:lang w:val="es-MX"/>
        </w:rPr>
        <w:t>y se incluyen las apuestas institucionales en materia de dere</w:t>
      </w:r>
      <w:r w:rsidR="00CE6D80">
        <w:rPr>
          <w:lang w:val="es-MX"/>
        </w:rPr>
        <w:t xml:space="preserve">cho de autor y conexos </w:t>
      </w:r>
      <w:r w:rsidR="005115B7">
        <w:rPr>
          <w:lang w:val="es-MX"/>
        </w:rPr>
        <w:t xml:space="preserve">para </w:t>
      </w:r>
      <w:bookmarkStart w:id="0" w:name="_Hlk130485847"/>
      <w:r w:rsidR="005115B7">
        <w:rPr>
          <w:lang w:val="es-MX"/>
        </w:rPr>
        <w:t xml:space="preserve">el documento </w:t>
      </w:r>
      <w:r w:rsidR="00CE6D80">
        <w:rPr>
          <w:lang w:val="es-MX"/>
        </w:rPr>
        <w:t xml:space="preserve">Bases del Plan </w:t>
      </w:r>
      <w:r w:rsidR="000D231D">
        <w:rPr>
          <w:lang w:val="es-MX"/>
        </w:rPr>
        <w:t>Nacional de Desarrollo 2022 – 2026 Colombia Potencia Mundial de la Vida</w:t>
      </w:r>
      <w:bookmarkEnd w:id="0"/>
      <w:r w:rsidR="000D231D">
        <w:rPr>
          <w:lang w:val="es-MX"/>
        </w:rPr>
        <w:t>.</w:t>
      </w:r>
    </w:p>
    <w:p w14:paraId="4B234357" w14:textId="77777777" w:rsidR="000657A8" w:rsidRDefault="000657A8">
      <w:pPr>
        <w:rPr>
          <w:lang w:val="es-MX"/>
        </w:rPr>
      </w:pPr>
    </w:p>
    <w:p w14:paraId="51E79BDC" w14:textId="68815C8D" w:rsidR="000657A8" w:rsidRPr="008E7D00" w:rsidRDefault="000808F2" w:rsidP="000808F2">
      <w:pPr>
        <w:pStyle w:val="Prrafodelista"/>
        <w:numPr>
          <w:ilvl w:val="0"/>
          <w:numId w:val="1"/>
        </w:numPr>
        <w:rPr>
          <w:i/>
          <w:iCs/>
          <w:lang w:val="es-MX"/>
        </w:rPr>
      </w:pPr>
      <w:r w:rsidRPr="008E7D00">
        <w:rPr>
          <w:i/>
          <w:iCs/>
          <w:lang w:val="es-MX"/>
        </w:rPr>
        <w:t>¿S</w:t>
      </w:r>
      <w:r w:rsidR="000657A8" w:rsidRPr="008E7D00">
        <w:rPr>
          <w:i/>
          <w:iCs/>
          <w:lang w:val="es-MX"/>
        </w:rPr>
        <w:t>eñale cuáles son los programas y proyectos prioritarios para cumplir los objetivos misionales de su entidad de</w:t>
      </w:r>
      <w:r w:rsidR="0071039E">
        <w:rPr>
          <w:i/>
          <w:iCs/>
          <w:lang w:val="es-MX"/>
        </w:rPr>
        <w:t>sde</w:t>
      </w:r>
      <w:r w:rsidR="000657A8" w:rsidRPr="008E7D00">
        <w:rPr>
          <w:i/>
          <w:iCs/>
          <w:lang w:val="es-MX"/>
        </w:rPr>
        <w:t xml:space="preserve"> este proyecto</w:t>
      </w:r>
      <w:r w:rsidR="00BF446A">
        <w:rPr>
          <w:i/>
          <w:iCs/>
          <w:lang w:val="es-MX"/>
        </w:rPr>
        <w:t>?</w:t>
      </w:r>
    </w:p>
    <w:p w14:paraId="4AC16C00" w14:textId="77777777" w:rsidR="000657A8" w:rsidRDefault="000657A8">
      <w:pPr>
        <w:rPr>
          <w:lang w:val="es-MX"/>
        </w:rPr>
      </w:pPr>
    </w:p>
    <w:p w14:paraId="21BDD3CF" w14:textId="73695C7E" w:rsidR="0020346C" w:rsidRDefault="00892F7F">
      <w:pPr>
        <w:rPr>
          <w:lang w:val="es-MX"/>
        </w:rPr>
      </w:pPr>
      <w:r>
        <w:rPr>
          <w:lang w:val="es-MX"/>
        </w:rPr>
        <w:t xml:space="preserve">Las siguientes son las apuestas sectoriales </w:t>
      </w:r>
      <w:r w:rsidR="00BD3A9D">
        <w:rPr>
          <w:lang w:val="es-MX"/>
        </w:rPr>
        <w:t xml:space="preserve">concertadas </w:t>
      </w:r>
      <w:r w:rsidR="00F86807">
        <w:rPr>
          <w:lang w:val="es-MX"/>
        </w:rPr>
        <w:t>con el Ministerio del Interior en el Plan Estratégico Sectorial 2022 – 2026, para el cumplimiento del PND</w:t>
      </w:r>
      <w:r w:rsidR="009054FE">
        <w:rPr>
          <w:lang w:val="es-MX"/>
        </w:rPr>
        <w:t>:</w:t>
      </w:r>
    </w:p>
    <w:tbl>
      <w:tblPr>
        <w:tblW w:w="7957" w:type="dxa"/>
        <w:jc w:val="center"/>
        <w:tblCellMar>
          <w:left w:w="70" w:type="dxa"/>
          <w:right w:w="70" w:type="dxa"/>
        </w:tblCellMar>
        <w:tblLook w:val="04A0" w:firstRow="1" w:lastRow="0" w:firstColumn="1" w:lastColumn="0" w:noHBand="0" w:noVBand="1"/>
      </w:tblPr>
      <w:tblGrid>
        <w:gridCol w:w="709"/>
        <w:gridCol w:w="4678"/>
        <w:gridCol w:w="2410"/>
        <w:gridCol w:w="160"/>
      </w:tblGrid>
      <w:tr w:rsidR="00892F7F" w:rsidRPr="00892F7F" w14:paraId="6AB0BFE4" w14:textId="77777777" w:rsidTr="00BD3A9D">
        <w:trPr>
          <w:gridAfter w:val="1"/>
          <w:wAfter w:w="160" w:type="dxa"/>
          <w:trHeight w:val="825"/>
          <w:jc w:val="center"/>
        </w:trPr>
        <w:tc>
          <w:tcPr>
            <w:tcW w:w="709" w:type="dxa"/>
            <w:vMerge w:val="restart"/>
            <w:tcBorders>
              <w:top w:val="single" w:sz="8" w:space="0" w:color="FFFFFF"/>
              <w:left w:val="nil"/>
              <w:bottom w:val="single" w:sz="8" w:space="0" w:color="FFFFFF"/>
              <w:right w:val="single" w:sz="8" w:space="0" w:color="203764"/>
            </w:tcBorders>
            <w:shd w:val="clear" w:color="C4BD97" w:fill="C65911"/>
            <w:vAlign w:val="center"/>
            <w:hideMark/>
          </w:tcPr>
          <w:p w14:paraId="19BE7579" w14:textId="77777777" w:rsidR="00892F7F" w:rsidRPr="00892F7F" w:rsidRDefault="00892F7F" w:rsidP="00892F7F">
            <w:pPr>
              <w:jc w:val="center"/>
              <w:rPr>
                <w:rFonts w:ascii="Calibri" w:hAnsi="Calibri" w:cs="Calibri"/>
                <w:b/>
                <w:bCs/>
                <w:color w:val="FFFFFF"/>
                <w:sz w:val="22"/>
                <w:szCs w:val="22"/>
                <w:lang w:val="es-CO" w:eastAsia="es-CO"/>
              </w:rPr>
            </w:pPr>
            <w:bookmarkStart w:id="1" w:name="_Hlk130472935"/>
            <w:r w:rsidRPr="00892F7F">
              <w:rPr>
                <w:rFonts w:ascii="Calibri" w:hAnsi="Calibri" w:cs="Calibri"/>
                <w:b/>
                <w:bCs/>
                <w:color w:val="FFFFFF"/>
                <w:sz w:val="22"/>
                <w:szCs w:val="22"/>
                <w:lang w:val="es-CO" w:eastAsia="es-CO"/>
              </w:rPr>
              <w:lastRenderedPageBreak/>
              <w:t>No.</w:t>
            </w:r>
          </w:p>
        </w:tc>
        <w:tc>
          <w:tcPr>
            <w:tcW w:w="4678" w:type="dxa"/>
            <w:vMerge w:val="restart"/>
            <w:tcBorders>
              <w:top w:val="single" w:sz="8" w:space="0" w:color="FFFFFF"/>
              <w:left w:val="nil"/>
              <w:bottom w:val="single" w:sz="8" w:space="0" w:color="FFFFFF"/>
              <w:right w:val="single" w:sz="8" w:space="0" w:color="203764"/>
            </w:tcBorders>
            <w:shd w:val="clear" w:color="C4BD97" w:fill="C65911"/>
            <w:vAlign w:val="center"/>
            <w:hideMark/>
          </w:tcPr>
          <w:p w14:paraId="3AAD638C" w14:textId="77777777" w:rsidR="00892F7F" w:rsidRPr="00892F7F" w:rsidRDefault="00892F7F" w:rsidP="00892F7F">
            <w:pPr>
              <w:jc w:val="center"/>
              <w:rPr>
                <w:rFonts w:ascii="Calibri" w:hAnsi="Calibri" w:cs="Calibri"/>
                <w:b/>
                <w:bCs/>
                <w:color w:val="FFFFFF"/>
                <w:sz w:val="22"/>
                <w:szCs w:val="22"/>
                <w:lang w:val="es-CO" w:eastAsia="es-CO"/>
              </w:rPr>
            </w:pPr>
            <w:r w:rsidRPr="00892F7F">
              <w:rPr>
                <w:rFonts w:ascii="Calibri" w:hAnsi="Calibri" w:cs="Calibri"/>
                <w:b/>
                <w:bCs/>
                <w:color w:val="FFFFFF"/>
                <w:sz w:val="22"/>
                <w:szCs w:val="22"/>
                <w:lang w:val="es-CO" w:eastAsia="es-CO"/>
              </w:rPr>
              <w:t>Nombre Apuestas Sectoriales por dependencia / entidad</w:t>
            </w:r>
          </w:p>
        </w:tc>
        <w:tc>
          <w:tcPr>
            <w:tcW w:w="2410" w:type="dxa"/>
            <w:vMerge w:val="restart"/>
            <w:tcBorders>
              <w:top w:val="single" w:sz="8" w:space="0" w:color="FFFFFF"/>
              <w:left w:val="single" w:sz="8" w:space="0" w:color="203764"/>
              <w:bottom w:val="single" w:sz="8" w:space="0" w:color="FFFFFF"/>
              <w:right w:val="single" w:sz="8" w:space="0" w:color="203764"/>
            </w:tcBorders>
            <w:shd w:val="clear" w:color="C4BD97" w:fill="F4B084"/>
            <w:vAlign w:val="center"/>
            <w:hideMark/>
          </w:tcPr>
          <w:p w14:paraId="28D0BB5E" w14:textId="77777777" w:rsidR="00892F7F" w:rsidRPr="00892F7F" w:rsidRDefault="00892F7F" w:rsidP="00892F7F">
            <w:pPr>
              <w:jc w:val="center"/>
              <w:rPr>
                <w:rFonts w:ascii="Calibri" w:hAnsi="Calibri" w:cs="Calibri"/>
                <w:b/>
                <w:bCs/>
                <w:color w:val="203764"/>
                <w:sz w:val="20"/>
                <w:lang w:val="es-CO" w:eastAsia="es-CO"/>
              </w:rPr>
            </w:pPr>
            <w:r w:rsidRPr="00892F7F">
              <w:rPr>
                <w:rFonts w:ascii="Calibri" w:hAnsi="Calibri" w:cs="Calibri"/>
                <w:b/>
                <w:bCs/>
                <w:color w:val="203764"/>
                <w:sz w:val="20"/>
                <w:lang w:val="es-CO" w:eastAsia="es-CO"/>
              </w:rPr>
              <w:t>Indicador</w:t>
            </w:r>
          </w:p>
        </w:tc>
      </w:tr>
      <w:tr w:rsidR="00892F7F" w:rsidRPr="00892F7F" w14:paraId="760BBB0D" w14:textId="77777777" w:rsidTr="009054FE">
        <w:trPr>
          <w:trHeight w:val="48"/>
          <w:jc w:val="center"/>
        </w:trPr>
        <w:tc>
          <w:tcPr>
            <w:tcW w:w="709" w:type="dxa"/>
            <w:vMerge/>
            <w:tcBorders>
              <w:top w:val="single" w:sz="8" w:space="0" w:color="FFFFFF"/>
              <w:left w:val="nil"/>
              <w:bottom w:val="single" w:sz="8" w:space="0" w:color="FFFFFF"/>
              <w:right w:val="single" w:sz="8" w:space="0" w:color="203764"/>
            </w:tcBorders>
            <w:vAlign w:val="center"/>
            <w:hideMark/>
          </w:tcPr>
          <w:p w14:paraId="19BE7741" w14:textId="77777777" w:rsidR="00892F7F" w:rsidRPr="00892F7F" w:rsidRDefault="00892F7F" w:rsidP="00892F7F">
            <w:pPr>
              <w:jc w:val="left"/>
              <w:rPr>
                <w:rFonts w:ascii="Calibri" w:hAnsi="Calibri" w:cs="Calibri"/>
                <w:b/>
                <w:bCs/>
                <w:color w:val="FFFFFF"/>
                <w:sz w:val="22"/>
                <w:szCs w:val="22"/>
                <w:lang w:val="es-CO" w:eastAsia="es-CO"/>
              </w:rPr>
            </w:pPr>
          </w:p>
        </w:tc>
        <w:tc>
          <w:tcPr>
            <w:tcW w:w="4678" w:type="dxa"/>
            <w:vMerge/>
            <w:tcBorders>
              <w:top w:val="single" w:sz="8" w:space="0" w:color="FFFFFF"/>
              <w:left w:val="nil"/>
              <w:bottom w:val="single" w:sz="8" w:space="0" w:color="FFFFFF"/>
              <w:right w:val="single" w:sz="8" w:space="0" w:color="203764"/>
            </w:tcBorders>
            <w:vAlign w:val="center"/>
            <w:hideMark/>
          </w:tcPr>
          <w:p w14:paraId="3AF1C1E5" w14:textId="77777777" w:rsidR="00892F7F" w:rsidRPr="00892F7F" w:rsidRDefault="00892F7F" w:rsidP="00892F7F">
            <w:pPr>
              <w:jc w:val="left"/>
              <w:rPr>
                <w:rFonts w:ascii="Calibri" w:hAnsi="Calibri" w:cs="Calibri"/>
                <w:b/>
                <w:bCs/>
                <w:color w:val="FFFFFF"/>
                <w:sz w:val="22"/>
                <w:szCs w:val="22"/>
                <w:lang w:val="es-CO" w:eastAsia="es-CO"/>
              </w:rPr>
            </w:pPr>
          </w:p>
        </w:tc>
        <w:tc>
          <w:tcPr>
            <w:tcW w:w="2410" w:type="dxa"/>
            <w:vMerge/>
            <w:tcBorders>
              <w:top w:val="single" w:sz="8" w:space="0" w:color="FFFFFF"/>
              <w:left w:val="single" w:sz="8" w:space="0" w:color="203764"/>
              <w:bottom w:val="single" w:sz="8" w:space="0" w:color="FFFFFF"/>
              <w:right w:val="single" w:sz="8" w:space="0" w:color="203764"/>
            </w:tcBorders>
            <w:vAlign w:val="center"/>
            <w:hideMark/>
          </w:tcPr>
          <w:p w14:paraId="67A83A64" w14:textId="77777777" w:rsidR="00892F7F" w:rsidRPr="00892F7F" w:rsidRDefault="00892F7F" w:rsidP="00892F7F">
            <w:pPr>
              <w:jc w:val="left"/>
              <w:rPr>
                <w:rFonts w:ascii="Calibri" w:hAnsi="Calibri" w:cs="Calibri"/>
                <w:b/>
                <w:bCs/>
                <w:color w:val="203764"/>
                <w:sz w:val="20"/>
                <w:lang w:val="es-CO" w:eastAsia="es-CO"/>
              </w:rPr>
            </w:pPr>
          </w:p>
        </w:tc>
        <w:tc>
          <w:tcPr>
            <w:tcW w:w="160" w:type="dxa"/>
            <w:tcBorders>
              <w:top w:val="nil"/>
              <w:left w:val="nil"/>
              <w:bottom w:val="nil"/>
              <w:right w:val="nil"/>
            </w:tcBorders>
            <w:shd w:val="clear" w:color="auto" w:fill="auto"/>
            <w:noWrap/>
            <w:vAlign w:val="bottom"/>
            <w:hideMark/>
          </w:tcPr>
          <w:p w14:paraId="3BD5041E" w14:textId="77777777" w:rsidR="00892F7F" w:rsidRPr="00892F7F" w:rsidRDefault="00892F7F" w:rsidP="00892F7F">
            <w:pPr>
              <w:jc w:val="center"/>
              <w:rPr>
                <w:rFonts w:ascii="Calibri" w:hAnsi="Calibri" w:cs="Calibri"/>
                <w:b/>
                <w:bCs/>
                <w:color w:val="203764"/>
                <w:sz w:val="20"/>
                <w:lang w:val="es-CO" w:eastAsia="es-CO"/>
              </w:rPr>
            </w:pPr>
          </w:p>
        </w:tc>
      </w:tr>
      <w:tr w:rsidR="00892F7F" w:rsidRPr="00892F7F" w14:paraId="3E6C3E8A" w14:textId="77777777" w:rsidTr="00BD3A9D">
        <w:trPr>
          <w:trHeight w:val="973"/>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3DEDB" w14:textId="77777777" w:rsidR="00892F7F" w:rsidRPr="00892F7F" w:rsidRDefault="00892F7F" w:rsidP="00892F7F">
            <w:pPr>
              <w:jc w:val="center"/>
              <w:rPr>
                <w:rFonts w:ascii="Calibri" w:hAnsi="Calibri" w:cs="Calibri"/>
                <w:color w:val="000000"/>
                <w:sz w:val="16"/>
                <w:szCs w:val="16"/>
                <w:lang w:val="es-CO" w:eastAsia="es-CO"/>
              </w:rPr>
            </w:pPr>
            <w:r w:rsidRPr="00892F7F">
              <w:rPr>
                <w:rFonts w:ascii="Calibri" w:hAnsi="Calibri" w:cs="Calibri"/>
                <w:color w:val="000000"/>
                <w:sz w:val="16"/>
                <w:szCs w:val="16"/>
                <w:lang w:val="es-CO" w:eastAsia="es-CO"/>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459383A" w14:textId="7A6ED72B" w:rsidR="00892F7F" w:rsidRPr="00892F7F" w:rsidRDefault="00892F7F" w:rsidP="009054FE">
            <w:pPr>
              <w:rPr>
                <w:rFonts w:cs="Arial"/>
                <w:color w:val="000000"/>
                <w:sz w:val="18"/>
                <w:szCs w:val="18"/>
                <w:lang w:val="es-CO" w:eastAsia="es-CO"/>
              </w:rPr>
            </w:pPr>
            <w:r w:rsidRPr="00892F7F">
              <w:rPr>
                <w:rFonts w:cs="Arial"/>
                <w:color w:val="000000"/>
                <w:sz w:val="18"/>
                <w:szCs w:val="18"/>
                <w:lang w:val="es-CO" w:eastAsia="es-CO"/>
              </w:rPr>
              <w:t xml:space="preserve">Divulgar el conocimiento del Derecho de Autor en todos los territorios del </w:t>
            </w:r>
            <w:r w:rsidR="009054FE" w:rsidRPr="00892F7F">
              <w:rPr>
                <w:rFonts w:cs="Arial"/>
                <w:color w:val="000000"/>
                <w:sz w:val="18"/>
                <w:szCs w:val="18"/>
                <w:lang w:val="es-CO" w:eastAsia="es-CO"/>
              </w:rPr>
              <w:t>país en el</w:t>
            </w:r>
            <w:r w:rsidRPr="00892F7F">
              <w:rPr>
                <w:rFonts w:cs="Arial"/>
                <w:color w:val="000000"/>
                <w:sz w:val="18"/>
                <w:szCs w:val="18"/>
                <w:lang w:val="es-CO" w:eastAsia="es-CO"/>
              </w:rPr>
              <w:t xml:space="preserve"> marco del Acuerdo de Integración Subregional Andino (Acuerdo de Cartagena).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DCEB32D" w14:textId="77777777" w:rsidR="00892F7F" w:rsidRPr="00892F7F" w:rsidRDefault="00892F7F" w:rsidP="00892F7F">
            <w:pPr>
              <w:jc w:val="center"/>
              <w:rPr>
                <w:rFonts w:cs="Arial"/>
                <w:color w:val="000000"/>
                <w:sz w:val="18"/>
                <w:szCs w:val="18"/>
                <w:lang w:val="es-CO" w:eastAsia="es-CO"/>
              </w:rPr>
            </w:pPr>
            <w:r w:rsidRPr="00892F7F">
              <w:rPr>
                <w:rFonts w:cs="Arial"/>
                <w:color w:val="000000"/>
                <w:sz w:val="18"/>
                <w:szCs w:val="18"/>
                <w:lang w:val="es-CO" w:eastAsia="es-CO"/>
              </w:rPr>
              <w:t>Número de personas beneficiadas en las actividades de capacitación adelantas por la DNDA.</w:t>
            </w:r>
          </w:p>
        </w:tc>
        <w:tc>
          <w:tcPr>
            <w:tcW w:w="160" w:type="dxa"/>
            <w:vAlign w:val="center"/>
            <w:hideMark/>
          </w:tcPr>
          <w:p w14:paraId="2DBCC8B3" w14:textId="77777777" w:rsidR="00892F7F" w:rsidRPr="00892F7F" w:rsidRDefault="00892F7F" w:rsidP="00892F7F">
            <w:pPr>
              <w:jc w:val="left"/>
              <w:rPr>
                <w:rFonts w:ascii="Times New Roman" w:hAnsi="Times New Roman"/>
                <w:sz w:val="20"/>
                <w:lang w:val="es-CO" w:eastAsia="es-CO"/>
              </w:rPr>
            </w:pPr>
          </w:p>
        </w:tc>
      </w:tr>
      <w:bookmarkEnd w:id="1"/>
      <w:tr w:rsidR="00892F7F" w:rsidRPr="00892F7F" w14:paraId="7BD3AC68" w14:textId="77777777" w:rsidTr="00BD3A9D">
        <w:trPr>
          <w:trHeight w:val="97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800DC" w14:textId="77777777" w:rsidR="00892F7F" w:rsidRPr="00892F7F" w:rsidRDefault="00892F7F" w:rsidP="00892F7F">
            <w:pPr>
              <w:jc w:val="center"/>
              <w:rPr>
                <w:rFonts w:ascii="Calibri" w:hAnsi="Calibri" w:cs="Calibri"/>
                <w:color w:val="000000"/>
                <w:sz w:val="16"/>
                <w:szCs w:val="16"/>
                <w:lang w:val="es-CO" w:eastAsia="es-CO"/>
              </w:rPr>
            </w:pPr>
            <w:r w:rsidRPr="00892F7F">
              <w:rPr>
                <w:rFonts w:ascii="Calibri" w:hAnsi="Calibri" w:cs="Calibri"/>
                <w:color w:val="000000"/>
                <w:sz w:val="16"/>
                <w:szCs w:val="16"/>
                <w:lang w:val="es-CO" w:eastAsia="es-CO"/>
              </w:rPr>
              <w:t>2</w:t>
            </w:r>
          </w:p>
        </w:tc>
        <w:tc>
          <w:tcPr>
            <w:tcW w:w="4678" w:type="dxa"/>
            <w:tcBorders>
              <w:top w:val="nil"/>
              <w:left w:val="nil"/>
              <w:bottom w:val="single" w:sz="4" w:space="0" w:color="auto"/>
              <w:right w:val="single" w:sz="4" w:space="0" w:color="auto"/>
            </w:tcBorders>
            <w:shd w:val="clear" w:color="auto" w:fill="auto"/>
            <w:vAlign w:val="center"/>
            <w:hideMark/>
          </w:tcPr>
          <w:p w14:paraId="1D35D1C3" w14:textId="0B268396" w:rsidR="00892F7F" w:rsidRPr="00892F7F" w:rsidRDefault="00892F7F" w:rsidP="009054FE">
            <w:pPr>
              <w:rPr>
                <w:rFonts w:cs="Arial"/>
                <w:sz w:val="18"/>
                <w:szCs w:val="18"/>
                <w:lang w:val="es-CO" w:eastAsia="es-CO"/>
              </w:rPr>
            </w:pPr>
            <w:r w:rsidRPr="00892F7F">
              <w:rPr>
                <w:rFonts w:cs="Arial"/>
                <w:sz w:val="18"/>
                <w:szCs w:val="18"/>
                <w:lang w:val="es-CO" w:eastAsia="es-CO"/>
              </w:rPr>
              <w:t>Aprobar registros de Derecho de Autor y Derechos Conexos como herramienta de paz.</w:t>
            </w:r>
          </w:p>
        </w:tc>
        <w:tc>
          <w:tcPr>
            <w:tcW w:w="2410" w:type="dxa"/>
            <w:tcBorders>
              <w:top w:val="nil"/>
              <w:left w:val="nil"/>
              <w:bottom w:val="single" w:sz="4" w:space="0" w:color="auto"/>
              <w:right w:val="single" w:sz="4" w:space="0" w:color="auto"/>
            </w:tcBorders>
            <w:shd w:val="clear" w:color="auto" w:fill="auto"/>
            <w:vAlign w:val="center"/>
            <w:hideMark/>
          </w:tcPr>
          <w:p w14:paraId="34BCF783" w14:textId="77777777" w:rsidR="00892F7F" w:rsidRPr="00892F7F" w:rsidRDefault="00892F7F" w:rsidP="00892F7F">
            <w:pPr>
              <w:jc w:val="center"/>
              <w:rPr>
                <w:rFonts w:cs="Arial"/>
                <w:color w:val="000000"/>
                <w:sz w:val="18"/>
                <w:szCs w:val="18"/>
                <w:lang w:val="es-CO" w:eastAsia="es-CO"/>
              </w:rPr>
            </w:pPr>
            <w:r w:rsidRPr="00892F7F">
              <w:rPr>
                <w:rFonts w:cs="Arial"/>
                <w:color w:val="000000"/>
                <w:sz w:val="18"/>
                <w:szCs w:val="18"/>
                <w:lang w:val="es-CO" w:eastAsia="es-CO"/>
              </w:rPr>
              <w:t>Número de registros aprobados por la DNDA.</w:t>
            </w:r>
          </w:p>
        </w:tc>
        <w:tc>
          <w:tcPr>
            <w:tcW w:w="160" w:type="dxa"/>
            <w:vAlign w:val="center"/>
            <w:hideMark/>
          </w:tcPr>
          <w:p w14:paraId="507035FB" w14:textId="77777777" w:rsidR="00892F7F" w:rsidRPr="00892F7F" w:rsidRDefault="00892F7F" w:rsidP="00892F7F">
            <w:pPr>
              <w:jc w:val="left"/>
              <w:rPr>
                <w:rFonts w:ascii="Times New Roman" w:hAnsi="Times New Roman"/>
                <w:sz w:val="20"/>
                <w:lang w:val="es-CO" w:eastAsia="es-CO"/>
              </w:rPr>
            </w:pPr>
          </w:p>
        </w:tc>
      </w:tr>
      <w:tr w:rsidR="00892F7F" w:rsidRPr="00892F7F" w14:paraId="4669A496" w14:textId="77777777" w:rsidTr="00BD3A9D">
        <w:trPr>
          <w:trHeight w:val="1468"/>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8A03E7" w14:textId="77777777" w:rsidR="00892F7F" w:rsidRPr="00892F7F" w:rsidRDefault="00892F7F" w:rsidP="00892F7F">
            <w:pPr>
              <w:jc w:val="center"/>
              <w:rPr>
                <w:rFonts w:ascii="Calibri" w:hAnsi="Calibri" w:cs="Calibri"/>
                <w:color w:val="000000"/>
                <w:sz w:val="16"/>
                <w:szCs w:val="16"/>
                <w:lang w:val="es-CO" w:eastAsia="es-CO"/>
              </w:rPr>
            </w:pPr>
            <w:r w:rsidRPr="00892F7F">
              <w:rPr>
                <w:rFonts w:ascii="Calibri" w:hAnsi="Calibri" w:cs="Calibri"/>
                <w:color w:val="000000"/>
                <w:sz w:val="16"/>
                <w:szCs w:val="16"/>
                <w:lang w:val="es-CO" w:eastAsia="es-CO"/>
              </w:rPr>
              <w:t>3</w:t>
            </w:r>
          </w:p>
        </w:tc>
        <w:tc>
          <w:tcPr>
            <w:tcW w:w="4678" w:type="dxa"/>
            <w:tcBorders>
              <w:top w:val="nil"/>
              <w:left w:val="nil"/>
              <w:bottom w:val="single" w:sz="4" w:space="0" w:color="auto"/>
              <w:right w:val="single" w:sz="4" w:space="0" w:color="auto"/>
            </w:tcBorders>
            <w:shd w:val="clear" w:color="auto" w:fill="auto"/>
            <w:vAlign w:val="center"/>
            <w:hideMark/>
          </w:tcPr>
          <w:p w14:paraId="03C45A9C" w14:textId="77777777" w:rsidR="00892F7F" w:rsidRPr="00892F7F" w:rsidRDefault="00892F7F" w:rsidP="00892F7F">
            <w:pPr>
              <w:jc w:val="left"/>
              <w:rPr>
                <w:rFonts w:cs="Arial"/>
                <w:color w:val="000000"/>
                <w:sz w:val="18"/>
                <w:szCs w:val="18"/>
                <w:lang w:val="es-CO" w:eastAsia="es-CO"/>
              </w:rPr>
            </w:pPr>
            <w:r w:rsidRPr="00892F7F">
              <w:rPr>
                <w:rFonts w:cs="Arial"/>
                <w:color w:val="000000"/>
                <w:sz w:val="18"/>
                <w:szCs w:val="18"/>
                <w:lang w:val="es-CO" w:eastAsia="es-CO"/>
              </w:rPr>
              <w:t>Proteger los derechos de los creadores a través de los diferentes mecanismos de observancia como parte fundamental del respeto por la vida.</w:t>
            </w:r>
          </w:p>
        </w:tc>
        <w:tc>
          <w:tcPr>
            <w:tcW w:w="2410" w:type="dxa"/>
            <w:tcBorders>
              <w:top w:val="nil"/>
              <w:left w:val="nil"/>
              <w:bottom w:val="single" w:sz="4" w:space="0" w:color="auto"/>
              <w:right w:val="single" w:sz="4" w:space="0" w:color="auto"/>
            </w:tcBorders>
            <w:shd w:val="clear" w:color="auto" w:fill="auto"/>
            <w:vAlign w:val="center"/>
            <w:hideMark/>
          </w:tcPr>
          <w:p w14:paraId="1ED4D42A" w14:textId="77777777" w:rsidR="00892F7F" w:rsidRPr="00892F7F" w:rsidRDefault="00892F7F" w:rsidP="00892F7F">
            <w:pPr>
              <w:jc w:val="center"/>
              <w:rPr>
                <w:rFonts w:cs="Arial"/>
                <w:color w:val="000000"/>
                <w:sz w:val="18"/>
                <w:szCs w:val="18"/>
                <w:lang w:val="es-CO" w:eastAsia="es-CO"/>
              </w:rPr>
            </w:pPr>
            <w:r w:rsidRPr="00892F7F">
              <w:rPr>
                <w:rFonts w:cs="Arial"/>
                <w:color w:val="000000"/>
                <w:sz w:val="18"/>
                <w:szCs w:val="18"/>
                <w:lang w:val="es-CO" w:eastAsia="es-CO"/>
              </w:rPr>
              <w:t xml:space="preserve">Número de actuaciones adelantadas en el desarrollo de las funciones </w:t>
            </w:r>
            <w:proofErr w:type="spellStart"/>
            <w:r w:rsidRPr="00892F7F">
              <w:rPr>
                <w:rFonts w:cs="Arial"/>
                <w:color w:val="000000"/>
                <w:sz w:val="18"/>
                <w:szCs w:val="18"/>
                <w:lang w:val="es-CO" w:eastAsia="es-CO"/>
              </w:rPr>
              <w:t>jurisdicionales</w:t>
            </w:r>
            <w:proofErr w:type="spellEnd"/>
            <w:r w:rsidRPr="00892F7F">
              <w:rPr>
                <w:rFonts w:cs="Arial"/>
                <w:color w:val="000000"/>
                <w:sz w:val="18"/>
                <w:szCs w:val="18"/>
                <w:lang w:val="es-CO" w:eastAsia="es-CO"/>
              </w:rPr>
              <w:t xml:space="preserve"> y del centro de conciliación y arbitraje de la DNDA. </w:t>
            </w:r>
          </w:p>
        </w:tc>
        <w:tc>
          <w:tcPr>
            <w:tcW w:w="160" w:type="dxa"/>
            <w:vAlign w:val="center"/>
            <w:hideMark/>
          </w:tcPr>
          <w:p w14:paraId="65DC1049" w14:textId="77777777" w:rsidR="00892F7F" w:rsidRPr="00892F7F" w:rsidRDefault="00892F7F" w:rsidP="00892F7F">
            <w:pPr>
              <w:jc w:val="left"/>
              <w:rPr>
                <w:rFonts w:ascii="Times New Roman" w:hAnsi="Times New Roman"/>
                <w:sz w:val="20"/>
                <w:lang w:val="es-CO" w:eastAsia="es-CO"/>
              </w:rPr>
            </w:pPr>
          </w:p>
        </w:tc>
      </w:tr>
      <w:tr w:rsidR="00892F7F" w:rsidRPr="00892F7F" w14:paraId="7839AD38" w14:textId="77777777" w:rsidTr="009054FE">
        <w:trPr>
          <w:trHeight w:val="943"/>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DBEB67" w14:textId="77777777" w:rsidR="00892F7F" w:rsidRPr="00892F7F" w:rsidRDefault="00892F7F" w:rsidP="00892F7F">
            <w:pPr>
              <w:jc w:val="center"/>
              <w:rPr>
                <w:rFonts w:ascii="Calibri" w:hAnsi="Calibri" w:cs="Calibri"/>
                <w:color w:val="000000"/>
                <w:sz w:val="16"/>
                <w:szCs w:val="16"/>
                <w:lang w:val="es-CO" w:eastAsia="es-CO"/>
              </w:rPr>
            </w:pPr>
            <w:r w:rsidRPr="00892F7F">
              <w:rPr>
                <w:rFonts w:ascii="Calibri" w:hAnsi="Calibri" w:cs="Calibri"/>
                <w:color w:val="000000"/>
                <w:sz w:val="16"/>
                <w:szCs w:val="16"/>
                <w:lang w:val="es-CO" w:eastAsia="es-CO"/>
              </w:rPr>
              <w:t>4</w:t>
            </w:r>
          </w:p>
        </w:tc>
        <w:tc>
          <w:tcPr>
            <w:tcW w:w="4678" w:type="dxa"/>
            <w:tcBorders>
              <w:top w:val="nil"/>
              <w:left w:val="nil"/>
              <w:bottom w:val="single" w:sz="4" w:space="0" w:color="auto"/>
              <w:right w:val="single" w:sz="4" w:space="0" w:color="auto"/>
            </w:tcBorders>
            <w:shd w:val="clear" w:color="auto" w:fill="auto"/>
            <w:vAlign w:val="center"/>
            <w:hideMark/>
          </w:tcPr>
          <w:p w14:paraId="58E2B13F" w14:textId="77777777" w:rsidR="00892F7F" w:rsidRPr="00892F7F" w:rsidRDefault="00892F7F" w:rsidP="00892F7F">
            <w:pPr>
              <w:jc w:val="left"/>
              <w:rPr>
                <w:rFonts w:cs="Arial"/>
                <w:color w:val="000000"/>
                <w:sz w:val="18"/>
                <w:szCs w:val="18"/>
                <w:lang w:val="es-CO" w:eastAsia="es-CO"/>
              </w:rPr>
            </w:pPr>
            <w:r w:rsidRPr="00892F7F">
              <w:rPr>
                <w:rFonts w:cs="Arial"/>
                <w:color w:val="000000"/>
                <w:sz w:val="18"/>
                <w:szCs w:val="18"/>
                <w:lang w:val="es-CO" w:eastAsia="es-CO"/>
              </w:rPr>
              <w:t>Proteger los derechos de los creadores a través de los diferentes mecanismos de observancia como parte fundamental del respeto por la vida.</w:t>
            </w:r>
          </w:p>
        </w:tc>
        <w:tc>
          <w:tcPr>
            <w:tcW w:w="2410" w:type="dxa"/>
            <w:tcBorders>
              <w:top w:val="nil"/>
              <w:left w:val="nil"/>
              <w:bottom w:val="single" w:sz="4" w:space="0" w:color="auto"/>
              <w:right w:val="single" w:sz="4" w:space="0" w:color="auto"/>
            </w:tcBorders>
            <w:shd w:val="clear" w:color="auto" w:fill="auto"/>
            <w:vAlign w:val="center"/>
            <w:hideMark/>
          </w:tcPr>
          <w:p w14:paraId="0BB6AE22" w14:textId="77777777" w:rsidR="00892F7F" w:rsidRPr="00892F7F" w:rsidRDefault="00892F7F" w:rsidP="00892F7F">
            <w:pPr>
              <w:jc w:val="center"/>
              <w:rPr>
                <w:rFonts w:cs="Arial"/>
                <w:color w:val="000000"/>
                <w:sz w:val="18"/>
                <w:szCs w:val="18"/>
                <w:lang w:val="es-CO" w:eastAsia="es-CO"/>
              </w:rPr>
            </w:pPr>
            <w:r w:rsidRPr="00892F7F">
              <w:rPr>
                <w:rFonts w:cs="Arial"/>
                <w:color w:val="000000"/>
                <w:sz w:val="18"/>
                <w:szCs w:val="18"/>
                <w:lang w:val="es-CO" w:eastAsia="es-CO"/>
              </w:rPr>
              <w:t xml:space="preserve">Número de </w:t>
            </w:r>
            <w:proofErr w:type="spellStart"/>
            <w:r w:rsidRPr="00892F7F">
              <w:rPr>
                <w:rFonts w:cs="Arial"/>
                <w:color w:val="000000"/>
                <w:sz w:val="18"/>
                <w:szCs w:val="18"/>
                <w:lang w:val="es-CO" w:eastAsia="es-CO"/>
              </w:rPr>
              <w:t>aditorias</w:t>
            </w:r>
            <w:proofErr w:type="spellEnd"/>
            <w:r w:rsidRPr="00892F7F">
              <w:rPr>
                <w:rFonts w:cs="Arial"/>
                <w:color w:val="000000"/>
                <w:sz w:val="18"/>
                <w:szCs w:val="18"/>
                <w:lang w:val="es-CO" w:eastAsia="es-CO"/>
              </w:rPr>
              <w:t xml:space="preserve"> realizadas a las Sociedades de Gestión Colectiva </w:t>
            </w:r>
          </w:p>
        </w:tc>
        <w:tc>
          <w:tcPr>
            <w:tcW w:w="160" w:type="dxa"/>
            <w:vAlign w:val="center"/>
            <w:hideMark/>
          </w:tcPr>
          <w:p w14:paraId="7A430592" w14:textId="77777777" w:rsidR="00892F7F" w:rsidRPr="00892F7F" w:rsidRDefault="00892F7F" w:rsidP="00892F7F">
            <w:pPr>
              <w:jc w:val="left"/>
              <w:rPr>
                <w:rFonts w:ascii="Times New Roman" w:hAnsi="Times New Roman"/>
                <w:sz w:val="20"/>
                <w:lang w:val="es-CO" w:eastAsia="es-CO"/>
              </w:rPr>
            </w:pPr>
          </w:p>
        </w:tc>
      </w:tr>
      <w:tr w:rsidR="00892F7F" w:rsidRPr="00892F7F" w14:paraId="7E584DDF" w14:textId="77777777" w:rsidTr="00BD3A9D">
        <w:trPr>
          <w:trHeight w:val="197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B72EDC" w14:textId="77777777" w:rsidR="00892F7F" w:rsidRPr="00892F7F" w:rsidRDefault="00892F7F" w:rsidP="00892F7F">
            <w:pPr>
              <w:jc w:val="center"/>
              <w:rPr>
                <w:rFonts w:ascii="Calibri" w:hAnsi="Calibri" w:cs="Calibri"/>
                <w:color w:val="000000"/>
                <w:sz w:val="16"/>
                <w:szCs w:val="16"/>
                <w:lang w:val="es-CO" w:eastAsia="es-CO"/>
              </w:rPr>
            </w:pPr>
            <w:r w:rsidRPr="00892F7F">
              <w:rPr>
                <w:rFonts w:ascii="Calibri" w:hAnsi="Calibri" w:cs="Calibri"/>
                <w:color w:val="000000"/>
                <w:sz w:val="16"/>
                <w:szCs w:val="16"/>
                <w:lang w:val="es-CO" w:eastAsia="es-CO"/>
              </w:rPr>
              <w:t>5</w:t>
            </w:r>
          </w:p>
        </w:tc>
        <w:tc>
          <w:tcPr>
            <w:tcW w:w="4678" w:type="dxa"/>
            <w:tcBorders>
              <w:top w:val="nil"/>
              <w:left w:val="nil"/>
              <w:bottom w:val="single" w:sz="4" w:space="0" w:color="auto"/>
              <w:right w:val="single" w:sz="4" w:space="0" w:color="auto"/>
            </w:tcBorders>
            <w:shd w:val="clear" w:color="auto" w:fill="auto"/>
            <w:vAlign w:val="center"/>
            <w:hideMark/>
          </w:tcPr>
          <w:p w14:paraId="298D8EF5" w14:textId="77777777" w:rsidR="00892F7F" w:rsidRPr="00892F7F" w:rsidRDefault="00892F7F" w:rsidP="00892F7F">
            <w:pPr>
              <w:jc w:val="left"/>
              <w:rPr>
                <w:rFonts w:cs="Arial"/>
                <w:color w:val="000000"/>
                <w:sz w:val="18"/>
                <w:szCs w:val="18"/>
                <w:lang w:val="es-CO" w:eastAsia="es-CO"/>
              </w:rPr>
            </w:pPr>
            <w:r w:rsidRPr="00892F7F">
              <w:rPr>
                <w:rFonts w:cs="Arial"/>
                <w:color w:val="000000"/>
                <w:sz w:val="18"/>
                <w:szCs w:val="18"/>
                <w:lang w:val="es-CO" w:eastAsia="es-CO"/>
              </w:rPr>
              <w:t xml:space="preserve">Diseñar e implementar un sistema de cobro de tasas simple, equitativo y transparente para los servicios de la Dirección Nacional de Derecho de Autor, fortaleciendo la infraestructura tecnológica de la entidad. </w:t>
            </w:r>
          </w:p>
        </w:tc>
        <w:tc>
          <w:tcPr>
            <w:tcW w:w="2410" w:type="dxa"/>
            <w:tcBorders>
              <w:top w:val="nil"/>
              <w:left w:val="nil"/>
              <w:bottom w:val="single" w:sz="4" w:space="0" w:color="auto"/>
              <w:right w:val="single" w:sz="4" w:space="0" w:color="auto"/>
            </w:tcBorders>
            <w:shd w:val="clear" w:color="auto" w:fill="auto"/>
            <w:vAlign w:val="center"/>
            <w:hideMark/>
          </w:tcPr>
          <w:p w14:paraId="36B20919" w14:textId="77777777" w:rsidR="00892F7F" w:rsidRPr="00892F7F" w:rsidRDefault="00892F7F" w:rsidP="00892F7F">
            <w:pPr>
              <w:jc w:val="center"/>
              <w:rPr>
                <w:rFonts w:cs="Arial"/>
                <w:color w:val="000000"/>
                <w:sz w:val="18"/>
                <w:szCs w:val="18"/>
                <w:lang w:val="es-CO" w:eastAsia="es-CO"/>
              </w:rPr>
            </w:pPr>
            <w:r w:rsidRPr="00892F7F">
              <w:rPr>
                <w:rFonts w:cs="Arial"/>
                <w:color w:val="000000"/>
                <w:sz w:val="18"/>
                <w:szCs w:val="18"/>
                <w:lang w:val="es-CO" w:eastAsia="es-CO"/>
              </w:rPr>
              <w:t xml:space="preserve">Porcentaje de avance en el diseño e implementación del Sistema de cobro de tasa simple, equitativo y transparente para los servicios de la Dirección Nacional de Derecho de Autor. </w:t>
            </w:r>
          </w:p>
        </w:tc>
        <w:tc>
          <w:tcPr>
            <w:tcW w:w="160" w:type="dxa"/>
            <w:vAlign w:val="center"/>
            <w:hideMark/>
          </w:tcPr>
          <w:p w14:paraId="6713D17B" w14:textId="77777777" w:rsidR="00892F7F" w:rsidRPr="00892F7F" w:rsidRDefault="00892F7F" w:rsidP="00892F7F">
            <w:pPr>
              <w:jc w:val="left"/>
              <w:rPr>
                <w:rFonts w:ascii="Times New Roman" w:hAnsi="Times New Roman"/>
                <w:sz w:val="20"/>
                <w:lang w:val="es-CO" w:eastAsia="es-CO"/>
              </w:rPr>
            </w:pPr>
          </w:p>
        </w:tc>
      </w:tr>
    </w:tbl>
    <w:p w14:paraId="0A439DD4" w14:textId="77777777" w:rsidR="0020346C" w:rsidRDefault="0020346C">
      <w:pPr>
        <w:rPr>
          <w:lang w:val="es-MX"/>
        </w:rPr>
      </w:pPr>
    </w:p>
    <w:p w14:paraId="0865516F" w14:textId="39E9B204" w:rsidR="009054FE" w:rsidRDefault="009054FE">
      <w:pPr>
        <w:rPr>
          <w:lang w:val="es-MX"/>
        </w:rPr>
      </w:pPr>
      <w:r>
        <w:rPr>
          <w:lang w:val="es-MX"/>
        </w:rPr>
        <w:t xml:space="preserve">Así mismo, se incluye una sexta apuesta sectorial concertada en la Mesa Permanente de Concertación con los Pueblos </w:t>
      </w:r>
      <w:r w:rsidR="00320D56">
        <w:rPr>
          <w:lang w:val="es-MX"/>
        </w:rPr>
        <w:t>Indígenas así:</w:t>
      </w:r>
    </w:p>
    <w:p w14:paraId="3CFC3788" w14:textId="77777777" w:rsidR="00320D56" w:rsidRDefault="00320D56">
      <w:pPr>
        <w:rPr>
          <w:lang w:val="es-MX"/>
        </w:rPr>
      </w:pPr>
    </w:p>
    <w:tbl>
      <w:tblPr>
        <w:tblW w:w="7957" w:type="dxa"/>
        <w:jc w:val="center"/>
        <w:tblCellMar>
          <w:left w:w="70" w:type="dxa"/>
          <w:right w:w="70" w:type="dxa"/>
        </w:tblCellMar>
        <w:tblLook w:val="04A0" w:firstRow="1" w:lastRow="0" w:firstColumn="1" w:lastColumn="0" w:noHBand="0" w:noVBand="1"/>
      </w:tblPr>
      <w:tblGrid>
        <w:gridCol w:w="724"/>
        <w:gridCol w:w="4774"/>
        <w:gridCol w:w="2459"/>
      </w:tblGrid>
      <w:tr w:rsidR="00320D56" w:rsidRPr="00892F7F" w14:paraId="580375A6" w14:textId="77777777" w:rsidTr="00D2693E">
        <w:trPr>
          <w:trHeight w:val="825"/>
          <w:jc w:val="center"/>
        </w:trPr>
        <w:tc>
          <w:tcPr>
            <w:tcW w:w="709" w:type="dxa"/>
            <w:vMerge w:val="restart"/>
            <w:tcBorders>
              <w:top w:val="single" w:sz="8" w:space="0" w:color="FFFFFF"/>
              <w:left w:val="nil"/>
              <w:bottom w:val="single" w:sz="8" w:space="0" w:color="FFFFFF"/>
              <w:right w:val="single" w:sz="8" w:space="0" w:color="203764"/>
            </w:tcBorders>
            <w:shd w:val="clear" w:color="C4BD97" w:fill="C65911"/>
            <w:vAlign w:val="center"/>
            <w:hideMark/>
          </w:tcPr>
          <w:p w14:paraId="2449EDC7" w14:textId="77777777" w:rsidR="00320D56" w:rsidRPr="00892F7F" w:rsidRDefault="00320D56" w:rsidP="00D2693E">
            <w:pPr>
              <w:jc w:val="center"/>
              <w:rPr>
                <w:rFonts w:ascii="Calibri" w:hAnsi="Calibri" w:cs="Calibri"/>
                <w:b/>
                <w:bCs/>
                <w:color w:val="FFFFFF"/>
                <w:sz w:val="22"/>
                <w:szCs w:val="22"/>
                <w:lang w:val="es-CO" w:eastAsia="es-CO"/>
              </w:rPr>
            </w:pPr>
            <w:r w:rsidRPr="00892F7F">
              <w:rPr>
                <w:rFonts w:ascii="Calibri" w:hAnsi="Calibri" w:cs="Calibri"/>
                <w:b/>
                <w:bCs/>
                <w:color w:val="FFFFFF"/>
                <w:sz w:val="22"/>
                <w:szCs w:val="22"/>
                <w:lang w:val="es-CO" w:eastAsia="es-CO"/>
              </w:rPr>
              <w:t>No.</w:t>
            </w:r>
          </w:p>
        </w:tc>
        <w:tc>
          <w:tcPr>
            <w:tcW w:w="4678" w:type="dxa"/>
            <w:vMerge w:val="restart"/>
            <w:tcBorders>
              <w:top w:val="single" w:sz="8" w:space="0" w:color="FFFFFF"/>
              <w:left w:val="nil"/>
              <w:bottom w:val="single" w:sz="8" w:space="0" w:color="FFFFFF"/>
              <w:right w:val="single" w:sz="8" w:space="0" w:color="203764"/>
            </w:tcBorders>
            <w:shd w:val="clear" w:color="C4BD97" w:fill="C65911"/>
            <w:vAlign w:val="center"/>
            <w:hideMark/>
          </w:tcPr>
          <w:p w14:paraId="5C125396" w14:textId="601AB635" w:rsidR="0015442C" w:rsidRDefault="00320D56" w:rsidP="0015442C">
            <w:pPr>
              <w:jc w:val="center"/>
              <w:rPr>
                <w:rFonts w:ascii="Calibri" w:hAnsi="Calibri" w:cs="Calibri"/>
                <w:b/>
                <w:bCs/>
                <w:color w:val="FFFFFF"/>
                <w:sz w:val="22"/>
                <w:szCs w:val="22"/>
                <w:lang w:val="es-CO" w:eastAsia="es-CO"/>
              </w:rPr>
            </w:pPr>
            <w:r w:rsidRPr="00892F7F">
              <w:rPr>
                <w:rFonts w:ascii="Calibri" w:hAnsi="Calibri" w:cs="Calibri"/>
                <w:b/>
                <w:bCs/>
                <w:color w:val="FFFFFF"/>
                <w:sz w:val="22"/>
                <w:szCs w:val="22"/>
                <w:lang w:val="es-CO" w:eastAsia="es-CO"/>
              </w:rPr>
              <w:t>Nombre Apuestas Sectoriales por dependencia / entidad</w:t>
            </w:r>
          </w:p>
          <w:p w14:paraId="4333A79C" w14:textId="2B28ECD4" w:rsidR="0015442C" w:rsidRPr="00892F7F" w:rsidRDefault="0015442C" w:rsidP="0015442C">
            <w:pPr>
              <w:rPr>
                <w:rFonts w:ascii="Calibri" w:hAnsi="Calibri" w:cs="Calibri"/>
                <w:sz w:val="22"/>
                <w:szCs w:val="22"/>
                <w:lang w:val="es-CO" w:eastAsia="es-CO"/>
              </w:rPr>
            </w:pPr>
          </w:p>
        </w:tc>
        <w:tc>
          <w:tcPr>
            <w:tcW w:w="2410" w:type="dxa"/>
            <w:vMerge w:val="restart"/>
            <w:tcBorders>
              <w:top w:val="single" w:sz="8" w:space="0" w:color="FFFFFF"/>
              <w:left w:val="single" w:sz="8" w:space="0" w:color="203764"/>
              <w:bottom w:val="single" w:sz="8" w:space="0" w:color="FFFFFF"/>
              <w:right w:val="single" w:sz="8" w:space="0" w:color="203764"/>
            </w:tcBorders>
            <w:shd w:val="clear" w:color="C4BD97" w:fill="F4B084"/>
            <w:vAlign w:val="center"/>
            <w:hideMark/>
          </w:tcPr>
          <w:p w14:paraId="2FB1EDFB" w14:textId="77777777" w:rsidR="00320D56" w:rsidRPr="00892F7F" w:rsidRDefault="00320D56" w:rsidP="00D2693E">
            <w:pPr>
              <w:jc w:val="center"/>
              <w:rPr>
                <w:rFonts w:ascii="Calibri" w:hAnsi="Calibri" w:cs="Calibri"/>
                <w:b/>
                <w:bCs/>
                <w:color w:val="203764"/>
                <w:sz w:val="20"/>
                <w:lang w:val="es-CO" w:eastAsia="es-CO"/>
              </w:rPr>
            </w:pPr>
            <w:r w:rsidRPr="00892F7F">
              <w:rPr>
                <w:rFonts w:ascii="Calibri" w:hAnsi="Calibri" w:cs="Calibri"/>
                <w:b/>
                <w:bCs/>
                <w:color w:val="203764"/>
                <w:sz w:val="20"/>
                <w:lang w:val="es-CO" w:eastAsia="es-CO"/>
              </w:rPr>
              <w:t>Indicador</w:t>
            </w:r>
          </w:p>
        </w:tc>
      </w:tr>
      <w:tr w:rsidR="00320D56" w:rsidRPr="00892F7F" w14:paraId="60C72BB5" w14:textId="77777777" w:rsidTr="00426602">
        <w:trPr>
          <w:trHeight w:val="458"/>
          <w:jc w:val="center"/>
        </w:trPr>
        <w:tc>
          <w:tcPr>
            <w:tcW w:w="709" w:type="dxa"/>
            <w:vMerge/>
            <w:tcBorders>
              <w:top w:val="single" w:sz="8" w:space="0" w:color="FFFFFF"/>
              <w:left w:val="nil"/>
              <w:bottom w:val="single" w:sz="8" w:space="0" w:color="FFFFFF"/>
              <w:right w:val="single" w:sz="8" w:space="0" w:color="203764"/>
            </w:tcBorders>
            <w:vAlign w:val="center"/>
            <w:hideMark/>
          </w:tcPr>
          <w:p w14:paraId="17C53561" w14:textId="77777777" w:rsidR="00320D56" w:rsidRPr="00892F7F" w:rsidRDefault="00320D56" w:rsidP="00D2693E">
            <w:pPr>
              <w:jc w:val="left"/>
              <w:rPr>
                <w:rFonts w:ascii="Calibri" w:hAnsi="Calibri" w:cs="Calibri"/>
                <w:b/>
                <w:bCs/>
                <w:color w:val="FFFFFF"/>
                <w:sz w:val="22"/>
                <w:szCs w:val="22"/>
                <w:lang w:val="es-CO" w:eastAsia="es-CO"/>
              </w:rPr>
            </w:pPr>
          </w:p>
        </w:tc>
        <w:tc>
          <w:tcPr>
            <w:tcW w:w="4678" w:type="dxa"/>
            <w:vMerge/>
            <w:tcBorders>
              <w:top w:val="single" w:sz="8" w:space="0" w:color="FFFFFF"/>
              <w:left w:val="nil"/>
              <w:bottom w:val="single" w:sz="8" w:space="0" w:color="FFFFFF"/>
              <w:right w:val="single" w:sz="8" w:space="0" w:color="203764"/>
            </w:tcBorders>
            <w:vAlign w:val="center"/>
            <w:hideMark/>
          </w:tcPr>
          <w:p w14:paraId="039D7613" w14:textId="77777777" w:rsidR="00320D56" w:rsidRPr="00892F7F" w:rsidRDefault="00320D56" w:rsidP="00D2693E">
            <w:pPr>
              <w:jc w:val="left"/>
              <w:rPr>
                <w:rFonts w:ascii="Calibri" w:hAnsi="Calibri" w:cs="Calibri"/>
                <w:b/>
                <w:bCs/>
                <w:color w:val="FFFFFF"/>
                <w:sz w:val="22"/>
                <w:szCs w:val="22"/>
                <w:lang w:val="es-CO" w:eastAsia="es-CO"/>
              </w:rPr>
            </w:pPr>
          </w:p>
        </w:tc>
        <w:tc>
          <w:tcPr>
            <w:tcW w:w="2410" w:type="dxa"/>
            <w:vMerge/>
            <w:tcBorders>
              <w:top w:val="single" w:sz="8" w:space="0" w:color="FFFFFF"/>
              <w:left w:val="single" w:sz="8" w:space="0" w:color="203764"/>
              <w:bottom w:val="single" w:sz="8" w:space="0" w:color="FFFFFF"/>
              <w:right w:val="single" w:sz="8" w:space="0" w:color="203764"/>
            </w:tcBorders>
            <w:vAlign w:val="center"/>
            <w:hideMark/>
          </w:tcPr>
          <w:p w14:paraId="4AC77458" w14:textId="77777777" w:rsidR="00320D56" w:rsidRPr="00892F7F" w:rsidRDefault="00320D56" w:rsidP="00D2693E">
            <w:pPr>
              <w:jc w:val="left"/>
              <w:rPr>
                <w:rFonts w:ascii="Calibri" w:hAnsi="Calibri" w:cs="Calibri"/>
                <w:b/>
                <w:bCs/>
                <w:color w:val="203764"/>
                <w:sz w:val="20"/>
                <w:lang w:val="es-CO" w:eastAsia="es-CO"/>
              </w:rPr>
            </w:pPr>
          </w:p>
        </w:tc>
      </w:tr>
      <w:tr w:rsidR="00320D56" w:rsidRPr="00892F7F" w14:paraId="16276F5D" w14:textId="77777777" w:rsidTr="00D2693E">
        <w:trPr>
          <w:trHeight w:val="973"/>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4B37E" w14:textId="13E4D737" w:rsidR="00320D56" w:rsidRPr="00892F7F" w:rsidRDefault="0015442C" w:rsidP="00D2693E">
            <w:pPr>
              <w:jc w:val="center"/>
              <w:rPr>
                <w:rFonts w:ascii="Calibri" w:hAnsi="Calibri" w:cs="Calibri"/>
                <w:color w:val="000000"/>
                <w:sz w:val="16"/>
                <w:szCs w:val="16"/>
                <w:lang w:val="es-CO" w:eastAsia="es-CO"/>
              </w:rPr>
            </w:pPr>
            <w:r>
              <w:rPr>
                <w:rFonts w:ascii="Calibri" w:hAnsi="Calibri" w:cs="Calibri"/>
                <w:color w:val="000000"/>
                <w:sz w:val="16"/>
                <w:szCs w:val="16"/>
                <w:lang w:val="es-CO" w:eastAsia="es-CO"/>
              </w:rPr>
              <w:t>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7C6C277" w14:textId="29367700" w:rsidR="00320D56" w:rsidRPr="00892F7F" w:rsidRDefault="00B36846" w:rsidP="00D2693E">
            <w:pPr>
              <w:rPr>
                <w:rFonts w:cs="Arial"/>
                <w:color w:val="000000"/>
                <w:sz w:val="18"/>
                <w:szCs w:val="18"/>
                <w:lang w:val="es-CO" w:eastAsia="es-CO"/>
              </w:rPr>
            </w:pPr>
            <w:r w:rsidRPr="00B36846">
              <w:rPr>
                <w:rFonts w:cs="Arial"/>
                <w:color w:val="000000"/>
                <w:sz w:val="18"/>
                <w:szCs w:val="18"/>
                <w:lang w:val="es-CO" w:eastAsia="es-CO"/>
              </w:rPr>
              <w:t>“El Gobierno Nacional en cabeza del Ministerio del Interior, la Dirección Nacional de Derechos de Autor y demás entidades competentes formulará, concertará y expedirá un instrumento normativo de propiedad intelectual indígena, sobre derechos de autor, derechos colectivos, patrimonio y legados ancestrales de los pueblos indígenas”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CEE481A" w14:textId="77777777" w:rsidR="0015442C" w:rsidRPr="0015442C" w:rsidRDefault="0015442C" w:rsidP="0015442C">
            <w:pPr>
              <w:jc w:val="center"/>
              <w:rPr>
                <w:rFonts w:cs="Arial"/>
                <w:color w:val="000000"/>
                <w:sz w:val="18"/>
                <w:szCs w:val="18"/>
                <w:lang w:val="es-CO" w:eastAsia="es-CO"/>
              </w:rPr>
            </w:pPr>
            <w:r w:rsidRPr="0015442C">
              <w:rPr>
                <w:rFonts w:cs="Arial"/>
                <w:color w:val="000000"/>
                <w:sz w:val="18"/>
                <w:szCs w:val="18"/>
                <w:lang w:val="es-CO" w:eastAsia="es-CO"/>
              </w:rPr>
              <w:t xml:space="preserve">Porcentaje de avance en la formulación, concertación, expedición e implementación del Proyecto de Instrumento normativo de propiedad intelectual sobre derecho indígena, sobre derechos de autor, derechos colectivos, patrimonio y </w:t>
            </w:r>
            <w:r w:rsidRPr="0015442C">
              <w:rPr>
                <w:rFonts w:cs="Arial"/>
                <w:color w:val="000000"/>
                <w:sz w:val="18"/>
                <w:szCs w:val="18"/>
                <w:lang w:val="es-CO" w:eastAsia="es-CO"/>
              </w:rPr>
              <w:lastRenderedPageBreak/>
              <w:t>legados ancestrales de los pueblos indígenas.</w:t>
            </w:r>
          </w:p>
          <w:p w14:paraId="2C50BE60" w14:textId="77777777" w:rsidR="0015442C" w:rsidRPr="0015442C" w:rsidRDefault="0015442C" w:rsidP="0015442C">
            <w:pPr>
              <w:jc w:val="center"/>
              <w:rPr>
                <w:rFonts w:cs="Arial"/>
                <w:color w:val="000000"/>
                <w:sz w:val="18"/>
                <w:szCs w:val="18"/>
                <w:lang w:val="es-CO" w:eastAsia="es-CO"/>
              </w:rPr>
            </w:pPr>
          </w:p>
          <w:p w14:paraId="6F1F12F7" w14:textId="30A433CE" w:rsidR="00320D56" w:rsidRPr="00892F7F" w:rsidRDefault="0015442C" w:rsidP="0015442C">
            <w:pPr>
              <w:jc w:val="center"/>
              <w:rPr>
                <w:rFonts w:cs="Arial"/>
                <w:color w:val="000000"/>
                <w:sz w:val="18"/>
                <w:szCs w:val="18"/>
                <w:lang w:val="es-CO" w:eastAsia="es-CO"/>
              </w:rPr>
            </w:pPr>
            <w:r w:rsidRPr="0015442C">
              <w:rPr>
                <w:rFonts w:cs="Arial"/>
                <w:color w:val="000000"/>
                <w:sz w:val="18"/>
                <w:szCs w:val="18"/>
                <w:lang w:val="es-CO" w:eastAsia="es-CO"/>
              </w:rPr>
              <w:t>Nota: El Instrumento normativo formulado estará en el marco de las competencias de la Dirección Nacional de Derecho de Autor.</w:t>
            </w:r>
          </w:p>
        </w:tc>
      </w:tr>
    </w:tbl>
    <w:p w14:paraId="02A156AD" w14:textId="77777777" w:rsidR="00320D56" w:rsidRDefault="00320D56">
      <w:pPr>
        <w:rPr>
          <w:lang w:val="es-MX"/>
        </w:rPr>
      </w:pPr>
    </w:p>
    <w:p w14:paraId="2496EF74" w14:textId="77777777" w:rsidR="009054FE" w:rsidRDefault="009054FE">
      <w:pPr>
        <w:rPr>
          <w:lang w:val="es-MX"/>
        </w:rPr>
      </w:pPr>
    </w:p>
    <w:p w14:paraId="6BEF3086" w14:textId="5E6AF95E" w:rsidR="000657A8" w:rsidRPr="00426602" w:rsidRDefault="00426602" w:rsidP="00426602">
      <w:pPr>
        <w:pStyle w:val="Prrafodelista"/>
        <w:numPr>
          <w:ilvl w:val="0"/>
          <w:numId w:val="1"/>
        </w:numPr>
        <w:rPr>
          <w:i/>
          <w:iCs/>
          <w:lang w:val="es-MX"/>
        </w:rPr>
      </w:pPr>
      <w:r w:rsidRPr="00426602">
        <w:rPr>
          <w:i/>
          <w:iCs/>
          <w:lang w:val="es-MX"/>
        </w:rPr>
        <w:t>I</w:t>
      </w:r>
      <w:r w:rsidR="000657A8" w:rsidRPr="00426602">
        <w:rPr>
          <w:i/>
          <w:iCs/>
          <w:lang w:val="es-MX"/>
        </w:rPr>
        <w:t xml:space="preserve">nformé el detalle de los ejes de transformación y artículos en los que </w:t>
      </w:r>
      <w:r w:rsidR="004C5F59" w:rsidRPr="00426602">
        <w:rPr>
          <w:i/>
          <w:iCs/>
          <w:lang w:val="es-MX"/>
        </w:rPr>
        <w:t>intervienen</w:t>
      </w:r>
      <w:r w:rsidR="000657A8" w:rsidRPr="00426602">
        <w:rPr>
          <w:i/>
          <w:iCs/>
          <w:lang w:val="es-MX"/>
        </w:rPr>
        <w:t xml:space="preserve"> </w:t>
      </w:r>
      <w:r w:rsidR="0071039E" w:rsidRPr="00426602">
        <w:rPr>
          <w:i/>
          <w:iCs/>
          <w:lang w:val="es-MX"/>
        </w:rPr>
        <w:t xml:space="preserve">su </w:t>
      </w:r>
      <w:r w:rsidR="000657A8" w:rsidRPr="00426602">
        <w:rPr>
          <w:i/>
          <w:iCs/>
          <w:lang w:val="es-MX"/>
        </w:rPr>
        <w:t xml:space="preserve">entidad dentro del </w:t>
      </w:r>
      <w:r w:rsidRPr="00426602">
        <w:rPr>
          <w:i/>
          <w:iCs/>
          <w:lang w:val="es-MX"/>
        </w:rPr>
        <w:t>P</w:t>
      </w:r>
      <w:r w:rsidR="000657A8" w:rsidRPr="00426602">
        <w:rPr>
          <w:i/>
          <w:iCs/>
          <w:lang w:val="es-MX"/>
        </w:rPr>
        <w:t xml:space="preserve">lan </w:t>
      </w:r>
      <w:r w:rsidRPr="00426602">
        <w:rPr>
          <w:i/>
          <w:iCs/>
          <w:lang w:val="es-MX"/>
        </w:rPr>
        <w:t>N</w:t>
      </w:r>
      <w:r w:rsidR="000657A8" w:rsidRPr="00426602">
        <w:rPr>
          <w:i/>
          <w:iCs/>
          <w:lang w:val="es-MX"/>
        </w:rPr>
        <w:t xml:space="preserve">acional de </w:t>
      </w:r>
      <w:r w:rsidRPr="00426602">
        <w:rPr>
          <w:i/>
          <w:iCs/>
          <w:lang w:val="es-MX"/>
        </w:rPr>
        <w:t>D</w:t>
      </w:r>
      <w:r w:rsidR="000657A8" w:rsidRPr="00426602">
        <w:rPr>
          <w:i/>
          <w:iCs/>
          <w:lang w:val="es-MX"/>
        </w:rPr>
        <w:t>esarrollo</w:t>
      </w:r>
      <w:r w:rsidRPr="00426602">
        <w:rPr>
          <w:i/>
          <w:iCs/>
          <w:lang w:val="es-MX"/>
        </w:rPr>
        <w:t>.</w:t>
      </w:r>
    </w:p>
    <w:p w14:paraId="74D57D99" w14:textId="69396AC8" w:rsidR="00FE00CF" w:rsidRPr="002C1017" w:rsidRDefault="00FE00CF" w:rsidP="008714AA">
      <w:r w:rsidRPr="002C1017">
        <w:t>Para el cumplimiento de los objetivos institucionales</w:t>
      </w:r>
      <w:r w:rsidR="0056023C" w:rsidRPr="002C1017">
        <w:t xml:space="preserve"> los ejes de transformación</w:t>
      </w:r>
      <w:r w:rsidR="002C1017" w:rsidRPr="002C1017">
        <w:t xml:space="preserve"> son:</w:t>
      </w:r>
    </w:p>
    <w:p w14:paraId="66824375" w14:textId="77777777" w:rsidR="00FE00CF" w:rsidRDefault="00FE00CF" w:rsidP="008714AA">
      <w:pPr>
        <w:rPr>
          <w:b/>
          <w:bCs/>
        </w:rPr>
      </w:pPr>
    </w:p>
    <w:p w14:paraId="2B24C37A" w14:textId="3D404ACC" w:rsidR="004B7A33" w:rsidRPr="004B7A33" w:rsidRDefault="008714AA" w:rsidP="008714AA">
      <w:pPr>
        <w:rPr>
          <w:lang w:val="es-CO"/>
        </w:rPr>
      </w:pPr>
      <w:bookmarkStart w:id="2" w:name="_Hlk130486058"/>
      <w:r>
        <w:rPr>
          <w:b/>
          <w:bCs/>
        </w:rPr>
        <w:t xml:space="preserve">Eje de </w:t>
      </w:r>
      <w:r w:rsidR="004B7A33" w:rsidRPr="004B7A33">
        <w:rPr>
          <w:b/>
          <w:bCs/>
        </w:rPr>
        <w:t xml:space="preserve">Transformación: </w:t>
      </w:r>
      <w:r w:rsidR="004B7A33" w:rsidRPr="004B7A33">
        <w:t>2. Seguridad Humana y Justicia Social</w:t>
      </w:r>
    </w:p>
    <w:p w14:paraId="3C6BE501" w14:textId="318477B0" w:rsidR="004B7A33" w:rsidRPr="004B7A33" w:rsidRDefault="004B7A33" w:rsidP="008714AA">
      <w:pPr>
        <w:rPr>
          <w:lang w:val="es-CO"/>
        </w:rPr>
      </w:pPr>
    </w:p>
    <w:p w14:paraId="52E55E07" w14:textId="77777777" w:rsidR="00110F18" w:rsidRDefault="00110F18" w:rsidP="008714AA">
      <w:r w:rsidRPr="004B7A33">
        <w:rPr>
          <w:b/>
          <w:bCs/>
        </w:rPr>
        <w:t xml:space="preserve">Catalizador: C. </w:t>
      </w:r>
      <w:r>
        <w:t>Expansión de capacidades: más y mejores oportunidades de la población para lograr sus proyectos de vida.</w:t>
      </w:r>
    </w:p>
    <w:p w14:paraId="0C72CCAB" w14:textId="77777777" w:rsidR="00110F18" w:rsidRDefault="00110F18" w:rsidP="008714AA"/>
    <w:p w14:paraId="7A3ABBCB" w14:textId="49FC1DC1" w:rsidR="00110F18" w:rsidRDefault="00110F18" w:rsidP="008714AA">
      <w:r w:rsidRPr="004B7A33">
        <w:rPr>
          <w:b/>
          <w:bCs/>
        </w:rPr>
        <w:t xml:space="preserve">Componente: </w:t>
      </w:r>
      <w:r>
        <w:rPr>
          <w:b/>
          <w:bCs/>
        </w:rPr>
        <w:t>9</w:t>
      </w:r>
      <w:r w:rsidRPr="004B7A33">
        <w:rPr>
          <w:b/>
          <w:bCs/>
        </w:rPr>
        <w:t xml:space="preserve">. Democratización del conocimiento: </w:t>
      </w:r>
      <w:r w:rsidRPr="004B7A33">
        <w:t>aprovechamiento de la propiedad intelectual (PI) y reconocimiento de los saberes tradicionales</w:t>
      </w:r>
      <w:r w:rsidR="003071F1">
        <w:t>.</w:t>
      </w:r>
    </w:p>
    <w:p w14:paraId="42758B83" w14:textId="77777777" w:rsidR="00110F18" w:rsidRDefault="00110F18" w:rsidP="008714AA"/>
    <w:p w14:paraId="2769CC42" w14:textId="239C2C16" w:rsidR="00D200C5" w:rsidRPr="004B7A33" w:rsidRDefault="00110F18" w:rsidP="00E95A3F">
      <w:pPr>
        <w:rPr>
          <w:b/>
          <w:bCs/>
          <w:lang w:val="es-CO"/>
        </w:rPr>
      </w:pPr>
      <w:r w:rsidRPr="00110F18">
        <w:rPr>
          <w:b/>
          <w:bCs/>
        </w:rPr>
        <w:t>c</w:t>
      </w:r>
      <w:r w:rsidRPr="004B7A33">
        <w:rPr>
          <w:b/>
          <w:bCs/>
        </w:rPr>
        <w:t xml:space="preserve">. </w:t>
      </w:r>
      <w:r>
        <w:rPr>
          <w:b/>
          <w:bCs/>
        </w:rPr>
        <w:t>Apoyo a derechos de autor y conexos</w:t>
      </w:r>
      <w:r w:rsidR="00E95A3F">
        <w:rPr>
          <w:b/>
          <w:bCs/>
        </w:rPr>
        <w:t xml:space="preserve">: </w:t>
      </w:r>
      <w:bookmarkEnd w:id="2"/>
      <w:r w:rsidR="004D2B6B" w:rsidRPr="00581D82">
        <w:t>Se desarrollarán estrategias de apoyo para la creación de contenidos y asesoría en la gestión de Derecho de Autor y Conexos, impulsando sectores estratégicos y procesos de afirmación identitaria. Se diseñarán</w:t>
      </w:r>
      <w:r w:rsidR="001B6159">
        <w:t xml:space="preserve"> acuerdos y leyes</w:t>
      </w:r>
      <w:r w:rsidR="009268FD">
        <w:t xml:space="preserve"> para la protección de los </w:t>
      </w:r>
      <w:r w:rsidR="004D2B6B" w:rsidRPr="00581D82">
        <w:t>derechos personales y colectivos de los creadores</w:t>
      </w:r>
      <w:r w:rsidR="00625BC9">
        <w:t xml:space="preserve">. Se </w:t>
      </w:r>
      <w:r w:rsidR="00984A76" w:rsidRPr="00581D82">
        <w:t>expedirá un sistema de cobro de tasas simple, equitativo y transparente para los servicios de la Dirección Nacional de Derecho de Autor</w:t>
      </w:r>
      <w:r w:rsidR="004D2B6B" w:rsidRPr="00581D82">
        <w:t xml:space="preserve">. </w:t>
      </w:r>
      <w:r w:rsidR="00FD395F">
        <w:t xml:space="preserve">A través de la </w:t>
      </w:r>
      <w:r w:rsidR="00E95A3F">
        <w:t>implementación de</w:t>
      </w:r>
      <w:r w:rsidR="0097421D">
        <w:t xml:space="preserve"> la </w:t>
      </w:r>
      <w:r w:rsidR="003071F1">
        <w:t>Política de</w:t>
      </w:r>
      <w:r w:rsidR="002142E9">
        <w:t xml:space="preserve"> </w:t>
      </w:r>
      <w:r w:rsidR="003071F1">
        <w:t>T</w:t>
      </w:r>
      <w:r w:rsidR="004D2B6B" w:rsidRPr="00581D82">
        <w:t xml:space="preserve">urismo </w:t>
      </w:r>
      <w:r w:rsidR="003071F1">
        <w:t>C</w:t>
      </w:r>
      <w:r w:rsidR="003071F1" w:rsidRPr="00581D82">
        <w:t>ultural,</w:t>
      </w:r>
      <w:r w:rsidR="002142E9">
        <w:t xml:space="preserve"> se avanzará en el d</w:t>
      </w:r>
      <w:r w:rsidR="004D2B6B" w:rsidRPr="00581D82">
        <w:t>esarrollo sostenible</w:t>
      </w:r>
      <w:r w:rsidR="002142E9">
        <w:t xml:space="preserve"> y en la generación de oportunidades para la cadena de valor ampliada del turismo</w:t>
      </w:r>
      <w:r w:rsidR="003071F1">
        <w:t>.</w:t>
      </w:r>
    </w:p>
    <w:p w14:paraId="30334157" w14:textId="77777777" w:rsidR="000657A8" w:rsidRDefault="000657A8">
      <w:pPr>
        <w:rPr>
          <w:lang w:val="es-MX"/>
        </w:rPr>
      </w:pPr>
    </w:p>
    <w:p w14:paraId="6CF572F5" w14:textId="343C5C3D" w:rsidR="008E3580" w:rsidRDefault="002C1017" w:rsidP="00647358">
      <w:pPr>
        <w:rPr>
          <w:lang w:val="es-MX"/>
        </w:rPr>
      </w:pPr>
      <w:r>
        <w:rPr>
          <w:lang w:val="es-MX"/>
        </w:rPr>
        <w:t>La UAE-DNDA e</w:t>
      </w:r>
      <w:r w:rsidR="00647358">
        <w:rPr>
          <w:lang w:val="es-MX"/>
        </w:rPr>
        <w:t xml:space="preserve">n el </w:t>
      </w:r>
      <w:r w:rsidR="0090198C" w:rsidRPr="0090198C">
        <w:rPr>
          <w:lang w:val="es-MX"/>
        </w:rPr>
        <w:t>Proyecto de Ley No. 338/2023 (Cámara) y 274/2023</w:t>
      </w:r>
      <w:r w:rsidR="0090198C">
        <w:rPr>
          <w:lang w:val="es-MX"/>
        </w:rPr>
        <w:t xml:space="preserve"> </w:t>
      </w:r>
      <w:r w:rsidR="0090198C" w:rsidRPr="0090198C">
        <w:rPr>
          <w:lang w:val="es-MX"/>
        </w:rPr>
        <w:t>(Senado) “Por el cual se expide el Plan Nacional de Desarrollo 2022-2026</w:t>
      </w:r>
      <w:r w:rsidR="0090198C">
        <w:rPr>
          <w:lang w:val="es-MX"/>
        </w:rPr>
        <w:t xml:space="preserve"> </w:t>
      </w:r>
      <w:r w:rsidR="0016245E">
        <w:rPr>
          <w:lang w:val="es-MX"/>
        </w:rPr>
        <w:t>“</w:t>
      </w:r>
      <w:r w:rsidR="0090198C" w:rsidRPr="0090198C">
        <w:rPr>
          <w:lang w:val="es-MX"/>
        </w:rPr>
        <w:t>Colombia, Potencia Mundial de la Vida”,</w:t>
      </w:r>
      <w:r w:rsidR="00647358">
        <w:rPr>
          <w:lang w:val="es-MX"/>
        </w:rPr>
        <w:t xml:space="preserve"> </w:t>
      </w:r>
      <w:r>
        <w:rPr>
          <w:lang w:val="es-MX"/>
        </w:rPr>
        <w:t xml:space="preserve">interviene </w:t>
      </w:r>
      <w:r w:rsidR="00302E08">
        <w:rPr>
          <w:lang w:val="es-MX"/>
        </w:rPr>
        <w:t xml:space="preserve">en cumplimiento del marco legal establecido en las Leyes 23 de 1982 y 44 de 1993 </w:t>
      </w:r>
      <w:r>
        <w:rPr>
          <w:lang w:val="es-MX"/>
        </w:rPr>
        <w:t>así:</w:t>
      </w:r>
    </w:p>
    <w:p w14:paraId="2C71088A" w14:textId="77777777" w:rsidR="008E3580" w:rsidRDefault="008E3580" w:rsidP="00647358">
      <w:pPr>
        <w:rPr>
          <w:lang w:val="es-MX"/>
        </w:rPr>
      </w:pPr>
    </w:p>
    <w:p w14:paraId="07C2DA02" w14:textId="65A46CFB" w:rsidR="00647358" w:rsidRPr="00FE15C4" w:rsidRDefault="00647358" w:rsidP="00647358">
      <w:pPr>
        <w:rPr>
          <w:b/>
          <w:bCs/>
          <w:lang w:val="es-MX"/>
        </w:rPr>
      </w:pPr>
      <w:r w:rsidRPr="00FE15C4">
        <w:rPr>
          <w:b/>
          <w:bCs/>
          <w:lang w:val="es-MX"/>
        </w:rPr>
        <w:t>ARTÍCULO 135. Modifíquese el artículo 206 de la Ley 23 de 1982, el cual quedará así:</w:t>
      </w:r>
    </w:p>
    <w:p w14:paraId="124AB5D5" w14:textId="77777777" w:rsidR="00647358" w:rsidRDefault="00647358" w:rsidP="00647358">
      <w:pPr>
        <w:rPr>
          <w:lang w:val="es-MX"/>
        </w:rPr>
      </w:pPr>
    </w:p>
    <w:p w14:paraId="59322D2E" w14:textId="3E104C45" w:rsidR="00647358" w:rsidRPr="00647358" w:rsidRDefault="00647358" w:rsidP="00647358">
      <w:pPr>
        <w:rPr>
          <w:lang w:val="es-MX"/>
        </w:rPr>
      </w:pPr>
      <w:r w:rsidRPr="00647358">
        <w:rPr>
          <w:lang w:val="es-MX"/>
        </w:rPr>
        <w:t xml:space="preserve">ARTÍCULO 206. Créase la tasa para la recuperación de los costos de los servicios prestados por la Dirección Nacional de Derecho de Autor, en ejercicio de su función misional, para proteger a los titulares del derecho de autor y derechos conexos y </w:t>
      </w:r>
      <w:r w:rsidRPr="00647358">
        <w:rPr>
          <w:lang w:val="es-MX"/>
        </w:rPr>
        <w:lastRenderedPageBreak/>
        <w:t>garantizar la creatividad productiva que permita contribuir al desarrollo de las industrias culturales y la riqueza del país.</w:t>
      </w:r>
    </w:p>
    <w:p w14:paraId="3DE36175" w14:textId="77777777" w:rsidR="00774A74" w:rsidRDefault="00774A74" w:rsidP="00647358">
      <w:pPr>
        <w:rPr>
          <w:lang w:val="es-MX"/>
        </w:rPr>
      </w:pPr>
    </w:p>
    <w:p w14:paraId="74FC2F39" w14:textId="5D205ED8" w:rsidR="00647358" w:rsidRDefault="00647358" w:rsidP="00647358">
      <w:pPr>
        <w:rPr>
          <w:lang w:val="es-MX"/>
        </w:rPr>
      </w:pPr>
      <w:r w:rsidRPr="00647358">
        <w:rPr>
          <w:lang w:val="es-MX"/>
        </w:rPr>
        <w:t>El sujeto activo de la tasa creada por la presente ley será la Dirección Nacional de Derecho de Autor. Tendrán la condición de sujeto pasivo de la tasa, las personas naturales o jurídicas que soliciten cualquiera de los servicios prestados por la Dirección Nacional de Derecho de Autor, con excepción de los trámites de conciliación y los trámites relacionados con asuntos jurisdiccionales.</w:t>
      </w:r>
    </w:p>
    <w:p w14:paraId="49784B4F" w14:textId="77777777" w:rsidR="00774A74" w:rsidRPr="00647358" w:rsidRDefault="00774A74" w:rsidP="00647358">
      <w:pPr>
        <w:rPr>
          <w:lang w:val="es-MX"/>
        </w:rPr>
      </w:pPr>
    </w:p>
    <w:p w14:paraId="09ACA508" w14:textId="77777777" w:rsidR="00647358" w:rsidRPr="00647358" w:rsidRDefault="00647358" w:rsidP="00647358">
      <w:pPr>
        <w:rPr>
          <w:lang w:val="es-MX"/>
        </w:rPr>
      </w:pPr>
      <w:r w:rsidRPr="00647358">
        <w:rPr>
          <w:lang w:val="es-MX"/>
        </w:rPr>
        <w:t>Son hechos generadores de la tasa que se crea en la presente ley, los siguientes:</w:t>
      </w:r>
    </w:p>
    <w:p w14:paraId="3F43D92E" w14:textId="68E9D3CF" w:rsidR="00647358" w:rsidRPr="00647358" w:rsidRDefault="00647358" w:rsidP="00647358">
      <w:pPr>
        <w:pStyle w:val="Prrafodelista"/>
        <w:numPr>
          <w:ilvl w:val="0"/>
          <w:numId w:val="2"/>
        </w:numPr>
        <w:rPr>
          <w:lang w:val="es-MX"/>
        </w:rPr>
      </w:pPr>
      <w:r w:rsidRPr="00647358">
        <w:rPr>
          <w:lang w:val="es-MX"/>
        </w:rPr>
        <w:t>Expedición de registros, certificados, inscripciones, modificaciones y cancelaciones de registros.</w:t>
      </w:r>
    </w:p>
    <w:p w14:paraId="28EF992C" w14:textId="25FFDDDE" w:rsidR="00647358" w:rsidRPr="00647358" w:rsidRDefault="00647358" w:rsidP="00647358">
      <w:pPr>
        <w:pStyle w:val="Prrafodelista"/>
        <w:numPr>
          <w:ilvl w:val="0"/>
          <w:numId w:val="2"/>
        </w:numPr>
        <w:rPr>
          <w:lang w:val="es-MX"/>
        </w:rPr>
      </w:pPr>
      <w:r w:rsidRPr="00647358">
        <w:rPr>
          <w:lang w:val="es-MX"/>
        </w:rPr>
        <w:t>Expedición de paz y salvos.</w:t>
      </w:r>
    </w:p>
    <w:p w14:paraId="0AD3F033" w14:textId="18C329F2" w:rsidR="00647358" w:rsidRPr="00647358" w:rsidRDefault="00647358" w:rsidP="00647358">
      <w:pPr>
        <w:pStyle w:val="Prrafodelista"/>
        <w:numPr>
          <w:ilvl w:val="0"/>
          <w:numId w:val="2"/>
        </w:numPr>
        <w:rPr>
          <w:lang w:val="es-MX"/>
        </w:rPr>
      </w:pPr>
      <w:r w:rsidRPr="00647358">
        <w:rPr>
          <w:lang w:val="es-MX"/>
        </w:rPr>
        <w:t>Inscripción de dignatarios y control de legalidad de reformas estatutarias y de presupuesto.</w:t>
      </w:r>
    </w:p>
    <w:p w14:paraId="7FB28561" w14:textId="4AF4DE4B" w:rsidR="00647358" w:rsidRPr="00647358" w:rsidRDefault="00647358" w:rsidP="00647358">
      <w:pPr>
        <w:pStyle w:val="Prrafodelista"/>
        <w:numPr>
          <w:ilvl w:val="0"/>
          <w:numId w:val="2"/>
        </w:numPr>
        <w:rPr>
          <w:lang w:val="es-MX"/>
        </w:rPr>
      </w:pPr>
      <w:r w:rsidRPr="00647358">
        <w:rPr>
          <w:lang w:val="es-MX"/>
        </w:rPr>
        <w:t>Otorgamiento de personería jurídica y autorización de funcionamiento.</w:t>
      </w:r>
    </w:p>
    <w:p w14:paraId="43C731FA" w14:textId="77777777" w:rsidR="008E3580" w:rsidRDefault="008E3580" w:rsidP="00647358">
      <w:pPr>
        <w:rPr>
          <w:lang w:val="es-MX"/>
        </w:rPr>
      </w:pPr>
    </w:p>
    <w:p w14:paraId="7EB3C48F" w14:textId="6FF5CD05" w:rsidR="00647358" w:rsidRPr="00647358" w:rsidRDefault="00647358" w:rsidP="00647358">
      <w:pPr>
        <w:rPr>
          <w:lang w:val="es-MX"/>
        </w:rPr>
      </w:pPr>
      <w:r w:rsidRPr="00647358">
        <w:rPr>
          <w:lang w:val="es-MX"/>
        </w:rPr>
        <w:t>La base para la liquidación de la tasa será el costo de los servicios correspondientes a cada uno de los hechos generadores establecidos en el presente artículo, conforme la metodología de cálculo que establezca el Gobierno nacional, del Ministerio del Interior.</w:t>
      </w:r>
    </w:p>
    <w:p w14:paraId="0D1E43EC" w14:textId="77777777" w:rsidR="00774A74" w:rsidRDefault="00774A74" w:rsidP="00647358">
      <w:pPr>
        <w:rPr>
          <w:lang w:val="es-MX"/>
        </w:rPr>
      </w:pPr>
    </w:p>
    <w:p w14:paraId="5188988F" w14:textId="3832BA35" w:rsidR="00647358" w:rsidRDefault="00647358" w:rsidP="00647358">
      <w:pPr>
        <w:rPr>
          <w:lang w:val="es-MX"/>
        </w:rPr>
      </w:pPr>
      <w:r w:rsidRPr="00647358">
        <w:rPr>
          <w:lang w:val="es-MX"/>
        </w:rPr>
        <w:t>PARÁGRAFO PRIMERO. La Dirección Nacional de Derecho de Autor fijará y actualizará anualmente las tarifas de los servicios que preste, por cada uno de los hechos generadores de la tasa. Las tarifas se fijarán en unidades de valor tributario (UVT) vigentes y se cobrarán como recuperación de los costos de los servicios prestados por la entidad, para lo cual se utilizará el siguiente método y sistema, teniendo en cuenta los costos administrativos, financieros, directos e indirectos y de operación:</w:t>
      </w:r>
    </w:p>
    <w:p w14:paraId="01B44590" w14:textId="77777777" w:rsidR="00774A74" w:rsidRPr="00647358" w:rsidRDefault="00774A74" w:rsidP="00647358">
      <w:pPr>
        <w:rPr>
          <w:lang w:val="es-MX"/>
        </w:rPr>
      </w:pPr>
    </w:p>
    <w:p w14:paraId="00519479" w14:textId="77777777" w:rsidR="00647358" w:rsidRPr="00647358" w:rsidRDefault="00647358" w:rsidP="00647358">
      <w:pPr>
        <w:rPr>
          <w:lang w:val="es-MX"/>
        </w:rPr>
      </w:pPr>
      <w:r w:rsidRPr="00647358">
        <w:rPr>
          <w:lang w:val="es-MX"/>
        </w:rPr>
        <w:t>1) Método:</w:t>
      </w:r>
    </w:p>
    <w:p w14:paraId="54B9965C" w14:textId="09EA641F" w:rsidR="00647358" w:rsidRPr="00647358" w:rsidRDefault="00647358" w:rsidP="00647358">
      <w:pPr>
        <w:pStyle w:val="Prrafodelista"/>
        <w:numPr>
          <w:ilvl w:val="0"/>
          <w:numId w:val="3"/>
        </w:numPr>
        <w:rPr>
          <w:lang w:val="es-MX"/>
        </w:rPr>
      </w:pPr>
      <w:r w:rsidRPr="00647358">
        <w:rPr>
          <w:lang w:val="es-MX"/>
        </w:rPr>
        <w:t>Elaboración y normalización de flujogramas para los diferentes procesos con el propósito de determinar sus rutinas;</w:t>
      </w:r>
    </w:p>
    <w:p w14:paraId="6ECA2E4C" w14:textId="75173844" w:rsidR="00647358" w:rsidRPr="00647358" w:rsidRDefault="00647358" w:rsidP="00647358">
      <w:pPr>
        <w:pStyle w:val="Prrafodelista"/>
        <w:numPr>
          <w:ilvl w:val="0"/>
          <w:numId w:val="3"/>
        </w:numPr>
        <w:rPr>
          <w:lang w:val="es-MX"/>
        </w:rPr>
      </w:pPr>
      <w:r w:rsidRPr="00647358">
        <w:rPr>
          <w:lang w:val="es-MX"/>
        </w:rPr>
        <w:t>Cuantificación de los materiales, suministros y los demás insumos tecnológicos y de recurso humano utilizados anualmente, en cada uno de los procesos y procedimientos definidos en el literal anterior. Estos insumos deben incluir unos porcentajes de los gastos de administración general de la Dirección Nacional de Derecho de Autor cuantificados siguiendo las normas y principios aceptados de contabilidad de costos;</w:t>
      </w:r>
    </w:p>
    <w:p w14:paraId="5D5F10E5" w14:textId="779C462F" w:rsidR="00647358" w:rsidRPr="00647358" w:rsidRDefault="00647358" w:rsidP="00647358">
      <w:pPr>
        <w:pStyle w:val="Prrafodelista"/>
        <w:numPr>
          <w:ilvl w:val="0"/>
          <w:numId w:val="3"/>
        </w:numPr>
        <w:rPr>
          <w:lang w:val="es-MX"/>
        </w:rPr>
      </w:pPr>
      <w:r w:rsidRPr="00647358">
        <w:rPr>
          <w:lang w:val="es-MX"/>
        </w:rPr>
        <w:t>Valoración a precios de mercado de los insumos descritos en el literal anterior para cada uno de los procesos y procedimientos, incluido lo relacionado con almacenamiento y custodia del documento físico y digital.</w:t>
      </w:r>
    </w:p>
    <w:p w14:paraId="231801A0" w14:textId="46F4A1DD" w:rsidR="00647358" w:rsidRPr="00647358" w:rsidRDefault="00647358" w:rsidP="00647358">
      <w:pPr>
        <w:pStyle w:val="Prrafodelista"/>
        <w:numPr>
          <w:ilvl w:val="0"/>
          <w:numId w:val="3"/>
        </w:numPr>
        <w:rPr>
          <w:lang w:val="es-MX"/>
        </w:rPr>
      </w:pPr>
      <w:r w:rsidRPr="00647358">
        <w:rPr>
          <w:lang w:val="es-MX"/>
        </w:rPr>
        <w:lastRenderedPageBreak/>
        <w:t>Valoración del recurso humano utilizado directamente en la prestación del servicio, tomando como base los salarios y prestaciones de la planta de personal de la Dirección Nacional de Derecho de Autor, así como el valor de los contratos que se celebren para el efecto;</w:t>
      </w:r>
    </w:p>
    <w:p w14:paraId="6B032832" w14:textId="77068C8D" w:rsidR="00647358" w:rsidRPr="00647358" w:rsidRDefault="00647358" w:rsidP="00647358">
      <w:pPr>
        <w:pStyle w:val="Prrafodelista"/>
        <w:numPr>
          <w:ilvl w:val="0"/>
          <w:numId w:val="3"/>
        </w:numPr>
        <w:rPr>
          <w:lang w:val="es-MX"/>
        </w:rPr>
      </w:pPr>
      <w:r w:rsidRPr="00647358">
        <w:rPr>
          <w:lang w:val="es-MX"/>
        </w:rPr>
        <w:t>Cuantificación de los costos en función de los equipos, técnicas y tecnologías disponibles para la operación de los servicios;</w:t>
      </w:r>
    </w:p>
    <w:p w14:paraId="7329F488" w14:textId="6DBCD6BC" w:rsidR="00647358" w:rsidRPr="00647358" w:rsidRDefault="00647358" w:rsidP="00647358">
      <w:pPr>
        <w:pStyle w:val="Prrafodelista"/>
        <w:numPr>
          <w:ilvl w:val="0"/>
          <w:numId w:val="3"/>
        </w:numPr>
        <w:rPr>
          <w:lang w:val="es-MX"/>
        </w:rPr>
      </w:pPr>
      <w:r w:rsidRPr="00647358">
        <w:rPr>
          <w:lang w:val="es-MX"/>
        </w:rPr>
        <w:t>Estimación de las frecuencias de utilización de los servicios. La frecuencia se entiende como el número de operaciones o ejecuciones de cada uno de los servicios prestados por la Dirección Nacional de Derecho de Autor.</w:t>
      </w:r>
    </w:p>
    <w:p w14:paraId="73344B1E" w14:textId="77777777" w:rsidR="00774A74" w:rsidRDefault="00774A74" w:rsidP="00647358">
      <w:pPr>
        <w:rPr>
          <w:lang w:val="es-MX"/>
        </w:rPr>
      </w:pPr>
    </w:p>
    <w:p w14:paraId="2B96F4AD" w14:textId="7BDD4887" w:rsidR="00647358" w:rsidRPr="00647358" w:rsidRDefault="00647358" w:rsidP="00647358">
      <w:pPr>
        <w:rPr>
          <w:lang w:val="es-MX"/>
        </w:rPr>
      </w:pPr>
      <w:r w:rsidRPr="00647358">
        <w:rPr>
          <w:lang w:val="es-MX"/>
        </w:rPr>
        <w:t>2) Sistema de costos:</w:t>
      </w:r>
    </w:p>
    <w:p w14:paraId="593560A5" w14:textId="77777777" w:rsidR="00647358" w:rsidRPr="00647358" w:rsidRDefault="00647358" w:rsidP="00647358">
      <w:pPr>
        <w:rPr>
          <w:lang w:val="es-MX"/>
        </w:rPr>
      </w:pPr>
      <w:r w:rsidRPr="00647358">
        <w:rPr>
          <w:lang w:val="es-MX"/>
        </w:rPr>
        <w:t>El sistema para definir las tarifas es un sistema de costos estandarizables, en el que la valoración y ponderación de los factores que intervienen en su definición se realizará por medio de los procedimientos de costeo técnicamente aceptados.</w:t>
      </w:r>
    </w:p>
    <w:p w14:paraId="49BB3A88" w14:textId="77777777" w:rsidR="00501F12" w:rsidRDefault="00501F12" w:rsidP="00647358">
      <w:pPr>
        <w:rPr>
          <w:lang w:val="es-MX"/>
        </w:rPr>
      </w:pPr>
    </w:p>
    <w:p w14:paraId="6FC984F0" w14:textId="230674CA" w:rsidR="00647358" w:rsidRPr="00647358" w:rsidRDefault="00647358" w:rsidP="00647358">
      <w:pPr>
        <w:rPr>
          <w:lang w:val="es-MX"/>
        </w:rPr>
      </w:pPr>
      <w:r w:rsidRPr="00647358">
        <w:rPr>
          <w:lang w:val="es-MX"/>
        </w:rPr>
        <w:t>La tarifa para cada uno de los servicios prestados por la Dirección Nacional de Derecho de Autor será el resultado de sumar el valor de los insumos y de los recursos humanos utilizados, de conformidad con los literales c), d) y e) del presente parágrafo, divididos cada uno por la frecuencia de utilización de que trata el literal f) del presente artículo. El valor máximo de la tasa a cobrar por los hechos generadores 1 y 2 del presente articulo será de dos (2) unidades de valor tributario -UVT- vigente. El valor máximo de la tasa cobrar por los hechos generadores 3 y 4 del presente articulo será de diez (10) unidades de valor tributario -UVT- vigente.</w:t>
      </w:r>
    </w:p>
    <w:p w14:paraId="5726E5D8" w14:textId="77777777" w:rsidR="00774A74" w:rsidRDefault="00774A74" w:rsidP="00647358">
      <w:pPr>
        <w:rPr>
          <w:lang w:val="es-MX"/>
        </w:rPr>
      </w:pPr>
    </w:p>
    <w:p w14:paraId="20FDD3B7" w14:textId="150E0D74" w:rsidR="00647358" w:rsidRPr="00647358" w:rsidRDefault="00647358" w:rsidP="00647358">
      <w:pPr>
        <w:rPr>
          <w:lang w:val="es-MX"/>
        </w:rPr>
      </w:pPr>
      <w:r w:rsidRPr="00647358">
        <w:rPr>
          <w:lang w:val="es-MX"/>
        </w:rPr>
        <w:t>PARÁGRAFO SEGUNDO. El Gobierno nacional podrá revisar periódicamente los criterios para la determinación de las tarifas considerando mejoras en eficiencia que puedan resultar en menores costos en la prestación de los servicios a cargo de la Dirección Nacional de Derecho de Autor.</w:t>
      </w:r>
    </w:p>
    <w:p w14:paraId="30FDA709" w14:textId="77777777" w:rsidR="00774A74" w:rsidRDefault="00774A74" w:rsidP="00647358">
      <w:pPr>
        <w:rPr>
          <w:lang w:val="es-MX"/>
        </w:rPr>
      </w:pPr>
    </w:p>
    <w:p w14:paraId="44AFD5F1" w14:textId="0A4C6CFC" w:rsidR="00647358" w:rsidRPr="00647358" w:rsidRDefault="00647358" w:rsidP="00647358">
      <w:pPr>
        <w:rPr>
          <w:lang w:val="es-MX"/>
        </w:rPr>
      </w:pPr>
      <w:r w:rsidRPr="00647358">
        <w:rPr>
          <w:lang w:val="es-MX"/>
        </w:rPr>
        <w:t>PARAGRAFO TERCERO. El sujeto pasivo o usuario deberá acreditar el pago de la tarifa correspondiente al momento de solicitar el servicio a la Dirección Nacional de Derecho de Autor. El recaudo de la tasa de que trata la presente Ley estará a cargo de la Dirección Nacional de Derecho de Autor y tendrá una destinación específica encaminada a proteger a los titulares del derecho de autor y de los derechos conexos y garantizar la creatividad productiva que permita contribuir al desarrollo de las industrias culturales y la riqueza del país.</w:t>
      </w:r>
    </w:p>
    <w:p w14:paraId="5DA95C14" w14:textId="77777777" w:rsidR="00774A74" w:rsidRDefault="00774A74" w:rsidP="00647358">
      <w:pPr>
        <w:rPr>
          <w:lang w:val="es-MX"/>
        </w:rPr>
      </w:pPr>
    </w:p>
    <w:p w14:paraId="53D5F33B" w14:textId="0DFDD38C" w:rsidR="0090198C" w:rsidRDefault="00647358" w:rsidP="00647358">
      <w:pPr>
        <w:rPr>
          <w:lang w:val="es-MX"/>
        </w:rPr>
      </w:pPr>
      <w:r w:rsidRPr="00647358">
        <w:rPr>
          <w:lang w:val="es-MX"/>
        </w:rPr>
        <w:t>PARÁGRAFO CUARTO. Los recursos serán incorporados en el presupuesto de la Dirección Nacional de Derecho de Autor, de conformidad con lo previsto en la Ley Orgánica de Presupuesto y se destinarán a financiar los objetivos y programas, para el cumplimiento de las políticas gubernamentales en materia de derecho de autor y derechos conexos.</w:t>
      </w:r>
    </w:p>
    <w:p w14:paraId="193CFB5F" w14:textId="77777777" w:rsidR="00647358" w:rsidRDefault="00647358">
      <w:pPr>
        <w:rPr>
          <w:lang w:val="es-MX"/>
        </w:rPr>
      </w:pPr>
    </w:p>
    <w:p w14:paraId="0F6638EC" w14:textId="50D4748D" w:rsidR="00647358" w:rsidRDefault="000B4A5B" w:rsidP="000B4A5B">
      <w:pPr>
        <w:rPr>
          <w:lang w:val="es-MX"/>
        </w:rPr>
      </w:pPr>
      <w:r>
        <w:rPr>
          <w:lang w:val="es-MX"/>
        </w:rPr>
        <w:lastRenderedPageBreak/>
        <w:t xml:space="preserve">En la ponencia </w:t>
      </w:r>
      <w:r w:rsidR="00CD01A2">
        <w:rPr>
          <w:lang w:val="es-MX"/>
        </w:rPr>
        <w:t>para primer debate se p</w:t>
      </w:r>
      <w:r w:rsidR="000F454C">
        <w:rPr>
          <w:lang w:val="es-MX"/>
        </w:rPr>
        <w:t xml:space="preserve">ropone que el </w:t>
      </w:r>
      <w:r w:rsidRPr="000B4A5B">
        <w:rPr>
          <w:lang w:val="es-MX"/>
        </w:rPr>
        <w:t>Artículo 135°. Se modifica con el fin de aclarar cuáles son los criterios que deben</w:t>
      </w:r>
      <w:r w:rsidR="000F454C">
        <w:rPr>
          <w:lang w:val="es-MX"/>
        </w:rPr>
        <w:t xml:space="preserve"> </w:t>
      </w:r>
      <w:r w:rsidRPr="000B4A5B">
        <w:rPr>
          <w:lang w:val="es-MX"/>
        </w:rPr>
        <w:t>tenerse en cuenta para recuperación de los costos que se asocian a los servicios</w:t>
      </w:r>
      <w:r w:rsidR="000F454C">
        <w:rPr>
          <w:lang w:val="es-MX"/>
        </w:rPr>
        <w:t xml:space="preserve"> </w:t>
      </w:r>
      <w:r w:rsidRPr="000B4A5B">
        <w:rPr>
          <w:lang w:val="es-MX"/>
        </w:rPr>
        <w:t>prestados por la Dirección Nacional de Derechos de Autor. Se incluyen criterios de</w:t>
      </w:r>
      <w:r w:rsidR="000F454C">
        <w:rPr>
          <w:lang w:val="es-MX"/>
        </w:rPr>
        <w:t xml:space="preserve"> </w:t>
      </w:r>
      <w:r w:rsidRPr="000B4A5B">
        <w:rPr>
          <w:lang w:val="es-MX"/>
        </w:rPr>
        <w:t>progresividad y equidad, los cuales se adoptaron en el primer inciso del artículo</w:t>
      </w:r>
      <w:r w:rsidR="000F454C">
        <w:rPr>
          <w:lang w:val="es-MX"/>
        </w:rPr>
        <w:t xml:space="preserve"> </w:t>
      </w:r>
      <w:r w:rsidRPr="000B4A5B">
        <w:rPr>
          <w:lang w:val="es-MX"/>
        </w:rPr>
        <w:t>propuesto en el plan nacional de desarrollo radicado.</w:t>
      </w:r>
    </w:p>
    <w:p w14:paraId="0188200A" w14:textId="5E41D8CD" w:rsidR="003071F1" w:rsidRDefault="003071F1" w:rsidP="000B4A5B">
      <w:pPr>
        <w:rPr>
          <w:lang w:val="es-MX"/>
        </w:rPr>
      </w:pPr>
    </w:p>
    <w:p w14:paraId="1F272105" w14:textId="3B2A7503" w:rsidR="003071F1" w:rsidRDefault="003071F1">
      <w:pPr>
        <w:spacing w:after="160" w:line="259" w:lineRule="auto"/>
        <w:jc w:val="left"/>
        <w:rPr>
          <w:lang w:val="es-MX"/>
        </w:rPr>
      </w:pPr>
      <w:r>
        <w:rPr>
          <w:lang w:val="es-MX"/>
        </w:rPr>
        <w:br w:type="page"/>
      </w:r>
    </w:p>
    <w:p w14:paraId="75001A4C" w14:textId="3486246D" w:rsidR="000657A8" w:rsidRDefault="000733AD" w:rsidP="007D3D22">
      <w:pPr>
        <w:pStyle w:val="Prrafodelista"/>
        <w:numPr>
          <w:ilvl w:val="0"/>
          <w:numId w:val="1"/>
        </w:numPr>
        <w:rPr>
          <w:i/>
          <w:iCs/>
          <w:lang w:val="es-MX"/>
        </w:rPr>
      </w:pPr>
      <w:r w:rsidRPr="00501F12">
        <w:rPr>
          <w:i/>
          <w:iCs/>
          <w:lang w:val="es-MX"/>
        </w:rPr>
        <w:lastRenderedPageBreak/>
        <w:t>S</w:t>
      </w:r>
      <w:r w:rsidR="000657A8" w:rsidRPr="00501F12">
        <w:rPr>
          <w:i/>
          <w:iCs/>
          <w:lang w:val="es-MX"/>
        </w:rPr>
        <w:t xml:space="preserve">írvase explicar cuáles son las líneas base y las acciones técnicas que adelantará su entidad en el proyecto del </w:t>
      </w:r>
      <w:r w:rsidRPr="00501F12">
        <w:rPr>
          <w:i/>
          <w:iCs/>
          <w:lang w:val="es-MX"/>
        </w:rPr>
        <w:t>P</w:t>
      </w:r>
      <w:r w:rsidR="000657A8" w:rsidRPr="00501F12">
        <w:rPr>
          <w:i/>
          <w:iCs/>
          <w:lang w:val="es-MX"/>
        </w:rPr>
        <w:t xml:space="preserve">lan </w:t>
      </w:r>
      <w:r w:rsidRPr="00501F12">
        <w:rPr>
          <w:i/>
          <w:iCs/>
          <w:lang w:val="es-MX"/>
        </w:rPr>
        <w:t>N</w:t>
      </w:r>
      <w:r w:rsidR="000657A8" w:rsidRPr="00501F12">
        <w:rPr>
          <w:i/>
          <w:iCs/>
          <w:lang w:val="es-MX"/>
        </w:rPr>
        <w:t xml:space="preserve">acional de </w:t>
      </w:r>
      <w:r w:rsidRPr="00501F12">
        <w:rPr>
          <w:i/>
          <w:iCs/>
          <w:lang w:val="es-MX"/>
        </w:rPr>
        <w:t>D</w:t>
      </w:r>
      <w:r w:rsidR="000657A8" w:rsidRPr="00501F12">
        <w:rPr>
          <w:i/>
          <w:iCs/>
          <w:lang w:val="es-MX"/>
        </w:rPr>
        <w:t>esarrollo</w:t>
      </w:r>
      <w:r w:rsidR="00A33474">
        <w:rPr>
          <w:i/>
          <w:iCs/>
          <w:lang w:val="es-MX"/>
        </w:rPr>
        <w:t>.</w:t>
      </w:r>
    </w:p>
    <w:p w14:paraId="49C0C29D" w14:textId="7E0E6852" w:rsidR="00FE02C0" w:rsidRPr="00FE02C0" w:rsidRDefault="00FE02C0" w:rsidP="00FE02C0">
      <w:pPr>
        <w:ind w:left="360"/>
        <w:rPr>
          <w:lang w:val="es-MX"/>
        </w:rPr>
      </w:pPr>
      <w:r>
        <w:rPr>
          <w:lang w:val="es-MX"/>
        </w:rPr>
        <w:t xml:space="preserve">Las siguientes son las </w:t>
      </w:r>
      <w:r w:rsidR="004851DE">
        <w:rPr>
          <w:lang w:val="es-MX"/>
        </w:rPr>
        <w:t xml:space="preserve">apuestas sectoriales </w:t>
      </w:r>
      <w:r w:rsidR="00BF3DF2">
        <w:rPr>
          <w:lang w:val="es-MX"/>
        </w:rPr>
        <w:t xml:space="preserve">con las líneas base y </w:t>
      </w:r>
      <w:r w:rsidR="00CB0426">
        <w:rPr>
          <w:lang w:val="es-MX"/>
        </w:rPr>
        <w:t>acciones técnicas que la UAE</w:t>
      </w:r>
      <w:r w:rsidR="00EC348C">
        <w:rPr>
          <w:lang w:val="es-MX"/>
        </w:rPr>
        <w:t>-</w:t>
      </w:r>
      <w:r w:rsidR="00CB0426">
        <w:rPr>
          <w:lang w:val="es-MX"/>
        </w:rPr>
        <w:t>DNDA</w:t>
      </w:r>
      <w:r w:rsidR="00EC348C">
        <w:rPr>
          <w:lang w:val="es-MX"/>
        </w:rPr>
        <w:t xml:space="preserve"> adelantará en el PND.</w:t>
      </w:r>
      <w:r w:rsidR="00CB0426">
        <w:rPr>
          <w:lang w:val="es-MX"/>
        </w:rPr>
        <w:t xml:space="preserve"> </w:t>
      </w:r>
    </w:p>
    <w:p w14:paraId="6A6A1EF0" w14:textId="20E16649" w:rsidR="00A33474" w:rsidRPr="00F205C6" w:rsidRDefault="00FE02C0" w:rsidP="00F205C6">
      <w:pPr>
        <w:ind w:left="360"/>
        <w:rPr>
          <w:lang w:val="es-MX"/>
        </w:rPr>
      </w:pPr>
      <w:r w:rsidRPr="00FE02C0">
        <w:rPr>
          <w:noProof/>
        </w:rPr>
        <w:drawing>
          <wp:inline distT="0" distB="0" distL="0" distR="0" wp14:anchorId="3D8D0947" wp14:editId="4AE07C12">
            <wp:extent cx="5615305" cy="6549390"/>
            <wp:effectExtent l="0" t="0" r="444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305" cy="6549390"/>
                    </a:xfrm>
                    <a:prstGeom prst="rect">
                      <a:avLst/>
                    </a:prstGeom>
                    <a:noFill/>
                    <a:ln>
                      <a:noFill/>
                    </a:ln>
                  </pic:spPr>
                </pic:pic>
              </a:graphicData>
            </a:graphic>
          </wp:inline>
        </w:drawing>
      </w:r>
    </w:p>
    <w:p w14:paraId="3BB3E32C" w14:textId="77777777" w:rsidR="00EC210D" w:rsidRDefault="00EC210D">
      <w:pPr>
        <w:rPr>
          <w:lang w:val="es-MX"/>
        </w:rPr>
      </w:pPr>
    </w:p>
    <w:p w14:paraId="4552CDC3" w14:textId="77D34085" w:rsidR="00375043" w:rsidRDefault="00BB5A82">
      <w:pPr>
        <w:rPr>
          <w:lang w:val="es-MX"/>
        </w:rPr>
      </w:pPr>
      <w:r w:rsidRPr="00BB5A82">
        <w:rPr>
          <w:noProof/>
        </w:rPr>
        <w:lastRenderedPageBreak/>
        <w:drawing>
          <wp:inline distT="0" distB="0" distL="0" distR="0" wp14:anchorId="52F74B32" wp14:editId="65992C01">
            <wp:extent cx="5615305" cy="3197860"/>
            <wp:effectExtent l="0" t="0" r="444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305" cy="3197860"/>
                    </a:xfrm>
                    <a:prstGeom prst="rect">
                      <a:avLst/>
                    </a:prstGeom>
                    <a:noFill/>
                    <a:ln>
                      <a:noFill/>
                    </a:ln>
                  </pic:spPr>
                </pic:pic>
              </a:graphicData>
            </a:graphic>
          </wp:inline>
        </w:drawing>
      </w:r>
    </w:p>
    <w:p w14:paraId="0CE3392D" w14:textId="77777777" w:rsidR="00BB5A82" w:rsidRDefault="00BB5A82">
      <w:pPr>
        <w:rPr>
          <w:lang w:val="es-MX"/>
        </w:rPr>
      </w:pPr>
    </w:p>
    <w:p w14:paraId="614F4761" w14:textId="326A9261" w:rsidR="00EC210D" w:rsidRPr="00BB5A82" w:rsidRDefault="00BB5A82" w:rsidP="00787ECB">
      <w:pPr>
        <w:pStyle w:val="Prrafodelista"/>
        <w:numPr>
          <w:ilvl w:val="0"/>
          <w:numId w:val="1"/>
        </w:numPr>
        <w:rPr>
          <w:i/>
          <w:iCs/>
          <w:lang w:val="es-MX"/>
        </w:rPr>
      </w:pPr>
      <w:r>
        <w:rPr>
          <w:i/>
          <w:iCs/>
          <w:lang w:val="es-MX"/>
        </w:rPr>
        <w:t>S</w:t>
      </w:r>
      <w:r w:rsidR="00EC210D" w:rsidRPr="00BB5A82">
        <w:rPr>
          <w:i/>
          <w:iCs/>
          <w:lang w:val="es-MX"/>
        </w:rPr>
        <w:t xml:space="preserve">írvase proporcionar la información detallada sobre la distribución del presupuesto plurianual de inversiones públicas por valor de </w:t>
      </w:r>
      <w:r w:rsidR="002C69B0">
        <w:rPr>
          <w:i/>
          <w:iCs/>
          <w:lang w:val="es-MX"/>
        </w:rPr>
        <w:t>$</w:t>
      </w:r>
      <w:r w:rsidR="00EC210D" w:rsidRPr="00BB5A82">
        <w:rPr>
          <w:i/>
          <w:iCs/>
          <w:lang w:val="es-MX"/>
        </w:rPr>
        <w:t>1</w:t>
      </w:r>
      <w:r w:rsidR="003071F1">
        <w:rPr>
          <w:i/>
          <w:iCs/>
          <w:lang w:val="es-MX"/>
        </w:rPr>
        <w:t>.</w:t>
      </w:r>
      <w:r w:rsidR="00EC210D" w:rsidRPr="00BB5A82">
        <w:rPr>
          <w:i/>
          <w:iCs/>
          <w:lang w:val="es-MX"/>
        </w:rPr>
        <w:t>154, 8 billones en su sector y entidad</w:t>
      </w:r>
    </w:p>
    <w:p w14:paraId="4B5A6A53" w14:textId="77777777" w:rsidR="00EC210D" w:rsidRDefault="00EC210D">
      <w:pPr>
        <w:rPr>
          <w:lang w:val="es-MX"/>
        </w:rPr>
      </w:pPr>
    </w:p>
    <w:p w14:paraId="0D03C83D" w14:textId="432D17FD" w:rsidR="002C69B0" w:rsidRDefault="00234EE6">
      <w:pPr>
        <w:rPr>
          <w:lang w:val="es-MX"/>
        </w:rPr>
      </w:pPr>
      <w:r>
        <w:rPr>
          <w:lang w:val="es-MX"/>
        </w:rPr>
        <w:t xml:space="preserve">La UAE-DNDA como entidad </w:t>
      </w:r>
      <w:r w:rsidR="00C8703B">
        <w:rPr>
          <w:lang w:val="es-MX"/>
        </w:rPr>
        <w:t xml:space="preserve">adscrita al Ministerio del Interior, en ejercicio de sus objetivos institucionales </w:t>
      </w:r>
      <w:r w:rsidR="00B6409B">
        <w:rPr>
          <w:lang w:val="es-MX"/>
        </w:rPr>
        <w:t xml:space="preserve">participa en el Plan Plurianual de Inversiones, </w:t>
      </w:r>
      <w:r w:rsidR="00260B41">
        <w:rPr>
          <w:lang w:val="es-MX"/>
        </w:rPr>
        <w:t>con</w:t>
      </w:r>
      <w:r w:rsidR="00B6409B">
        <w:rPr>
          <w:lang w:val="es-MX"/>
        </w:rPr>
        <w:t xml:space="preserve"> </w:t>
      </w:r>
      <w:r w:rsidR="00DB52FE">
        <w:rPr>
          <w:lang w:val="es-MX"/>
        </w:rPr>
        <w:t xml:space="preserve">los recursos asignados de inversión </w:t>
      </w:r>
      <w:r w:rsidR="00260B41">
        <w:rPr>
          <w:lang w:val="es-MX"/>
        </w:rPr>
        <w:t xml:space="preserve">que </w:t>
      </w:r>
      <w:r w:rsidR="00DB52FE">
        <w:rPr>
          <w:lang w:val="es-MX"/>
        </w:rPr>
        <w:t xml:space="preserve">se dirigen al fortalecimiento de las capacidades </w:t>
      </w:r>
      <w:r w:rsidR="00633480">
        <w:rPr>
          <w:lang w:val="es-MX"/>
        </w:rPr>
        <w:t>para la prestación de servicios en materia de la protección y divulgación de los derechos de autor y conexos</w:t>
      </w:r>
      <w:r w:rsidR="00260B41">
        <w:rPr>
          <w:lang w:val="es-MX"/>
        </w:rPr>
        <w:t>, según el siguiente cuadro de reporte en el SUIFP:</w:t>
      </w:r>
    </w:p>
    <w:p w14:paraId="240584E3" w14:textId="5A31AF8E" w:rsidR="00260B41" w:rsidRDefault="00260B41">
      <w:pPr>
        <w:rPr>
          <w:lang w:val="es-MX"/>
        </w:rPr>
      </w:pPr>
    </w:p>
    <w:p w14:paraId="3F28B447" w14:textId="19DB2DE4" w:rsidR="00260B41" w:rsidRDefault="00260B41">
      <w:pPr>
        <w:rPr>
          <w:lang w:val="es-MX"/>
        </w:rPr>
      </w:pPr>
      <w:r>
        <w:rPr>
          <w:noProof/>
          <w:lang w:val="es-MX"/>
        </w:rPr>
        <w:drawing>
          <wp:inline distT="0" distB="0" distL="0" distR="0" wp14:anchorId="5BC4DBAC" wp14:editId="7FFFF807">
            <wp:extent cx="5646420" cy="91990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4094" cy="926044"/>
                    </a:xfrm>
                    <a:prstGeom prst="rect">
                      <a:avLst/>
                    </a:prstGeom>
                    <a:noFill/>
                  </pic:spPr>
                </pic:pic>
              </a:graphicData>
            </a:graphic>
          </wp:inline>
        </w:drawing>
      </w:r>
    </w:p>
    <w:p w14:paraId="4A3BCDF5" w14:textId="7D19AD60" w:rsidR="00260B41" w:rsidRDefault="00260B41">
      <w:pPr>
        <w:rPr>
          <w:lang w:val="es-MX"/>
        </w:rPr>
      </w:pPr>
      <w:r>
        <w:rPr>
          <w:noProof/>
          <w:lang w:val="es-MX"/>
        </w:rPr>
        <w:drawing>
          <wp:inline distT="0" distB="0" distL="0" distR="0" wp14:anchorId="3C67F7C9" wp14:editId="0AF7387E">
            <wp:extent cx="5654040" cy="828705"/>
            <wp:effectExtent l="0" t="0" r="381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7550" cy="835082"/>
                    </a:xfrm>
                    <a:prstGeom prst="rect">
                      <a:avLst/>
                    </a:prstGeom>
                    <a:noFill/>
                  </pic:spPr>
                </pic:pic>
              </a:graphicData>
            </a:graphic>
          </wp:inline>
        </w:drawing>
      </w:r>
    </w:p>
    <w:p w14:paraId="5CEB8B02" w14:textId="5340A92A" w:rsidR="00260B41" w:rsidRDefault="00260B41">
      <w:pPr>
        <w:rPr>
          <w:lang w:val="es-MX"/>
        </w:rPr>
      </w:pPr>
    </w:p>
    <w:p w14:paraId="72A6829A" w14:textId="77777777" w:rsidR="00260B41" w:rsidRDefault="00260B41">
      <w:pPr>
        <w:rPr>
          <w:lang w:val="es-MX"/>
        </w:rPr>
      </w:pPr>
    </w:p>
    <w:p w14:paraId="351B7993" w14:textId="1204078E" w:rsidR="00EC210D" w:rsidRPr="004E1982" w:rsidRDefault="00633480" w:rsidP="00633480">
      <w:pPr>
        <w:pStyle w:val="Prrafodelista"/>
        <w:numPr>
          <w:ilvl w:val="0"/>
          <w:numId w:val="1"/>
        </w:numPr>
        <w:rPr>
          <w:i/>
          <w:iCs/>
          <w:lang w:val="es-MX"/>
        </w:rPr>
      </w:pPr>
      <w:r w:rsidRPr="004E1982">
        <w:rPr>
          <w:i/>
          <w:iCs/>
          <w:lang w:val="es-MX"/>
        </w:rPr>
        <w:lastRenderedPageBreak/>
        <w:t>C</w:t>
      </w:r>
      <w:r w:rsidR="00EC210D" w:rsidRPr="004E1982">
        <w:rPr>
          <w:i/>
          <w:iCs/>
          <w:lang w:val="es-MX"/>
        </w:rPr>
        <w:t>on respecto al plan plurianual</w:t>
      </w:r>
      <w:r w:rsidR="00A25E63" w:rsidRPr="004E1982">
        <w:rPr>
          <w:i/>
          <w:iCs/>
          <w:lang w:val="es-MX"/>
        </w:rPr>
        <w:t xml:space="preserve"> de inversiones</w:t>
      </w:r>
      <w:r w:rsidR="00154187">
        <w:rPr>
          <w:i/>
          <w:iCs/>
          <w:lang w:val="es-MX"/>
        </w:rPr>
        <w:t>,</w:t>
      </w:r>
      <w:r w:rsidR="00A25E63" w:rsidRPr="004E1982">
        <w:rPr>
          <w:i/>
          <w:iCs/>
          <w:lang w:val="es-MX"/>
        </w:rPr>
        <w:t xml:space="preserve"> </w:t>
      </w:r>
      <w:r w:rsidR="00154187">
        <w:rPr>
          <w:i/>
          <w:iCs/>
          <w:lang w:val="es-MX"/>
        </w:rPr>
        <w:t>¿</w:t>
      </w:r>
      <w:r w:rsidR="00A25E63" w:rsidRPr="004E1982">
        <w:rPr>
          <w:i/>
          <w:iCs/>
          <w:lang w:val="es-MX"/>
        </w:rPr>
        <w:t>proporcion</w:t>
      </w:r>
      <w:r w:rsidR="00154187">
        <w:rPr>
          <w:i/>
          <w:iCs/>
          <w:lang w:val="es-MX"/>
        </w:rPr>
        <w:t>e</w:t>
      </w:r>
      <w:r w:rsidR="00A25E63" w:rsidRPr="004E1982">
        <w:rPr>
          <w:i/>
          <w:iCs/>
          <w:lang w:val="es-MX"/>
        </w:rPr>
        <w:t xml:space="preserve"> información sobre la metodología utilizada para asignar los recursos a este plan y </w:t>
      </w:r>
      <w:r w:rsidR="00A33474" w:rsidRPr="004E1982">
        <w:rPr>
          <w:i/>
          <w:iCs/>
          <w:lang w:val="es-MX"/>
        </w:rPr>
        <w:t>cómo</w:t>
      </w:r>
      <w:r w:rsidR="00A25E63" w:rsidRPr="004E1982">
        <w:rPr>
          <w:i/>
          <w:iCs/>
          <w:lang w:val="es-MX"/>
        </w:rPr>
        <w:t xml:space="preserve"> se estimaron los valores correspondientes</w:t>
      </w:r>
      <w:r w:rsidR="00154187">
        <w:rPr>
          <w:i/>
          <w:iCs/>
          <w:lang w:val="es-MX"/>
        </w:rPr>
        <w:t>?</w:t>
      </w:r>
    </w:p>
    <w:p w14:paraId="1BA00FFE" w14:textId="77777777" w:rsidR="00A25E63" w:rsidRDefault="00A25E63">
      <w:pPr>
        <w:rPr>
          <w:lang w:val="es-MX"/>
        </w:rPr>
      </w:pPr>
    </w:p>
    <w:p w14:paraId="7EDCE48A" w14:textId="2799BE07" w:rsidR="004E1982" w:rsidRDefault="00A61498" w:rsidP="00A31A13">
      <w:pPr>
        <w:rPr>
          <w:lang w:val="es-MX"/>
        </w:rPr>
      </w:pPr>
      <w:bookmarkStart w:id="3" w:name="_Hlk130477969"/>
      <w:r>
        <w:rPr>
          <w:lang w:val="es-MX"/>
        </w:rPr>
        <w:t xml:space="preserve">Conforme a la metodología contenida en el Instructivo Registro Plan Plurianual de Inversiones -PPI, versión 1 de octubre de 2022 del DNP, se tomó como base el valor indicado en la plataforma SUIFP-PPI, articulado con el Catálogo Programático establecido en el documento Bases del Plan Nacional de Desarrollo 2022 – 2026 Colombia Potencia Mundial de la Vida, </w:t>
      </w:r>
      <w:r w:rsidR="00A31A13">
        <w:rPr>
          <w:lang w:val="es-MX"/>
        </w:rPr>
        <w:t xml:space="preserve">teniendo en cuenta los lineamientos del </w:t>
      </w:r>
      <w:r w:rsidR="00A31A13">
        <w:rPr>
          <w:b/>
          <w:bCs/>
        </w:rPr>
        <w:t xml:space="preserve">Eje de </w:t>
      </w:r>
      <w:r w:rsidR="00A31A13" w:rsidRPr="004B7A33">
        <w:rPr>
          <w:b/>
          <w:bCs/>
        </w:rPr>
        <w:t xml:space="preserve">Transformación: </w:t>
      </w:r>
      <w:r w:rsidR="00A31A13" w:rsidRPr="004B7A33">
        <w:t>2. Seguridad Humana y Justicia Social</w:t>
      </w:r>
      <w:r w:rsidR="00A31A13">
        <w:t xml:space="preserve">, </w:t>
      </w:r>
      <w:r w:rsidR="00A31A13" w:rsidRPr="004B7A33">
        <w:rPr>
          <w:b/>
          <w:bCs/>
        </w:rPr>
        <w:t xml:space="preserve">Catalizador: C. </w:t>
      </w:r>
      <w:r w:rsidR="00C11F05">
        <w:t xml:space="preserve">Expansión de capacidades: más y mejores oportunidades de la población para lograr sus </w:t>
      </w:r>
      <w:r w:rsidR="00110F18">
        <w:t>proyectos de</w:t>
      </w:r>
      <w:r w:rsidR="00C11F05">
        <w:t xml:space="preserve"> vida</w:t>
      </w:r>
      <w:r w:rsidR="00110F18">
        <w:t>.</w:t>
      </w:r>
      <w:r w:rsidR="00A31A13">
        <w:t xml:space="preserve"> </w:t>
      </w:r>
      <w:r w:rsidR="00A31A13" w:rsidRPr="004B7A33">
        <w:rPr>
          <w:b/>
          <w:bCs/>
        </w:rPr>
        <w:t xml:space="preserve">Componente: </w:t>
      </w:r>
      <w:r w:rsidR="00110F18">
        <w:rPr>
          <w:b/>
          <w:bCs/>
        </w:rPr>
        <w:t>9</w:t>
      </w:r>
      <w:r w:rsidR="00A31A13" w:rsidRPr="004B7A33">
        <w:rPr>
          <w:b/>
          <w:bCs/>
        </w:rPr>
        <w:t xml:space="preserve">. Democratización del conocimiento: </w:t>
      </w:r>
      <w:r w:rsidR="00A31A13" w:rsidRPr="004B7A33">
        <w:t>aprovechamiento de la propiedad intelectual (PI) y reconocimiento de los saberes tradicionales</w:t>
      </w:r>
      <w:r w:rsidR="00A31A13">
        <w:t xml:space="preserve">, </w:t>
      </w:r>
      <w:r w:rsidR="00110F18" w:rsidRPr="00110F18">
        <w:rPr>
          <w:b/>
          <w:bCs/>
        </w:rPr>
        <w:t>c</w:t>
      </w:r>
      <w:r w:rsidR="00A31A13" w:rsidRPr="004B7A33">
        <w:rPr>
          <w:b/>
          <w:bCs/>
        </w:rPr>
        <w:t xml:space="preserve">. </w:t>
      </w:r>
      <w:r w:rsidR="00110F18">
        <w:rPr>
          <w:b/>
          <w:bCs/>
        </w:rPr>
        <w:t>Apoyo a derechos de autor y conexos</w:t>
      </w:r>
      <w:r w:rsidR="00A31A13" w:rsidRPr="00A31A13">
        <w:t>, de los cuales se definen</w:t>
      </w:r>
      <w:r w:rsidR="00A31A13">
        <w:rPr>
          <w:b/>
          <w:bCs/>
        </w:rPr>
        <w:t xml:space="preserve"> </w:t>
      </w:r>
      <w:r w:rsidR="00A31A13">
        <w:rPr>
          <w:lang w:val="es-MX"/>
        </w:rPr>
        <w:t>las apuestas sectoriales concertadas con el Ministerio del Interior en el Plan Estratégico Sectorial 2022 – 2026, para el cumplimiento del PND, tomando como referencia las inversiones ejecutadas en el marco del proyecto de inversión del cuatrienio anterior 2018 – 2022, atendiendo a la misionalidad de la UIAE-DNDA, que sirvió de parámetro para estimar los valores descritos en el punto 5.</w:t>
      </w:r>
    </w:p>
    <w:bookmarkEnd w:id="3"/>
    <w:p w14:paraId="43F257B6" w14:textId="77777777" w:rsidR="004E1982" w:rsidRDefault="004E1982">
      <w:pPr>
        <w:rPr>
          <w:lang w:val="es-MX"/>
        </w:rPr>
      </w:pPr>
    </w:p>
    <w:p w14:paraId="137BE7B7" w14:textId="7A5D9253" w:rsidR="00A25E63" w:rsidRPr="002A4D09" w:rsidRDefault="002A4D09" w:rsidP="002A4D09">
      <w:pPr>
        <w:pStyle w:val="Prrafodelista"/>
        <w:numPr>
          <w:ilvl w:val="0"/>
          <w:numId w:val="1"/>
        </w:numPr>
        <w:rPr>
          <w:i/>
          <w:iCs/>
          <w:lang w:val="es-MX"/>
        </w:rPr>
      </w:pPr>
      <w:r w:rsidRPr="002A4D09">
        <w:rPr>
          <w:i/>
          <w:iCs/>
          <w:lang w:val="es-MX"/>
        </w:rPr>
        <w:t>C</w:t>
      </w:r>
      <w:r w:rsidR="00A25E63" w:rsidRPr="002A4D09">
        <w:rPr>
          <w:i/>
          <w:iCs/>
          <w:lang w:val="es-MX"/>
        </w:rPr>
        <w:t>uáles son las líneas de inversión en las que intervienen su entidad y sector</w:t>
      </w:r>
      <w:r w:rsidRPr="002A4D09">
        <w:rPr>
          <w:i/>
          <w:iCs/>
          <w:lang w:val="es-MX"/>
        </w:rPr>
        <w:t>.</w:t>
      </w:r>
    </w:p>
    <w:p w14:paraId="4EF7D54A" w14:textId="77777777" w:rsidR="002A4D09" w:rsidRDefault="002A4D09" w:rsidP="002A4D09">
      <w:pPr>
        <w:rPr>
          <w:lang w:val="es-MX"/>
        </w:rPr>
      </w:pPr>
    </w:p>
    <w:p w14:paraId="60C5FC4D" w14:textId="4B270152" w:rsidR="006134D8" w:rsidRDefault="00FC6217" w:rsidP="00AD783B">
      <w:pPr>
        <w:rPr>
          <w:lang w:val="es-MX"/>
        </w:rPr>
      </w:pPr>
      <w:r>
        <w:rPr>
          <w:lang w:val="es-MX"/>
        </w:rPr>
        <w:t xml:space="preserve">Las líneas de inversión de la UAE-DNDA </w:t>
      </w:r>
      <w:r w:rsidR="00C24F8C">
        <w:rPr>
          <w:lang w:val="es-MX"/>
        </w:rPr>
        <w:t xml:space="preserve">están dirigidas a la Protección, Promoción y Difusión del Derecho de Autor y los Derechos </w:t>
      </w:r>
      <w:r w:rsidR="003071F1">
        <w:rPr>
          <w:lang w:val="es-MX"/>
        </w:rPr>
        <w:t>Conexos, enmarcadas</w:t>
      </w:r>
      <w:r w:rsidR="00EB2EB7">
        <w:rPr>
          <w:lang w:val="es-MX"/>
        </w:rPr>
        <w:t xml:space="preserve"> en </w:t>
      </w:r>
      <w:r w:rsidR="003071F1">
        <w:rPr>
          <w:lang w:val="es-MX"/>
        </w:rPr>
        <w:t>el</w:t>
      </w:r>
      <w:r w:rsidR="00EB2EB7">
        <w:rPr>
          <w:lang w:val="es-MX"/>
        </w:rPr>
        <w:t xml:space="preserve"> </w:t>
      </w:r>
      <w:r w:rsidR="003071F1">
        <w:rPr>
          <w:lang w:val="es-MX"/>
        </w:rPr>
        <w:t>“</w:t>
      </w:r>
      <w:r w:rsidR="00EB2EB7">
        <w:rPr>
          <w:lang w:val="es-MX"/>
        </w:rPr>
        <w:t xml:space="preserve">Apoyo a la formación y creación de empleo para </w:t>
      </w:r>
      <w:r w:rsidR="00D9561B">
        <w:rPr>
          <w:lang w:val="es-MX"/>
        </w:rPr>
        <w:t>el trabajo</w:t>
      </w:r>
      <w:r w:rsidR="00EB2EB7">
        <w:rPr>
          <w:lang w:val="es-MX"/>
        </w:rPr>
        <w:t xml:space="preserve"> digno y decente</w:t>
      </w:r>
      <w:r w:rsidR="003071F1">
        <w:rPr>
          <w:lang w:val="es-MX"/>
        </w:rPr>
        <w:t>”</w:t>
      </w:r>
      <w:r w:rsidR="00D9561B">
        <w:rPr>
          <w:lang w:val="es-MX"/>
        </w:rPr>
        <w:t xml:space="preserve"> (línea 24), </w:t>
      </w:r>
      <w:r w:rsidR="003071F1">
        <w:rPr>
          <w:lang w:val="es-MX"/>
        </w:rPr>
        <w:t>y la línea de inversión “A</w:t>
      </w:r>
      <w:r w:rsidR="00D9561B">
        <w:rPr>
          <w:lang w:val="es-MX"/>
        </w:rPr>
        <w:t>rtes, cultura y saberes para la vida, la paz y el cuidado del planeta</w:t>
      </w:r>
      <w:r w:rsidR="003071F1">
        <w:rPr>
          <w:lang w:val="es-MX"/>
        </w:rPr>
        <w:t>”</w:t>
      </w:r>
      <w:r w:rsidR="00D9561B">
        <w:rPr>
          <w:lang w:val="es-MX"/>
        </w:rPr>
        <w:t xml:space="preserve"> (Línea 26).</w:t>
      </w:r>
    </w:p>
    <w:p w14:paraId="0636AE8C" w14:textId="77777777" w:rsidR="009F109B" w:rsidRDefault="009F109B">
      <w:pPr>
        <w:rPr>
          <w:lang w:val="es-MX"/>
        </w:rPr>
      </w:pPr>
    </w:p>
    <w:p w14:paraId="3DC57E63" w14:textId="202AC012" w:rsidR="006134D8" w:rsidRPr="0008172B" w:rsidRDefault="0008172B" w:rsidP="009F109B">
      <w:pPr>
        <w:pStyle w:val="Prrafodelista"/>
        <w:numPr>
          <w:ilvl w:val="0"/>
          <w:numId w:val="1"/>
        </w:numPr>
        <w:rPr>
          <w:i/>
          <w:iCs/>
        </w:rPr>
      </w:pPr>
      <w:r w:rsidRPr="0008172B">
        <w:rPr>
          <w:i/>
          <w:iCs/>
          <w:lang w:val="es-MX"/>
        </w:rPr>
        <w:t>S</w:t>
      </w:r>
      <w:r w:rsidR="006134D8" w:rsidRPr="0008172B">
        <w:rPr>
          <w:i/>
          <w:iCs/>
          <w:lang w:val="es-MX"/>
        </w:rPr>
        <w:t xml:space="preserve">írvase proporcionar la información detallada sobre la distribución del presupuesto plurianual de inversiones públicas por valor de </w:t>
      </w:r>
      <w:r w:rsidRPr="0008172B">
        <w:rPr>
          <w:i/>
          <w:iCs/>
          <w:lang w:val="es-MX"/>
        </w:rPr>
        <w:t>$</w:t>
      </w:r>
      <w:r w:rsidR="006134D8" w:rsidRPr="0008172B">
        <w:rPr>
          <w:i/>
          <w:iCs/>
          <w:lang w:val="es-MX"/>
        </w:rPr>
        <w:t>1</w:t>
      </w:r>
      <w:r w:rsidRPr="0008172B">
        <w:rPr>
          <w:i/>
          <w:iCs/>
          <w:lang w:val="es-MX"/>
        </w:rPr>
        <w:t>.</w:t>
      </w:r>
      <w:r w:rsidR="006134D8" w:rsidRPr="0008172B">
        <w:rPr>
          <w:i/>
          <w:iCs/>
          <w:lang w:val="es-MX"/>
        </w:rPr>
        <w:t>154,8 billones en la</w:t>
      </w:r>
      <w:r w:rsidRPr="0008172B">
        <w:rPr>
          <w:i/>
          <w:iCs/>
          <w:lang w:val="es-MX"/>
        </w:rPr>
        <w:t>s</w:t>
      </w:r>
      <w:r w:rsidR="006134D8" w:rsidRPr="0008172B">
        <w:rPr>
          <w:i/>
          <w:iCs/>
          <w:lang w:val="es-MX"/>
        </w:rPr>
        <w:t xml:space="preserve"> línea</w:t>
      </w:r>
      <w:r w:rsidRPr="0008172B">
        <w:rPr>
          <w:i/>
          <w:iCs/>
          <w:lang w:val="es-MX"/>
        </w:rPr>
        <w:t>s</w:t>
      </w:r>
      <w:r w:rsidR="006134D8" w:rsidRPr="0008172B">
        <w:rPr>
          <w:i/>
          <w:iCs/>
          <w:lang w:val="es-MX"/>
        </w:rPr>
        <w:t xml:space="preserve"> de inversión del </w:t>
      </w:r>
      <w:r w:rsidRPr="0008172B">
        <w:rPr>
          <w:i/>
          <w:iCs/>
          <w:lang w:val="es-MX"/>
        </w:rPr>
        <w:t>PND.</w:t>
      </w:r>
    </w:p>
    <w:p w14:paraId="11913CC1" w14:textId="77777777" w:rsidR="0069694E" w:rsidRDefault="0069694E"/>
    <w:p w14:paraId="43E903AA" w14:textId="7F3B3BD1" w:rsidR="0008172B" w:rsidRDefault="0008172B" w:rsidP="0008172B">
      <w:pPr>
        <w:rPr>
          <w:lang w:val="es-MX"/>
        </w:rPr>
      </w:pPr>
      <w:r>
        <w:rPr>
          <w:lang w:val="es-MX"/>
        </w:rPr>
        <w:t xml:space="preserve">Se reitera la respuesta del punto anterior 5, </w:t>
      </w:r>
      <w:r w:rsidR="00AD783B">
        <w:rPr>
          <w:lang w:val="es-MX"/>
        </w:rPr>
        <w:t>en el sentido en que la UAE-DNDA como entidad adscrita al Ministerio del Interior, en ejercicio de sus objetivos institucionales participa en el Plan Plurianual de Inversiones, con los recursos asignados de inversión que se dirigen al fortalecimiento de las capacidades para la prestación de servicios en materia de la protección y divulgación de los derechos de autor y conexos, como se evidenció en el cuadro de reporte en el SUIFP del punto 5</w:t>
      </w:r>
      <w:r>
        <w:rPr>
          <w:lang w:val="es-MX"/>
        </w:rPr>
        <w:t>.</w:t>
      </w:r>
    </w:p>
    <w:p w14:paraId="1E72B6A4" w14:textId="31D572D8" w:rsidR="003071F1" w:rsidRDefault="003071F1" w:rsidP="0008172B">
      <w:pPr>
        <w:rPr>
          <w:lang w:val="es-MX"/>
        </w:rPr>
      </w:pPr>
    </w:p>
    <w:p w14:paraId="29F6A569" w14:textId="77777777" w:rsidR="003071F1" w:rsidRDefault="003071F1" w:rsidP="0008172B">
      <w:pPr>
        <w:rPr>
          <w:lang w:val="es-MX"/>
        </w:rPr>
      </w:pPr>
    </w:p>
    <w:p w14:paraId="64A383F6" w14:textId="76346FE7" w:rsidR="003071F1" w:rsidRDefault="003071F1" w:rsidP="0008172B">
      <w:pPr>
        <w:rPr>
          <w:lang w:val="es-MX"/>
        </w:rPr>
      </w:pPr>
      <w:r>
        <w:rPr>
          <w:noProof/>
          <w:lang w:val="es-MX"/>
        </w:rPr>
        <w:lastRenderedPageBreak/>
        <w:drawing>
          <wp:inline distT="0" distB="0" distL="0" distR="0" wp14:anchorId="02E5137C" wp14:editId="073BCCA4">
            <wp:extent cx="5645150" cy="92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5150" cy="920750"/>
                    </a:xfrm>
                    <a:prstGeom prst="rect">
                      <a:avLst/>
                    </a:prstGeom>
                    <a:noFill/>
                  </pic:spPr>
                </pic:pic>
              </a:graphicData>
            </a:graphic>
          </wp:inline>
        </w:drawing>
      </w:r>
    </w:p>
    <w:p w14:paraId="54B5EB0D" w14:textId="633CE944" w:rsidR="003071F1" w:rsidRDefault="003071F1" w:rsidP="0008172B">
      <w:pPr>
        <w:rPr>
          <w:lang w:val="es-MX"/>
        </w:rPr>
      </w:pPr>
      <w:r>
        <w:rPr>
          <w:noProof/>
          <w:lang w:val="es-MX"/>
        </w:rPr>
        <w:drawing>
          <wp:inline distT="0" distB="0" distL="0" distR="0" wp14:anchorId="3908278E" wp14:editId="3EFBF6EE">
            <wp:extent cx="5657850" cy="8293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829310"/>
                    </a:xfrm>
                    <a:prstGeom prst="rect">
                      <a:avLst/>
                    </a:prstGeom>
                    <a:noFill/>
                  </pic:spPr>
                </pic:pic>
              </a:graphicData>
            </a:graphic>
          </wp:inline>
        </w:drawing>
      </w:r>
    </w:p>
    <w:p w14:paraId="4816BD71" w14:textId="77777777" w:rsidR="0069694E" w:rsidRDefault="0069694E"/>
    <w:p w14:paraId="45174064" w14:textId="34880559" w:rsidR="0069694E" w:rsidRDefault="00332782">
      <w:r>
        <w:t>Cordial saludo,</w:t>
      </w:r>
    </w:p>
    <w:p w14:paraId="387F3156" w14:textId="77777777" w:rsidR="00332782" w:rsidRDefault="00332782"/>
    <w:p w14:paraId="40C36806" w14:textId="77777777" w:rsidR="005B221D" w:rsidRDefault="005B221D"/>
    <w:p w14:paraId="2C6DF443" w14:textId="77777777" w:rsidR="005B221D" w:rsidRDefault="005B221D"/>
    <w:p w14:paraId="14463E8D" w14:textId="237A7883" w:rsidR="00332782" w:rsidRPr="003071F1" w:rsidRDefault="00332782">
      <w:pPr>
        <w:rPr>
          <w:b/>
          <w:bCs/>
        </w:rPr>
      </w:pPr>
      <w:r w:rsidRPr="003071F1">
        <w:rPr>
          <w:b/>
          <w:bCs/>
        </w:rPr>
        <w:t>EDWIN ROBLES CHAPARRO</w:t>
      </w:r>
    </w:p>
    <w:p w14:paraId="3319BBBF" w14:textId="1096EFDC" w:rsidR="005B221D" w:rsidRDefault="005B221D">
      <w:r>
        <w:t>Director General</w:t>
      </w:r>
    </w:p>
    <w:p w14:paraId="0BB8B650" w14:textId="77777777" w:rsidR="005B221D" w:rsidRDefault="005B221D"/>
    <w:p w14:paraId="78342619" w14:textId="63319A88" w:rsidR="005B221D" w:rsidRPr="005B221D" w:rsidRDefault="005B221D">
      <w:pPr>
        <w:rPr>
          <w:sz w:val="18"/>
          <w:szCs w:val="18"/>
        </w:rPr>
      </w:pPr>
      <w:r w:rsidRPr="005B221D">
        <w:rPr>
          <w:sz w:val="18"/>
          <w:szCs w:val="18"/>
        </w:rPr>
        <w:t>Proyecto: Jorge E. Barbosa Solano – Asesor de Planeación</w:t>
      </w:r>
    </w:p>
    <w:sectPr w:rsidR="005B221D" w:rsidRPr="005B221D" w:rsidSect="006077B9">
      <w:headerReference w:type="default" r:id="rId13"/>
      <w:footerReference w:type="even" r:id="rId14"/>
      <w:footerReference w:type="default" r:id="rId15"/>
      <w:headerReference w:type="first" r:id="rId16"/>
      <w:footerReference w:type="first" r:id="rId17"/>
      <w:pgSz w:w="12240" w:h="15840" w:code="1"/>
      <w:pgMar w:top="2268" w:right="1418" w:bottom="1134" w:left="1418" w:header="113" w:footer="737" w:gutter="56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6E46" w14:textId="77777777" w:rsidR="00D32461" w:rsidRDefault="00302E08">
      <w:r>
        <w:separator/>
      </w:r>
    </w:p>
  </w:endnote>
  <w:endnote w:type="continuationSeparator" w:id="0">
    <w:p w14:paraId="5C3FED2C" w14:textId="77777777" w:rsidR="00D32461" w:rsidRDefault="0030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F52" w14:textId="77777777" w:rsidR="005B3F5A" w:rsidRDefault="00D66324">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699476" w14:textId="77777777" w:rsidR="005B3F5A" w:rsidRDefault="003071F1">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3024" w14:textId="77777777" w:rsidR="005B3F5A" w:rsidRDefault="00D66324">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AFB849" w14:textId="77777777" w:rsidR="005B3F5A" w:rsidRPr="005068E5" w:rsidRDefault="00D66324" w:rsidP="00F34F7E">
    <w:pPr>
      <w:pStyle w:val="Piedepgina"/>
      <w:tabs>
        <w:tab w:val="clear" w:pos="-1080"/>
        <w:tab w:val="clear" w:pos="4320"/>
        <w:tab w:val="clear" w:pos="9480"/>
      </w:tabs>
      <w:spacing w:before="480" w:after="100" w:afterAutospacing="1" w:line="360" w:lineRule="auto"/>
      <w:ind w:left="0" w:right="-369"/>
      <w:rPr>
        <w:rFonts w:cs="Arial"/>
        <w:b w:val="0"/>
        <w:i/>
        <w:sz w:val="12"/>
        <w:szCs w:val="12"/>
      </w:rPr>
    </w:pPr>
    <w:r>
      <w:rPr>
        <w:noProof/>
      </w:rPr>
      <mc:AlternateContent>
        <mc:Choice Requires="wps">
          <w:drawing>
            <wp:anchor distT="0" distB="0" distL="114300" distR="114300" simplePos="0" relativeHeight="251663360" behindDoc="0" locked="0" layoutInCell="1" allowOverlap="1" wp14:anchorId="129BF9E3" wp14:editId="04CE382F">
              <wp:simplePos x="0" y="0"/>
              <wp:positionH relativeFrom="column">
                <wp:posOffset>-964955</wp:posOffset>
              </wp:positionH>
              <wp:positionV relativeFrom="paragraph">
                <wp:posOffset>4954</wp:posOffset>
              </wp:positionV>
              <wp:extent cx="7124065" cy="347809"/>
              <wp:effectExtent l="0" t="0" r="0" b="0"/>
              <wp:wrapNone/>
              <wp:docPr id="214" name="Cuadro de texto 214"/>
              <wp:cNvGraphicFramePr/>
              <a:graphic xmlns:a="http://schemas.openxmlformats.org/drawingml/2006/main">
                <a:graphicData uri="http://schemas.microsoft.com/office/word/2010/wordprocessingShape">
                  <wps:wsp>
                    <wps:cNvSpPr txBox="1"/>
                    <wps:spPr>
                      <a:xfrm>
                        <a:off x="0" y="0"/>
                        <a:ext cx="7124065" cy="347809"/>
                      </a:xfrm>
                      <a:prstGeom prst="rect">
                        <a:avLst/>
                      </a:prstGeom>
                      <a:noFill/>
                      <a:ln w="6350">
                        <a:noFill/>
                      </a:ln>
                    </wps:spPr>
                    <wps:txbx>
                      <w:txbxContent>
                        <w:tbl>
                          <w:tblPr>
                            <w:tblStyle w:val="Tablaconcuadrcula"/>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7"/>
                          </w:tblGrid>
                          <w:tr w:rsidR="006077B9" w14:paraId="07681FD3" w14:textId="77777777" w:rsidTr="006077B9">
                            <w:tc>
                              <w:tcPr>
                                <w:tcW w:w="8647" w:type="dxa"/>
                                <w:shd w:val="clear" w:color="auto" w:fill="auto"/>
                              </w:tcPr>
                              <w:p w14:paraId="41AF20B0" w14:textId="2AC54016" w:rsidR="006077B9" w:rsidRDefault="00D66324" w:rsidP="006077B9">
                                <w:pPr>
                                  <w:pStyle w:val="Piedepgina"/>
                                  <w:widowControl w:val="0"/>
                                  <w:tabs>
                                    <w:tab w:val="clear" w:pos="-1080"/>
                                    <w:tab w:val="clear" w:pos="4320"/>
                                    <w:tab w:val="clear" w:pos="9480"/>
                                  </w:tabs>
                                  <w:spacing w:before="0"/>
                                  <w:ind w:left="0" w:right="0"/>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3071F1">
                                  <w:rPr>
                                    <w:noProof/>
                                    <w:sz w:val="12"/>
                                    <w:szCs w:val="12"/>
                                  </w:rPr>
                                  <w:t>C:\Users\jorge.barbosa\AppData\Local\Microsoft\Windows\INetCache\Content.Outlook\P4IQVYU3\Respuesta cuestionario Camara de Representantes DNDA 23 marzo.docx</w:t>
                                </w:r>
                                <w:r>
                                  <w:rPr>
                                    <w:sz w:val="12"/>
                                    <w:szCs w:val="12"/>
                                  </w:rPr>
                                  <w:fldChar w:fldCharType="end"/>
                                </w:r>
                              </w:p>
                            </w:tc>
                            <w:tc>
                              <w:tcPr>
                                <w:tcW w:w="2127" w:type="dxa"/>
                                <w:shd w:val="clear" w:color="auto" w:fill="auto"/>
                              </w:tcPr>
                              <w:p w14:paraId="7685D5CD" w14:textId="77777777" w:rsidR="006077B9" w:rsidRDefault="00D66324" w:rsidP="006077B9">
                                <w:pPr>
                                  <w:pStyle w:val="Piedepgina"/>
                                  <w:widowControl w:val="0"/>
                                  <w:tabs>
                                    <w:tab w:val="clear" w:pos="-1080"/>
                                    <w:tab w:val="clear" w:pos="4320"/>
                                    <w:tab w:val="clear" w:pos="9480"/>
                                  </w:tabs>
                                  <w:spacing w:before="0"/>
                                  <w:ind w:left="0" w:right="-369"/>
                                  <w:jc w:val="right"/>
                                  <w:rPr>
                                    <w:sz w:val="12"/>
                                    <w:szCs w:val="12"/>
                                  </w:rPr>
                                </w:pPr>
                                <w:r w:rsidRPr="00B3307C">
                                  <w:rPr>
                                    <w:sz w:val="12"/>
                                    <w:szCs w:val="12"/>
                                  </w:rPr>
                                  <w:t xml:space="preserve">Página </w:t>
                                </w:r>
                                <w:r w:rsidRPr="00B3307C">
                                  <w:rPr>
                                    <w:b w:val="0"/>
                                    <w:bCs/>
                                    <w:sz w:val="16"/>
                                    <w:szCs w:val="16"/>
                                  </w:rPr>
                                  <w:fldChar w:fldCharType="begin"/>
                                </w:r>
                                <w:r w:rsidRPr="00B3307C">
                                  <w:rPr>
                                    <w:bCs/>
                                    <w:sz w:val="12"/>
                                    <w:szCs w:val="12"/>
                                  </w:rPr>
                                  <w:instrText>PAGE</w:instrText>
                                </w:r>
                                <w:r w:rsidRPr="00B3307C">
                                  <w:rPr>
                                    <w:b w:val="0"/>
                                    <w:bCs/>
                                    <w:sz w:val="16"/>
                                    <w:szCs w:val="16"/>
                                  </w:rPr>
                                  <w:fldChar w:fldCharType="separate"/>
                                </w:r>
                                <w:r>
                                  <w:rPr>
                                    <w:b w:val="0"/>
                                    <w:bCs/>
                                    <w:sz w:val="16"/>
                                    <w:szCs w:val="16"/>
                                  </w:rPr>
                                  <w:t>1</w:t>
                                </w:r>
                                <w:r w:rsidRPr="00B3307C">
                                  <w:rPr>
                                    <w:b w:val="0"/>
                                    <w:bCs/>
                                    <w:sz w:val="16"/>
                                    <w:szCs w:val="16"/>
                                  </w:rPr>
                                  <w:fldChar w:fldCharType="end"/>
                                </w:r>
                                <w:r w:rsidRPr="00B3307C">
                                  <w:rPr>
                                    <w:sz w:val="12"/>
                                    <w:szCs w:val="12"/>
                                  </w:rPr>
                                  <w:t xml:space="preserve"> de</w:t>
                                </w:r>
                                <w:r>
                                  <w:rPr>
                                    <w:sz w:val="12"/>
                                    <w:szCs w:val="12"/>
                                  </w:rPr>
                                  <w:t xml:space="preserve"> </w:t>
                                </w:r>
                                <w:r>
                                  <w:rPr>
                                    <w:sz w:val="12"/>
                                    <w:szCs w:val="12"/>
                                  </w:rPr>
                                  <w:fldChar w:fldCharType="begin"/>
                                </w:r>
                                <w:r>
                                  <w:rPr>
                                    <w:sz w:val="12"/>
                                    <w:szCs w:val="12"/>
                                  </w:rPr>
                                  <w:instrText xml:space="preserve"> NUMPAGES   \* MERGEFORMAT </w:instrText>
                                </w:r>
                                <w:r>
                                  <w:rPr>
                                    <w:sz w:val="12"/>
                                    <w:szCs w:val="12"/>
                                  </w:rPr>
                                  <w:fldChar w:fldCharType="separate"/>
                                </w:r>
                                <w:r>
                                  <w:rPr>
                                    <w:sz w:val="12"/>
                                    <w:szCs w:val="12"/>
                                  </w:rPr>
                                  <w:t>2</w:t>
                                </w:r>
                                <w:r>
                                  <w:rPr>
                                    <w:sz w:val="12"/>
                                    <w:szCs w:val="12"/>
                                  </w:rPr>
                                  <w:fldChar w:fldCharType="end"/>
                                </w:r>
                                <w:r>
                                  <w:rPr>
                                    <w:sz w:val="12"/>
                                    <w:szCs w:val="12"/>
                                  </w:rPr>
                                  <w:t xml:space="preserve"> </w:t>
                                </w:r>
                                <w:r w:rsidRPr="00B3307C">
                                  <w:rPr>
                                    <w:b w:val="0"/>
                                    <w:bCs/>
                                    <w:sz w:val="16"/>
                                    <w:szCs w:val="16"/>
                                  </w:rPr>
                                  <w:fldChar w:fldCharType="begin"/>
                                </w:r>
                                <w:r w:rsidRPr="00B3307C">
                                  <w:rPr>
                                    <w:bCs/>
                                    <w:sz w:val="12"/>
                                    <w:szCs w:val="12"/>
                                  </w:rPr>
                                  <w:instrText>NUMPAGES</w:instrText>
                                </w:r>
                                <w:r w:rsidRPr="00B3307C">
                                  <w:rPr>
                                    <w:b w:val="0"/>
                                    <w:bCs/>
                                    <w:sz w:val="16"/>
                                    <w:szCs w:val="16"/>
                                  </w:rPr>
                                  <w:fldChar w:fldCharType="separate"/>
                                </w:r>
                                <w:r>
                                  <w:rPr>
                                    <w:b w:val="0"/>
                                    <w:bCs/>
                                    <w:sz w:val="16"/>
                                    <w:szCs w:val="16"/>
                                  </w:rPr>
                                  <w:t>2</w:t>
                                </w:r>
                                <w:r w:rsidRPr="00B3307C">
                                  <w:rPr>
                                    <w:b w:val="0"/>
                                    <w:bCs/>
                                    <w:sz w:val="16"/>
                                    <w:szCs w:val="16"/>
                                  </w:rPr>
                                  <w:fldChar w:fldCharType="end"/>
                                </w:r>
                                <w:r w:rsidRPr="005068E5">
                                  <w:rPr>
                                    <w:rStyle w:val="Nmerodepgina"/>
                                    <w:rFonts w:cs="Arial"/>
                                    <w:sz w:val="12"/>
                                    <w:szCs w:val="12"/>
                                  </w:rPr>
                                  <w:t xml:space="preserve"> [</w:t>
                                </w:r>
                                <w:r w:rsidRPr="005068E5">
                                  <w:rPr>
                                    <w:rStyle w:val="Nmerodepgina"/>
                                    <w:rFonts w:cs="Arial"/>
                                    <w:i w:val="0"/>
                                    <w:sz w:val="12"/>
                                    <w:szCs w:val="12"/>
                                  </w:rPr>
                                  <w:fldChar w:fldCharType="begin"/>
                                </w:r>
                                <w:r w:rsidRPr="005068E5">
                                  <w:rPr>
                                    <w:rStyle w:val="Nmerodepgina"/>
                                    <w:rFonts w:cs="Arial"/>
                                    <w:sz w:val="12"/>
                                    <w:szCs w:val="12"/>
                                  </w:rPr>
                                  <w:instrText>PAGE   \* MERGEFORMAT</w:instrText>
                                </w:r>
                                <w:r w:rsidRPr="005068E5">
                                  <w:rPr>
                                    <w:rStyle w:val="Nmerodepgina"/>
                                    <w:rFonts w:cs="Arial"/>
                                    <w:i w:val="0"/>
                                    <w:sz w:val="12"/>
                                    <w:szCs w:val="12"/>
                                  </w:rPr>
                                  <w:fldChar w:fldCharType="separate"/>
                                </w:r>
                                <w:r>
                                  <w:rPr>
                                    <w:rStyle w:val="Nmerodepgina"/>
                                    <w:rFonts w:cs="Arial"/>
                                    <w:sz w:val="12"/>
                                    <w:szCs w:val="12"/>
                                  </w:rPr>
                                  <w:t>1</w:t>
                                </w:r>
                                <w:r w:rsidRPr="005068E5">
                                  <w:rPr>
                                    <w:rStyle w:val="Nmerodepgina"/>
                                    <w:rFonts w:cs="Arial"/>
                                    <w:i w:val="0"/>
                                    <w:sz w:val="12"/>
                                    <w:szCs w:val="12"/>
                                  </w:rPr>
                                  <w:fldChar w:fldCharType="end"/>
                                </w:r>
                                <w:r w:rsidRPr="005068E5">
                                  <w:rPr>
                                    <w:rStyle w:val="Nmerodepgina"/>
                                    <w:rFonts w:cs="Arial"/>
                                    <w:sz w:val="12"/>
                                    <w:szCs w:val="12"/>
                                  </w:rPr>
                                  <w:t>]</w:t>
                                </w:r>
                              </w:p>
                            </w:tc>
                          </w:tr>
                        </w:tbl>
                        <w:p w14:paraId="409988FD" w14:textId="77777777" w:rsidR="006077B9" w:rsidRDefault="00307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BF9E3" id="_x0000_t202" coordsize="21600,21600" o:spt="202" path="m,l,21600r21600,l21600,xe">
              <v:stroke joinstyle="miter"/>
              <v:path gradientshapeok="t" o:connecttype="rect"/>
            </v:shapetype>
            <v:shape id="Cuadro de texto 214" o:spid="_x0000_s1026" type="#_x0000_t202" style="position:absolute;left:0;text-align:left;margin-left:-76pt;margin-top:.4pt;width:560.9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V9GAIAACw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" filled="f" stroked="f" strokeweight=".5pt">
              <v:textbox>
                <w:txbxContent>
                  <w:tbl>
                    <w:tblPr>
                      <w:tblStyle w:val="Tablaconcuadrcula"/>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7"/>
                    </w:tblGrid>
                    <w:tr w:rsidR="006077B9" w14:paraId="07681FD3" w14:textId="77777777" w:rsidTr="006077B9">
                      <w:tc>
                        <w:tcPr>
                          <w:tcW w:w="8647" w:type="dxa"/>
                          <w:shd w:val="clear" w:color="auto" w:fill="auto"/>
                        </w:tcPr>
                        <w:p w14:paraId="41AF20B0" w14:textId="2AC54016" w:rsidR="006077B9" w:rsidRDefault="00D66324" w:rsidP="006077B9">
                          <w:pPr>
                            <w:pStyle w:val="Piedepgina"/>
                            <w:widowControl w:val="0"/>
                            <w:tabs>
                              <w:tab w:val="clear" w:pos="-1080"/>
                              <w:tab w:val="clear" w:pos="4320"/>
                              <w:tab w:val="clear" w:pos="9480"/>
                            </w:tabs>
                            <w:spacing w:before="0"/>
                            <w:ind w:left="0" w:right="0"/>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3071F1">
                            <w:rPr>
                              <w:noProof/>
                              <w:sz w:val="12"/>
                              <w:szCs w:val="12"/>
                            </w:rPr>
                            <w:t>C:\Users\jorge.barbosa\AppData\Local\Microsoft\Windows\INetCache\Content.Outlook\P4IQVYU3\Respuesta cuestionario Camara de Representantes DNDA 23 marzo.docx</w:t>
                          </w:r>
                          <w:r>
                            <w:rPr>
                              <w:sz w:val="12"/>
                              <w:szCs w:val="12"/>
                            </w:rPr>
                            <w:fldChar w:fldCharType="end"/>
                          </w:r>
                        </w:p>
                      </w:tc>
                      <w:tc>
                        <w:tcPr>
                          <w:tcW w:w="2127" w:type="dxa"/>
                          <w:shd w:val="clear" w:color="auto" w:fill="auto"/>
                        </w:tcPr>
                        <w:p w14:paraId="7685D5CD" w14:textId="77777777" w:rsidR="006077B9" w:rsidRDefault="00D66324" w:rsidP="006077B9">
                          <w:pPr>
                            <w:pStyle w:val="Piedepgina"/>
                            <w:widowControl w:val="0"/>
                            <w:tabs>
                              <w:tab w:val="clear" w:pos="-1080"/>
                              <w:tab w:val="clear" w:pos="4320"/>
                              <w:tab w:val="clear" w:pos="9480"/>
                            </w:tabs>
                            <w:spacing w:before="0"/>
                            <w:ind w:left="0" w:right="-369"/>
                            <w:jc w:val="right"/>
                            <w:rPr>
                              <w:sz w:val="12"/>
                              <w:szCs w:val="12"/>
                            </w:rPr>
                          </w:pPr>
                          <w:r w:rsidRPr="00B3307C">
                            <w:rPr>
                              <w:sz w:val="12"/>
                              <w:szCs w:val="12"/>
                            </w:rPr>
                            <w:t xml:space="preserve">Página </w:t>
                          </w:r>
                          <w:r w:rsidRPr="00B3307C">
                            <w:rPr>
                              <w:b w:val="0"/>
                              <w:bCs/>
                              <w:sz w:val="16"/>
                              <w:szCs w:val="16"/>
                            </w:rPr>
                            <w:fldChar w:fldCharType="begin"/>
                          </w:r>
                          <w:r w:rsidRPr="00B3307C">
                            <w:rPr>
                              <w:bCs/>
                              <w:sz w:val="12"/>
                              <w:szCs w:val="12"/>
                            </w:rPr>
                            <w:instrText>PAGE</w:instrText>
                          </w:r>
                          <w:r w:rsidRPr="00B3307C">
                            <w:rPr>
                              <w:b w:val="0"/>
                              <w:bCs/>
                              <w:sz w:val="16"/>
                              <w:szCs w:val="16"/>
                            </w:rPr>
                            <w:fldChar w:fldCharType="separate"/>
                          </w:r>
                          <w:r>
                            <w:rPr>
                              <w:b w:val="0"/>
                              <w:bCs/>
                              <w:sz w:val="16"/>
                              <w:szCs w:val="16"/>
                            </w:rPr>
                            <w:t>1</w:t>
                          </w:r>
                          <w:r w:rsidRPr="00B3307C">
                            <w:rPr>
                              <w:b w:val="0"/>
                              <w:bCs/>
                              <w:sz w:val="16"/>
                              <w:szCs w:val="16"/>
                            </w:rPr>
                            <w:fldChar w:fldCharType="end"/>
                          </w:r>
                          <w:r w:rsidRPr="00B3307C">
                            <w:rPr>
                              <w:sz w:val="12"/>
                              <w:szCs w:val="12"/>
                            </w:rPr>
                            <w:t xml:space="preserve"> de</w:t>
                          </w:r>
                          <w:r>
                            <w:rPr>
                              <w:sz w:val="12"/>
                              <w:szCs w:val="12"/>
                            </w:rPr>
                            <w:t xml:space="preserve"> </w:t>
                          </w:r>
                          <w:r>
                            <w:rPr>
                              <w:sz w:val="12"/>
                              <w:szCs w:val="12"/>
                            </w:rPr>
                            <w:fldChar w:fldCharType="begin"/>
                          </w:r>
                          <w:r>
                            <w:rPr>
                              <w:sz w:val="12"/>
                              <w:szCs w:val="12"/>
                            </w:rPr>
                            <w:instrText xml:space="preserve"> NUMPAGES   \* MERGEFORMAT </w:instrText>
                          </w:r>
                          <w:r>
                            <w:rPr>
                              <w:sz w:val="12"/>
                              <w:szCs w:val="12"/>
                            </w:rPr>
                            <w:fldChar w:fldCharType="separate"/>
                          </w:r>
                          <w:r>
                            <w:rPr>
                              <w:sz w:val="12"/>
                              <w:szCs w:val="12"/>
                            </w:rPr>
                            <w:t>2</w:t>
                          </w:r>
                          <w:r>
                            <w:rPr>
                              <w:sz w:val="12"/>
                              <w:szCs w:val="12"/>
                            </w:rPr>
                            <w:fldChar w:fldCharType="end"/>
                          </w:r>
                          <w:r>
                            <w:rPr>
                              <w:sz w:val="12"/>
                              <w:szCs w:val="12"/>
                            </w:rPr>
                            <w:t xml:space="preserve"> </w:t>
                          </w:r>
                          <w:r w:rsidRPr="00B3307C">
                            <w:rPr>
                              <w:b w:val="0"/>
                              <w:bCs/>
                              <w:sz w:val="16"/>
                              <w:szCs w:val="16"/>
                            </w:rPr>
                            <w:fldChar w:fldCharType="begin"/>
                          </w:r>
                          <w:r w:rsidRPr="00B3307C">
                            <w:rPr>
                              <w:bCs/>
                              <w:sz w:val="12"/>
                              <w:szCs w:val="12"/>
                            </w:rPr>
                            <w:instrText>NUMPAGES</w:instrText>
                          </w:r>
                          <w:r w:rsidRPr="00B3307C">
                            <w:rPr>
                              <w:b w:val="0"/>
                              <w:bCs/>
                              <w:sz w:val="16"/>
                              <w:szCs w:val="16"/>
                            </w:rPr>
                            <w:fldChar w:fldCharType="separate"/>
                          </w:r>
                          <w:r>
                            <w:rPr>
                              <w:b w:val="0"/>
                              <w:bCs/>
                              <w:sz w:val="16"/>
                              <w:szCs w:val="16"/>
                            </w:rPr>
                            <w:t>2</w:t>
                          </w:r>
                          <w:r w:rsidRPr="00B3307C">
                            <w:rPr>
                              <w:b w:val="0"/>
                              <w:bCs/>
                              <w:sz w:val="16"/>
                              <w:szCs w:val="16"/>
                            </w:rPr>
                            <w:fldChar w:fldCharType="end"/>
                          </w:r>
                          <w:r w:rsidRPr="005068E5">
                            <w:rPr>
                              <w:rStyle w:val="Nmerodepgina"/>
                              <w:rFonts w:cs="Arial"/>
                              <w:sz w:val="12"/>
                              <w:szCs w:val="12"/>
                            </w:rPr>
                            <w:t xml:space="preserve"> [</w:t>
                          </w:r>
                          <w:r w:rsidRPr="005068E5">
                            <w:rPr>
                              <w:rStyle w:val="Nmerodepgina"/>
                              <w:rFonts w:cs="Arial"/>
                              <w:i w:val="0"/>
                              <w:sz w:val="12"/>
                              <w:szCs w:val="12"/>
                            </w:rPr>
                            <w:fldChar w:fldCharType="begin"/>
                          </w:r>
                          <w:r w:rsidRPr="005068E5">
                            <w:rPr>
                              <w:rStyle w:val="Nmerodepgina"/>
                              <w:rFonts w:cs="Arial"/>
                              <w:sz w:val="12"/>
                              <w:szCs w:val="12"/>
                            </w:rPr>
                            <w:instrText>PAGE   \* MERGEFORMAT</w:instrText>
                          </w:r>
                          <w:r w:rsidRPr="005068E5">
                            <w:rPr>
                              <w:rStyle w:val="Nmerodepgina"/>
                              <w:rFonts w:cs="Arial"/>
                              <w:i w:val="0"/>
                              <w:sz w:val="12"/>
                              <w:szCs w:val="12"/>
                            </w:rPr>
                            <w:fldChar w:fldCharType="separate"/>
                          </w:r>
                          <w:r>
                            <w:rPr>
                              <w:rStyle w:val="Nmerodepgina"/>
                              <w:rFonts w:cs="Arial"/>
                              <w:sz w:val="12"/>
                              <w:szCs w:val="12"/>
                            </w:rPr>
                            <w:t>1</w:t>
                          </w:r>
                          <w:r w:rsidRPr="005068E5">
                            <w:rPr>
                              <w:rStyle w:val="Nmerodepgina"/>
                              <w:rFonts w:cs="Arial"/>
                              <w:i w:val="0"/>
                              <w:sz w:val="12"/>
                              <w:szCs w:val="12"/>
                            </w:rPr>
                            <w:fldChar w:fldCharType="end"/>
                          </w:r>
                          <w:r w:rsidRPr="005068E5">
                            <w:rPr>
                              <w:rStyle w:val="Nmerodepgina"/>
                              <w:rFonts w:cs="Arial"/>
                              <w:sz w:val="12"/>
                              <w:szCs w:val="12"/>
                            </w:rPr>
                            <w:t>]</w:t>
                          </w:r>
                        </w:p>
                      </w:tc>
                    </w:tr>
                  </w:tbl>
                  <w:p w14:paraId="409988FD" w14:textId="77777777" w:rsidR="006077B9" w:rsidRDefault="003071F1"/>
                </w:txbxContent>
              </v:textbox>
            </v:shape>
          </w:pict>
        </mc:Fallback>
      </mc:AlternateContent>
    </w:r>
    <w:r>
      <w:rPr>
        <w:noProof/>
      </w:rPr>
      <w:drawing>
        <wp:anchor distT="0" distB="0" distL="114300" distR="114300" simplePos="0" relativeHeight="251659264" behindDoc="1" locked="0" layoutInCell="1" allowOverlap="1" wp14:anchorId="764E17D2" wp14:editId="2CF4CEB3">
          <wp:simplePos x="0" y="0"/>
          <wp:positionH relativeFrom="page">
            <wp:posOffset>0</wp:posOffset>
          </wp:positionH>
          <wp:positionV relativeFrom="paragraph">
            <wp:posOffset>146580</wp:posOffset>
          </wp:positionV>
          <wp:extent cx="7776210" cy="933450"/>
          <wp:effectExtent l="0" t="0" r="0" b="0"/>
          <wp:wrapNone/>
          <wp:docPr id="211" name="Imagen 2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77621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D2AE" w14:textId="77777777" w:rsidR="005B3F5A" w:rsidRDefault="00D66324" w:rsidP="0054775F">
    <w:pPr>
      <w:pStyle w:val="Piedepgina"/>
      <w:framePr w:wrap="around" w:vAnchor="text" w:hAnchor="margin" w:xAlign="right" w:y="1"/>
      <w:spacing w:before="0"/>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1E23DF" w14:textId="77777777" w:rsidR="005B3F5A" w:rsidRDefault="00D66324" w:rsidP="0054775F">
    <w:pPr>
      <w:pStyle w:val="Piedepgina"/>
      <w:tabs>
        <w:tab w:val="clear" w:pos="-1080"/>
        <w:tab w:val="clear" w:pos="4320"/>
        <w:tab w:val="clear" w:pos="9480"/>
      </w:tabs>
      <w:spacing w:before="0"/>
      <w:ind w:left="0" w:right="360"/>
      <w:rPr>
        <w:rFonts w:cs="Arial"/>
        <w:b w:val="0"/>
        <w:noProof/>
        <w:sz w:val="12"/>
        <w:szCs w:val="12"/>
      </w:rPr>
    </w:pPr>
    <w:r>
      <w:rPr>
        <w:rFonts w:ascii="Times New Roman" w:hAnsi="Times New Roman"/>
        <w:b w:val="0"/>
        <w:noProof/>
        <w:sz w:val="12"/>
        <w:lang w:val="es-CO" w:eastAsia="es-CO"/>
      </w:rPr>
      <w:drawing>
        <wp:anchor distT="180340" distB="0" distL="0" distR="0" simplePos="0" relativeHeight="251660288" behindDoc="0" locked="0" layoutInCell="1" allowOverlap="0" wp14:anchorId="503C29F9" wp14:editId="2F232327">
          <wp:simplePos x="0" y="0"/>
          <wp:positionH relativeFrom="page">
            <wp:posOffset>19050</wp:posOffset>
          </wp:positionH>
          <wp:positionV relativeFrom="paragraph">
            <wp:posOffset>86802</wp:posOffset>
          </wp:positionV>
          <wp:extent cx="7761600" cy="773116"/>
          <wp:effectExtent l="0" t="0" r="0" b="8255"/>
          <wp:wrapNone/>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hian.saavedra\Desktop\cola_Conciliación.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761600" cy="773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39B0">
      <w:rPr>
        <w:rFonts w:cs="Arial"/>
        <w:b w:val="0"/>
        <w:sz w:val="12"/>
        <w:szCs w:val="12"/>
      </w:rPr>
      <w:fldChar w:fldCharType="begin"/>
    </w:r>
    <w:r w:rsidRPr="00A339B0">
      <w:rPr>
        <w:rFonts w:cs="Arial"/>
        <w:b w:val="0"/>
        <w:sz w:val="12"/>
        <w:szCs w:val="12"/>
      </w:rPr>
      <w:instrText xml:space="preserve"> FILENAME \p  \* MERGEFORMAT </w:instrText>
    </w:r>
    <w:r w:rsidRPr="00A339B0">
      <w:rPr>
        <w:rFonts w:cs="Arial"/>
        <w:b w:val="0"/>
        <w:sz w:val="12"/>
        <w:szCs w:val="12"/>
      </w:rPr>
      <w:fldChar w:fldCharType="separate"/>
    </w:r>
    <w:r>
      <w:rPr>
        <w:rFonts w:cs="Arial"/>
        <w:b w:val="0"/>
        <w:noProof/>
        <w:sz w:val="12"/>
        <w:szCs w:val="12"/>
      </w:rPr>
      <w:t>Documento12</w:t>
    </w:r>
    <w:r w:rsidRPr="00A339B0">
      <w:rPr>
        <w:rFonts w:cs="Arial"/>
        <w:b w:val="0"/>
        <w:noProof/>
        <w:sz w:val="12"/>
        <w:szCs w:val="12"/>
      </w:rPr>
      <w:fldChar w:fldCharType="end"/>
    </w:r>
  </w:p>
  <w:p w14:paraId="7852E080" w14:textId="77777777" w:rsidR="005B3F5A" w:rsidRDefault="00D66324" w:rsidP="0054775F">
    <w:pPr>
      <w:pStyle w:val="Piedepgina"/>
      <w:tabs>
        <w:tab w:val="clear" w:pos="-1080"/>
        <w:tab w:val="clear" w:pos="4320"/>
        <w:tab w:val="clear" w:pos="9480"/>
      </w:tabs>
      <w:spacing w:before="0"/>
      <w:ind w:left="-2261" w:right="335"/>
      <w:jc w:val="right"/>
      <w:rPr>
        <w:rFonts w:ascii="Times New Roman" w:hAnsi="Times New Roman"/>
        <w:b w:val="0"/>
        <w:sz w:val="12"/>
      </w:rPr>
    </w:pPr>
    <w:r>
      <w:rPr>
        <w:rFonts w:ascii="Times New Roman" w:hAnsi="Times New Roman"/>
        <w:b w:val="0"/>
        <w:snapToGrid w:val="0"/>
        <w:sz w:val="12"/>
      </w:rPr>
      <w:tab/>
    </w:r>
    <w:r>
      <w:rPr>
        <w:rFonts w:ascii="Times New Roman" w:hAnsi="Times New Roman"/>
        <w:b w:val="0"/>
        <w:snapToGrid w:val="0"/>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7D55" w14:textId="77777777" w:rsidR="00D32461" w:rsidRDefault="00302E08">
      <w:r>
        <w:separator/>
      </w:r>
    </w:p>
  </w:footnote>
  <w:footnote w:type="continuationSeparator" w:id="0">
    <w:p w14:paraId="5A446D41" w14:textId="77777777" w:rsidR="00D32461" w:rsidRDefault="0030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0BDD" w14:textId="77777777" w:rsidR="005B3F5A" w:rsidRPr="00D05B0D" w:rsidRDefault="00D66324" w:rsidP="00874273">
    <w:pPr>
      <w:pStyle w:val="Encabezado"/>
      <w:ind w:left="0"/>
    </w:pPr>
    <w:r>
      <w:rPr>
        <w:noProof/>
      </w:rPr>
      <w:drawing>
        <wp:anchor distT="0" distB="0" distL="114300" distR="114300" simplePos="0" relativeHeight="251662336" behindDoc="1" locked="0" layoutInCell="1" allowOverlap="1" wp14:anchorId="022D4306" wp14:editId="1D70FCB9">
          <wp:simplePos x="0" y="0"/>
          <wp:positionH relativeFrom="column">
            <wp:posOffset>-1247775</wp:posOffset>
          </wp:positionH>
          <wp:positionV relativeFrom="paragraph">
            <wp:posOffset>-46619</wp:posOffset>
          </wp:positionV>
          <wp:extent cx="7793752" cy="1025429"/>
          <wp:effectExtent l="0" t="0" r="0" b="3810"/>
          <wp:wrapNone/>
          <wp:docPr id="210" name="Imagen 210"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baja"/>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93752" cy="102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16B8" w14:textId="77777777" w:rsidR="005B3F5A" w:rsidRDefault="00D66324" w:rsidP="00F10B14">
    <w:pPr>
      <w:pStyle w:val="Encabezado"/>
      <w:tabs>
        <w:tab w:val="clear" w:pos="-1080"/>
        <w:tab w:val="left" w:pos="-284"/>
      </w:tabs>
      <w:ind w:left="0"/>
    </w:pPr>
    <w:r w:rsidRPr="00A75274">
      <w:rPr>
        <w:noProof/>
        <w:lang w:val="es-CO" w:eastAsia="es-CO"/>
      </w:rPr>
      <w:drawing>
        <wp:anchor distT="0" distB="0" distL="114300" distR="114300" simplePos="0" relativeHeight="251661312" behindDoc="0" locked="0" layoutInCell="1" allowOverlap="1" wp14:anchorId="46AA62CC" wp14:editId="119D07AD">
          <wp:simplePos x="0" y="0"/>
          <wp:positionH relativeFrom="page">
            <wp:align>right</wp:align>
          </wp:positionH>
          <wp:positionV relativeFrom="paragraph">
            <wp:posOffset>-76835</wp:posOffset>
          </wp:positionV>
          <wp:extent cx="7785100" cy="1361440"/>
          <wp:effectExtent l="0" t="0" r="6350" b="0"/>
          <wp:wrapSquare wrapText="bothSides"/>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8\K-6 IMAGEN CORPORATIVA\K-6.1 PIEZAS GRAFICAS\COMUNICACIONES INTERNAS\Plantillas world\CabezoteTodosFINAL.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785100" cy="13616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45239"/>
    <w:multiLevelType w:val="hybridMultilevel"/>
    <w:tmpl w:val="1220A6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1533FC"/>
    <w:multiLevelType w:val="hybridMultilevel"/>
    <w:tmpl w:val="C3D8B5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16216AD"/>
    <w:multiLevelType w:val="hybridMultilevel"/>
    <w:tmpl w:val="32EE1F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1C66C4"/>
    <w:multiLevelType w:val="hybridMultilevel"/>
    <w:tmpl w:val="865E46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9306916">
    <w:abstractNumId w:val="1"/>
  </w:num>
  <w:num w:numId="2" w16cid:durableId="1035737856">
    <w:abstractNumId w:val="3"/>
  </w:num>
  <w:num w:numId="3" w16cid:durableId="925310293">
    <w:abstractNumId w:val="2"/>
  </w:num>
  <w:num w:numId="4" w16cid:durableId="161424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24"/>
    <w:rsid w:val="00064FF2"/>
    <w:rsid w:val="000657A8"/>
    <w:rsid w:val="000733AD"/>
    <w:rsid w:val="00077789"/>
    <w:rsid w:val="000808F2"/>
    <w:rsid w:val="0008172B"/>
    <w:rsid w:val="000B4A5B"/>
    <w:rsid w:val="000D231D"/>
    <w:rsid w:val="000F454C"/>
    <w:rsid w:val="00110F18"/>
    <w:rsid w:val="0013413D"/>
    <w:rsid w:val="00154187"/>
    <w:rsid w:val="0015442C"/>
    <w:rsid w:val="0016245E"/>
    <w:rsid w:val="001A2C90"/>
    <w:rsid w:val="001B6159"/>
    <w:rsid w:val="001C1102"/>
    <w:rsid w:val="0020346C"/>
    <w:rsid w:val="002142E9"/>
    <w:rsid w:val="00234EE6"/>
    <w:rsid w:val="002535C6"/>
    <w:rsid w:val="00260B41"/>
    <w:rsid w:val="002A4916"/>
    <w:rsid w:val="002A4D09"/>
    <w:rsid w:val="002A5689"/>
    <w:rsid w:val="002C1017"/>
    <w:rsid w:val="002C69B0"/>
    <w:rsid w:val="002E4953"/>
    <w:rsid w:val="00302E08"/>
    <w:rsid w:val="003071F1"/>
    <w:rsid w:val="00320D56"/>
    <w:rsid w:val="00332782"/>
    <w:rsid w:val="0033584C"/>
    <w:rsid w:val="00350273"/>
    <w:rsid w:val="00375043"/>
    <w:rsid w:val="00396EB2"/>
    <w:rsid w:val="00416427"/>
    <w:rsid w:val="00426602"/>
    <w:rsid w:val="004437E9"/>
    <w:rsid w:val="004851DE"/>
    <w:rsid w:val="004B7A33"/>
    <w:rsid w:val="004C5F59"/>
    <w:rsid w:val="004D2B6B"/>
    <w:rsid w:val="004E1982"/>
    <w:rsid w:val="00501F12"/>
    <w:rsid w:val="005115B7"/>
    <w:rsid w:val="0056023C"/>
    <w:rsid w:val="00581D82"/>
    <w:rsid w:val="005960B9"/>
    <w:rsid w:val="005B221D"/>
    <w:rsid w:val="005F0C74"/>
    <w:rsid w:val="006134D8"/>
    <w:rsid w:val="00625BC9"/>
    <w:rsid w:val="00633480"/>
    <w:rsid w:val="00647358"/>
    <w:rsid w:val="0069694E"/>
    <w:rsid w:val="006B2614"/>
    <w:rsid w:val="006C2086"/>
    <w:rsid w:val="0071039E"/>
    <w:rsid w:val="00774A74"/>
    <w:rsid w:val="007814CB"/>
    <w:rsid w:val="00787ECB"/>
    <w:rsid w:val="00792E18"/>
    <w:rsid w:val="007D3D22"/>
    <w:rsid w:val="00844F66"/>
    <w:rsid w:val="00852819"/>
    <w:rsid w:val="008714AA"/>
    <w:rsid w:val="00892F7F"/>
    <w:rsid w:val="008A25D5"/>
    <w:rsid w:val="008D50D9"/>
    <w:rsid w:val="008E3580"/>
    <w:rsid w:val="008E7D00"/>
    <w:rsid w:val="009001E6"/>
    <w:rsid w:val="0090198C"/>
    <w:rsid w:val="009054FE"/>
    <w:rsid w:val="009268FD"/>
    <w:rsid w:val="009561BF"/>
    <w:rsid w:val="0097421D"/>
    <w:rsid w:val="00984A76"/>
    <w:rsid w:val="009F109B"/>
    <w:rsid w:val="00A01379"/>
    <w:rsid w:val="00A25E63"/>
    <w:rsid w:val="00A31A13"/>
    <w:rsid w:val="00A33474"/>
    <w:rsid w:val="00A33CA7"/>
    <w:rsid w:val="00A61498"/>
    <w:rsid w:val="00A65614"/>
    <w:rsid w:val="00AD783B"/>
    <w:rsid w:val="00B36846"/>
    <w:rsid w:val="00B6409B"/>
    <w:rsid w:val="00BB5A82"/>
    <w:rsid w:val="00BD3A9D"/>
    <w:rsid w:val="00BF3DF2"/>
    <w:rsid w:val="00BF446A"/>
    <w:rsid w:val="00C11F05"/>
    <w:rsid w:val="00C13447"/>
    <w:rsid w:val="00C24F8C"/>
    <w:rsid w:val="00C357CE"/>
    <w:rsid w:val="00C8703B"/>
    <w:rsid w:val="00CB0426"/>
    <w:rsid w:val="00CD01A2"/>
    <w:rsid w:val="00CE6D80"/>
    <w:rsid w:val="00D200C5"/>
    <w:rsid w:val="00D32461"/>
    <w:rsid w:val="00D66324"/>
    <w:rsid w:val="00D876DB"/>
    <w:rsid w:val="00D9561B"/>
    <w:rsid w:val="00DB52FE"/>
    <w:rsid w:val="00E95A3F"/>
    <w:rsid w:val="00EA2000"/>
    <w:rsid w:val="00EB2EB7"/>
    <w:rsid w:val="00EC210D"/>
    <w:rsid w:val="00EC348C"/>
    <w:rsid w:val="00EF6F17"/>
    <w:rsid w:val="00F205C6"/>
    <w:rsid w:val="00F36D4C"/>
    <w:rsid w:val="00F86807"/>
    <w:rsid w:val="00FC6217"/>
    <w:rsid w:val="00FD395F"/>
    <w:rsid w:val="00FE00CF"/>
    <w:rsid w:val="00FE02C0"/>
    <w:rsid w:val="00FE1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24E16"/>
  <w15:chartTrackingRefBased/>
  <w15:docId w15:val="{9B41171D-24EF-47EC-8BFD-8DADEAD2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24"/>
    <w:pPr>
      <w:spacing w:after="0" w:line="240" w:lineRule="auto"/>
      <w:jc w:val="both"/>
    </w:pPr>
    <w:rPr>
      <w:rFonts w:ascii="Arial" w:eastAsia="Times New Roman" w:hAnsi="Arial" w:cs="Times New Roman"/>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w:basedOn w:val="Normal"/>
    <w:link w:val="PiedepginaCar"/>
    <w:rsid w:val="00D66324"/>
    <w:pPr>
      <w:keepLines/>
      <w:tabs>
        <w:tab w:val="left" w:pos="-1080"/>
        <w:tab w:val="center" w:pos="4320"/>
        <w:tab w:val="right" w:pos="9480"/>
      </w:tabs>
      <w:spacing w:before="420"/>
      <w:ind w:left="-1080" w:right="-840"/>
    </w:pPr>
    <w:rPr>
      <w:b/>
    </w:rPr>
  </w:style>
  <w:style w:type="character" w:customStyle="1" w:styleId="PiedepginaCar">
    <w:name w:val="Pie de página Car"/>
    <w:aliases w:val="pie de página Car"/>
    <w:basedOn w:val="Fuentedeprrafopredeter"/>
    <w:link w:val="Piedepgina"/>
    <w:rsid w:val="00D66324"/>
    <w:rPr>
      <w:rFonts w:ascii="Arial" w:eastAsia="Times New Roman" w:hAnsi="Arial" w:cs="Times New Roman"/>
      <w:b/>
      <w:kern w:val="0"/>
      <w:sz w:val="24"/>
      <w:szCs w:val="20"/>
      <w:lang w:val="es-ES" w:eastAsia="es-ES"/>
      <w14:ligatures w14:val="none"/>
    </w:rPr>
  </w:style>
  <w:style w:type="paragraph" w:styleId="Encabezado">
    <w:name w:val="header"/>
    <w:basedOn w:val="Normal"/>
    <w:link w:val="EncabezadoCar"/>
    <w:rsid w:val="00D66324"/>
    <w:pPr>
      <w:keepLines/>
      <w:tabs>
        <w:tab w:val="left" w:pos="-1080"/>
        <w:tab w:val="center" w:pos="4320"/>
        <w:tab w:val="right" w:pos="9480"/>
        <w:tab w:val="right" w:pos="9720"/>
      </w:tabs>
      <w:ind w:left="-1080" w:right="-1080"/>
    </w:pPr>
    <w:rPr>
      <w:rFonts w:ascii="Times New Roman" w:hAnsi="Times New Roman"/>
      <w:i/>
    </w:rPr>
  </w:style>
  <w:style w:type="character" w:customStyle="1" w:styleId="EncabezadoCar">
    <w:name w:val="Encabezado Car"/>
    <w:basedOn w:val="Fuentedeprrafopredeter"/>
    <w:link w:val="Encabezado"/>
    <w:rsid w:val="00D66324"/>
    <w:rPr>
      <w:rFonts w:ascii="Times New Roman" w:eastAsia="Times New Roman" w:hAnsi="Times New Roman" w:cs="Times New Roman"/>
      <w:i/>
      <w:kern w:val="0"/>
      <w:sz w:val="24"/>
      <w:szCs w:val="20"/>
      <w:lang w:val="es-ES" w:eastAsia="es-ES"/>
      <w14:ligatures w14:val="none"/>
    </w:rPr>
  </w:style>
  <w:style w:type="character" w:styleId="Nmerodepgina">
    <w:name w:val="page number"/>
    <w:rsid w:val="00D66324"/>
    <w:rPr>
      <w:rFonts w:ascii="Times New Roman" w:hAnsi="Times New Roman"/>
      <w:i/>
      <w:sz w:val="20"/>
      <w:vertAlign w:val="baseline"/>
    </w:rPr>
  </w:style>
  <w:style w:type="table" w:styleId="Tablaconcuadrcula">
    <w:name w:val="Table Grid"/>
    <w:basedOn w:val="Tablanormal"/>
    <w:uiPriority w:val="39"/>
    <w:rsid w:val="00D66324"/>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07690">
      <w:bodyDiv w:val="1"/>
      <w:marLeft w:val="0"/>
      <w:marRight w:val="0"/>
      <w:marTop w:val="0"/>
      <w:marBottom w:val="0"/>
      <w:divBdr>
        <w:top w:val="none" w:sz="0" w:space="0" w:color="auto"/>
        <w:left w:val="none" w:sz="0" w:space="0" w:color="auto"/>
        <w:bottom w:val="none" w:sz="0" w:space="0" w:color="auto"/>
        <w:right w:val="none" w:sz="0" w:space="0" w:color="auto"/>
      </w:divBdr>
    </w:div>
    <w:div w:id="18335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2345</Words>
  <Characters>12902</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Planeación</dc:creator>
  <cp:keywords/>
  <dc:description/>
  <cp:lastModifiedBy>Oficina de Planeación</cp:lastModifiedBy>
  <cp:revision>2</cp:revision>
  <dcterms:created xsi:type="dcterms:W3CDTF">2023-03-24T00:07:00Z</dcterms:created>
  <dcterms:modified xsi:type="dcterms:W3CDTF">2023-03-24T00:07:00Z</dcterms:modified>
</cp:coreProperties>
</file>