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A8C65" w14:textId="77777777" w:rsidR="00DE1686" w:rsidRDefault="00DE1686" w:rsidP="00DE1686">
      <w:pPr>
        <w:jc w:val="center"/>
        <w:rPr>
          <w:rFonts w:ascii="Arial" w:hAnsi="Arial" w:cs="Arial"/>
          <w:b/>
          <w:bCs/>
          <w:sz w:val="24"/>
          <w:szCs w:val="24"/>
        </w:rPr>
      </w:pPr>
    </w:p>
    <w:p w14:paraId="662B8F67" w14:textId="07FEE397" w:rsidR="000565CD" w:rsidRPr="006A2CAA" w:rsidRDefault="000565CD" w:rsidP="000565CD">
      <w:pPr>
        <w:pStyle w:val="Sinespaciado"/>
        <w:spacing w:line="276" w:lineRule="auto"/>
        <w:rPr>
          <w:rFonts w:ascii="Arial" w:hAnsi="Arial" w:cs="Arial"/>
          <w:sz w:val="24"/>
          <w:szCs w:val="24"/>
        </w:rPr>
      </w:pPr>
      <w:r w:rsidRPr="006A2CAA">
        <w:rPr>
          <w:rFonts w:ascii="Arial" w:hAnsi="Arial" w:cs="Arial"/>
          <w:sz w:val="24"/>
          <w:szCs w:val="24"/>
        </w:rPr>
        <w:t xml:space="preserve">Bogotá D.C., </w:t>
      </w:r>
      <w:r>
        <w:rPr>
          <w:rFonts w:ascii="Arial" w:hAnsi="Arial" w:cs="Arial"/>
          <w:sz w:val="24"/>
          <w:szCs w:val="24"/>
        </w:rPr>
        <w:t>15 de diciembre</w:t>
      </w:r>
      <w:r w:rsidRPr="006A2CAA">
        <w:rPr>
          <w:rFonts w:ascii="Arial" w:hAnsi="Arial" w:cs="Arial"/>
          <w:sz w:val="24"/>
          <w:szCs w:val="24"/>
        </w:rPr>
        <w:t xml:space="preserve"> de 202</w:t>
      </w:r>
      <w:r w:rsidR="00F3416B">
        <w:rPr>
          <w:rFonts w:ascii="Arial" w:hAnsi="Arial" w:cs="Arial"/>
          <w:sz w:val="24"/>
          <w:szCs w:val="24"/>
        </w:rPr>
        <w:t>2</w:t>
      </w:r>
      <w:r w:rsidRPr="006A2CAA">
        <w:rPr>
          <w:rFonts w:ascii="Arial" w:hAnsi="Arial" w:cs="Arial"/>
          <w:sz w:val="24"/>
          <w:szCs w:val="24"/>
        </w:rPr>
        <w:t xml:space="preserve"> </w:t>
      </w:r>
    </w:p>
    <w:p w14:paraId="302950B7" w14:textId="77777777" w:rsidR="000565CD" w:rsidRPr="006A2CAA" w:rsidRDefault="000565CD" w:rsidP="000565CD">
      <w:pPr>
        <w:pStyle w:val="Sinespaciado"/>
        <w:spacing w:line="276" w:lineRule="auto"/>
        <w:rPr>
          <w:rFonts w:ascii="Arial" w:hAnsi="Arial" w:cs="Arial"/>
          <w:sz w:val="24"/>
          <w:szCs w:val="24"/>
        </w:rPr>
      </w:pPr>
    </w:p>
    <w:p w14:paraId="3C0A3E58" w14:textId="77777777" w:rsidR="000565CD" w:rsidRPr="006A2CAA" w:rsidRDefault="000565CD" w:rsidP="000565CD">
      <w:pPr>
        <w:pStyle w:val="Sinespaciado"/>
        <w:spacing w:line="276" w:lineRule="auto"/>
        <w:rPr>
          <w:rFonts w:ascii="Arial" w:hAnsi="Arial" w:cs="Arial"/>
          <w:sz w:val="24"/>
          <w:szCs w:val="24"/>
        </w:rPr>
      </w:pPr>
    </w:p>
    <w:p w14:paraId="700682D8" w14:textId="77777777" w:rsidR="000565CD" w:rsidRDefault="000565CD" w:rsidP="000565CD">
      <w:pPr>
        <w:pStyle w:val="Sinespaciado"/>
        <w:spacing w:line="276" w:lineRule="auto"/>
        <w:rPr>
          <w:rFonts w:ascii="Arial" w:hAnsi="Arial" w:cs="Arial"/>
          <w:sz w:val="24"/>
          <w:szCs w:val="24"/>
        </w:rPr>
      </w:pPr>
      <w:r>
        <w:rPr>
          <w:rFonts w:ascii="Arial" w:hAnsi="Arial" w:cs="Arial"/>
          <w:sz w:val="24"/>
          <w:szCs w:val="24"/>
        </w:rPr>
        <w:t>Doctor:</w:t>
      </w:r>
    </w:p>
    <w:p w14:paraId="44D6803F" w14:textId="77777777" w:rsidR="000565CD" w:rsidRPr="00D058AA" w:rsidRDefault="000565CD" w:rsidP="000565CD">
      <w:pPr>
        <w:pStyle w:val="Sinespaciado"/>
        <w:spacing w:line="276" w:lineRule="auto"/>
        <w:rPr>
          <w:rFonts w:ascii="Arial" w:hAnsi="Arial" w:cs="Arial"/>
          <w:b/>
          <w:bCs/>
          <w:sz w:val="24"/>
          <w:szCs w:val="24"/>
        </w:rPr>
      </w:pPr>
      <w:r w:rsidRPr="00D058AA">
        <w:rPr>
          <w:rFonts w:ascii="Arial" w:hAnsi="Arial" w:cs="Arial"/>
          <w:b/>
          <w:bCs/>
          <w:sz w:val="24"/>
          <w:szCs w:val="24"/>
        </w:rPr>
        <w:t>JAIME LUIS LACOUTURE PEÑALOZA</w:t>
      </w:r>
    </w:p>
    <w:p w14:paraId="7402BA63" w14:textId="77777777" w:rsidR="000565CD" w:rsidRDefault="000565CD" w:rsidP="000565CD">
      <w:pPr>
        <w:pStyle w:val="Sinespaciado"/>
        <w:spacing w:line="276" w:lineRule="auto"/>
        <w:rPr>
          <w:rFonts w:ascii="Arial" w:hAnsi="Arial" w:cs="Arial"/>
          <w:sz w:val="24"/>
          <w:szCs w:val="24"/>
        </w:rPr>
      </w:pPr>
      <w:r>
        <w:rPr>
          <w:rFonts w:ascii="Arial" w:hAnsi="Arial" w:cs="Arial"/>
          <w:sz w:val="24"/>
          <w:szCs w:val="24"/>
        </w:rPr>
        <w:t xml:space="preserve">Secretario General </w:t>
      </w:r>
    </w:p>
    <w:p w14:paraId="27B56F70" w14:textId="77777777" w:rsidR="000565CD" w:rsidRPr="006A2CAA" w:rsidRDefault="000565CD" w:rsidP="000565CD">
      <w:pPr>
        <w:pStyle w:val="Sinespaciado"/>
        <w:spacing w:line="276" w:lineRule="auto"/>
        <w:rPr>
          <w:rFonts w:ascii="Arial" w:hAnsi="Arial" w:cs="Arial"/>
          <w:sz w:val="24"/>
          <w:szCs w:val="24"/>
        </w:rPr>
      </w:pPr>
      <w:r>
        <w:rPr>
          <w:rFonts w:ascii="Arial" w:hAnsi="Arial" w:cs="Arial"/>
          <w:sz w:val="24"/>
          <w:szCs w:val="24"/>
        </w:rPr>
        <w:t xml:space="preserve">Honorable </w:t>
      </w:r>
      <w:r w:rsidRPr="006A2CAA">
        <w:rPr>
          <w:rFonts w:ascii="Arial" w:hAnsi="Arial" w:cs="Arial"/>
          <w:sz w:val="24"/>
          <w:szCs w:val="24"/>
        </w:rPr>
        <w:t>Cámara de Representantes</w:t>
      </w:r>
    </w:p>
    <w:p w14:paraId="7680DEBF" w14:textId="77777777" w:rsidR="000565CD" w:rsidRPr="006A2CAA" w:rsidRDefault="000565CD" w:rsidP="000565CD">
      <w:pPr>
        <w:pStyle w:val="Sinespaciado"/>
        <w:spacing w:line="276" w:lineRule="auto"/>
        <w:rPr>
          <w:rFonts w:ascii="Arial" w:hAnsi="Arial" w:cs="Arial"/>
          <w:b/>
          <w:sz w:val="24"/>
          <w:szCs w:val="24"/>
        </w:rPr>
      </w:pPr>
      <w:r w:rsidRPr="006A2CAA">
        <w:rPr>
          <w:rFonts w:ascii="Arial" w:hAnsi="Arial" w:cs="Arial"/>
          <w:sz w:val="24"/>
          <w:szCs w:val="24"/>
        </w:rPr>
        <w:t>Ciudad</w:t>
      </w:r>
    </w:p>
    <w:p w14:paraId="48EE3508" w14:textId="77777777" w:rsidR="000565CD" w:rsidRPr="006A2CAA" w:rsidRDefault="000565CD" w:rsidP="000565CD">
      <w:pPr>
        <w:pStyle w:val="Sinespaciado"/>
        <w:spacing w:line="276" w:lineRule="auto"/>
        <w:jc w:val="center"/>
        <w:rPr>
          <w:rFonts w:ascii="Arial" w:hAnsi="Arial" w:cs="Arial"/>
          <w:b/>
          <w:sz w:val="24"/>
          <w:szCs w:val="24"/>
        </w:rPr>
      </w:pPr>
    </w:p>
    <w:p w14:paraId="75754041" w14:textId="77777777" w:rsidR="000565CD" w:rsidRPr="006A2CAA" w:rsidRDefault="000565CD" w:rsidP="000565CD">
      <w:pPr>
        <w:pStyle w:val="Sinespaciado"/>
        <w:spacing w:line="276" w:lineRule="auto"/>
        <w:rPr>
          <w:rFonts w:ascii="Arial" w:hAnsi="Arial" w:cs="Arial"/>
          <w:b/>
          <w:sz w:val="24"/>
          <w:szCs w:val="24"/>
        </w:rPr>
      </w:pPr>
    </w:p>
    <w:p w14:paraId="2E2F0157" w14:textId="77777777" w:rsidR="000565CD" w:rsidRPr="006A2CAA" w:rsidRDefault="000565CD" w:rsidP="000565CD">
      <w:pPr>
        <w:spacing w:line="276" w:lineRule="auto"/>
        <w:ind w:left="708"/>
        <w:jc w:val="both"/>
        <w:rPr>
          <w:rFonts w:ascii="Arial" w:hAnsi="Arial" w:cs="Arial"/>
          <w:b/>
          <w:bCs/>
          <w:sz w:val="24"/>
          <w:szCs w:val="24"/>
        </w:rPr>
      </w:pPr>
      <w:r w:rsidRPr="006A2CAA">
        <w:rPr>
          <w:rFonts w:ascii="Arial" w:hAnsi="Arial" w:cs="Arial"/>
          <w:b/>
          <w:bCs/>
          <w:sz w:val="24"/>
          <w:szCs w:val="24"/>
          <w:u w:val="single"/>
        </w:rPr>
        <w:t>Asunto:</w:t>
      </w:r>
      <w:r w:rsidRPr="006A2CAA">
        <w:rPr>
          <w:rFonts w:ascii="Arial" w:hAnsi="Arial" w:cs="Arial"/>
          <w:sz w:val="24"/>
          <w:szCs w:val="24"/>
        </w:rPr>
        <w:t xml:space="preserve"> </w:t>
      </w:r>
      <w:r>
        <w:rPr>
          <w:rFonts w:ascii="Arial" w:hAnsi="Arial" w:cs="Arial"/>
          <w:sz w:val="24"/>
          <w:szCs w:val="24"/>
        </w:rPr>
        <w:t>Presentación y radicación del proyecto de ley</w:t>
      </w:r>
      <w:r w:rsidRPr="006A2CAA">
        <w:rPr>
          <w:rFonts w:ascii="Arial" w:hAnsi="Arial" w:cs="Arial"/>
          <w:sz w:val="24"/>
          <w:szCs w:val="24"/>
        </w:rPr>
        <w:t xml:space="preserve"> </w:t>
      </w:r>
      <w:r w:rsidRPr="006A2CAA">
        <w:rPr>
          <w:rFonts w:ascii="Arial" w:hAnsi="Arial" w:cs="Arial"/>
          <w:b/>
          <w:bCs/>
          <w:color w:val="333333"/>
          <w:sz w:val="24"/>
          <w:szCs w:val="24"/>
          <w:shd w:val="clear" w:color="auto" w:fill="FFFFFF"/>
        </w:rPr>
        <w:t>“</w:t>
      </w:r>
      <w:r>
        <w:rPr>
          <w:rFonts w:ascii="Arial" w:hAnsi="Arial" w:cs="Arial"/>
          <w:b/>
          <w:bCs/>
          <w:color w:val="333333"/>
          <w:sz w:val="24"/>
          <w:szCs w:val="24"/>
          <w:shd w:val="clear" w:color="auto" w:fill="FFFFFF"/>
        </w:rPr>
        <w:t xml:space="preserve">Por </w:t>
      </w:r>
      <w:r w:rsidRPr="0073451D">
        <w:rPr>
          <w:rFonts w:ascii="Arial" w:hAnsi="Arial" w:cs="Arial"/>
          <w:b/>
          <w:bCs/>
          <w:color w:val="333333"/>
          <w:sz w:val="24"/>
          <w:szCs w:val="24"/>
          <w:shd w:val="clear" w:color="auto" w:fill="FFFFFF"/>
        </w:rPr>
        <w:t xml:space="preserve">medio de la cual se </w:t>
      </w:r>
      <w:r>
        <w:rPr>
          <w:rFonts w:ascii="Arial" w:hAnsi="Arial" w:cs="Arial"/>
          <w:b/>
          <w:bCs/>
          <w:color w:val="333333"/>
          <w:sz w:val="24"/>
          <w:szCs w:val="24"/>
          <w:shd w:val="clear" w:color="auto" w:fill="FFFFFF"/>
        </w:rPr>
        <w:t>r</w:t>
      </w:r>
      <w:r w:rsidRPr="0073451D">
        <w:rPr>
          <w:rFonts w:ascii="Arial" w:hAnsi="Arial" w:cs="Arial"/>
          <w:b/>
          <w:bCs/>
          <w:color w:val="333333"/>
          <w:sz w:val="24"/>
          <w:szCs w:val="24"/>
          <w:shd w:val="clear" w:color="auto" w:fill="FFFFFF"/>
        </w:rPr>
        <w:t>eforma el</w:t>
      </w:r>
      <w:r>
        <w:rPr>
          <w:rFonts w:ascii="Arial" w:hAnsi="Arial" w:cs="Arial"/>
          <w:b/>
          <w:bCs/>
          <w:color w:val="333333"/>
          <w:sz w:val="24"/>
          <w:szCs w:val="24"/>
          <w:shd w:val="clear" w:color="auto" w:fill="FFFFFF"/>
        </w:rPr>
        <w:t xml:space="preserve"> artículo 80 del</w:t>
      </w:r>
      <w:r w:rsidRPr="0073451D">
        <w:rPr>
          <w:rFonts w:ascii="Arial" w:hAnsi="Arial" w:cs="Arial"/>
          <w:b/>
          <w:bCs/>
          <w:color w:val="333333"/>
          <w:sz w:val="24"/>
          <w:szCs w:val="24"/>
          <w:shd w:val="clear" w:color="auto" w:fill="FFFFFF"/>
        </w:rPr>
        <w:t xml:space="preserve"> Código de Procedimiento Administrativo y de lo Contencioso Administrativo –Ley 1437 de 2011– y se dictan otras disposiciones</w:t>
      </w:r>
      <w:r w:rsidRPr="006A2CAA">
        <w:rPr>
          <w:rFonts w:ascii="Arial" w:hAnsi="Arial" w:cs="Arial"/>
          <w:b/>
          <w:bCs/>
          <w:sz w:val="24"/>
          <w:szCs w:val="24"/>
        </w:rPr>
        <w:t>”</w:t>
      </w:r>
      <w:r>
        <w:rPr>
          <w:rFonts w:ascii="Arial" w:hAnsi="Arial" w:cs="Arial"/>
          <w:b/>
          <w:bCs/>
          <w:sz w:val="24"/>
          <w:szCs w:val="24"/>
        </w:rPr>
        <w:t>.</w:t>
      </w:r>
    </w:p>
    <w:p w14:paraId="5C5326AB" w14:textId="77777777" w:rsidR="000565CD" w:rsidRPr="006A2CAA" w:rsidRDefault="000565CD" w:rsidP="000565CD">
      <w:pPr>
        <w:pStyle w:val="Sinespaciado"/>
        <w:tabs>
          <w:tab w:val="left" w:pos="6510"/>
        </w:tabs>
        <w:spacing w:line="276" w:lineRule="auto"/>
        <w:jc w:val="right"/>
        <w:rPr>
          <w:rFonts w:ascii="Arial" w:hAnsi="Arial" w:cs="Arial"/>
          <w:sz w:val="24"/>
          <w:szCs w:val="24"/>
        </w:rPr>
      </w:pPr>
    </w:p>
    <w:p w14:paraId="7CFF5392" w14:textId="77777777" w:rsidR="000565CD" w:rsidRPr="006A2CAA" w:rsidRDefault="000565CD" w:rsidP="000565CD">
      <w:pPr>
        <w:pStyle w:val="Sinespaciado"/>
        <w:tabs>
          <w:tab w:val="left" w:pos="6510"/>
        </w:tabs>
        <w:spacing w:line="276" w:lineRule="auto"/>
        <w:rPr>
          <w:rFonts w:ascii="Arial" w:hAnsi="Arial" w:cs="Arial"/>
          <w:sz w:val="24"/>
          <w:szCs w:val="24"/>
        </w:rPr>
      </w:pPr>
      <w:r w:rsidRPr="00467638">
        <w:rPr>
          <w:rFonts w:ascii="Arial" w:hAnsi="Arial" w:cs="Arial"/>
          <w:sz w:val="24"/>
          <w:szCs w:val="24"/>
        </w:rPr>
        <w:t>Honorable presidente:</w:t>
      </w:r>
      <w:r w:rsidRPr="006A2CAA">
        <w:rPr>
          <w:rFonts w:ascii="Arial" w:hAnsi="Arial" w:cs="Arial"/>
          <w:sz w:val="24"/>
          <w:szCs w:val="24"/>
        </w:rPr>
        <w:t xml:space="preserve"> </w:t>
      </w:r>
    </w:p>
    <w:p w14:paraId="6A3605FE" w14:textId="77777777" w:rsidR="000565CD" w:rsidRPr="006A2CAA" w:rsidRDefault="000565CD" w:rsidP="000565CD">
      <w:pPr>
        <w:pStyle w:val="Sinespaciado"/>
        <w:tabs>
          <w:tab w:val="left" w:pos="6510"/>
        </w:tabs>
        <w:spacing w:line="276" w:lineRule="auto"/>
        <w:jc w:val="both"/>
        <w:rPr>
          <w:rFonts w:ascii="Arial" w:hAnsi="Arial" w:cs="Arial"/>
          <w:sz w:val="24"/>
          <w:szCs w:val="24"/>
        </w:rPr>
      </w:pPr>
    </w:p>
    <w:p w14:paraId="3590C827" w14:textId="77777777" w:rsidR="000565CD" w:rsidRPr="006A2CAA" w:rsidRDefault="000565CD" w:rsidP="000565CD">
      <w:pPr>
        <w:spacing w:line="276" w:lineRule="auto"/>
        <w:jc w:val="both"/>
        <w:rPr>
          <w:rFonts w:ascii="Arial" w:hAnsi="Arial" w:cs="Arial"/>
          <w:b/>
          <w:bCs/>
          <w:sz w:val="24"/>
          <w:szCs w:val="24"/>
        </w:rPr>
      </w:pPr>
      <w:r w:rsidRPr="00467638">
        <w:rPr>
          <w:rFonts w:ascii="Arial" w:hAnsi="Arial" w:cs="Arial"/>
          <w:sz w:val="24"/>
          <w:szCs w:val="24"/>
        </w:rPr>
        <w:t>El suscrito representante a la Cámara, en uso del derecho consagrado en el artículo 150 de la Constitución Política de Colombia, por su digno conducto me permito poner a consideración de la Honorable Cámara de Representantes el siguiente proyecto de</w:t>
      </w:r>
      <w:r>
        <w:rPr>
          <w:rFonts w:ascii="Arial" w:hAnsi="Arial" w:cs="Arial"/>
          <w:sz w:val="24"/>
          <w:szCs w:val="24"/>
        </w:rPr>
        <w:t xml:space="preserve"> Ley </w:t>
      </w:r>
      <w:r w:rsidRPr="006A2CAA">
        <w:rPr>
          <w:rFonts w:ascii="Arial" w:hAnsi="Arial" w:cs="Arial"/>
          <w:b/>
          <w:bCs/>
          <w:color w:val="333333"/>
          <w:sz w:val="24"/>
          <w:szCs w:val="24"/>
          <w:shd w:val="clear" w:color="auto" w:fill="FFFFFF"/>
        </w:rPr>
        <w:t>“</w:t>
      </w:r>
      <w:r>
        <w:rPr>
          <w:rFonts w:ascii="Arial" w:hAnsi="Arial" w:cs="Arial"/>
          <w:b/>
          <w:bCs/>
          <w:color w:val="333333"/>
          <w:sz w:val="24"/>
          <w:szCs w:val="24"/>
          <w:shd w:val="clear" w:color="auto" w:fill="FFFFFF"/>
        </w:rPr>
        <w:t xml:space="preserve">Por </w:t>
      </w:r>
      <w:r w:rsidRPr="0073451D">
        <w:rPr>
          <w:rFonts w:ascii="Arial" w:hAnsi="Arial" w:cs="Arial"/>
          <w:b/>
          <w:bCs/>
          <w:color w:val="333333"/>
          <w:sz w:val="24"/>
          <w:szCs w:val="24"/>
          <w:shd w:val="clear" w:color="auto" w:fill="FFFFFF"/>
        </w:rPr>
        <w:t xml:space="preserve">medio de la cual se </w:t>
      </w:r>
      <w:r>
        <w:rPr>
          <w:rFonts w:ascii="Arial" w:hAnsi="Arial" w:cs="Arial"/>
          <w:b/>
          <w:bCs/>
          <w:color w:val="333333"/>
          <w:sz w:val="24"/>
          <w:szCs w:val="24"/>
          <w:shd w:val="clear" w:color="auto" w:fill="FFFFFF"/>
        </w:rPr>
        <w:t>r</w:t>
      </w:r>
      <w:r w:rsidRPr="0073451D">
        <w:rPr>
          <w:rFonts w:ascii="Arial" w:hAnsi="Arial" w:cs="Arial"/>
          <w:b/>
          <w:bCs/>
          <w:color w:val="333333"/>
          <w:sz w:val="24"/>
          <w:szCs w:val="24"/>
          <w:shd w:val="clear" w:color="auto" w:fill="FFFFFF"/>
        </w:rPr>
        <w:t>eforma el</w:t>
      </w:r>
      <w:r>
        <w:rPr>
          <w:rFonts w:ascii="Arial" w:hAnsi="Arial" w:cs="Arial"/>
          <w:b/>
          <w:bCs/>
          <w:color w:val="333333"/>
          <w:sz w:val="24"/>
          <w:szCs w:val="24"/>
          <w:shd w:val="clear" w:color="auto" w:fill="FFFFFF"/>
        </w:rPr>
        <w:t xml:space="preserve"> artículo 80 del</w:t>
      </w:r>
      <w:r w:rsidRPr="0073451D">
        <w:rPr>
          <w:rFonts w:ascii="Arial" w:hAnsi="Arial" w:cs="Arial"/>
          <w:b/>
          <w:bCs/>
          <w:color w:val="333333"/>
          <w:sz w:val="24"/>
          <w:szCs w:val="24"/>
          <w:shd w:val="clear" w:color="auto" w:fill="FFFFFF"/>
        </w:rPr>
        <w:t xml:space="preserve"> Código de Procedimiento Administrativo y de lo Contencioso Administrativo –Ley 1437 de 2011– y se dictan otras disposiciones</w:t>
      </w:r>
      <w:r w:rsidRPr="006A2CAA">
        <w:rPr>
          <w:rFonts w:ascii="Arial" w:hAnsi="Arial" w:cs="Arial"/>
          <w:b/>
          <w:bCs/>
          <w:sz w:val="24"/>
          <w:szCs w:val="24"/>
        </w:rPr>
        <w:t>”</w:t>
      </w:r>
      <w:r>
        <w:rPr>
          <w:rFonts w:ascii="Arial" w:hAnsi="Arial" w:cs="Arial"/>
          <w:b/>
          <w:bCs/>
          <w:sz w:val="24"/>
          <w:szCs w:val="24"/>
        </w:rPr>
        <w:t>.</w:t>
      </w:r>
    </w:p>
    <w:p w14:paraId="0E5B42B5" w14:textId="77777777" w:rsidR="000565CD" w:rsidRDefault="000565CD" w:rsidP="000565CD">
      <w:pPr>
        <w:spacing w:line="276" w:lineRule="auto"/>
        <w:jc w:val="both"/>
        <w:rPr>
          <w:rFonts w:ascii="Arial" w:hAnsi="Arial" w:cs="Arial"/>
          <w:sz w:val="24"/>
          <w:szCs w:val="24"/>
        </w:rPr>
      </w:pPr>
    </w:p>
    <w:p w14:paraId="5E1AD89E" w14:textId="77777777" w:rsidR="000565CD" w:rsidRPr="006A2CAA" w:rsidRDefault="000565CD" w:rsidP="000565CD">
      <w:pPr>
        <w:spacing w:line="276" w:lineRule="auto"/>
        <w:jc w:val="both"/>
        <w:rPr>
          <w:rFonts w:ascii="Arial" w:hAnsi="Arial" w:cs="Arial"/>
          <w:sz w:val="24"/>
          <w:szCs w:val="24"/>
        </w:rPr>
      </w:pPr>
    </w:p>
    <w:p w14:paraId="46F50E73" w14:textId="77777777" w:rsidR="000565CD" w:rsidRPr="006A2CAA" w:rsidRDefault="000565CD" w:rsidP="000565CD">
      <w:pPr>
        <w:spacing w:line="276" w:lineRule="auto"/>
        <w:rPr>
          <w:rFonts w:ascii="Arial" w:hAnsi="Arial" w:cs="Arial"/>
          <w:sz w:val="24"/>
          <w:szCs w:val="24"/>
        </w:rPr>
      </w:pPr>
      <w:r w:rsidRPr="006A2CAA">
        <w:rPr>
          <w:rFonts w:ascii="Arial" w:hAnsi="Arial" w:cs="Arial"/>
          <w:sz w:val="24"/>
          <w:szCs w:val="24"/>
        </w:rPr>
        <w:t>Cordialmente,</w:t>
      </w:r>
    </w:p>
    <w:p w14:paraId="42381E94" w14:textId="77777777" w:rsidR="000565CD" w:rsidRPr="006A2CAA" w:rsidRDefault="000565CD" w:rsidP="000565CD">
      <w:pPr>
        <w:spacing w:line="276" w:lineRule="auto"/>
        <w:rPr>
          <w:rFonts w:ascii="Arial" w:hAnsi="Arial" w:cs="Arial"/>
          <w:noProof/>
          <w:sz w:val="24"/>
          <w:szCs w:val="24"/>
        </w:rPr>
      </w:pPr>
    </w:p>
    <w:p w14:paraId="7DF9F492" w14:textId="77777777" w:rsidR="000565CD" w:rsidRPr="006A2CAA" w:rsidRDefault="000565CD" w:rsidP="000565CD">
      <w:pPr>
        <w:spacing w:line="276" w:lineRule="auto"/>
        <w:rPr>
          <w:rFonts w:ascii="Arial" w:hAnsi="Arial" w:cs="Arial"/>
          <w:noProof/>
          <w:sz w:val="24"/>
          <w:szCs w:val="24"/>
        </w:rPr>
      </w:pPr>
    </w:p>
    <w:p w14:paraId="792878F3" w14:textId="77777777" w:rsidR="000565CD" w:rsidRPr="006A2CAA" w:rsidRDefault="000565CD" w:rsidP="000565CD">
      <w:pPr>
        <w:jc w:val="center"/>
        <w:rPr>
          <w:rFonts w:ascii="Arial" w:hAnsi="Arial" w:cs="Arial"/>
          <w:b/>
          <w:bCs/>
          <w:sz w:val="24"/>
          <w:szCs w:val="24"/>
        </w:rPr>
      </w:pPr>
      <w:r w:rsidRPr="006A2CAA">
        <w:rPr>
          <w:rFonts w:ascii="Arial" w:hAnsi="Arial" w:cs="Arial"/>
          <w:b/>
          <w:bCs/>
          <w:sz w:val="24"/>
          <w:szCs w:val="24"/>
        </w:rPr>
        <w:t>EDINSON VLADIMIR OLAYA MANCIPE</w:t>
      </w:r>
    </w:p>
    <w:p w14:paraId="20B5027B" w14:textId="77777777" w:rsidR="000565CD" w:rsidRDefault="000565CD" w:rsidP="000565CD">
      <w:pPr>
        <w:jc w:val="center"/>
        <w:rPr>
          <w:rFonts w:ascii="Arial" w:hAnsi="Arial" w:cs="Arial"/>
          <w:sz w:val="24"/>
          <w:szCs w:val="24"/>
        </w:rPr>
      </w:pPr>
      <w:r w:rsidRPr="006A2CAA">
        <w:rPr>
          <w:rFonts w:ascii="Arial" w:hAnsi="Arial" w:cs="Arial"/>
          <w:sz w:val="24"/>
          <w:szCs w:val="24"/>
        </w:rPr>
        <w:t>Representante a la Cámara por el Casanare</w:t>
      </w:r>
    </w:p>
    <w:p w14:paraId="5B2CFA6E" w14:textId="77777777" w:rsidR="000565CD" w:rsidRPr="006A2CAA" w:rsidRDefault="000565CD" w:rsidP="000565CD">
      <w:pPr>
        <w:jc w:val="center"/>
        <w:rPr>
          <w:rFonts w:ascii="Arial" w:hAnsi="Arial" w:cs="Arial"/>
          <w:sz w:val="24"/>
          <w:szCs w:val="24"/>
        </w:rPr>
      </w:pPr>
      <w:r>
        <w:rPr>
          <w:rFonts w:ascii="Arial" w:hAnsi="Arial" w:cs="Arial"/>
          <w:sz w:val="24"/>
          <w:szCs w:val="24"/>
        </w:rPr>
        <w:t>Partido Centro Democrático</w:t>
      </w:r>
    </w:p>
    <w:p w14:paraId="67902E51" w14:textId="77777777" w:rsidR="000565CD" w:rsidRDefault="000565CD" w:rsidP="000565CD">
      <w:pPr>
        <w:spacing w:line="276" w:lineRule="auto"/>
        <w:rPr>
          <w:rFonts w:ascii="Arial" w:hAnsi="Arial" w:cs="Arial"/>
          <w:noProof/>
          <w:sz w:val="24"/>
          <w:szCs w:val="24"/>
        </w:rPr>
      </w:pPr>
    </w:p>
    <w:p w14:paraId="214DC9E5" w14:textId="77777777" w:rsidR="000565CD" w:rsidRPr="006A2CAA" w:rsidRDefault="000565CD" w:rsidP="000565CD">
      <w:pPr>
        <w:spacing w:line="276" w:lineRule="auto"/>
        <w:rPr>
          <w:rFonts w:ascii="Arial" w:hAnsi="Arial" w:cs="Arial"/>
          <w:noProof/>
          <w:sz w:val="24"/>
          <w:szCs w:val="24"/>
        </w:rPr>
      </w:pPr>
    </w:p>
    <w:p w14:paraId="40472252" w14:textId="77777777" w:rsidR="000565CD" w:rsidRPr="0073451D" w:rsidRDefault="000565CD" w:rsidP="000565CD">
      <w:pPr>
        <w:spacing w:line="276" w:lineRule="auto"/>
        <w:jc w:val="center"/>
        <w:rPr>
          <w:rFonts w:ascii="Arial" w:hAnsi="Arial" w:cs="Arial"/>
          <w:b/>
          <w:bCs/>
          <w:sz w:val="24"/>
          <w:szCs w:val="24"/>
        </w:rPr>
      </w:pPr>
      <w:r w:rsidRPr="0073451D">
        <w:rPr>
          <w:rFonts w:ascii="Arial" w:hAnsi="Arial" w:cs="Arial"/>
          <w:b/>
          <w:bCs/>
          <w:sz w:val="24"/>
          <w:szCs w:val="24"/>
        </w:rPr>
        <w:t>Proyecto de Ley No. ____ 2022 – Cámara</w:t>
      </w:r>
    </w:p>
    <w:p w14:paraId="03FC6C40" w14:textId="77777777" w:rsidR="000565CD" w:rsidRPr="00C849F5" w:rsidRDefault="000565CD" w:rsidP="000565CD">
      <w:pPr>
        <w:spacing w:line="276" w:lineRule="auto"/>
        <w:jc w:val="center"/>
        <w:rPr>
          <w:rFonts w:ascii="Arial" w:hAnsi="Arial" w:cs="Arial"/>
          <w:color w:val="333333"/>
          <w:sz w:val="24"/>
          <w:szCs w:val="24"/>
          <w:shd w:val="clear" w:color="auto" w:fill="FFFFFF"/>
        </w:rPr>
      </w:pPr>
      <w:r w:rsidRPr="0073451D">
        <w:rPr>
          <w:rFonts w:ascii="Arial" w:hAnsi="Arial" w:cs="Arial"/>
          <w:color w:val="333333"/>
          <w:sz w:val="24"/>
          <w:szCs w:val="24"/>
          <w:shd w:val="clear" w:color="auto" w:fill="FFFFFF"/>
        </w:rPr>
        <w:t xml:space="preserve">“Por medio de la cual se </w:t>
      </w:r>
      <w:r>
        <w:rPr>
          <w:rFonts w:ascii="Arial" w:hAnsi="Arial" w:cs="Arial"/>
          <w:color w:val="333333"/>
          <w:sz w:val="24"/>
          <w:szCs w:val="24"/>
          <w:shd w:val="clear" w:color="auto" w:fill="FFFFFF"/>
        </w:rPr>
        <w:t>r</w:t>
      </w:r>
      <w:r w:rsidRPr="0073451D">
        <w:rPr>
          <w:rFonts w:ascii="Arial" w:hAnsi="Arial" w:cs="Arial"/>
          <w:color w:val="333333"/>
          <w:sz w:val="24"/>
          <w:szCs w:val="24"/>
          <w:shd w:val="clear" w:color="auto" w:fill="FFFFFF"/>
        </w:rPr>
        <w:t>eforma</w:t>
      </w:r>
      <w:r>
        <w:rPr>
          <w:rFonts w:ascii="Arial" w:hAnsi="Arial" w:cs="Arial"/>
          <w:color w:val="333333"/>
          <w:sz w:val="24"/>
          <w:szCs w:val="24"/>
          <w:shd w:val="clear" w:color="auto" w:fill="FFFFFF"/>
        </w:rPr>
        <w:t xml:space="preserve"> el artículo 80 d</w:t>
      </w:r>
      <w:r w:rsidRPr="0073451D">
        <w:rPr>
          <w:rFonts w:ascii="Arial" w:hAnsi="Arial" w:cs="Arial"/>
          <w:color w:val="333333"/>
          <w:sz w:val="24"/>
          <w:szCs w:val="24"/>
          <w:shd w:val="clear" w:color="auto" w:fill="FFFFFF"/>
        </w:rPr>
        <w:t xml:space="preserve">el Código de Procedimiento Administrativo y de lo Contencioso Administrativo –Ley 1437 de 2011– y se dictan otras disposiciones”. </w:t>
      </w:r>
    </w:p>
    <w:p w14:paraId="05D1792B" w14:textId="77777777" w:rsidR="000565CD" w:rsidRDefault="000565CD" w:rsidP="000565CD">
      <w:pPr>
        <w:spacing w:line="276" w:lineRule="auto"/>
        <w:jc w:val="center"/>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“El Congreso de Colombia</w:t>
      </w:r>
    </w:p>
    <w:p w14:paraId="502216A6" w14:textId="77777777" w:rsidR="000565CD" w:rsidRPr="006A2CAA" w:rsidRDefault="000565CD" w:rsidP="000565CD">
      <w:pPr>
        <w:spacing w:line="276" w:lineRule="auto"/>
        <w:jc w:val="center"/>
        <w:rPr>
          <w:rFonts w:ascii="Arial" w:hAnsi="Arial" w:cs="Arial"/>
          <w:b/>
          <w:sz w:val="24"/>
          <w:szCs w:val="24"/>
        </w:rPr>
      </w:pPr>
      <w:r w:rsidRPr="006A2CAA">
        <w:rPr>
          <w:rFonts w:ascii="Arial" w:hAnsi="Arial" w:cs="Arial"/>
          <w:b/>
          <w:sz w:val="24"/>
          <w:szCs w:val="24"/>
        </w:rPr>
        <w:t>Decreta</w:t>
      </w:r>
    </w:p>
    <w:p w14:paraId="46CBC8B4" w14:textId="77777777" w:rsidR="000565CD" w:rsidRPr="006A2CAA" w:rsidRDefault="000565CD" w:rsidP="000565CD">
      <w:pPr>
        <w:spacing w:line="276" w:lineRule="auto"/>
        <w:jc w:val="both"/>
        <w:rPr>
          <w:rFonts w:ascii="Arial" w:hAnsi="Arial" w:cs="Arial"/>
          <w:sz w:val="24"/>
          <w:szCs w:val="24"/>
        </w:rPr>
      </w:pPr>
      <w:r w:rsidRPr="006A2CAA">
        <w:rPr>
          <w:rFonts w:ascii="Arial" w:hAnsi="Arial" w:cs="Arial"/>
          <w:b/>
          <w:bCs/>
          <w:sz w:val="24"/>
          <w:szCs w:val="24"/>
        </w:rPr>
        <w:t>Artículo 1°. Objeto.</w:t>
      </w:r>
      <w:r w:rsidRPr="006A2CAA">
        <w:rPr>
          <w:rFonts w:ascii="Arial" w:hAnsi="Arial" w:cs="Arial"/>
          <w:sz w:val="24"/>
          <w:szCs w:val="24"/>
        </w:rPr>
        <w:t xml:space="preserve"> </w:t>
      </w:r>
      <w:r w:rsidRPr="00363BCB">
        <w:rPr>
          <w:rFonts w:ascii="Arial" w:hAnsi="Arial" w:cs="Arial"/>
          <w:sz w:val="24"/>
          <w:szCs w:val="24"/>
        </w:rPr>
        <w:t xml:space="preserve">La presente </w:t>
      </w:r>
      <w:r>
        <w:rPr>
          <w:rFonts w:ascii="Arial" w:hAnsi="Arial" w:cs="Arial"/>
          <w:sz w:val="24"/>
          <w:szCs w:val="24"/>
        </w:rPr>
        <w:t>l</w:t>
      </w:r>
      <w:r w:rsidRPr="00363BCB">
        <w:rPr>
          <w:rFonts w:ascii="Arial" w:hAnsi="Arial" w:cs="Arial"/>
          <w:sz w:val="24"/>
          <w:szCs w:val="24"/>
        </w:rPr>
        <w:t xml:space="preserve">ey tiene por </w:t>
      </w:r>
      <w:r>
        <w:rPr>
          <w:rFonts w:ascii="Arial" w:hAnsi="Arial" w:cs="Arial"/>
          <w:sz w:val="24"/>
          <w:szCs w:val="24"/>
        </w:rPr>
        <w:t>o</w:t>
      </w:r>
      <w:r w:rsidRPr="00363BCB">
        <w:rPr>
          <w:rFonts w:ascii="Arial" w:hAnsi="Arial" w:cs="Arial"/>
          <w:sz w:val="24"/>
          <w:szCs w:val="24"/>
        </w:rPr>
        <w:t xml:space="preserve">bjeto adoptar disposiciones tendientes a </w:t>
      </w:r>
      <w:r>
        <w:rPr>
          <w:rFonts w:ascii="Arial" w:hAnsi="Arial" w:cs="Arial"/>
          <w:sz w:val="24"/>
          <w:szCs w:val="24"/>
        </w:rPr>
        <w:t>establecer el término para la resolución de los recursos en sede administrativa, fomentar la eficiencia y eficacia de la administración, y evitar cualquier duda en la interpretación de las normas que regulan la materia.</w:t>
      </w:r>
    </w:p>
    <w:p w14:paraId="12DF7889" w14:textId="77777777" w:rsidR="000565CD" w:rsidRDefault="000565CD" w:rsidP="000565CD">
      <w:pPr>
        <w:spacing w:line="276" w:lineRule="auto"/>
        <w:jc w:val="both"/>
        <w:rPr>
          <w:rFonts w:ascii="Arial" w:hAnsi="Arial" w:cs="Arial"/>
          <w:b/>
          <w:bCs/>
          <w:sz w:val="24"/>
          <w:szCs w:val="24"/>
        </w:rPr>
      </w:pPr>
      <w:r w:rsidRPr="006A2CAA">
        <w:rPr>
          <w:rFonts w:ascii="Arial" w:hAnsi="Arial" w:cs="Arial"/>
          <w:b/>
          <w:bCs/>
          <w:sz w:val="24"/>
          <w:szCs w:val="24"/>
        </w:rPr>
        <w:t>Artículo 2°.</w:t>
      </w:r>
      <w:r w:rsidRPr="006A2CAA">
        <w:rPr>
          <w:rFonts w:ascii="Arial" w:hAnsi="Arial" w:cs="Arial"/>
          <w:sz w:val="24"/>
          <w:szCs w:val="24"/>
        </w:rPr>
        <w:t xml:space="preserve"> </w:t>
      </w:r>
      <w:r w:rsidRPr="00072E25">
        <w:rPr>
          <w:rFonts w:ascii="Arial" w:hAnsi="Arial" w:cs="Arial"/>
          <w:sz w:val="24"/>
          <w:szCs w:val="24"/>
        </w:rPr>
        <w:t>Adiciónese el artículo 80 de la Ley 1437 de 2011</w:t>
      </w:r>
      <w:r>
        <w:rPr>
          <w:rFonts w:ascii="Arial" w:hAnsi="Arial" w:cs="Arial"/>
          <w:sz w:val="24"/>
          <w:szCs w:val="24"/>
        </w:rPr>
        <w:t>,</w:t>
      </w:r>
      <w:r w:rsidRPr="00072E25">
        <w:rPr>
          <w:rFonts w:ascii="Arial" w:hAnsi="Arial" w:cs="Arial"/>
          <w:sz w:val="24"/>
          <w:szCs w:val="24"/>
        </w:rPr>
        <w:t xml:space="preserve"> el cual quedará así:</w:t>
      </w:r>
    </w:p>
    <w:p w14:paraId="221FDCC3" w14:textId="77777777" w:rsidR="000565CD" w:rsidRPr="001A62FA" w:rsidRDefault="000565CD" w:rsidP="000565CD">
      <w:pPr>
        <w:spacing w:line="276" w:lineRule="auto"/>
        <w:ind w:left="708"/>
        <w:jc w:val="both"/>
        <w:rPr>
          <w:rFonts w:ascii="Arial" w:hAnsi="Arial" w:cs="Arial"/>
        </w:rPr>
      </w:pPr>
      <w:r w:rsidRPr="001A62FA">
        <w:rPr>
          <w:rFonts w:ascii="Arial" w:hAnsi="Arial" w:cs="Arial"/>
          <w:b/>
          <w:bCs/>
        </w:rPr>
        <w:t>Artículo 80. Decisión de los Recursos.</w:t>
      </w:r>
      <w:r w:rsidRPr="001A62FA">
        <w:rPr>
          <w:rFonts w:ascii="Arial" w:hAnsi="Arial" w:cs="Arial"/>
        </w:rPr>
        <w:t xml:space="preserve"> Vencido el período probatorio, si a ello hubiere lugar, y sin necesidad de acto que así lo declare, deberá proferirse la decisión motivada que resuelva el recurso.</w:t>
      </w:r>
    </w:p>
    <w:p w14:paraId="3B64F923" w14:textId="77777777" w:rsidR="000565CD" w:rsidRPr="001A62FA" w:rsidRDefault="000565CD" w:rsidP="000565CD">
      <w:pPr>
        <w:spacing w:line="276" w:lineRule="auto"/>
        <w:ind w:left="708"/>
        <w:jc w:val="both"/>
        <w:rPr>
          <w:rFonts w:ascii="Arial" w:hAnsi="Arial" w:cs="Arial"/>
        </w:rPr>
      </w:pPr>
      <w:r w:rsidRPr="001A62FA">
        <w:rPr>
          <w:rFonts w:ascii="Arial" w:hAnsi="Arial" w:cs="Arial"/>
        </w:rPr>
        <w:t>La decisión resolverá todas las peticiones que hayan sido oportunamente planteadas y las que surjan con motivo del recurso.</w:t>
      </w:r>
    </w:p>
    <w:p w14:paraId="2BB67474" w14:textId="77777777" w:rsidR="000565CD" w:rsidRPr="001A62FA" w:rsidRDefault="000565CD" w:rsidP="000565CD">
      <w:pPr>
        <w:spacing w:line="276" w:lineRule="auto"/>
        <w:ind w:left="708"/>
        <w:jc w:val="both"/>
        <w:rPr>
          <w:rFonts w:ascii="Arial" w:hAnsi="Arial" w:cs="Arial"/>
          <w:u w:val="single"/>
        </w:rPr>
      </w:pPr>
      <w:r w:rsidRPr="001A62FA">
        <w:rPr>
          <w:rFonts w:ascii="Arial" w:hAnsi="Arial" w:cs="Arial"/>
          <w:u w:val="single"/>
        </w:rPr>
        <w:t>Salvo norma especial en contrario, el término para resolver los recursos en sede administrativa es de máximo quince (15) días hábiles</w:t>
      </w:r>
      <w:r>
        <w:rPr>
          <w:rFonts w:ascii="Arial" w:hAnsi="Arial" w:cs="Arial"/>
          <w:u w:val="single"/>
        </w:rPr>
        <w:t>, para cada uno de ellos,</w:t>
      </w:r>
      <w:r w:rsidRPr="001A62FA">
        <w:rPr>
          <w:rFonts w:ascii="Arial" w:hAnsi="Arial" w:cs="Arial"/>
          <w:u w:val="single"/>
        </w:rPr>
        <w:t xml:space="preserve"> contados a partir del día siguiente a su presentación. El plazo antes mencionado no podrá ser ampliado ni prorrogado, esto, sin perjuicio del trámite </w:t>
      </w:r>
      <w:r>
        <w:rPr>
          <w:rFonts w:ascii="Arial" w:hAnsi="Arial" w:cs="Arial"/>
          <w:u w:val="single"/>
        </w:rPr>
        <w:t>estatuido</w:t>
      </w:r>
      <w:r w:rsidRPr="001A62FA">
        <w:rPr>
          <w:rFonts w:ascii="Arial" w:hAnsi="Arial" w:cs="Arial"/>
          <w:u w:val="single"/>
        </w:rPr>
        <w:t xml:space="preserve"> en el artículo 79 de la presente ley.</w:t>
      </w:r>
    </w:p>
    <w:p w14:paraId="6C03BBCE" w14:textId="72BB01D2" w:rsidR="000565CD" w:rsidRDefault="000565CD" w:rsidP="000565CD">
      <w:pPr>
        <w:jc w:val="both"/>
        <w:rPr>
          <w:rFonts w:ascii="Arial" w:hAnsi="Arial" w:cs="Arial"/>
          <w:bCs/>
          <w:sz w:val="24"/>
          <w:szCs w:val="24"/>
          <w:lang w:val="es-MX"/>
        </w:rPr>
      </w:pPr>
      <w:r w:rsidRPr="007D598E">
        <w:rPr>
          <w:rFonts w:ascii="Arial" w:hAnsi="Arial" w:cs="Arial"/>
          <w:b/>
          <w:sz w:val="24"/>
          <w:szCs w:val="24"/>
        </w:rPr>
        <w:t>Artículo 3</w:t>
      </w:r>
      <w:r w:rsidRPr="00C849F5">
        <w:rPr>
          <w:rFonts w:ascii="Arial" w:hAnsi="Arial" w:cs="Arial"/>
          <w:b/>
          <w:sz w:val="24"/>
          <w:szCs w:val="24"/>
        </w:rPr>
        <w:t>°. Vigencia.</w:t>
      </w:r>
      <w:r>
        <w:rPr>
          <w:rFonts w:ascii="Arial" w:hAnsi="Arial" w:cs="Arial"/>
          <w:bCs/>
          <w:sz w:val="24"/>
          <w:szCs w:val="24"/>
        </w:rPr>
        <w:t xml:space="preserve"> </w:t>
      </w:r>
      <w:r w:rsidRPr="006A2CAA">
        <w:rPr>
          <w:rFonts w:ascii="Arial" w:hAnsi="Arial" w:cs="Arial"/>
          <w:sz w:val="24"/>
          <w:szCs w:val="24"/>
        </w:rPr>
        <w:t>La presente ley</w:t>
      </w:r>
      <w:r>
        <w:rPr>
          <w:rFonts w:ascii="Arial" w:hAnsi="Arial" w:cs="Arial"/>
          <w:sz w:val="24"/>
          <w:szCs w:val="24"/>
        </w:rPr>
        <w:t xml:space="preserve"> regirá a partir de su promulgación y</w:t>
      </w:r>
      <w:r w:rsidRPr="006A2CAA">
        <w:rPr>
          <w:rFonts w:ascii="Arial" w:hAnsi="Arial" w:cs="Arial"/>
          <w:sz w:val="24"/>
          <w:szCs w:val="24"/>
        </w:rPr>
        <w:t xml:space="preserve"> </w:t>
      </w:r>
      <w:r w:rsidRPr="0087069A">
        <w:rPr>
          <w:rFonts w:ascii="Arial" w:hAnsi="Arial" w:cs="Arial"/>
          <w:sz w:val="24"/>
          <w:szCs w:val="24"/>
        </w:rPr>
        <w:t xml:space="preserve">sólo se aplicará a los procedimientos y las actuaciones administrativas que se inicien con posterioridad a </w:t>
      </w:r>
      <w:r>
        <w:rPr>
          <w:rFonts w:ascii="Arial" w:hAnsi="Arial" w:cs="Arial"/>
          <w:sz w:val="24"/>
          <w:szCs w:val="24"/>
        </w:rPr>
        <w:t>su</w:t>
      </w:r>
      <w:r w:rsidRPr="0087069A">
        <w:rPr>
          <w:rFonts w:ascii="Arial" w:hAnsi="Arial" w:cs="Arial"/>
          <w:sz w:val="24"/>
          <w:szCs w:val="24"/>
        </w:rPr>
        <w:t xml:space="preserve"> entrada en vigencia.</w:t>
      </w:r>
      <w:r>
        <w:rPr>
          <w:rFonts w:ascii="Arial" w:hAnsi="Arial" w:cs="Arial"/>
          <w:sz w:val="24"/>
          <w:szCs w:val="24"/>
        </w:rPr>
        <w:t>”</w:t>
      </w:r>
    </w:p>
    <w:p w14:paraId="0B41BD11" w14:textId="77777777" w:rsidR="000565CD" w:rsidRPr="000565CD" w:rsidRDefault="000565CD" w:rsidP="000565CD">
      <w:pPr>
        <w:jc w:val="both"/>
        <w:rPr>
          <w:rFonts w:ascii="Arial" w:hAnsi="Arial" w:cs="Arial"/>
          <w:bCs/>
          <w:sz w:val="24"/>
          <w:szCs w:val="24"/>
          <w:lang w:val="es-MX"/>
        </w:rPr>
      </w:pPr>
    </w:p>
    <w:p w14:paraId="6648C75E" w14:textId="77777777" w:rsidR="000565CD" w:rsidRPr="006A2CAA" w:rsidRDefault="000565CD" w:rsidP="000565CD">
      <w:pPr>
        <w:jc w:val="both"/>
        <w:rPr>
          <w:rFonts w:ascii="Arial" w:hAnsi="Arial" w:cs="Arial"/>
          <w:sz w:val="24"/>
          <w:szCs w:val="24"/>
        </w:rPr>
      </w:pPr>
    </w:p>
    <w:p w14:paraId="111552F8" w14:textId="77777777" w:rsidR="000565CD" w:rsidRPr="006A2CAA" w:rsidRDefault="000565CD" w:rsidP="000565CD">
      <w:pPr>
        <w:jc w:val="center"/>
        <w:rPr>
          <w:rFonts w:ascii="Arial" w:hAnsi="Arial" w:cs="Arial"/>
          <w:b/>
          <w:bCs/>
          <w:sz w:val="24"/>
          <w:szCs w:val="24"/>
        </w:rPr>
      </w:pPr>
      <w:r w:rsidRPr="006A2CAA">
        <w:rPr>
          <w:rFonts w:ascii="Arial" w:hAnsi="Arial" w:cs="Arial"/>
          <w:b/>
          <w:bCs/>
          <w:sz w:val="24"/>
          <w:szCs w:val="24"/>
        </w:rPr>
        <w:t>EDINSON VLADIMIR OLAYA MANCIPE</w:t>
      </w:r>
    </w:p>
    <w:p w14:paraId="7A1CA432" w14:textId="77777777" w:rsidR="000565CD" w:rsidRPr="006A2CAA" w:rsidRDefault="000565CD" w:rsidP="000565CD">
      <w:pPr>
        <w:jc w:val="center"/>
        <w:rPr>
          <w:rFonts w:ascii="Arial" w:hAnsi="Arial" w:cs="Arial"/>
          <w:sz w:val="24"/>
          <w:szCs w:val="24"/>
        </w:rPr>
      </w:pPr>
      <w:r w:rsidRPr="006A2CAA">
        <w:rPr>
          <w:rFonts w:ascii="Arial" w:hAnsi="Arial" w:cs="Arial"/>
          <w:sz w:val="24"/>
          <w:szCs w:val="24"/>
        </w:rPr>
        <w:t>Representante a la Cámara por el Casanare</w:t>
      </w:r>
    </w:p>
    <w:p w14:paraId="37D40388" w14:textId="7A3DD6A0" w:rsidR="000565CD" w:rsidRPr="006A2CAA" w:rsidRDefault="000565CD" w:rsidP="000565CD">
      <w:pPr>
        <w:jc w:val="center"/>
        <w:rPr>
          <w:rFonts w:ascii="Arial" w:hAnsi="Arial" w:cs="Arial"/>
          <w:sz w:val="24"/>
          <w:szCs w:val="24"/>
        </w:rPr>
      </w:pPr>
      <w:r>
        <w:rPr>
          <w:rFonts w:ascii="Arial" w:hAnsi="Arial" w:cs="Arial"/>
          <w:sz w:val="24"/>
          <w:szCs w:val="24"/>
        </w:rPr>
        <w:t>Partido Centro Democrático</w:t>
      </w:r>
    </w:p>
    <w:p w14:paraId="5B984B80" w14:textId="77777777" w:rsidR="000565CD" w:rsidRDefault="000565CD" w:rsidP="000565CD"/>
    <w:p w14:paraId="7C955832" w14:textId="77777777" w:rsidR="000565CD" w:rsidRPr="0073451D" w:rsidRDefault="000565CD" w:rsidP="000565CD">
      <w:pPr>
        <w:spacing w:line="276" w:lineRule="auto"/>
        <w:jc w:val="center"/>
        <w:rPr>
          <w:rFonts w:ascii="Arial" w:hAnsi="Arial" w:cs="Arial"/>
          <w:b/>
          <w:bCs/>
          <w:sz w:val="24"/>
          <w:szCs w:val="24"/>
        </w:rPr>
      </w:pPr>
      <w:r w:rsidRPr="0073451D">
        <w:rPr>
          <w:rFonts w:ascii="Arial" w:hAnsi="Arial" w:cs="Arial"/>
          <w:b/>
          <w:bCs/>
          <w:sz w:val="24"/>
          <w:szCs w:val="24"/>
        </w:rPr>
        <w:lastRenderedPageBreak/>
        <w:t>Proyecto de Ley No. ____ 2022 – Cámara</w:t>
      </w:r>
    </w:p>
    <w:p w14:paraId="0865692F" w14:textId="77777777" w:rsidR="000565CD" w:rsidRDefault="000565CD" w:rsidP="000565CD">
      <w:pPr>
        <w:spacing w:line="276" w:lineRule="auto"/>
        <w:jc w:val="center"/>
        <w:rPr>
          <w:rFonts w:ascii="Arial" w:hAnsi="Arial" w:cs="Arial"/>
          <w:color w:val="333333"/>
          <w:sz w:val="24"/>
          <w:szCs w:val="24"/>
          <w:shd w:val="clear" w:color="auto" w:fill="FFFFFF"/>
        </w:rPr>
      </w:pPr>
      <w:r w:rsidRPr="002168D1">
        <w:rPr>
          <w:rFonts w:ascii="Arial" w:hAnsi="Arial" w:cs="Arial"/>
          <w:color w:val="333333"/>
          <w:sz w:val="24"/>
          <w:szCs w:val="24"/>
          <w:shd w:val="clear" w:color="auto" w:fill="FFFFFF"/>
        </w:rPr>
        <w:t xml:space="preserve">“Por medio de la cual se </w:t>
      </w:r>
      <w:r>
        <w:rPr>
          <w:rFonts w:ascii="Arial" w:hAnsi="Arial" w:cs="Arial"/>
          <w:color w:val="333333"/>
          <w:sz w:val="24"/>
          <w:szCs w:val="24"/>
          <w:shd w:val="clear" w:color="auto" w:fill="FFFFFF"/>
        </w:rPr>
        <w:t>r</w:t>
      </w:r>
      <w:r w:rsidRPr="002168D1">
        <w:rPr>
          <w:rFonts w:ascii="Arial" w:hAnsi="Arial" w:cs="Arial"/>
          <w:color w:val="333333"/>
          <w:sz w:val="24"/>
          <w:szCs w:val="24"/>
          <w:shd w:val="clear" w:color="auto" w:fill="FFFFFF"/>
        </w:rPr>
        <w:t xml:space="preserve">eforma </w:t>
      </w:r>
      <w:r>
        <w:rPr>
          <w:rFonts w:ascii="Arial" w:hAnsi="Arial" w:cs="Arial"/>
          <w:color w:val="333333"/>
          <w:sz w:val="24"/>
          <w:szCs w:val="24"/>
          <w:shd w:val="clear" w:color="auto" w:fill="FFFFFF"/>
        </w:rPr>
        <w:t xml:space="preserve">el artículo 80 del </w:t>
      </w:r>
      <w:r w:rsidRPr="002168D1">
        <w:rPr>
          <w:rFonts w:ascii="Arial" w:hAnsi="Arial" w:cs="Arial"/>
          <w:color w:val="333333"/>
          <w:sz w:val="24"/>
          <w:szCs w:val="24"/>
          <w:shd w:val="clear" w:color="auto" w:fill="FFFFFF"/>
        </w:rPr>
        <w:t xml:space="preserve">Código de Procedimiento Administrativo y de lo Contencioso Administrativo –Ley 1437 de 2011– y se dictan otras disposiciones”. </w:t>
      </w:r>
    </w:p>
    <w:p w14:paraId="3580DCA8" w14:textId="77777777" w:rsidR="000565CD" w:rsidRPr="00E168D1" w:rsidRDefault="000565CD" w:rsidP="000565CD">
      <w:pPr>
        <w:spacing w:line="276" w:lineRule="auto"/>
        <w:jc w:val="center"/>
        <w:rPr>
          <w:rFonts w:ascii="Arial" w:hAnsi="Arial" w:cs="Arial"/>
          <w:color w:val="333333"/>
          <w:sz w:val="24"/>
          <w:szCs w:val="24"/>
          <w:shd w:val="clear" w:color="auto" w:fill="FFFFFF"/>
        </w:rPr>
      </w:pPr>
    </w:p>
    <w:p w14:paraId="2B9DF5CB" w14:textId="77777777" w:rsidR="000565CD" w:rsidRDefault="000565CD" w:rsidP="000565CD">
      <w:pPr>
        <w:jc w:val="center"/>
        <w:rPr>
          <w:rFonts w:ascii="Arial" w:hAnsi="Arial" w:cs="Arial"/>
          <w:b/>
          <w:bCs/>
          <w:sz w:val="24"/>
          <w:szCs w:val="24"/>
        </w:rPr>
      </w:pPr>
      <w:r w:rsidRPr="002168D1">
        <w:rPr>
          <w:rFonts w:ascii="Arial" w:hAnsi="Arial" w:cs="Arial"/>
          <w:b/>
          <w:bCs/>
          <w:sz w:val="24"/>
          <w:szCs w:val="24"/>
        </w:rPr>
        <w:t>EXPOSICIÓN DE MOTIVOS</w:t>
      </w:r>
    </w:p>
    <w:p w14:paraId="65EB41A3" w14:textId="77777777" w:rsidR="000565CD" w:rsidRPr="00E168D1" w:rsidRDefault="000565CD" w:rsidP="000565CD">
      <w:pPr>
        <w:jc w:val="center"/>
        <w:rPr>
          <w:rFonts w:ascii="Arial" w:hAnsi="Arial" w:cs="Arial"/>
          <w:b/>
          <w:bCs/>
          <w:sz w:val="24"/>
          <w:szCs w:val="24"/>
        </w:rPr>
      </w:pPr>
    </w:p>
    <w:p w14:paraId="0D4202B4" w14:textId="77777777" w:rsidR="000565CD" w:rsidRPr="009136F6" w:rsidRDefault="000565CD" w:rsidP="000565CD">
      <w:pPr>
        <w:pStyle w:val="Prrafodelista"/>
        <w:numPr>
          <w:ilvl w:val="0"/>
          <w:numId w:val="1"/>
        </w:numPr>
        <w:rPr>
          <w:rFonts w:ascii="Arial" w:hAnsi="Arial" w:cs="Arial"/>
          <w:b/>
          <w:bCs/>
          <w:sz w:val="24"/>
          <w:szCs w:val="24"/>
        </w:rPr>
      </w:pPr>
      <w:r w:rsidRPr="009136F6">
        <w:rPr>
          <w:rFonts w:ascii="Arial" w:hAnsi="Arial" w:cs="Arial"/>
          <w:b/>
          <w:bCs/>
          <w:sz w:val="24"/>
          <w:szCs w:val="24"/>
        </w:rPr>
        <w:t>Naturaleza jurídica de los recursos en el procedimiento administrativo</w:t>
      </w:r>
    </w:p>
    <w:p w14:paraId="386E69DD" w14:textId="77777777" w:rsidR="000565CD" w:rsidRDefault="000565CD" w:rsidP="000565CD">
      <w:pPr>
        <w:spacing w:line="276" w:lineRule="auto"/>
        <w:jc w:val="both"/>
        <w:rPr>
          <w:rFonts w:ascii="Arial" w:hAnsi="Arial" w:cs="Arial"/>
          <w:sz w:val="24"/>
          <w:szCs w:val="24"/>
        </w:rPr>
      </w:pPr>
      <w:r w:rsidRPr="009136F6">
        <w:rPr>
          <w:rFonts w:ascii="Arial" w:hAnsi="Arial" w:cs="Arial"/>
          <w:sz w:val="24"/>
          <w:szCs w:val="24"/>
        </w:rPr>
        <w:t xml:space="preserve">Los recursos </w:t>
      </w:r>
      <w:r>
        <w:rPr>
          <w:rFonts w:ascii="Arial" w:hAnsi="Arial" w:cs="Arial"/>
          <w:sz w:val="24"/>
          <w:szCs w:val="24"/>
        </w:rPr>
        <w:t>en sede administrativa o en el procedimiento administrativo han sido entendidos por la jurisprudencia constitucional como una “forma” o una “expresión del derecho de petición. No obstante, ha aclarado la Corte Constitucional que los recursos “</w:t>
      </w:r>
      <w:r w:rsidRPr="009136F6">
        <w:rPr>
          <w:rFonts w:ascii="Arial" w:hAnsi="Arial" w:cs="Arial"/>
          <w:sz w:val="24"/>
          <w:szCs w:val="24"/>
        </w:rPr>
        <w:t>no buscan definir en general la esencia del derecho de petición o fijar sus alcances y limitaciones por fuera de este ámbito.</w:t>
      </w:r>
      <w:r>
        <w:rPr>
          <w:rFonts w:ascii="Arial" w:hAnsi="Arial" w:cs="Arial"/>
          <w:sz w:val="24"/>
          <w:szCs w:val="24"/>
        </w:rPr>
        <w:t>”</w:t>
      </w:r>
      <w:r>
        <w:rPr>
          <w:rStyle w:val="Refdenotaalpie"/>
          <w:rFonts w:ascii="Arial" w:hAnsi="Arial" w:cs="Arial"/>
          <w:sz w:val="24"/>
          <w:szCs w:val="24"/>
        </w:rPr>
        <w:footnoteReference w:id="1"/>
      </w:r>
    </w:p>
    <w:p w14:paraId="7EE01F25" w14:textId="77777777" w:rsidR="000565CD" w:rsidRPr="00B82727" w:rsidRDefault="000565CD" w:rsidP="000565CD">
      <w:pPr>
        <w:pStyle w:val="Prrafodelista"/>
        <w:numPr>
          <w:ilvl w:val="0"/>
          <w:numId w:val="1"/>
        </w:numPr>
        <w:spacing w:line="276" w:lineRule="auto"/>
        <w:jc w:val="both"/>
        <w:rPr>
          <w:rFonts w:ascii="Arial" w:hAnsi="Arial" w:cs="Arial"/>
          <w:b/>
          <w:bCs/>
          <w:sz w:val="24"/>
          <w:szCs w:val="24"/>
        </w:rPr>
      </w:pPr>
      <w:r w:rsidRPr="00B82727">
        <w:rPr>
          <w:rFonts w:ascii="Arial" w:hAnsi="Arial" w:cs="Arial"/>
          <w:b/>
          <w:bCs/>
          <w:sz w:val="24"/>
          <w:szCs w:val="24"/>
        </w:rPr>
        <w:t>Del tipo de Ley y su constitucionalidad</w:t>
      </w:r>
    </w:p>
    <w:p w14:paraId="7717C2CD" w14:textId="0567A60C" w:rsidR="000565CD" w:rsidRDefault="000565CD" w:rsidP="000565CD">
      <w:pPr>
        <w:jc w:val="both"/>
        <w:rPr>
          <w:rFonts w:ascii="Arial" w:hAnsi="Arial" w:cs="Arial"/>
          <w:sz w:val="24"/>
          <w:szCs w:val="24"/>
        </w:rPr>
      </w:pPr>
      <w:r>
        <w:rPr>
          <w:rFonts w:ascii="Arial" w:hAnsi="Arial" w:cs="Arial"/>
          <w:sz w:val="24"/>
          <w:szCs w:val="24"/>
        </w:rPr>
        <w:t>El tipo de ley a expedir es una ley ordinaria, dado que es competencia general del legislador ordinario expedir los códigos, estos son, las leyes procedimentales y procesales. Esto, de conformidad con el artículo 152, numeral 2º, de la Constitución Política de 1991, el cual a la letra reza:</w:t>
      </w:r>
    </w:p>
    <w:p w14:paraId="6599361F" w14:textId="77777777" w:rsidR="000565CD" w:rsidRPr="00D040E3" w:rsidRDefault="000565CD" w:rsidP="000565CD">
      <w:pPr>
        <w:ind w:left="708"/>
        <w:jc w:val="both"/>
        <w:rPr>
          <w:rFonts w:ascii="Arial" w:hAnsi="Arial" w:cs="Arial"/>
        </w:rPr>
      </w:pPr>
      <w:r w:rsidRPr="00D040E3">
        <w:rPr>
          <w:rFonts w:ascii="Arial" w:hAnsi="Arial" w:cs="Arial"/>
        </w:rPr>
        <w:t>“ARTICULO 150. Corresponde al Congreso hacer las leyes. Por medio de ellas ejerce las siguientes funciones: (...)</w:t>
      </w:r>
    </w:p>
    <w:p w14:paraId="41BE22A5" w14:textId="77777777" w:rsidR="000565CD" w:rsidRPr="00D040E3" w:rsidRDefault="000565CD" w:rsidP="000565CD">
      <w:pPr>
        <w:ind w:left="708"/>
        <w:jc w:val="both"/>
        <w:rPr>
          <w:rFonts w:ascii="Arial" w:hAnsi="Arial" w:cs="Arial"/>
        </w:rPr>
      </w:pPr>
      <w:r w:rsidRPr="00D040E3">
        <w:rPr>
          <w:rFonts w:ascii="Arial" w:hAnsi="Arial" w:cs="Arial"/>
        </w:rPr>
        <w:t>2. Expedir códigos en todos los ramos de la legislación y reformar sus disposiciones. (...)”</w:t>
      </w:r>
    </w:p>
    <w:p w14:paraId="3643F68C" w14:textId="77777777" w:rsidR="000565CD" w:rsidRPr="001D3744" w:rsidRDefault="000565CD" w:rsidP="000565CD">
      <w:pPr>
        <w:jc w:val="both"/>
        <w:rPr>
          <w:rFonts w:ascii="Arial" w:hAnsi="Arial" w:cs="Arial"/>
          <w:sz w:val="24"/>
          <w:szCs w:val="24"/>
        </w:rPr>
      </w:pPr>
      <w:r>
        <w:rPr>
          <w:rFonts w:ascii="Arial" w:hAnsi="Arial" w:cs="Arial"/>
          <w:sz w:val="24"/>
          <w:szCs w:val="24"/>
        </w:rPr>
        <w:t>Esto es así y no a través de ley estatutaria (artículo 152, literal a de la norma superior), debido a que e</w:t>
      </w:r>
      <w:r w:rsidRPr="001D3744">
        <w:rPr>
          <w:rFonts w:ascii="Arial" w:hAnsi="Arial" w:cs="Arial"/>
          <w:sz w:val="24"/>
          <w:szCs w:val="24"/>
        </w:rPr>
        <w:t>n el año 2007,</w:t>
      </w:r>
      <w:r>
        <w:rPr>
          <w:rFonts w:ascii="Arial" w:hAnsi="Arial" w:cs="Arial"/>
          <w:sz w:val="24"/>
          <w:szCs w:val="24"/>
        </w:rPr>
        <w:t xml:space="preserve"> la Corte Constitucional tuvo la oportunidad de estudiar una demanda de inconstitucionalidad contra </w:t>
      </w:r>
      <w:r w:rsidRPr="001D3744">
        <w:rPr>
          <w:rFonts w:ascii="Arial" w:hAnsi="Arial" w:cs="Arial"/>
          <w:sz w:val="24"/>
          <w:szCs w:val="24"/>
        </w:rPr>
        <w:t xml:space="preserve">los artículos 74 a 82 y </w:t>
      </w:r>
      <w:r>
        <w:rPr>
          <w:rFonts w:ascii="Arial" w:hAnsi="Arial" w:cs="Arial"/>
          <w:sz w:val="24"/>
          <w:szCs w:val="24"/>
        </w:rPr>
        <w:t xml:space="preserve"> los numerales 2 y 6 </w:t>
      </w:r>
      <w:r w:rsidRPr="001D3744">
        <w:rPr>
          <w:rFonts w:ascii="Arial" w:hAnsi="Arial" w:cs="Arial"/>
          <w:sz w:val="24"/>
          <w:szCs w:val="24"/>
        </w:rPr>
        <w:t>del artículo 161 del Código de Procedimiento Administrativo y de lo Contencioso Administrativo – CPACA (Ley 1437 del 2011), que establecen los presupuestos generales y específicos que se tienen que seguir para interponer recursos contra los actos de la administración</w:t>
      </w:r>
      <w:r>
        <w:rPr>
          <w:rFonts w:ascii="Arial" w:hAnsi="Arial" w:cs="Arial"/>
          <w:sz w:val="24"/>
          <w:szCs w:val="24"/>
        </w:rPr>
        <w:t>, al considerar que transgredían la reserva de ley estatutaria establecida en los artículo 152 y 153 de la Constitución.</w:t>
      </w:r>
    </w:p>
    <w:p w14:paraId="68563432" w14:textId="77777777" w:rsidR="000565CD" w:rsidRPr="00A45CF7" w:rsidRDefault="000565CD" w:rsidP="000565CD">
      <w:pPr>
        <w:pStyle w:val="NormalWeb"/>
        <w:jc w:val="both"/>
        <w:rPr>
          <w:rFonts w:ascii="Arial" w:eastAsiaTheme="minorHAnsi" w:hAnsi="Arial" w:cs="Arial"/>
          <w:lang w:eastAsia="en-US"/>
        </w:rPr>
      </w:pPr>
      <w:r w:rsidRPr="001D3744">
        <w:rPr>
          <w:rFonts w:ascii="Arial" w:eastAsiaTheme="minorHAnsi" w:hAnsi="Arial" w:cs="Arial"/>
          <w:lang w:eastAsia="en-US"/>
        </w:rPr>
        <w:lastRenderedPageBreak/>
        <w:t xml:space="preserve">Según el </w:t>
      </w:r>
      <w:r>
        <w:rPr>
          <w:rFonts w:ascii="Arial" w:eastAsiaTheme="minorHAnsi" w:hAnsi="Arial" w:cs="Arial"/>
          <w:lang w:eastAsia="en-US"/>
        </w:rPr>
        <w:t>actor</w:t>
      </w:r>
      <w:r w:rsidRPr="001D3744">
        <w:rPr>
          <w:rFonts w:ascii="Arial" w:eastAsiaTheme="minorHAnsi" w:hAnsi="Arial" w:cs="Arial"/>
          <w:lang w:eastAsia="en-US"/>
        </w:rPr>
        <w:t xml:space="preserve">, </w:t>
      </w:r>
      <w:r>
        <w:rPr>
          <w:rFonts w:ascii="Arial" w:eastAsiaTheme="minorHAnsi" w:hAnsi="Arial" w:cs="Arial"/>
          <w:lang w:eastAsia="en-US"/>
        </w:rPr>
        <w:t xml:space="preserve">las normas ordinarias demandadas regulaban </w:t>
      </w:r>
      <w:r w:rsidRPr="001D3744">
        <w:rPr>
          <w:rFonts w:ascii="Arial" w:eastAsiaTheme="minorHAnsi" w:hAnsi="Arial" w:cs="Arial"/>
          <w:lang w:eastAsia="en-US"/>
        </w:rPr>
        <w:t>el ejercicio de los recursos administrativos</w:t>
      </w:r>
      <w:r>
        <w:rPr>
          <w:rFonts w:ascii="Arial" w:eastAsiaTheme="minorHAnsi" w:hAnsi="Arial" w:cs="Arial"/>
          <w:lang w:eastAsia="en-US"/>
        </w:rPr>
        <w:t xml:space="preserve">, es decir, aspectos estructurales del núcleo del derecho de </w:t>
      </w:r>
      <w:r w:rsidRPr="00A45CF7">
        <w:rPr>
          <w:rFonts w:ascii="Arial" w:eastAsiaTheme="minorHAnsi" w:hAnsi="Arial" w:cs="Arial"/>
          <w:lang w:eastAsia="en-US"/>
        </w:rPr>
        <w:t>petición, por lo que debían estar contenidos en una ley de carácter estatutario.</w:t>
      </w:r>
    </w:p>
    <w:p w14:paraId="4E1D4C1D" w14:textId="77777777" w:rsidR="000565CD" w:rsidRDefault="000565CD" w:rsidP="000565CD">
      <w:pPr>
        <w:jc w:val="both"/>
        <w:rPr>
          <w:rFonts w:ascii="Arial" w:hAnsi="Arial" w:cs="Arial"/>
          <w:sz w:val="24"/>
          <w:szCs w:val="24"/>
        </w:rPr>
      </w:pPr>
      <w:r w:rsidRPr="00A45CF7">
        <w:rPr>
          <w:rFonts w:ascii="Arial" w:hAnsi="Arial" w:cs="Arial"/>
          <w:sz w:val="24"/>
          <w:szCs w:val="24"/>
        </w:rPr>
        <w:t>En la conocida Sentencia C</w:t>
      </w:r>
      <w:r>
        <w:rPr>
          <w:rFonts w:ascii="Arial" w:hAnsi="Arial" w:cs="Arial"/>
          <w:sz w:val="24"/>
          <w:szCs w:val="24"/>
        </w:rPr>
        <w:t xml:space="preserve">-007 de 2007, producto de la demanda reseñada en precedencia, el alto tribunal constitucional (i) reiteró la jurisprudencia relativa a la reserva de ley estatutaria sobre los derechos fundamentales, (ii) estudió los elementos esenciales del derecho de petición y, finalmente, (iii) se ocupó del caso concreto. </w:t>
      </w:r>
    </w:p>
    <w:p w14:paraId="54FDC83B" w14:textId="77777777" w:rsidR="000565CD" w:rsidRDefault="000565CD" w:rsidP="000565CD">
      <w:pPr>
        <w:jc w:val="both"/>
        <w:rPr>
          <w:rFonts w:ascii="Arial" w:hAnsi="Arial" w:cs="Arial"/>
          <w:sz w:val="24"/>
          <w:szCs w:val="24"/>
        </w:rPr>
      </w:pPr>
      <w:r>
        <w:rPr>
          <w:rFonts w:ascii="Arial" w:hAnsi="Arial" w:cs="Arial"/>
          <w:sz w:val="24"/>
          <w:szCs w:val="24"/>
        </w:rPr>
        <w:t xml:space="preserve">En el citado fallo, la Corte arribó a la conclusión de que las disposiciones acusadas, incluido el artículo 80 del CPACA, objeto del presente proyecto de ley, fijan etapas, términos y formalidades del procedimiento administrativo </w:t>
      </w:r>
      <w:r w:rsidRPr="001A62FA">
        <w:rPr>
          <w:rFonts w:ascii="Arial" w:hAnsi="Arial" w:cs="Arial"/>
          <w:sz w:val="24"/>
          <w:szCs w:val="24"/>
        </w:rPr>
        <w:t>se encuentra, por regla general, bajo la competencia del Legislador ordinario, de acuerdo con el artículo 150</w:t>
      </w:r>
      <w:r>
        <w:rPr>
          <w:rFonts w:ascii="Arial" w:hAnsi="Arial" w:cs="Arial"/>
          <w:sz w:val="24"/>
          <w:szCs w:val="24"/>
        </w:rPr>
        <w:t>.</w:t>
      </w:r>
      <w:r w:rsidRPr="001A62FA">
        <w:rPr>
          <w:rFonts w:ascii="Arial" w:hAnsi="Arial" w:cs="Arial"/>
          <w:sz w:val="24"/>
          <w:szCs w:val="24"/>
        </w:rPr>
        <w:t>2 de la Constitución</w:t>
      </w:r>
      <w:r>
        <w:rPr>
          <w:rFonts w:ascii="Arial" w:hAnsi="Arial" w:cs="Arial"/>
          <w:sz w:val="24"/>
          <w:szCs w:val="24"/>
        </w:rPr>
        <w:t xml:space="preserve">, con la plena libertad de configuración sobre estas normas, esto, además, en concordancia con la Sentencia C-248 de 2013. </w:t>
      </w:r>
    </w:p>
    <w:p w14:paraId="26F75527" w14:textId="77777777" w:rsidR="000565CD" w:rsidRDefault="000565CD" w:rsidP="000565CD">
      <w:pPr>
        <w:jc w:val="both"/>
        <w:rPr>
          <w:rFonts w:ascii="Arial" w:hAnsi="Arial" w:cs="Arial"/>
          <w:sz w:val="24"/>
          <w:szCs w:val="24"/>
        </w:rPr>
      </w:pPr>
      <w:r>
        <w:rPr>
          <w:rFonts w:ascii="Arial" w:hAnsi="Arial" w:cs="Arial"/>
          <w:sz w:val="24"/>
          <w:szCs w:val="24"/>
        </w:rPr>
        <w:t xml:space="preserve">Así mismo recordó, entre otras cosas, que </w:t>
      </w:r>
      <w:r w:rsidRPr="00D040E3">
        <w:rPr>
          <w:rFonts w:ascii="Arial" w:hAnsi="Arial" w:cs="Arial"/>
        </w:rPr>
        <w:t>“</w:t>
      </w:r>
      <w:r w:rsidRPr="00D040E3">
        <w:rPr>
          <w:rFonts w:ascii="Arial" w:hAnsi="Arial" w:cs="Arial"/>
          <w:i/>
          <w:iCs/>
        </w:rPr>
        <w:t>la reserva de ley estatutaria se rige por una interpretación restrictiva, por lo que la regla general se mantiene a favor del Legislador ordinario”</w:t>
      </w:r>
      <w:r>
        <w:rPr>
          <w:rFonts w:ascii="Arial" w:hAnsi="Arial" w:cs="Arial"/>
          <w:i/>
          <w:iCs/>
        </w:rPr>
        <w:t xml:space="preserve">  </w:t>
      </w:r>
      <w:r w:rsidRPr="00D040E3">
        <w:rPr>
          <w:rFonts w:ascii="Arial" w:hAnsi="Arial" w:cs="Arial"/>
          <w:sz w:val="24"/>
          <w:szCs w:val="24"/>
        </w:rPr>
        <w:t xml:space="preserve">y que la norma debe pretender </w:t>
      </w:r>
      <w:r>
        <w:rPr>
          <w:rFonts w:ascii="Arial" w:hAnsi="Arial" w:cs="Arial"/>
          <w:i/>
          <w:iCs/>
        </w:rPr>
        <w:t>“</w:t>
      </w:r>
      <w:r w:rsidRPr="00D040E3">
        <w:rPr>
          <w:rFonts w:ascii="Arial" w:hAnsi="Arial" w:cs="Arial"/>
          <w:i/>
          <w:iCs/>
        </w:rPr>
        <w:t>regular de manera integral, estructural y completa un derecho fundamental</w:t>
      </w:r>
      <w:r>
        <w:rPr>
          <w:rFonts w:ascii="Arial" w:hAnsi="Arial" w:cs="Arial"/>
          <w:i/>
          <w:iCs/>
        </w:rPr>
        <w:t>”</w:t>
      </w:r>
      <w:r>
        <w:rPr>
          <w:rFonts w:ascii="Arial" w:hAnsi="Arial" w:cs="Arial"/>
          <w:sz w:val="24"/>
          <w:szCs w:val="24"/>
        </w:rPr>
        <w:t>.</w:t>
      </w:r>
      <w:r>
        <w:rPr>
          <w:rStyle w:val="Refdenotaalpie"/>
          <w:rFonts w:ascii="Arial" w:hAnsi="Arial" w:cs="Arial"/>
          <w:sz w:val="24"/>
          <w:szCs w:val="24"/>
        </w:rPr>
        <w:footnoteReference w:id="2"/>
      </w:r>
    </w:p>
    <w:p w14:paraId="798A8B36" w14:textId="77777777" w:rsidR="000565CD" w:rsidRDefault="000565CD" w:rsidP="000565CD">
      <w:pPr>
        <w:jc w:val="both"/>
        <w:rPr>
          <w:rFonts w:ascii="Arial" w:hAnsi="Arial" w:cs="Arial"/>
          <w:sz w:val="24"/>
          <w:szCs w:val="24"/>
        </w:rPr>
      </w:pPr>
      <w:r>
        <w:rPr>
          <w:rFonts w:ascii="Arial" w:hAnsi="Arial" w:cs="Arial"/>
          <w:sz w:val="24"/>
          <w:szCs w:val="24"/>
        </w:rPr>
        <w:t>Finalmente, la Corte Constitucional concluyó que:</w:t>
      </w:r>
    </w:p>
    <w:p w14:paraId="530B92D9" w14:textId="77777777" w:rsidR="000565CD" w:rsidRPr="00F9634E" w:rsidRDefault="000565CD" w:rsidP="000565CD">
      <w:pPr>
        <w:ind w:left="360"/>
        <w:jc w:val="both"/>
        <w:rPr>
          <w:rFonts w:ascii="Arial" w:hAnsi="Arial" w:cs="Arial"/>
        </w:rPr>
      </w:pPr>
      <w:r w:rsidRPr="00F9634E">
        <w:rPr>
          <w:rFonts w:ascii="Arial" w:hAnsi="Arial" w:cs="Arial"/>
        </w:rPr>
        <w:t>“</w:t>
      </w:r>
      <w:r>
        <w:rPr>
          <w:rFonts w:ascii="Arial" w:hAnsi="Arial" w:cs="Arial"/>
        </w:rPr>
        <w:t xml:space="preserve">26. </w:t>
      </w:r>
      <w:r w:rsidRPr="00F9634E">
        <w:rPr>
          <w:rFonts w:ascii="Arial" w:hAnsi="Arial" w:cs="Arial"/>
          <w:color w:val="2D2D2D"/>
          <w:shd w:val="clear" w:color="auto" w:fill="FFFFFF"/>
        </w:rPr>
        <w:t>Así, no le asiste razón al demandante cuando asevera que la jurisprudencia ha dicho que los recursos son</w:t>
      </w:r>
      <w:r w:rsidRPr="00F9634E">
        <w:rPr>
          <w:rStyle w:val="apple-converted-space"/>
          <w:rFonts w:ascii="Arial" w:hAnsi="Arial" w:cs="Arial"/>
          <w:color w:val="2D2D2D"/>
          <w:shd w:val="clear" w:color="auto" w:fill="FFFFFF"/>
        </w:rPr>
        <w:t> </w:t>
      </w:r>
      <w:r w:rsidRPr="00F9634E">
        <w:rPr>
          <w:rFonts w:ascii="Arial" w:hAnsi="Arial" w:cs="Arial"/>
          <w:i/>
          <w:iCs/>
          <w:color w:val="2D2D2D"/>
        </w:rPr>
        <w:t>un elemento estructural del núcleo esencial</w:t>
      </w:r>
      <w:r w:rsidRPr="00F9634E">
        <w:rPr>
          <w:rStyle w:val="apple-converted-space"/>
          <w:rFonts w:ascii="Arial" w:hAnsi="Arial" w:cs="Arial"/>
          <w:color w:val="2D2D2D"/>
          <w:shd w:val="clear" w:color="auto" w:fill="FFFFFF"/>
        </w:rPr>
        <w:t> </w:t>
      </w:r>
      <w:r w:rsidRPr="00F9634E">
        <w:rPr>
          <w:rFonts w:ascii="Arial" w:hAnsi="Arial" w:cs="Arial"/>
          <w:color w:val="2D2D2D"/>
          <w:shd w:val="clear" w:color="auto" w:fill="FFFFFF"/>
        </w:rPr>
        <w:t>del derecho fundamental de petición. Lo que la Corte sí ha establecido es que se trata de una</w:t>
      </w:r>
      <w:r w:rsidRPr="00F9634E">
        <w:rPr>
          <w:rStyle w:val="apple-converted-space"/>
          <w:rFonts w:ascii="Arial" w:hAnsi="Arial" w:cs="Arial"/>
          <w:color w:val="2D2D2D"/>
          <w:shd w:val="clear" w:color="auto" w:fill="FFFFFF"/>
        </w:rPr>
        <w:t> </w:t>
      </w:r>
      <w:r w:rsidRPr="00F9634E">
        <w:rPr>
          <w:rFonts w:ascii="Arial" w:hAnsi="Arial" w:cs="Arial"/>
          <w:b/>
          <w:bCs/>
          <w:i/>
          <w:iCs/>
          <w:color w:val="2D2D2D"/>
        </w:rPr>
        <w:t>manifestación o desarrollo del derecho de petición; una forma de su ejercicio</w:t>
      </w:r>
      <w:r w:rsidRPr="00F9634E">
        <w:rPr>
          <w:rFonts w:ascii="Arial" w:hAnsi="Arial" w:cs="Arial"/>
          <w:color w:val="2D2D2D"/>
          <w:shd w:val="clear" w:color="auto" w:fill="FFFFFF"/>
        </w:rPr>
        <w:t>. En ese contexto, también ha establecido que el ejercicio de estos recursos está atado al núcleo esencial del derecho de petición. Lo anterior supone la obligación para la administración de dar respuesta oportuna, clara y de fondo a la solicitud formulada, lo cual exige que la respuesta se dé en los términos regulados por dicho procedimiento, siempre que éste responda a las anteriores pautas. Por lo tanto, es indudable que los recursos se guían por los principios del derecho de petición y son una modalidad de su ejercicio, pero eso no es equivalente a establecer que éstos sean un elemento estructural del mismo. Bajo esa lógica, todos los procedimientos judiciales en todas las ramas del derecho serían elementos estructurales del derecho de petición, cuando en realidad son manifestaciones del ejercicio de ese derecho.</w:t>
      </w:r>
      <w:r w:rsidRPr="00F9634E">
        <w:rPr>
          <w:rFonts w:ascii="Arial" w:hAnsi="Arial" w:cs="Arial"/>
        </w:rPr>
        <w:t>”</w:t>
      </w:r>
      <w:r>
        <w:rPr>
          <w:rStyle w:val="Refdenotaalpie"/>
          <w:rFonts w:ascii="Arial" w:hAnsi="Arial" w:cs="Arial"/>
        </w:rPr>
        <w:footnoteReference w:id="3"/>
      </w:r>
      <w:r>
        <w:rPr>
          <w:rFonts w:ascii="Arial" w:hAnsi="Arial" w:cs="Arial"/>
        </w:rPr>
        <w:t xml:space="preserve"> (Negrillas y cursivas del texto original)</w:t>
      </w:r>
    </w:p>
    <w:p w14:paraId="7E0D6EF6" w14:textId="77777777" w:rsidR="000565CD" w:rsidRPr="008F66D4" w:rsidRDefault="000565CD" w:rsidP="000565CD">
      <w:pPr>
        <w:jc w:val="both"/>
        <w:rPr>
          <w:rFonts w:ascii="Arial" w:hAnsi="Arial" w:cs="Arial"/>
          <w:sz w:val="24"/>
          <w:szCs w:val="24"/>
        </w:rPr>
      </w:pPr>
      <w:r>
        <w:rPr>
          <w:rFonts w:ascii="Arial" w:hAnsi="Arial" w:cs="Arial"/>
          <w:sz w:val="24"/>
          <w:szCs w:val="24"/>
        </w:rPr>
        <w:lastRenderedPageBreak/>
        <w:t>Colofón de lo anterior, es claro que el tipo de ley a expedir, a fin de adicionar el artículo 80 del Código de Procedimiento Administrativo y de lo Contencioso Administrativo, Ley 1437 de 2011, es ordinaria.</w:t>
      </w:r>
    </w:p>
    <w:p w14:paraId="6466D54A" w14:textId="77777777" w:rsidR="000565CD" w:rsidRPr="00A96A75" w:rsidRDefault="000565CD" w:rsidP="000565CD">
      <w:pPr>
        <w:pStyle w:val="Prrafodelista"/>
        <w:numPr>
          <w:ilvl w:val="0"/>
          <w:numId w:val="1"/>
        </w:numPr>
        <w:rPr>
          <w:rFonts w:ascii="Arial" w:hAnsi="Arial" w:cs="Arial"/>
          <w:b/>
          <w:bCs/>
          <w:sz w:val="24"/>
          <w:szCs w:val="24"/>
        </w:rPr>
      </w:pPr>
      <w:r>
        <w:rPr>
          <w:rFonts w:ascii="Arial" w:hAnsi="Arial" w:cs="Arial"/>
          <w:b/>
          <w:bCs/>
          <w:sz w:val="24"/>
          <w:szCs w:val="24"/>
        </w:rPr>
        <w:t>Discrepancias de interpretación respecto del término para resolver los recurso en sede administrativa</w:t>
      </w:r>
    </w:p>
    <w:p w14:paraId="581176E3" w14:textId="77777777" w:rsidR="000565CD" w:rsidRDefault="000565CD" w:rsidP="000565CD">
      <w:pPr>
        <w:jc w:val="both"/>
        <w:rPr>
          <w:rFonts w:ascii="Arial" w:hAnsi="Arial" w:cs="Arial"/>
          <w:sz w:val="24"/>
          <w:szCs w:val="24"/>
        </w:rPr>
      </w:pPr>
      <w:r>
        <w:rPr>
          <w:rFonts w:ascii="Arial" w:hAnsi="Arial" w:cs="Arial"/>
          <w:sz w:val="24"/>
          <w:szCs w:val="24"/>
        </w:rPr>
        <w:t>Impera señalar que el Código de Procedimiento Administrativo y de lo Contencioso Administrativo no establece de manera expresa, clara o concreta el término en el que se deben resolver los recursos en sede administrativa. Dicho vacío jurídico, producto de la ausencia de un pronunciamiento del Legislador ha provocado que los encargados de aplicar la Ley 1437 de 2011, acudan a interpretaciones del articulado que regula otras materias en la misma Ley a fin de llenar esa laguna jurídica.</w:t>
      </w:r>
    </w:p>
    <w:p w14:paraId="310AB7BC" w14:textId="77777777" w:rsidR="000565CD" w:rsidRDefault="000565CD" w:rsidP="000565CD">
      <w:pPr>
        <w:jc w:val="both"/>
        <w:rPr>
          <w:rFonts w:ascii="Arial" w:hAnsi="Arial" w:cs="Arial"/>
          <w:sz w:val="24"/>
          <w:szCs w:val="24"/>
        </w:rPr>
      </w:pPr>
      <w:r>
        <w:rPr>
          <w:rFonts w:ascii="Arial" w:hAnsi="Arial" w:cs="Arial"/>
          <w:sz w:val="24"/>
          <w:szCs w:val="24"/>
        </w:rPr>
        <w:t>Así las cosas, en el marco del ejercicio de los recursos en sede administrativa, estos son, entre otros, el recurso de reposición (recurso gracia), el recurso de apelación (recurso jerárquico) y el recurso de queja, se presentan al menos tres (3) interpretaciones distintas, algunas de ellas más o menos beneficiosas para el administrado, esto, en términos de la agilidad o rapidez con la que se resuelven o desatan dichos recursos, veamos:</w:t>
      </w:r>
    </w:p>
    <w:p w14:paraId="033775E7" w14:textId="77777777" w:rsidR="000565CD" w:rsidRPr="00D5157B" w:rsidRDefault="000565CD" w:rsidP="000565CD">
      <w:pPr>
        <w:pStyle w:val="Prrafodelista"/>
        <w:numPr>
          <w:ilvl w:val="1"/>
          <w:numId w:val="1"/>
        </w:numPr>
        <w:jc w:val="both"/>
        <w:rPr>
          <w:rFonts w:ascii="Arial" w:hAnsi="Arial" w:cs="Arial"/>
          <w:b/>
          <w:bCs/>
          <w:sz w:val="24"/>
          <w:szCs w:val="24"/>
        </w:rPr>
      </w:pPr>
      <w:r w:rsidRPr="00D5157B">
        <w:rPr>
          <w:rFonts w:ascii="Arial" w:hAnsi="Arial" w:cs="Arial"/>
          <w:b/>
          <w:bCs/>
          <w:sz w:val="24"/>
          <w:szCs w:val="24"/>
        </w:rPr>
        <w:t>La interpretación atada al término del silencio administrativo negativo sobre los recursos o silencio “procedimental”</w:t>
      </w:r>
      <w:r>
        <w:rPr>
          <w:rFonts w:ascii="Arial" w:hAnsi="Arial" w:cs="Arial"/>
          <w:b/>
          <w:bCs/>
          <w:sz w:val="24"/>
          <w:szCs w:val="24"/>
        </w:rPr>
        <w:t>: 2 meses</w:t>
      </w:r>
      <w:r w:rsidRPr="00D5157B">
        <w:rPr>
          <w:rFonts w:ascii="Arial" w:hAnsi="Arial" w:cs="Arial"/>
          <w:b/>
          <w:bCs/>
          <w:sz w:val="24"/>
          <w:szCs w:val="24"/>
        </w:rPr>
        <w:t>.</w:t>
      </w:r>
    </w:p>
    <w:p w14:paraId="01B2C0CA" w14:textId="77777777" w:rsidR="000565CD" w:rsidRDefault="000565CD" w:rsidP="000565CD">
      <w:pPr>
        <w:jc w:val="both"/>
        <w:rPr>
          <w:rFonts w:ascii="Arial" w:hAnsi="Arial" w:cs="Arial"/>
          <w:sz w:val="24"/>
          <w:szCs w:val="24"/>
        </w:rPr>
      </w:pPr>
      <w:r>
        <w:rPr>
          <w:rFonts w:ascii="Arial" w:hAnsi="Arial" w:cs="Arial"/>
          <w:sz w:val="24"/>
          <w:szCs w:val="24"/>
        </w:rPr>
        <w:t>Una gran parte de las entidades públicas y particulares que ejercen funciones públicas acuden a término de dos (2) meses, establecido en el artículo 86 de la Ley 1437 de 2011, el cual dispone:</w:t>
      </w:r>
    </w:p>
    <w:p w14:paraId="419ABCC2" w14:textId="77777777" w:rsidR="000565CD" w:rsidRPr="00D5157B" w:rsidRDefault="000565CD" w:rsidP="000565CD">
      <w:pPr>
        <w:pStyle w:val="NormalWeb"/>
        <w:spacing w:line="270" w:lineRule="atLeast"/>
        <w:ind w:left="708"/>
        <w:jc w:val="both"/>
        <w:rPr>
          <w:rFonts w:ascii="Arial" w:hAnsi="Arial" w:cs="Arial"/>
          <w:color w:val="000000" w:themeColor="text1"/>
          <w:sz w:val="22"/>
          <w:szCs w:val="22"/>
        </w:rPr>
      </w:pPr>
      <w:bookmarkStart w:id="0" w:name="86"/>
      <w:r w:rsidRPr="00D5157B">
        <w:rPr>
          <w:rFonts w:ascii="Arial" w:hAnsi="Arial" w:cs="Arial"/>
          <w:color w:val="000000" w:themeColor="text1"/>
          <w:sz w:val="22"/>
          <w:szCs w:val="22"/>
        </w:rPr>
        <w:t>“</w:t>
      </w:r>
      <w:r w:rsidRPr="00D5157B">
        <w:rPr>
          <w:rFonts w:ascii="Arial" w:hAnsi="Arial" w:cs="Arial"/>
          <w:b/>
          <w:bCs/>
          <w:color w:val="000000" w:themeColor="text1"/>
          <w:sz w:val="22"/>
          <w:szCs w:val="22"/>
        </w:rPr>
        <w:t>ARTÍCULO 86. SILENCIO ADMINISTRATIVO EN RECURSOS.</w:t>
      </w:r>
      <w:bookmarkEnd w:id="0"/>
      <w:r w:rsidRPr="00D5157B">
        <w:rPr>
          <w:rStyle w:val="apple-converted-space"/>
          <w:rFonts w:ascii="Arial" w:hAnsi="Arial" w:cs="Arial"/>
          <w:color w:val="000000" w:themeColor="text1"/>
          <w:sz w:val="22"/>
          <w:szCs w:val="22"/>
        </w:rPr>
        <w:t> </w:t>
      </w:r>
      <w:r w:rsidRPr="00D5157B">
        <w:rPr>
          <w:rFonts w:ascii="Arial" w:hAnsi="Arial" w:cs="Arial"/>
          <w:color w:val="000000" w:themeColor="text1"/>
          <w:sz w:val="22"/>
          <w:szCs w:val="22"/>
        </w:rPr>
        <w:t>Salvo lo dispuesto en el artículo</w:t>
      </w:r>
      <w:r w:rsidRPr="00D5157B">
        <w:rPr>
          <w:rStyle w:val="apple-converted-space"/>
          <w:rFonts w:ascii="Arial" w:hAnsi="Arial" w:cs="Arial"/>
          <w:color w:val="000000" w:themeColor="text1"/>
          <w:sz w:val="22"/>
          <w:szCs w:val="22"/>
        </w:rPr>
        <w:t> </w:t>
      </w:r>
      <w:hyperlink r:id="rId7" w:anchor="52" w:history="1">
        <w:r w:rsidRPr="00D5157B">
          <w:rPr>
            <w:rStyle w:val="Hipervnculo"/>
            <w:rFonts w:ascii="Arial" w:hAnsi="Arial" w:cs="Arial"/>
            <w:color w:val="000000" w:themeColor="text1"/>
            <w:sz w:val="22"/>
            <w:szCs w:val="22"/>
          </w:rPr>
          <w:t>52</w:t>
        </w:r>
      </w:hyperlink>
      <w:r w:rsidRPr="00D5157B">
        <w:rPr>
          <w:rStyle w:val="apple-converted-space"/>
          <w:rFonts w:ascii="Arial" w:hAnsi="Arial" w:cs="Arial"/>
          <w:color w:val="000000" w:themeColor="text1"/>
          <w:sz w:val="22"/>
          <w:szCs w:val="22"/>
        </w:rPr>
        <w:t> </w:t>
      </w:r>
      <w:r w:rsidRPr="00D5157B">
        <w:rPr>
          <w:rFonts w:ascii="Arial" w:hAnsi="Arial" w:cs="Arial"/>
          <w:color w:val="000000" w:themeColor="text1"/>
          <w:sz w:val="22"/>
          <w:szCs w:val="22"/>
        </w:rPr>
        <w:t>de este Código, transcurrido un plazo de dos (2) meses, contados a partir de la interposición de los recursos de reposición o apelación sin que se haya notificado decisión expresa sobre ellos, se entenderá que la decisión es negativa.</w:t>
      </w:r>
      <w:r w:rsidRPr="00D5157B">
        <w:rPr>
          <w:rStyle w:val="apple-converted-space"/>
          <w:rFonts w:ascii="Arial" w:hAnsi="Arial" w:cs="Arial"/>
          <w:color w:val="000000" w:themeColor="text1"/>
          <w:sz w:val="22"/>
          <w:szCs w:val="22"/>
        </w:rPr>
        <w:t> </w:t>
      </w:r>
    </w:p>
    <w:p w14:paraId="684831DD" w14:textId="77777777" w:rsidR="000565CD" w:rsidRPr="00D5157B" w:rsidRDefault="000565CD" w:rsidP="000565CD">
      <w:pPr>
        <w:pStyle w:val="NormalWeb"/>
        <w:spacing w:line="270" w:lineRule="atLeast"/>
        <w:ind w:left="708"/>
        <w:jc w:val="both"/>
        <w:rPr>
          <w:rFonts w:ascii="Arial" w:hAnsi="Arial" w:cs="Arial"/>
          <w:color w:val="000000" w:themeColor="text1"/>
          <w:sz w:val="22"/>
          <w:szCs w:val="22"/>
        </w:rPr>
      </w:pPr>
      <w:r w:rsidRPr="00D5157B">
        <w:rPr>
          <w:rFonts w:ascii="Arial" w:hAnsi="Arial" w:cs="Arial"/>
          <w:color w:val="000000" w:themeColor="text1"/>
          <w:sz w:val="22"/>
          <w:szCs w:val="22"/>
        </w:rPr>
        <w:t>El plazo mencionado se suspenderá mientras dure la práctica de pruebas.</w:t>
      </w:r>
      <w:r w:rsidRPr="00D5157B">
        <w:rPr>
          <w:rStyle w:val="apple-converted-space"/>
          <w:rFonts w:ascii="Arial" w:hAnsi="Arial" w:cs="Arial"/>
          <w:color w:val="000000" w:themeColor="text1"/>
          <w:sz w:val="22"/>
          <w:szCs w:val="22"/>
        </w:rPr>
        <w:t> </w:t>
      </w:r>
    </w:p>
    <w:p w14:paraId="34ADEA37" w14:textId="77777777" w:rsidR="000565CD" w:rsidRPr="00D5157B" w:rsidRDefault="000565CD" w:rsidP="000565CD">
      <w:pPr>
        <w:pStyle w:val="NormalWeb"/>
        <w:spacing w:line="270" w:lineRule="atLeast"/>
        <w:ind w:left="708"/>
        <w:jc w:val="both"/>
        <w:rPr>
          <w:rFonts w:ascii="Arial" w:hAnsi="Arial" w:cs="Arial"/>
          <w:color w:val="000000" w:themeColor="text1"/>
          <w:sz w:val="22"/>
          <w:szCs w:val="22"/>
        </w:rPr>
      </w:pPr>
      <w:r w:rsidRPr="00D5157B">
        <w:rPr>
          <w:rFonts w:ascii="Arial" w:hAnsi="Arial" w:cs="Arial"/>
          <w:color w:val="000000" w:themeColor="text1"/>
          <w:sz w:val="22"/>
          <w:szCs w:val="22"/>
        </w:rPr>
        <w:t>La ocurrencia del silencio negativo previsto en este artículo no exime a la autoridad de responsabilidad, ni le impide resolver siempre que no se hubiere notificado auto admisorio de la demanda cuando el interesado haya acudido ante la Jurisdicción de lo Contencioso Administrativo.</w:t>
      </w:r>
      <w:r w:rsidRPr="00D5157B">
        <w:rPr>
          <w:rStyle w:val="apple-converted-space"/>
          <w:rFonts w:ascii="Arial" w:hAnsi="Arial" w:cs="Arial"/>
          <w:color w:val="000000" w:themeColor="text1"/>
          <w:sz w:val="22"/>
          <w:szCs w:val="22"/>
        </w:rPr>
        <w:t> </w:t>
      </w:r>
    </w:p>
    <w:p w14:paraId="0EFF0E49" w14:textId="77777777" w:rsidR="000565CD" w:rsidRDefault="000565CD" w:rsidP="000565CD">
      <w:pPr>
        <w:pStyle w:val="NormalWeb"/>
        <w:spacing w:line="270" w:lineRule="atLeast"/>
        <w:ind w:left="708"/>
        <w:jc w:val="both"/>
        <w:rPr>
          <w:rFonts w:ascii="Arial" w:hAnsi="Arial" w:cs="Arial"/>
          <w:color w:val="000000" w:themeColor="text1"/>
          <w:sz w:val="22"/>
          <w:szCs w:val="22"/>
        </w:rPr>
      </w:pPr>
      <w:r w:rsidRPr="00D5157B">
        <w:rPr>
          <w:rFonts w:ascii="Arial" w:hAnsi="Arial" w:cs="Arial"/>
          <w:color w:val="000000" w:themeColor="text1"/>
          <w:sz w:val="22"/>
          <w:szCs w:val="22"/>
        </w:rPr>
        <w:lastRenderedPageBreak/>
        <w:t>La no resolución oportuna de los recursos constituye falta disciplinaria</w:t>
      </w:r>
      <w:r w:rsidRPr="00D5157B">
        <w:rPr>
          <w:rStyle w:val="apple-converted-space"/>
          <w:rFonts w:ascii="Arial" w:hAnsi="Arial" w:cs="Arial"/>
          <w:color w:val="000000" w:themeColor="text1"/>
          <w:sz w:val="22"/>
          <w:szCs w:val="22"/>
        </w:rPr>
        <w:t> </w:t>
      </w:r>
      <w:r w:rsidRPr="00D5157B">
        <w:rPr>
          <w:rStyle w:val="baj"/>
          <w:rFonts w:ascii="Arial" w:hAnsi="Arial" w:cs="Arial"/>
          <w:b/>
          <w:bCs/>
          <w:strike/>
          <w:color w:val="000000" w:themeColor="text1"/>
          <w:sz w:val="22"/>
          <w:szCs w:val="22"/>
        </w:rPr>
        <w:t>gravísima</w:t>
      </w:r>
      <w:r w:rsidRPr="00D5157B">
        <w:rPr>
          <w:rStyle w:val="baj"/>
          <w:rFonts w:ascii="Arial" w:hAnsi="Arial" w:cs="Arial"/>
          <w:color w:val="000000" w:themeColor="text1"/>
          <w:sz w:val="22"/>
          <w:szCs w:val="22"/>
        </w:rPr>
        <w:t>”</w:t>
      </w:r>
      <w:r w:rsidRPr="00D5157B">
        <w:rPr>
          <w:rStyle w:val="Refdenotaalpie"/>
          <w:rFonts w:ascii="Arial" w:hAnsi="Arial" w:cs="Arial"/>
          <w:color w:val="000000" w:themeColor="text1"/>
          <w:sz w:val="22"/>
          <w:szCs w:val="22"/>
        </w:rPr>
        <w:footnoteReference w:id="4"/>
      </w:r>
      <w:r w:rsidRPr="00D5157B">
        <w:rPr>
          <w:rFonts w:ascii="Arial" w:hAnsi="Arial" w:cs="Arial"/>
          <w:color w:val="000000" w:themeColor="text1"/>
          <w:sz w:val="22"/>
          <w:szCs w:val="22"/>
        </w:rPr>
        <w:t xml:space="preserve"> </w:t>
      </w:r>
    </w:p>
    <w:p w14:paraId="69D3B2E0" w14:textId="77777777" w:rsidR="000565CD" w:rsidRPr="00A96A75" w:rsidRDefault="000565CD" w:rsidP="000565CD">
      <w:pPr>
        <w:jc w:val="both"/>
        <w:rPr>
          <w:rFonts w:ascii="Arial" w:hAnsi="Arial" w:cs="Arial"/>
          <w:sz w:val="24"/>
          <w:szCs w:val="24"/>
        </w:rPr>
      </w:pPr>
      <w:r>
        <w:rPr>
          <w:rFonts w:ascii="Arial" w:hAnsi="Arial" w:cs="Arial"/>
          <w:sz w:val="24"/>
          <w:szCs w:val="24"/>
        </w:rPr>
        <w:t>Así, de la norma transcrita, coligen que el término máximo para resolver -todos- los recursos es de dos (2) meses calendario. Esto es, si lo contabilizáramos en días aproximadamente cuarenta (40) días hábiles, a razón de veinte días hábiles por mes.</w:t>
      </w:r>
    </w:p>
    <w:p w14:paraId="79822997" w14:textId="77777777" w:rsidR="000565CD" w:rsidRPr="00D5157B" w:rsidRDefault="000565CD" w:rsidP="000565CD">
      <w:pPr>
        <w:pStyle w:val="Prrafodelista"/>
        <w:numPr>
          <w:ilvl w:val="1"/>
          <w:numId w:val="1"/>
        </w:numPr>
        <w:jc w:val="both"/>
        <w:rPr>
          <w:rFonts w:ascii="Arial" w:hAnsi="Arial" w:cs="Arial"/>
          <w:b/>
          <w:bCs/>
          <w:sz w:val="24"/>
          <w:szCs w:val="24"/>
        </w:rPr>
      </w:pPr>
      <w:r w:rsidRPr="00D5157B">
        <w:rPr>
          <w:rFonts w:ascii="Arial" w:hAnsi="Arial" w:cs="Arial"/>
          <w:b/>
          <w:bCs/>
          <w:sz w:val="24"/>
          <w:szCs w:val="24"/>
        </w:rPr>
        <w:t>La interpretación atada al término del silencio administrativo negativo sobre los recursos o silencio “procedimental”</w:t>
      </w:r>
      <w:r>
        <w:rPr>
          <w:rFonts w:ascii="Arial" w:hAnsi="Arial" w:cs="Arial"/>
          <w:b/>
          <w:bCs/>
          <w:sz w:val="24"/>
          <w:szCs w:val="24"/>
        </w:rPr>
        <w:t>: 6 meses.</w:t>
      </w:r>
    </w:p>
    <w:p w14:paraId="11828D7B" w14:textId="77777777" w:rsidR="000565CD" w:rsidRPr="00A96A75" w:rsidRDefault="000565CD" w:rsidP="000565CD">
      <w:pPr>
        <w:jc w:val="both"/>
        <w:rPr>
          <w:rFonts w:ascii="Arial" w:hAnsi="Arial" w:cs="Arial"/>
          <w:sz w:val="24"/>
          <w:szCs w:val="24"/>
        </w:rPr>
      </w:pPr>
      <w:r>
        <w:rPr>
          <w:rFonts w:ascii="Arial" w:hAnsi="Arial" w:cs="Arial"/>
          <w:sz w:val="24"/>
          <w:szCs w:val="24"/>
        </w:rPr>
        <w:t>Con base en la interpretación antes reseñada, algunas entidades públicas y particulares que ejercen funciones públicas han llegado a sostener que el término de dos (2) meses, derivado del artículo 86 del CPACA, para resolver los recursos en sede administrativa es aplicable a cada uno de los recursos por separado, es decir que, en total, si se presentaran los tres (3) de los recursos en sede administrativa, esto es, reposición, apelación y queja, se tendría un total de aproximadamente seis (6) meses para desatarlos. Lo que serían alrededor de ciento (120) días hábiles.</w:t>
      </w:r>
    </w:p>
    <w:p w14:paraId="587A5277" w14:textId="77777777" w:rsidR="000565CD" w:rsidRDefault="000565CD" w:rsidP="000565CD">
      <w:pPr>
        <w:jc w:val="both"/>
        <w:rPr>
          <w:rFonts w:ascii="Arial" w:hAnsi="Arial" w:cs="Arial"/>
          <w:sz w:val="24"/>
          <w:szCs w:val="24"/>
        </w:rPr>
      </w:pPr>
      <w:r w:rsidRPr="00AE1BDC">
        <w:rPr>
          <w:rFonts w:ascii="Arial" w:hAnsi="Arial" w:cs="Arial"/>
          <w:sz w:val="24"/>
          <w:szCs w:val="24"/>
        </w:rPr>
        <w:t>Es decir que,</w:t>
      </w:r>
      <w:r>
        <w:rPr>
          <w:rFonts w:ascii="Arial" w:hAnsi="Arial" w:cs="Arial"/>
          <w:sz w:val="24"/>
          <w:szCs w:val="24"/>
        </w:rPr>
        <w:t xml:space="preserve"> la</w:t>
      </w:r>
      <w:r w:rsidRPr="00AE1BDC">
        <w:rPr>
          <w:rFonts w:ascii="Arial" w:hAnsi="Arial" w:cs="Arial"/>
          <w:sz w:val="24"/>
          <w:szCs w:val="24"/>
        </w:rPr>
        <w:t xml:space="preserve"> </w:t>
      </w:r>
      <w:r>
        <w:rPr>
          <w:rFonts w:ascii="Arial" w:hAnsi="Arial" w:cs="Arial"/>
          <w:sz w:val="24"/>
          <w:szCs w:val="24"/>
        </w:rPr>
        <w:t>impugnación de las decisiones administrativas producidas en el trámite procedimental es de cerca de medio año. Siendo esta la interpretación menos favorable para los administrados y, por el contrario, más beneficiosa para la administración.</w:t>
      </w:r>
    </w:p>
    <w:p w14:paraId="67BA9491" w14:textId="77777777" w:rsidR="000565CD" w:rsidRPr="00D5157B" w:rsidRDefault="000565CD" w:rsidP="000565CD">
      <w:pPr>
        <w:pStyle w:val="Prrafodelista"/>
        <w:numPr>
          <w:ilvl w:val="1"/>
          <w:numId w:val="1"/>
        </w:numPr>
        <w:jc w:val="both"/>
        <w:rPr>
          <w:rFonts w:ascii="Arial" w:hAnsi="Arial" w:cs="Arial"/>
          <w:b/>
          <w:bCs/>
          <w:sz w:val="24"/>
          <w:szCs w:val="24"/>
        </w:rPr>
      </w:pPr>
      <w:r w:rsidRPr="00D5157B">
        <w:rPr>
          <w:rFonts w:ascii="Arial" w:hAnsi="Arial" w:cs="Arial"/>
          <w:b/>
          <w:bCs/>
          <w:sz w:val="24"/>
          <w:szCs w:val="24"/>
        </w:rPr>
        <w:t xml:space="preserve">La interpretación atada al término </w:t>
      </w:r>
      <w:r>
        <w:rPr>
          <w:rFonts w:ascii="Arial" w:hAnsi="Arial" w:cs="Arial"/>
          <w:b/>
          <w:bCs/>
          <w:sz w:val="24"/>
          <w:szCs w:val="24"/>
        </w:rPr>
        <w:t>del derecho de petición en interés particular: 15 días.</w:t>
      </w:r>
    </w:p>
    <w:p w14:paraId="7BE269BF" w14:textId="77777777" w:rsidR="000565CD" w:rsidRDefault="000565CD" w:rsidP="000565CD">
      <w:pPr>
        <w:jc w:val="both"/>
        <w:rPr>
          <w:rFonts w:ascii="Arial" w:hAnsi="Arial" w:cs="Arial"/>
          <w:sz w:val="24"/>
          <w:szCs w:val="24"/>
        </w:rPr>
      </w:pPr>
      <w:r>
        <w:rPr>
          <w:rFonts w:ascii="Arial" w:hAnsi="Arial" w:cs="Arial"/>
          <w:sz w:val="24"/>
          <w:szCs w:val="24"/>
        </w:rPr>
        <w:t>Finalmente, bajo una línea interpretativa más benévola con los administrados, se ha afirmado que de una interpretación sistemática del CPACA, se debe acudir al término general de quince (15) días para resolver las peticiones, establecido en el artículo 14 de la Ley 1437 de 2011, sustituido por el artículo 1 de la Ley 1755 de 2015, a fin de dilucidar cual es término que corresponde para decidir cada uno de los recursos que se llegaren a presentar en el trámite procedimental en sede administrativa.</w:t>
      </w:r>
    </w:p>
    <w:p w14:paraId="37FFB3E1" w14:textId="77777777" w:rsidR="000565CD" w:rsidRDefault="000565CD" w:rsidP="000565CD">
      <w:pPr>
        <w:jc w:val="both"/>
        <w:rPr>
          <w:rFonts w:ascii="Arial" w:hAnsi="Arial" w:cs="Arial"/>
          <w:sz w:val="24"/>
          <w:szCs w:val="24"/>
        </w:rPr>
      </w:pPr>
      <w:r>
        <w:rPr>
          <w:rFonts w:ascii="Arial" w:hAnsi="Arial" w:cs="Arial"/>
          <w:sz w:val="24"/>
          <w:szCs w:val="24"/>
        </w:rPr>
        <w:t xml:space="preserve">En ese sentido, el Departamento Administrativo de la Función Pública – DAPF, expidió el concepto No. </w:t>
      </w:r>
      <w:r w:rsidRPr="00214A82">
        <w:rPr>
          <w:rFonts w:ascii="Arial" w:hAnsi="Arial" w:cs="Arial"/>
          <w:sz w:val="24"/>
          <w:szCs w:val="24"/>
        </w:rPr>
        <w:t>20216000218241</w:t>
      </w:r>
      <w:r>
        <w:rPr>
          <w:rFonts w:ascii="Arial" w:hAnsi="Arial" w:cs="Arial"/>
          <w:sz w:val="24"/>
          <w:szCs w:val="24"/>
        </w:rPr>
        <w:t xml:space="preserve"> de 28 de junio de 2021, en el cual se concluyó que:</w:t>
      </w:r>
    </w:p>
    <w:p w14:paraId="67A4A35D" w14:textId="77777777" w:rsidR="000565CD" w:rsidRPr="00214A82" w:rsidRDefault="000565CD" w:rsidP="000565CD">
      <w:pPr>
        <w:ind w:left="708"/>
        <w:jc w:val="both"/>
        <w:rPr>
          <w:rFonts w:ascii="Arial" w:hAnsi="Arial" w:cs="Arial"/>
        </w:rPr>
      </w:pPr>
      <w:r w:rsidRPr="00214A82">
        <w:rPr>
          <w:rFonts w:ascii="Arial" w:hAnsi="Arial" w:cs="Arial"/>
        </w:rPr>
        <w:t xml:space="preserve">“(...) Conforme a la normativa anterior, se observa que para resolver los recursos administrativos las autoridades competentes tienen un plazo general y expreso de </w:t>
      </w:r>
      <w:r w:rsidRPr="00214A82">
        <w:rPr>
          <w:rFonts w:ascii="Arial" w:hAnsi="Arial" w:cs="Arial"/>
        </w:rPr>
        <w:lastRenderedPageBreak/>
        <w:t>15 días hábiles, de conformidad con los Artículos 13 y 14 del CPACA, salvo disposición legal especial en contrario. (...)”</w:t>
      </w:r>
    </w:p>
    <w:p w14:paraId="321C24D1" w14:textId="77777777" w:rsidR="000565CD" w:rsidRPr="00214A82" w:rsidRDefault="000565CD" w:rsidP="000565CD">
      <w:pPr>
        <w:jc w:val="both"/>
        <w:rPr>
          <w:rFonts w:ascii="Arial" w:hAnsi="Arial" w:cs="Arial"/>
          <w:sz w:val="24"/>
          <w:szCs w:val="24"/>
        </w:rPr>
      </w:pPr>
      <w:r w:rsidRPr="00214A82">
        <w:rPr>
          <w:rFonts w:ascii="Arial" w:hAnsi="Arial" w:cs="Arial"/>
          <w:sz w:val="24"/>
          <w:szCs w:val="24"/>
        </w:rPr>
        <w:t xml:space="preserve">Así las cosa, </w:t>
      </w:r>
      <w:r>
        <w:rPr>
          <w:rFonts w:ascii="Arial" w:hAnsi="Arial" w:cs="Arial"/>
          <w:sz w:val="24"/>
          <w:szCs w:val="24"/>
        </w:rPr>
        <w:t>es deber del legislador cumplir con sus funciones, siempre con el objetivo de mejorar la prestación de los servicios y la atención que debe brindar a los ciudadanos.</w:t>
      </w:r>
    </w:p>
    <w:p w14:paraId="7CBD2D54" w14:textId="77777777" w:rsidR="000565CD" w:rsidRPr="00D5157B" w:rsidRDefault="000565CD" w:rsidP="000565CD">
      <w:pPr>
        <w:pStyle w:val="Prrafodelista"/>
        <w:numPr>
          <w:ilvl w:val="1"/>
          <w:numId w:val="1"/>
        </w:numPr>
        <w:jc w:val="both"/>
        <w:rPr>
          <w:rFonts w:ascii="Arial" w:hAnsi="Arial" w:cs="Arial"/>
          <w:b/>
          <w:bCs/>
          <w:sz w:val="24"/>
          <w:szCs w:val="24"/>
        </w:rPr>
      </w:pPr>
      <w:r>
        <w:rPr>
          <w:rFonts w:ascii="Arial" w:hAnsi="Arial" w:cs="Arial"/>
          <w:b/>
          <w:bCs/>
          <w:sz w:val="24"/>
          <w:szCs w:val="24"/>
        </w:rPr>
        <w:t>Ventajas y efectividad de la medida</w:t>
      </w:r>
    </w:p>
    <w:p w14:paraId="0080F3B1" w14:textId="77777777" w:rsidR="000565CD" w:rsidRDefault="000565CD" w:rsidP="000565CD">
      <w:pPr>
        <w:jc w:val="both"/>
        <w:rPr>
          <w:rFonts w:ascii="Arial" w:hAnsi="Arial" w:cs="Arial"/>
          <w:sz w:val="24"/>
          <w:szCs w:val="24"/>
        </w:rPr>
      </w:pPr>
      <w:r>
        <w:rPr>
          <w:rFonts w:ascii="Arial" w:hAnsi="Arial" w:cs="Arial"/>
          <w:sz w:val="24"/>
          <w:szCs w:val="24"/>
        </w:rPr>
        <w:t>El</w:t>
      </w:r>
      <w:r w:rsidRPr="00F36E74">
        <w:rPr>
          <w:rFonts w:ascii="Arial" w:hAnsi="Arial" w:cs="Arial"/>
          <w:sz w:val="24"/>
          <w:szCs w:val="24"/>
        </w:rPr>
        <w:t xml:space="preserve"> presente proyecto de ley persigue establecer de manera clara en la Ley el término para resolver cada uno de los recursos que en sede administrativa son procedentes y, en ese orden, adoptar una postura favorable de cara a los administrados. Por lo anterior, se propondrá que el término sea de quince (15) días hábiles, no prorrogables, salvo el término dispuesto para el trámite probatorio establecido en el artículo 79 de la Ley 1437 de 2011.</w:t>
      </w:r>
    </w:p>
    <w:p w14:paraId="6E1190A9" w14:textId="77777777" w:rsidR="000565CD" w:rsidRPr="00A96A75" w:rsidRDefault="000565CD" w:rsidP="000565CD">
      <w:pPr>
        <w:jc w:val="both"/>
        <w:rPr>
          <w:rFonts w:ascii="Arial" w:hAnsi="Arial" w:cs="Arial"/>
          <w:sz w:val="24"/>
          <w:szCs w:val="24"/>
        </w:rPr>
      </w:pPr>
      <w:r>
        <w:rPr>
          <w:rFonts w:ascii="Arial" w:hAnsi="Arial" w:cs="Arial"/>
          <w:sz w:val="24"/>
          <w:szCs w:val="24"/>
        </w:rPr>
        <w:t>Así las cosas, se reducirán los términos para resolver cada uno de los recursos de, aproximadamente, cuarenta (40) días hábiles a quince (15) días hábiles, procurando una disminución significativa en el plazo para dar respuesta, lo que redundará en el mejoramiento de la eficiencia y eficacia de la administración, y a su vez, en la calidad del servicio público.</w:t>
      </w:r>
    </w:p>
    <w:p w14:paraId="32E7888D" w14:textId="77777777" w:rsidR="000565CD" w:rsidRDefault="000565CD" w:rsidP="000565CD">
      <w:pPr>
        <w:jc w:val="both"/>
        <w:rPr>
          <w:rFonts w:ascii="Arial" w:hAnsi="Arial" w:cs="Arial"/>
          <w:sz w:val="24"/>
          <w:szCs w:val="24"/>
        </w:rPr>
      </w:pPr>
    </w:p>
    <w:p w14:paraId="776E507A" w14:textId="7459C058" w:rsidR="000565CD" w:rsidRDefault="000565CD" w:rsidP="000565CD">
      <w:pPr>
        <w:jc w:val="both"/>
        <w:rPr>
          <w:rFonts w:ascii="Arial" w:hAnsi="Arial" w:cs="Arial"/>
          <w:sz w:val="24"/>
          <w:szCs w:val="24"/>
        </w:rPr>
      </w:pPr>
    </w:p>
    <w:p w14:paraId="3234F3B2" w14:textId="3475B3BB" w:rsidR="000565CD" w:rsidRDefault="000565CD" w:rsidP="000565CD">
      <w:pPr>
        <w:jc w:val="both"/>
        <w:rPr>
          <w:rFonts w:ascii="Arial" w:hAnsi="Arial" w:cs="Arial"/>
          <w:sz w:val="24"/>
          <w:szCs w:val="24"/>
        </w:rPr>
      </w:pPr>
    </w:p>
    <w:p w14:paraId="227CCC06" w14:textId="77777777" w:rsidR="000565CD" w:rsidRPr="0080492D" w:rsidRDefault="000565CD" w:rsidP="000565CD">
      <w:pPr>
        <w:jc w:val="both"/>
        <w:rPr>
          <w:rFonts w:ascii="Arial" w:hAnsi="Arial" w:cs="Arial"/>
          <w:sz w:val="24"/>
          <w:szCs w:val="24"/>
        </w:rPr>
      </w:pPr>
    </w:p>
    <w:p w14:paraId="5E124E8E" w14:textId="77777777" w:rsidR="000565CD" w:rsidRDefault="000565CD" w:rsidP="000565CD">
      <w:pPr>
        <w:rPr>
          <w:rFonts w:ascii="Arial" w:hAnsi="Arial" w:cs="Arial"/>
          <w:b/>
          <w:bCs/>
          <w:sz w:val="24"/>
          <w:szCs w:val="24"/>
        </w:rPr>
      </w:pPr>
    </w:p>
    <w:p w14:paraId="7F5C8FB3" w14:textId="77777777" w:rsidR="000565CD" w:rsidRPr="006A2CAA" w:rsidRDefault="000565CD" w:rsidP="000565CD">
      <w:pPr>
        <w:jc w:val="center"/>
        <w:rPr>
          <w:rFonts w:ascii="Arial" w:hAnsi="Arial" w:cs="Arial"/>
          <w:b/>
          <w:bCs/>
          <w:sz w:val="24"/>
          <w:szCs w:val="24"/>
        </w:rPr>
      </w:pPr>
      <w:r w:rsidRPr="006A2CAA">
        <w:rPr>
          <w:rFonts w:ascii="Arial" w:hAnsi="Arial" w:cs="Arial"/>
          <w:b/>
          <w:bCs/>
          <w:sz w:val="24"/>
          <w:szCs w:val="24"/>
        </w:rPr>
        <w:t>EDINSON VLADIMIR OLAYA MANCIPE</w:t>
      </w:r>
    </w:p>
    <w:p w14:paraId="1D01B85F" w14:textId="77777777" w:rsidR="000565CD" w:rsidRDefault="000565CD" w:rsidP="000565CD">
      <w:pPr>
        <w:jc w:val="center"/>
        <w:rPr>
          <w:rFonts w:ascii="Arial" w:hAnsi="Arial" w:cs="Arial"/>
          <w:sz w:val="24"/>
          <w:szCs w:val="24"/>
        </w:rPr>
      </w:pPr>
      <w:r w:rsidRPr="006A2CAA">
        <w:rPr>
          <w:rFonts w:ascii="Arial" w:hAnsi="Arial" w:cs="Arial"/>
          <w:sz w:val="24"/>
          <w:szCs w:val="24"/>
        </w:rPr>
        <w:t>Representante a la Cámara por el Casanare</w:t>
      </w:r>
    </w:p>
    <w:p w14:paraId="660ACF2E" w14:textId="77777777" w:rsidR="000565CD" w:rsidRPr="006A2CAA" w:rsidRDefault="000565CD" w:rsidP="000565CD">
      <w:pPr>
        <w:jc w:val="center"/>
        <w:rPr>
          <w:rFonts w:ascii="Arial" w:hAnsi="Arial" w:cs="Arial"/>
          <w:sz w:val="24"/>
          <w:szCs w:val="24"/>
        </w:rPr>
      </w:pPr>
      <w:r>
        <w:rPr>
          <w:rFonts w:ascii="Arial" w:hAnsi="Arial" w:cs="Arial"/>
          <w:sz w:val="24"/>
          <w:szCs w:val="24"/>
        </w:rPr>
        <w:t>Partido Centro Democrático</w:t>
      </w:r>
    </w:p>
    <w:p w14:paraId="47BAFA2B" w14:textId="77777777" w:rsidR="000565CD" w:rsidRDefault="000565CD" w:rsidP="000565CD">
      <w:pPr>
        <w:jc w:val="both"/>
        <w:rPr>
          <w:rFonts w:ascii="Arial" w:hAnsi="Arial" w:cs="Arial"/>
          <w:b/>
          <w:bCs/>
          <w:sz w:val="24"/>
          <w:szCs w:val="24"/>
        </w:rPr>
      </w:pPr>
    </w:p>
    <w:p w14:paraId="6B1C1105" w14:textId="77777777" w:rsidR="000565CD" w:rsidRDefault="000565CD" w:rsidP="000565CD">
      <w:pPr>
        <w:jc w:val="both"/>
        <w:rPr>
          <w:rFonts w:ascii="Arial" w:hAnsi="Arial" w:cs="Arial"/>
          <w:b/>
          <w:bCs/>
          <w:sz w:val="24"/>
          <w:szCs w:val="24"/>
        </w:rPr>
      </w:pPr>
    </w:p>
    <w:p w14:paraId="2EC5DF02" w14:textId="77777777" w:rsidR="000565CD" w:rsidRDefault="000565CD" w:rsidP="000565CD">
      <w:pPr>
        <w:jc w:val="both"/>
        <w:rPr>
          <w:rFonts w:ascii="Arial" w:hAnsi="Arial" w:cs="Arial"/>
          <w:b/>
          <w:bCs/>
          <w:sz w:val="24"/>
          <w:szCs w:val="24"/>
        </w:rPr>
      </w:pPr>
    </w:p>
    <w:p w14:paraId="780922AB" w14:textId="77777777" w:rsidR="000565CD" w:rsidRDefault="000565CD" w:rsidP="000565CD">
      <w:pPr>
        <w:jc w:val="both"/>
        <w:rPr>
          <w:rFonts w:ascii="Arial" w:hAnsi="Arial" w:cs="Arial"/>
          <w:b/>
          <w:bCs/>
          <w:sz w:val="24"/>
          <w:szCs w:val="24"/>
        </w:rPr>
      </w:pPr>
    </w:p>
    <w:p w14:paraId="1183FD40" w14:textId="77777777" w:rsidR="000565CD" w:rsidRDefault="000565CD" w:rsidP="000565CD">
      <w:pPr>
        <w:jc w:val="both"/>
        <w:rPr>
          <w:rFonts w:ascii="Arial" w:hAnsi="Arial" w:cs="Arial"/>
          <w:b/>
          <w:bCs/>
          <w:sz w:val="24"/>
          <w:szCs w:val="24"/>
        </w:rPr>
      </w:pPr>
    </w:p>
    <w:p w14:paraId="0F972EEF" w14:textId="77777777" w:rsidR="000565CD" w:rsidRDefault="000565CD" w:rsidP="000565CD">
      <w:pPr>
        <w:jc w:val="both"/>
        <w:rPr>
          <w:rFonts w:ascii="Arial" w:hAnsi="Arial" w:cs="Arial"/>
          <w:b/>
          <w:bCs/>
          <w:sz w:val="24"/>
          <w:szCs w:val="24"/>
        </w:rPr>
      </w:pPr>
    </w:p>
    <w:p w14:paraId="35F04085" w14:textId="77777777" w:rsidR="000565CD" w:rsidRDefault="000565CD" w:rsidP="000565CD">
      <w:pPr>
        <w:jc w:val="both"/>
        <w:rPr>
          <w:rFonts w:ascii="Arial" w:hAnsi="Arial" w:cs="Arial"/>
          <w:b/>
          <w:bCs/>
          <w:sz w:val="24"/>
          <w:szCs w:val="24"/>
        </w:rPr>
      </w:pPr>
    </w:p>
    <w:p w14:paraId="0CDA1494" w14:textId="77777777" w:rsidR="000565CD" w:rsidRDefault="000565CD" w:rsidP="000565CD">
      <w:pPr>
        <w:jc w:val="both"/>
        <w:rPr>
          <w:rFonts w:ascii="Arial" w:hAnsi="Arial" w:cs="Arial"/>
          <w:b/>
          <w:bCs/>
          <w:sz w:val="24"/>
          <w:szCs w:val="24"/>
        </w:rPr>
      </w:pPr>
    </w:p>
    <w:p w14:paraId="255418A8" w14:textId="77777777" w:rsidR="000565CD" w:rsidRPr="00363BCB" w:rsidRDefault="000565CD" w:rsidP="000565CD">
      <w:pPr>
        <w:spacing w:line="276" w:lineRule="auto"/>
        <w:jc w:val="both"/>
        <w:rPr>
          <w:rFonts w:ascii="Arial" w:hAnsi="Arial" w:cs="Arial"/>
          <w:b/>
          <w:bCs/>
          <w:sz w:val="24"/>
          <w:szCs w:val="24"/>
        </w:rPr>
      </w:pPr>
      <w:r w:rsidRPr="0073451D">
        <w:rPr>
          <w:rFonts w:ascii="Arial" w:hAnsi="Arial" w:cs="Arial"/>
          <w:b/>
          <w:bCs/>
          <w:sz w:val="24"/>
          <w:szCs w:val="24"/>
        </w:rPr>
        <w:t>PROYECTO DE LEY NO. ____ 2022 – CÁMARA</w:t>
      </w:r>
      <w:r>
        <w:rPr>
          <w:rFonts w:ascii="Arial" w:hAnsi="Arial" w:cs="Arial"/>
          <w:b/>
          <w:bCs/>
          <w:sz w:val="24"/>
          <w:szCs w:val="24"/>
        </w:rPr>
        <w:t xml:space="preserve"> </w:t>
      </w:r>
      <w:r w:rsidRPr="0073451D">
        <w:rPr>
          <w:rFonts w:ascii="Arial" w:hAnsi="Arial" w:cs="Arial"/>
          <w:color w:val="333333"/>
          <w:sz w:val="24"/>
          <w:szCs w:val="24"/>
          <w:shd w:val="clear" w:color="auto" w:fill="FFFFFF"/>
        </w:rPr>
        <w:t xml:space="preserve">“POR MEDIO DE LA CUAL SE </w:t>
      </w:r>
      <w:r>
        <w:rPr>
          <w:rFonts w:ascii="Arial" w:hAnsi="Arial" w:cs="Arial"/>
          <w:color w:val="333333"/>
          <w:sz w:val="24"/>
          <w:szCs w:val="24"/>
          <w:shd w:val="clear" w:color="auto" w:fill="FFFFFF"/>
        </w:rPr>
        <w:t>REFORMA EL ARTÍCULO 80</w:t>
      </w:r>
      <w:r w:rsidRPr="0073451D">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D</w:t>
      </w:r>
      <w:r w:rsidRPr="0073451D">
        <w:rPr>
          <w:rFonts w:ascii="Arial" w:hAnsi="Arial" w:cs="Arial"/>
          <w:color w:val="333333"/>
          <w:sz w:val="24"/>
          <w:szCs w:val="24"/>
          <w:shd w:val="clear" w:color="auto" w:fill="FFFFFF"/>
        </w:rPr>
        <w:t xml:space="preserve">EL CÓDIGO DE PROCEDIMIENTO ADMINISTRATIVO Y DE LO CONTENCIOSO ADMINISTRATIVO –LEY 1437 DE 2011– Y SE DICTAN OTRAS DISPOSICIONES”. </w:t>
      </w:r>
    </w:p>
    <w:p w14:paraId="2642A2ED" w14:textId="77777777" w:rsidR="000565CD" w:rsidRPr="002168D1" w:rsidRDefault="000565CD" w:rsidP="000565CD">
      <w:pPr>
        <w:rPr>
          <w:rFonts w:ascii="Arial" w:hAnsi="Arial" w:cs="Arial"/>
          <w:b/>
          <w:bCs/>
          <w:sz w:val="24"/>
          <w:szCs w:val="24"/>
        </w:rPr>
      </w:pPr>
    </w:p>
    <w:p w14:paraId="31678F9B" w14:textId="2CBAD4A3" w:rsidR="00B326CD" w:rsidRDefault="00B326CD" w:rsidP="000565CD">
      <w:pPr>
        <w:jc w:val="center"/>
      </w:pPr>
    </w:p>
    <w:p w14:paraId="167C4B22" w14:textId="395B09A1" w:rsidR="00F3416B" w:rsidRDefault="00F3416B" w:rsidP="000565CD">
      <w:pPr>
        <w:jc w:val="center"/>
      </w:pPr>
    </w:p>
    <w:p w14:paraId="748D3AC1" w14:textId="6913F313" w:rsidR="00F3416B" w:rsidRDefault="00F3416B" w:rsidP="000565CD">
      <w:pPr>
        <w:jc w:val="center"/>
      </w:pPr>
    </w:p>
    <w:p w14:paraId="3D610E92" w14:textId="4F78DBBE" w:rsidR="00F3416B" w:rsidRDefault="00F3416B" w:rsidP="000565CD">
      <w:pPr>
        <w:jc w:val="center"/>
      </w:pPr>
    </w:p>
    <w:p w14:paraId="6A92E6A8" w14:textId="20A7A4AF" w:rsidR="00F3416B" w:rsidRDefault="00F3416B" w:rsidP="000565CD">
      <w:pPr>
        <w:jc w:val="center"/>
      </w:pPr>
    </w:p>
    <w:p w14:paraId="5A658565" w14:textId="03BB59E6" w:rsidR="00F3416B" w:rsidRDefault="00F3416B" w:rsidP="000565CD">
      <w:pPr>
        <w:jc w:val="center"/>
      </w:pPr>
    </w:p>
    <w:p w14:paraId="457476BD" w14:textId="1FFC149E" w:rsidR="00F3416B" w:rsidRDefault="00F3416B" w:rsidP="000565CD">
      <w:pPr>
        <w:jc w:val="center"/>
      </w:pPr>
    </w:p>
    <w:p w14:paraId="24AFB0B7" w14:textId="031B229E" w:rsidR="00F3416B" w:rsidRDefault="00F3416B" w:rsidP="000565CD">
      <w:pPr>
        <w:jc w:val="center"/>
      </w:pPr>
    </w:p>
    <w:p w14:paraId="430BBB79" w14:textId="3423F404" w:rsidR="00F3416B" w:rsidRDefault="00F3416B" w:rsidP="000565CD">
      <w:pPr>
        <w:jc w:val="center"/>
      </w:pPr>
    </w:p>
    <w:p w14:paraId="62550CE0" w14:textId="73DBDBE4" w:rsidR="00F3416B" w:rsidRDefault="00F3416B" w:rsidP="000565CD">
      <w:pPr>
        <w:jc w:val="center"/>
      </w:pPr>
    </w:p>
    <w:p w14:paraId="548FB6F5" w14:textId="286ABC08" w:rsidR="00F3416B" w:rsidRDefault="00F3416B" w:rsidP="000565CD">
      <w:pPr>
        <w:jc w:val="center"/>
      </w:pPr>
    </w:p>
    <w:p w14:paraId="21BC4F62" w14:textId="503E1939" w:rsidR="00F3416B" w:rsidRDefault="00F3416B" w:rsidP="000565CD">
      <w:pPr>
        <w:jc w:val="center"/>
      </w:pPr>
    </w:p>
    <w:p w14:paraId="795A8981" w14:textId="215A05FD" w:rsidR="00F3416B" w:rsidRDefault="00F3416B" w:rsidP="000565CD">
      <w:pPr>
        <w:jc w:val="center"/>
      </w:pPr>
    </w:p>
    <w:p w14:paraId="15A47296" w14:textId="60CC9665" w:rsidR="00F3416B" w:rsidRDefault="00F3416B" w:rsidP="000565CD">
      <w:pPr>
        <w:jc w:val="center"/>
      </w:pPr>
    </w:p>
    <w:p w14:paraId="23B2797C" w14:textId="10EB46E4" w:rsidR="00F3416B" w:rsidRDefault="00F3416B" w:rsidP="000565CD">
      <w:pPr>
        <w:jc w:val="center"/>
      </w:pPr>
    </w:p>
    <w:p w14:paraId="2D0B5F30" w14:textId="284F7D6B" w:rsidR="00F3416B" w:rsidRDefault="00F3416B" w:rsidP="000565CD">
      <w:pPr>
        <w:jc w:val="center"/>
      </w:pPr>
    </w:p>
    <w:p w14:paraId="0C8B4891" w14:textId="566B9C38" w:rsidR="00F3416B" w:rsidRDefault="00F3416B" w:rsidP="000565CD">
      <w:pPr>
        <w:jc w:val="center"/>
      </w:pPr>
    </w:p>
    <w:p w14:paraId="7954FD5C" w14:textId="4C88BDA3" w:rsidR="00F3416B" w:rsidRDefault="00F3416B" w:rsidP="000565CD">
      <w:pPr>
        <w:jc w:val="center"/>
      </w:pPr>
    </w:p>
    <w:p w14:paraId="34E002F0" w14:textId="10DD7A2C" w:rsidR="00F3416B" w:rsidRDefault="00F3416B" w:rsidP="000565CD">
      <w:pPr>
        <w:jc w:val="center"/>
      </w:pPr>
    </w:p>
    <w:p w14:paraId="1BA49A51" w14:textId="14C0CEF9" w:rsidR="00F3416B" w:rsidRDefault="00F3416B" w:rsidP="000565CD">
      <w:pPr>
        <w:jc w:val="center"/>
      </w:pPr>
    </w:p>
    <w:p w14:paraId="4D31E1FB" w14:textId="77777777" w:rsidR="00F3416B" w:rsidRPr="00F3416B" w:rsidRDefault="00F3416B" w:rsidP="00A139F8">
      <w:pPr>
        <w:rPr>
          <w:rFonts w:ascii="Arial" w:hAnsi="Arial" w:cs="Arial"/>
          <w:sz w:val="24"/>
          <w:szCs w:val="24"/>
        </w:rPr>
      </w:pPr>
      <w:bookmarkStart w:id="1" w:name="_GoBack"/>
      <w:bookmarkEnd w:id="1"/>
    </w:p>
    <w:sectPr w:rsidR="00F3416B" w:rsidRPr="00F3416B" w:rsidSect="00771B8F">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52A74" w14:textId="77777777" w:rsidR="00C241C7" w:rsidRDefault="00C241C7" w:rsidP="00771B8F">
      <w:pPr>
        <w:spacing w:after="0" w:line="240" w:lineRule="auto"/>
      </w:pPr>
      <w:r>
        <w:separator/>
      </w:r>
    </w:p>
  </w:endnote>
  <w:endnote w:type="continuationSeparator" w:id="0">
    <w:p w14:paraId="18AA3D7A" w14:textId="77777777" w:rsidR="00C241C7" w:rsidRDefault="00C241C7" w:rsidP="0077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B1257" w14:textId="77777777" w:rsidR="009F5D1A" w:rsidRDefault="009F5D1A">
    <w:pPr>
      <w:pStyle w:val="Piedepgina"/>
    </w:pPr>
    <w:r>
      <w:rPr>
        <w:noProof/>
        <w:lang w:eastAsia="es-CO"/>
      </w:rPr>
      <w:drawing>
        <wp:anchor distT="0" distB="0" distL="114300" distR="114300" simplePos="0" relativeHeight="251663360" behindDoc="1" locked="0" layoutInCell="1" allowOverlap="1" wp14:anchorId="183581DA" wp14:editId="57C33A19">
          <wp:simplePos x="0" y="0"/>
          <wp:positionH relativeFrom="margin">
            <wp:posOffset>135890</wp:posOffset>
          </wp:positionH>
          <wp:positionV relativeFrom="paragraph">
            <wp:posOffset>-568629</wp:posOffset>
          </wp:positionV>
          <wp:extent cx="5261406" cy="106741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1406" cy="10674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5955A" w14:textId="77777777" w:rsidR="00C241C7" w:rsidRDefault="00C241C7" w:rsidP="00771B8F">
      <w:pPr>
        <w:spacing w:after="0" w:line="240" w:lineRule="auto"/>
      </w:pPr>
      <w:r>
        <w:separator/>
      </w:r>
    </w:p>
  </w:footnote>
  <w:footnote w:type="continuationSeparator" w:id="0">
    <w:p w14:paraId="1E7B30D7" w14:textId="77777777" w:rsidR="00C241C7" w:rsidRDefault="00C241C7" w:rsidP="00771B8F">
      <w:pPr>
        <w:spacing w:after="0" w:line="240" w:lineRule="auto"/>
      </w:pPr>
      <w:r>
        <w:continuationSeparator/>
      </w:r>
    </w:p>
  </w:footnote>
  <w:footnote w:id="1">
    <w:p w14:paraId="657112EC" w14:textId="77777777" w:rsidR="000565CD" w:rsidRDefault="000565CD" w:rsidP="000565CD">
      <w:pPr>
        <w:pStyle w:val="Textonotapie"/>
      </w:pPr>
      <w:r>
        <w:rPr>
          <w:rStyle w:val="Refdenotaalpie"/>
        </w:rPr>
        <w:footnoteRef/>
      </w:r>
      <w:r>
        <w:t xml:space="preserve"> Corte Constitucional, Sentencia C-007 de 2017. M.P. Gloria Stella Ortiz Delgado.</w:t>
      </w:r>
    </w:p>
  </w:footnote>
  <w:footnote w:id="2">
    <w:p w14:paraId="3DEFC3BF" w14:textId="77777777" w:rsidR="000565CD" w:rsidRDefault="000565CD" w:rsidP="000565CD">
      <w:pPr>
        <w:pStyle w:val="Textonotapie"/>
      </w:pPr>
      <w:r>
        <w:rPr>
          <w:rStyle w:val="Refdenotaalpie"/>
        </w:rPr>
        <w:footnoteRef/>
      </w:r>
      <w:r>
        <w:t xml:space="preserve"> Corte Constitucional, Sentencia C-007 de 2017. M.P. Gloria Stella Ortiz Delgado.</w:t>
      </w:r>
    </w:p>
  </w:footnote>
  <w:footnote w:id="3">
    <w:p w14:paraId="32355253" w14:textId="77777777" w:rsidR="000565CD" w:rsidRDefault="000565CD" w:rsidP="000565CD">
      <w:pPr>
        <w:pStyle w:val="Textonotapie"/>
      </w:pPr>
      <w:r>
        <w:rPr>
          <w:rStyle w:val="Refdenotaalpie"/>
        </w:rPr>
        <w:footnoteRef/>
      </w:r>
      <w:r>
        <w:t xml:space="preserve"> Ibidem.</w:t>
      </w:r>
    </w:p>
  </w:footnote>
  <w:footnote w:id="4">
    <w:p w14:paraId="42A40F1F" w14:textId="77777777" w:rsidR="000565CD" w:rsidRPr="00D5157B" w:rsidRDefault="000565CD" w:rsidP="000565CD">
      <w:pPr>
        <w:pStyle w:val="Textonotapie"/>
        <w:rPr>
          <w:lang w:val="es-CO"/>
        </w:rPr>
      </w:pPr>
      <w:r>
        <w:rPr>
          <w:rStyle w:val="Refdenotaalpie"/>
        </w:rPr>
        <w:footnoteRef/>
      </w:r>
      <w:r>
        <w:t xml:space="preserve"> </w:t>
      </w:r>
      <w:r w:rsidRPr="00D5157B">
        <w:t>Aparte tachado inexequible por la Sentencia C-721 de 2015, M.P.: Jorge Ignacio Pretelt Chaljub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70192" w14:textId="77777777" w:rsidR="00771B8F" w:rsidRDefault="00771B8F">
    <w:pPr>
      <w:pStyle w:val="Encabezado"/>
    </w:pPr>
    <w:r>
      <w:rPr>
        <w:noProof/>
        <w:lang w:eastAsia="es-CO"/>
      </w:rPr>
      <w:drawing>
        <wp:anchor distT="0" distB="0" distL="114300" distR="114300" simplePos="0" relativeHeight="251661312" behindDoc="1" locked="0" layoutInCell="1" allowOverlap="1" wp14:anchorId="58AD13D9" wp14:editId="02DF40BB">
          <wp:simplePos x="0" y="0"/>
          <wp:positionH relativeFrom="column">
            <wp:posOffset>3869368</wp:posOffset>
          </wp:positionH>
          <wp:positionV relativeFrom="paragraph">
            <wp:posOffset>-15240</wp:posOffset>
          </wp:positionV>
          <wp:extent cx="2095500" cy="690245"/>
          <wp:effectExtent l="0" t="0" r="0" b="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_20220417_173301_0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6902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1" locked="0" layoutInCell="1" allowOverlap="1" wp14:anchorId="49C2F1B1" wp14:editId="56BEF023">
          <wp:simplePos x="0" y="0"/>
          <wp:positionH relativeFrom="column">
            <wp:posOffset>-376868</wp:posOffset>
          </wp:positionH>
          <wp:positionV relativeFrom="paragraph">
            <wp:posOffset>11430</wp:posOffset>
          </wp:positionV>
          <wp:extent cx="2567940" cy="754380"/>
          <wp:effectExtent l="0" t="0" r="381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7940" cy="754380"/>
                  </a:xfrm>
                  <a:prstGeom prst="rect">
                    <a:avLst/>
                  </a:prstGeom>
                  <a:noFill/>
                </pic:spPr>
              </pic:pic>
            </a:graphicData>
          </a:graphic>
          <wp14:sizeRelH relativeFrom="page">
            <wp14:pctWidth>0</wp14:pctWidth>
          </wp14:sizeRelH>
          <wp14:sizeRelV relativeFrom="page">
            <wp14:pctHeight>0</wp14:pctHeight>
          </wp14:sizeRelV>
        </wp:anchor>
      </w:drawing>
    </w:r>
  </w:p>
  <w:p w14:paraId="73C41601" w14:textId="77777777" w:rsidR="00771B8F" w:rsidRDefault="00771B8F">
    <w:pPr>
      <w:pStyle w:val="Encabezado"/>
    </w:pPr>
    <w:r>
      <w:rPr>
        <w:noProof/>
        <w:lang w:eastAsia="es-CO"/>
      </w:rPr>
      <w:drawing>
        <wp:anchor distT="0" distB="0" distL="114300" distR="114300" simplePos="0" relativeHeight="251662336" behindDoc="1" locked="0" layoutInCell="1" allowOverlap="1" wp14:anchorId="760F6194" wp14:editId="471F5610">
          <wp:simplePos x="0" y="0"/>
          <wp:positionH relativeFrom="margin">
            <wp:posOffset>-246398</wp:posOffset>
          </wp:positionH>
          <wp:positionV relativeFrom="paragraph">
            <wp:posOffset>2654300</wp:posOffset>
          </wp:positionV>
          <wp:extent cx="6252061" cy="2850467"/>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52061" cy="28504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C1713"/>
    <w:multiLevelType w:val="multilevel"/>
    <w:tmpl w:val="1E60D3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8F"/>
    <w:rsid w:val="00045908"/>
    <w:rsid w:val="0004642F"/>
    <w:rsid w:val="00047EB9"/>
    <w:rsid w:val="000565CD"/>
    <w:rsid w:val="000E60C0"/>
    <w:rsid w:val="00117757"/>
    <w:rsid w:val="00125467"/>
    <w:rsid w:val="00151E80"/>
    <w:rsid w:val="00164330"/>
    <w:rsid w:val="0019091A"/>
    <w:rsid w:val="001E77E0"/>
    <w:rsid w:val="002645F5"/>
    <w:rsid w:val="002C3887"/>
    <w:rsid w:val="00510F3B"/>
    <w:rsid w:val="005222E1"/>
    <w:rsid w:val="00524B42"/>
    <w:rsid w:val="00561642"/>
    <w:rsid w:val="006B1F58"/>
    <w:rsid w:val="00771B8F"/>
    <w:rsid w:val="007C24E4"/>
    <w:rsid w:val="007F3553"/>
    <w:rsid w:val="00890DF3"/>
    <w:rsid w:val="009451ED"/>
    <w:rsid w:val="00974A72"/>
    <w:rsid w:val="0098275D"/>
    <w:rsid w:val="009A04FB"/>
    <w:rsid w:val="009D70BC"/>
    <w:rsid w:val="009E0DF2"/>
    <w:rsid w:val="009F5D1A"/>
    <w:rsid w:val="00A139F8"/>
    <w:rsid w:val="00A61B61"/>
    <w:rsid w:val="00B326CD"/>
    <w:rsid w:val="00B8278B"/>
    <w:rsid w:val="00BB0D6B"/>
    <w:rsid w:val="00C241C7"/>
    <w:rsid w:val="00C51671"/>
    <w:rsid w:val="00CD05B2"/>
    <w:rsid w:val="00D977F0"/>
    <w:rsid w:val="00DD17F6"/>
    <w:rsid w:val="00DE1686"/>
    <w:rsid w:val="00DE5CA0"/>
    <w:rsid w:val="00E66A84"/>
    <w:rsid w:val="00F3416B"/>
    <w:rsid w:val="00FE7E32"/>
    <w:rsid w:val="00FF5B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B338"/>
  <w15:chartTrackingRefBased/>
  <w15:docId w15:val="{615E80D5-82EF-4CA0-B48F-185C4B20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B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B8F"/>
  </w:style>
  <w:style w:type="paragraph" w:styleId="Piedepgina">
    <w:name w:val="footer"/>
    <w:basedOn w:val="Normal"/>
    <w:link w:val="PiedepginaCar"/>
    <w:uiPriority w:val="99"/>
    <w:unhideWhenUsed/>
    <w:rsid w:val="00771B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B8F"/>
  </w:style>
  <w:style w:type="character" w:styleId="Hipervnculo">
    <w:name w:val="Hyperlink"/>
    <w:basedOn w:val="Fuentedeprrafopredeter"/>
    <w:uiPriority w:val="99"/>
    <w:unhideWhenUsed/>
    <w:rsid w:val="00B326CD"/>
    <w:rPr>
      <w:color w:val="0563C1" w:themeColor="hyperlink"/>
      <w:u w:val="single"/>
    </w:rPr>
  </w:style>
  <w:style w:type="character" w:styleId="Mencinsinresolver">
    <w:name w:val="Unresolved Mention"/>
    <w:basedOn w:val="Fuentedeprrafopredeter"/>
    <w:uiPriority w:val="99"/>
    <w:semiHidden/>
    <w:unhideWhenUsed/>
    <w:rsid w:val="00FE7E32"/>
    <w:rPr>
      <w:color w:val="605E5C"/>
      <w:shd w:val="clear" w:color="auto" w:fill="E1DFDD"/>
    </w:rPr>
  </w:style>
  <w:style w:type="character" w:styleId="nfasis">
    <w:name w:val="Emphasis"/>
    <w:basedOn w:val="Fuentedeprrafopredeter"/>
    <w:uiPriority w:val="20"/>
    <w:qFormat/>
    <w:rsid w:val="000E60C0"/>
    <w:rPr>
      <w:i/>
      <w:iCs/>
    </w:rPr>
  </w:style>
  <w:style w:type="paragraph" w:styleId="Sinespaciado">
    <w:name w:val="No Spacing"/>
    <w:uiPriority w:val="1"/>
    <w:qFormat/>
    <w:rsid w:val="000565CD"/>
    <w:pPr>
      <w:spacing w:after="0" w:line="240" w:lineRule="auto"/>
    </w:pPr>
  </w:style>
  <w:style w:type="paragraph" w:styleId="Textonotapie">
    <w:name w:val="footnote text"/>
    <w:basedOn w:val="Normal"/>
    <w:link w:val="TextonotapieCar"/>
    <w:uiPriority w:val="99"/>
    <w:unhideWhenUsed/>
    <w:rsid w:val="000565CD"/>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0565CD"/>
    <w:rPr>
      <w:sz w:val="20"/>
      <w:szCs w:val="20"/>
      <w:lang w:val="es-ES"/>
    </w:rPr>
  </w:style>
  <w:style w:type="character" w:styleId="Refdenotaalpie">
    <w:name w:val="footnote reference"/>
    <w:basedOn w:val="Fuentedeprrafopredeter"/>
    <w:uiPriority w:val="99"/>
    <w:semiHidden/>
    <w:unhideWhenUsed/>
    <w:rsid w:val="000565CD"/>
    <w:rPr>
      <w:vertAlign w:val="superscript"/>
    </w:rPr>
  </w:style>
  <w:style w:type="paragraph" w:styleId="Prrafodelista">
    <w:name w:val="List Paragraph"/>
    <w:basedOn w:val="Normal"/>
    <w:uiPriority w:val="34"/>
    <w:qFormat/>
    <w:rsid w:val="000565CD"/>
    <w:pPr>
      <w:ind w:left="720"/>
      <w:contextualSpacing/>
    </w:pPr>
  </w:style>
  <w:style w:type="paragraph" w:styleId="NormalWeb">
    <w:name w:val="Normal (Web)"/>
    <w:basedOn w:val="Normal"/>
    <w:uiPriority w:val="99"/>
    <w:unhideWhenUsed/>
    <w:rsid w:val="000565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565CD"/>
  </w:style>
  <w:style w:type="character" w:customStyle="1" w:styleId="baj">
    <w:name w:val="b_aj"/>
    <w:basedOn w:val="Fuentedeprrafopredeter"/>
    <w:rsid w:val="000565CD"/>
  </w:style>
  <w:style w:type="paragraph" w:styleId="Textodeglobo">
    <w:name w:val="Balloon Text"/>
    <w:basedOn w:val="Normal"/>
    <w:link w:val="TextodegloboCar"/>
    <w:uiPriority w:val="99"/>
    <w:semiHidden/>
    <w:unhideWhenUsed/>
    <w:rsid w:val="00522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0981">
      <w:bodyDiv w:val="1"/>
      <w:marLeft w:val="0"/>
      <w:marRight w:val="0"/>
      <w:marTop w:val="0"/>
      <w:marBottom w:val="0"/>
      <w:divBdr>
        <w:top w:val="none" w:sz="0" w:space="0" w:color="auto"/>
        <w:left w:val="none" w:sz="0" w:space="0" w:color="auto"/>
        <w:bottom w:val="none" w:sz="0" w:space="0" w:color="auto"/>
        <w:right w:val="none" w:sz="0" w:space="0" w:color="auto"/>
      </w:divBdr>
      <w:divsChild>
        <w:div w:id="1627739570">
          <w:marLeft w:val="0"/>
          <w:marRight w:val="0"/>
          <w:marTop w:val="0"/>
          <w:marBottom w:val="0"/>
          <w:divBdr>
            <w:top w:val="none" w:sz="0" w:space="0" w:color="auto"/>
            <w:left w:val="none" w:sz="0" w:space="0" w:color="auto"/>
            <w:bottom w:val="none" w:sz="0" w:space="0" w:color="auto"/>
            <w:right w:val="none" w:sz="0" w:space="0" w:color="auto"/>
          </w:divBdr>
          <w:divsChild>
            <w:div w:id="1029989529">
              <w:marLeft w:val="0"/>
              <w:marRight w:val="0"/>
              <w:marTop w:val="0"/>
              <w:marBottom w:val="0"/>
              <w:divBdr>
                <w:top w:val="none" w:sz="0" w:space="0" w:color="auto"/>
                <w:left w:val="none" w:sz="0" w:space="0" w:color="auto"/>
                <w:bottom w:val="none" w:sz="0" w:space="0" w:color="auto"/>
                <w:right w:val="none" w:sz="0" w:space="0" w:color="auto"/>
              </w:divBdr>
              <w:divsChild>
                <w:div w:id="12538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1437_2011_pr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Ingenius</dc:creator>
  <cp:keywords/>
  <dc:description/>
  <cp:lastModifiedBy>Edison Vladimir Olaya Mancipe</cp:lastModifiedBy>
  <cp:revision>2</cp:revision>
  <cp:lastPrinted>2022-12-15T17:21:00Z</cp:lastPrinted>
  <dcterms:created xsi:type="dcterms:W3CDTF">2022-12-15T20:01:00Z</dcterms:created>
  <dcterms:modified xsi:type="dcterms:W3CDTF">2022-12-15T20:01:00Z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b701b96aad313bfebd5fd4ac23fa2afe6ece99584c8b0120c6db5d85d36ef3ab</vt:lpwstr>
  </property>
</Properties>
</file>