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16B37" w14:textId="0E685130" w:rsidR="009468A4" w:rsidRPr="00951027" w:rsidRDefault="00735674" w:rsidP="009C2DA3">
      <w:pPr>
        <w:jc w:val="center"/>
        <w:rPr>
          <w:rFonts w:ascii="Times New Roman" w:eastAsia="Times New Roman" w:hAnsi="Times New Roman" w:cs="Times New Roman"/>
          <w:b/>
          <w:bCs/>
          <w:lang w:eastAsia="es-MX"/>
        </w:rPr>
      </w:pPr>
      <w:r>
        <w:rPr>
          <w:rFonts w:ascii="Times New Roman" w:eastAsia="Times New Roman" w:hAnsi="Times New Roman" w:cs="Times New Roman"/>
          <w:b/>
          <w:bCs/>
          <w:lang w:eastAsia="es-MX"/>
        </w:rPr>
        <w:t>Proyecto de Ley</w:t>
      </w:r>
      <w:r w:rsidR="001E3202">
        <w:rPr>
          <w:rFonts w:ascii="Times New Roman" w:eastAsia="Times New Roman" w:hAnsi="Times New Roman" w:cs="Times New Roman"/>
          <w:b/>
          <w:bCs/>
          <w:lang w:eastAsia="es-MX"/>
        </w:rPr>
        <w:t xml:space="preserve"> No. 301</w:t>
      </w:r>
      <w:r w:rsidR="005B6328" w:rsidRPr="00951027">
        <w:rPr>
          <w:rFonts w:ascii="Times New Roman" w:eastAsia="Times New Roman" w:hAnsi="Times New Roman" w:cs="Times New Roman"/>
          <w:b/>
          <w:bCs/>
          <w:lang w:eastAsia="es-MX"/>
        </w:rPr>
        <w:t xml:space="preserve"> de 202</w:t>
      </w:r>
      <w:r w:rsidR="009468A4" w:rsidRPr="00951027">
        <w:rPr>
          <w:rFonts w:ascii="Times New Roman" w:eastAsia="Times New Roman" w:hAnsi="Times New Roman" w:cs="Times New Roman"/>
          <w:b/>
          <w:bCs/>
          <w:lang w:eastAsia="es-MX"/>
        </w:rPr>
        <w:t>2</w:t>
      </w:r>
      <w:r w:rsidR="00276DD1">
        <w:rPr>
          <w:rFonts w:ascii="Times New Roman" w:eastAsia="Times New Roman" w:hAnsi="Times New Roman" w:cs="Times New Roman"/>
          <w:b/>
          <w:bCs/>
          <w:lang w:eastAsia="es-MX"/>
        </w:rPr>
        <w:t xml:space="preserve"> “Por medio del cual se dictan disposiciones para garantizar la estabilidad laboral de los adultos mayores como medida para prevenir el “edadismo” o la discriminación por edad. </w:t>
      </w:r>
    </w:p>
    <w:p w14:paraId="1F9F84FE" w14:textId="77777777" w:rsidR="009468A4" w:rsidRPr="00AD73C5" w:rsidRDefault="009468A4" w:rsidP="009C2DA3">
      <w:pPr>
        <w:jc w:val="center"/>
        <w:rPr>
          <w:rFonts w:ascii="Times New Roman" w:eastAsia="Times New Roman" w:hAnsi="Times New Roman" w:cs="Times New Roman"/>
          <w:lang w:eastAsia="es-MX"/>
        </w:rPr>
      </w:pPr>
    </w:p>
    <w:p w14:paraId="1DB18AB9" w14:textId="44F8EE73" w:rsidR="009468A4" w:rsidRPr="00AD73C5" w:rsidRDefault="009468A4" w:rsidP="005B6328">
      <w:pPr>
        <w:rPr>
          <w:rFonts w:ascii="Times New Roman" w:eastAsia="Times New Roman" w:hAnsi="Times New Roman" w:cs="Times New Roman"/>
          <w:lang w:eastAsia="es-MX"/>
        </w:rPr>
      </w:pPr>
    </w:p>
    <w:p w14:paraId="1CE09416" w14:textId="77777777" w:rsidR="009C2DA3" w:rsidRPr="00AD73C5" w:rsidRDefault="009C2DA3" w:rsidP="005B6328">
      <w:pPr>
        <w:rPr>
          <w:rFonts w:ascii="Times New Roman" w:eastAsia="Times New Roman" w:hAnsi="Times New Roman" w:cs="Times New Roman"/>
          <w:lang w:eastAsia="es-MX"/>
        </w:rPr>
      </w:pPr>
    </w:p>
    <w:p w14:paraId="2B9F8D34" w14:textId="6A40C051" w:rsidR="009468A4" w:rsidRPr="00AD73C5" w:rsidRDefault="005B6328" w:rsidP="005B6328">
      <w:pPr>
        <w:rPr>
          <w:rFonts w:ascii="Times New Roman" w:eastAsia="Times New Roman" w:hAnsi="Times New Roman" w:cs="Times New Roman"/>
          <w:lang w:eastAsia="es-MX"/>
        </w:rPr>
      </w:pPr>
      <w:r w:rsidRPr="00AD73C5">
        <w:rPr>
          <w:rFonts w:ascii="Times New Roman" w:eastAsia="Times New Roman" w:hAnsi="Times New Roman" w:cs="Times New Roman"/>
          <w:lang w:eastAsia="es-MX"/>
        </w:rPr>
        <w:t xml:space="preserve">Bogotá, D.C., </w:t>
      </w:r>
      <w:r w:rsidR="002418F8">
        <w:rPr>
          <w:rFonts w:ascii="Times New Roman" w:eastAsia="Times New Roman" w:hAnsi="Times New Roman" w:cs="Times New Roman"/>
          <w:lang w:eastAsia="es-MX"/>
        </w:rPr>
        <w:t>agosto</w:t>
      </w:r>
      <w:r w:rsidRPr="00AD73C5">
        <w:rPr>
          <w:rFonts w:ascii="Times New Roman" w:eastAsia="Times New Roman" w:hAnsi="Times New Roman" w:cs="Times New Roman"/>
          <w:lang w:eastAsia="es-MX"/>
        </w:rPr>
        <w:t xml:space="preserve"> de 202</w:t>
      </w:r>
      <w:r w:rsidR="002418F8">
        <w:rPr>
          <w:rFonts w:ascii="Times New Roman" w:eastAsia="Times New Roman" w:hAnsi="Times New Roman" w:cs="Times New Roman"/>
          <w:lang w:eastAsia="es-MX"/>
        </w:rPr>
        <w:t>2</w:t>
      </w:r>
      <w:r w:rsidRPr="00AD73C5">
        <w:rPr>
          <w:rFonts w:ascii="Times New Roman" w:eastAsia="Times New Roman" w:hAnsi="Times New Roman" w:cs="Times New Roman"/>
          <w:lang w:eastAsia="es-MX"/>
        </w:rPr>
        <w:t xml:space="preserve"> </w:t>
      </w:r>
    </w:p>
    <w:p w14:paraId="3BD0209D" w14:textId="77777777" w:rsidR="009468A4" w:rsidRPr="00AD73C5" w:rsidRDefault="009468A4" w:rsidP="005B6328">
      <w:pPr>
        <w:rPr>
          <w:rFonts w:ascii="Times New Roman" w:eastAsia="Times New Roman" w:hAnsi="Times New Roman" w:cs="Times New Roman"/>
          <w:lang w:eastAsia="es-MX"/>
        </w:rPr>
      </w:pPr>
    </w:p>
    <w:p w14:paraId="5B95F42F" w14:textId="6E9DCF74" w:rsidR="009468A4" w:rsidRPr="00AD73C5" w:rsidRDefault="009468A4" w:rsidP="005B6328">
      <w:pPr>
        <w:rPr>
          <w:rFonts w:ascii="Times New Roman" w:eastAsia="Times New Roman" w:hAnsi="Times New Roman" w:cs="Times New Roman"/>
          <w:lang w:eastAsia="es-MX"/>
        </w:rPr>
      </w:pPr>
    </w:p>
    <w:p w14:paraId="372C8F93" w14:textId="77777777" w:rsidR="009C2DA3" w:rsidRPr="00AD73C5" w:rsidRDefault="009C2DA3" w:rsidP="005B6328">
      <w:pPr>
        <w:rPr>
          <w:rFonts w:ascii="Times New Roman" w:eastAsia="Times New Roman" w:hAnsi="Times New Roman" w:cs="Times New Roman"/>
          <w:lang w:eastAsia="es-MX"/>
        </w:rPr>
      </w:pPr>
    </w:p>
    <w:p w14:paraId="0F16CB33" w14:textId="12CB5A0E" w:rsidR="009468A4" w:rsidRDefault="005B6328" w:rsidP="005B6328">
      <w:pPr>
        <w:rPr>
          <w:rFonts w:ascii="Times New Roman" w:eastAsia="Times New Roman" w:hAnsi="Times New Roman" w:cs="Times New Roman"/>
          <w:lang w:eastAsia="es-MX"/>
        </w:rPr>
      </w:pPr>
      <w:r w:rsidRPr="00AD73C5">
        <w:rPr>
          <w:rFonts w:ascii="Times New Roman" w:eastAsia="Times New Roman" w:hAnsi="Times New Roman" w:cs="Times New Roman"/>
          <w:lang w:eastAsia="es-MX"/>
        </w:rPr>
        <w:t xml:space="preserve">Señor </w:t>
      </w:r>
    </w:p>
    <w:p w14:paraId="1E4A85E7" w14:textId="062C2273" w:rsidR="00735674" w:rsidRPr="00AD73C5" w:rsidRDefault="00735674" w:rsidP="005B6328">
      <w:pPr>
        <w:rPr>
          <w:rFonts w:ascii="Times New Roman" w:eastAsia="Times New Roman" w:hAnsi="Times New Roman" w:cs="Times New Roman"/>
          <w:lang w:eastAsia="es-MX"/>
        </w:rPr>
      </w:pPr>
      <w:r>
        <w:rPr>
          <w:rFonts w:ascii="Times New Roman" w:eastAsia="Times New Roman" w:hAnsi="Times New Roman" w:cs="Times New Roman"/>
          <w:lang w:eastAsia="es-MX"/>
        </w:rPr>
        <w:t>David Ricardo Racero</w:t>
      </w:r>
    </w:p>
    <w:p w14:paraId="1AAC775D" w14:textId="77777777" w:rsidR="009468A4" w:rsidRPr="00AD73C5" w:rsidRDefault="005B6328" w:rsidP="005B6328">
      <w:pPr>
        <w:rPr>
          <w:rFonts w:ascii="Times New Roman" w:eastAsia="Times New Roman" w:hAnsi="Times New Roman" w:cs="Times New Roman"/>
          <w:lang w:eastAsia="es-MX"/>
        </w:rPr>
      </w:pPr>
      <w:r w:rsidRPr="00AD73C5">
        <w:rPr>
          <w:rFonts w:ascii="Times New Roman" w:eastAsia="Times New Roman" w:hAnsi="Times New Roman" w:cs="Times New Roman"/>
          <w:lang w:eastAsia="es-MX"/>
        </w:rPr>
        <w:t xml:space="preserve">Presidente </w:t>
      </w:r>
    </w:p>
    <w:p w14:paraId="763A8202" w14:textId="7F33532D" w:rsidR="009468A4" w:rsidRPr="00AD73C5" w:rsidRDefault="009468A4" w:rsidP="005B6328">
      <w:pPr>
        <w:rPr>
          <w:rFonts w:ascii="Times New Roman" w:eastAsia="Times New Roman" w:hAnsi="Times New Roman" w:cs="Times New Roman"/>
          <w:lang w:eastAsia="es-MX"/>
        </w:rPr>
      </w:pPr>
      <w:r w:rsidRPr="00AD73C5">
        <w:rPr>
          <w:rFonts w:ascii="Times New Roman" w:eastAsia="Times New Roman" w:hAnsi="Times New Roman" w:cs="Times New Roman"/>
          <w:lang w:eastAsia="es-MX"/>
        </w:rPr>
        <w:t>Cámara de Representantes</w:t>
      </w:r>
    </w:p>
    <w:p w14:paraId="6F0AE3C0" w14:textId="0ACBEA2F" w:rsidR="009468A4" w:rsidRPr="00AD73C5" w:rsidRDefault="009468A4" w:rsidP="005B6328">
      <w:pPr>
        <w:rPr>
          <w:rFonts w:ascii="Times New Roman" w:eastAsia="Times New Roman" w:hAnsi="Times New Roman" w:cs="Times New Roman"/>
          <w:lang w:eastAsia="es-MX"/>
        </w:rPr>
      </w:pPr>
      <w:r w:rsidRPr="00AD73C5">
        <w:rPr>
          <w:rFonts w:ascii="Times New Roman" w:eastAsia="Times New Roman" w:hAnsi="Times New Roman" w:cs="Times New Roman"/>
          <w:lang w:eastAsia="es-MX"/>
        </w:rPr>
        <w:t>Bogotá - Colombia</w:t>
      </w:r>
    </w:p>
    <w:p w14:paraId="6C25EAFB" w14:textId="77777777" w:rsidR="009468A4" w:rsidRPr="00AD73C5" w:rsidRDefault="009468A4" w:rsidP="005B6328">
      <w:pPr>
        <w:rPr>
          <w:rFonts w:ascii="Times New Roman" w:eastAsia="Times New Roman" w:hAnsi="Times New Roman" w:cs="Times New Roman"/>
          <w:lang w:eastAsia="es-MX"/>
        </w:rPr>
      </w:pPr>
    </w:p>
    <w:p w14:paraId="1E96A5DE" w14:textId="4EE7E355" w:rsidR="00276DD1" w:rsidRPr="00951027" w:rsidRDefault="005B6328" w:rsidP="00E84D8C">
      <w:pPr>
        <w:jc w:val="both"/>
        <w:rPr>
          <w:rFonts w:ascii="Times New Roman" w:eastAsia="Times New Roman" w:hAnsi="Times New Roman" w:cs="Times New Roman"/>
          <w:b/>
          <w:bCs/>
          <w:lang w:eastAsia="es-MX"/>
        </w:rPr>
      </w:pPr>
      <w:r w:rsidRPr="00AD73C5">
        <w:rPr>
          <w:rFonts w:ascii="Times New Roman" w:eastAsia="Times New Roman" w:hAnsi="Times New Roman" w:cs="Times New Roman"/>
          <w:lang w:eastAsia="es-MX"/>
        </w:rPr>
        <w:t xml:space="preserve">Asunto: Presentación del Proyecto de Acto Legislativo </w:t>
      </w:r>
      <w:r w:rsidR="00276DD1">
        <w:rPr>
          <w:rFonts w:ascii="Times New Roman" w:eastAsia="Times New Roman" w:hAnsi="Times New Roman" w:cs="Times New Roman"/>
          <w:b/>
          <w:bCs/>
          <w:lang w:eastAsia="es-MX"/>
        </w:rPr>
        <w:t>Proyecto de Ley</w:t>
      </w:r>
      <w:r w:rsidR="001A25E4">
        <w:rPr>
          <w:rFonts w:ascii="Times New Roman" w:eastAsia="Times New Roman" w:hAnsi="Times New Roman" w:cs="Times New Roman"/>
          <w:b/>
          <w:bCs/>
          <w:lang w:eastAsia="es-MX"/>
        </w:rPr>
        <w:t xml:space="preserve"> No. 301 </w:t>
      </w:r>
      <w:r w:rsidR="00276DD1" w:rsidRPr="00951027">
        <w:rPr>
          <w:rFonts w:ascii="Times New Roman" w:eastAsia="Times New Roman" w:hAnsi="Times New Roman" w:cs="Times New Roman"/>
          <w:b/>
          <w:bCs/>
          <w:lang w:eastAsia="es-MX"/>
        </w:rPr>
        <w:t>de 2022</w:t>
      </w:r>
      <w:r w:rsidR="00276DD1">
        <w:rPr>
          <w:rFonts w:ascii="Times New Roman" w:eastAsia="Times New Roman" w:hAnsi="Times New Roman" w:cs="Times New Roman"/>
          <w:b/>
          <w:bCs/>
          <w:lang w:eastAsia="es-MX"/>
        </w:rPr>
        <w:t xml:space="preserve"> “Por medio del cual se dictan disposiciones para garantizar la estabilidad laboral de los adultos mayores como medida para prevenir el “edadismo” o la discriminación por edad</w:t>
      </w:r>
      <w:r w:rsidR="00E84D8C">
        <w:rPr>
          <w:rFonts w:ascii="Times New Roman" w:eastAsia="Times New Roman" w:hAnsi="Times New Roman" w:cs="Times New Roman"/>
          <w:b/>
          <w:bCs/>
          <w:lang w:eastAsia="es-MX"/>
        </w:rPr>
        <w:t>”</w:t>
      </w:r>
      <w:r w:rsidR="00276DD1">
        <w:rPr>
          <w:rFonts w:ascii="Times New Roman" w:eastAsia="Times New Roman" w:hAnsi="Times New Roman" w:cs="Times New Roman"/>
          <w:b/>
          <w:bCs/>
          <w:lang w:eastAsia="es-MX"/>
        </w:rPr>
        <w:t xml:space="preserve">. </w:t>
      </w:r>
    </w:p>
    <w:p w14:paraId="353DF0C4" w14:textId="233AB74C" w:rsidR="00735674" w:rsidRPr="00AD73C5" w:rsidRDefault="00735674" w:rsidP="00735674">
      <w:pPr>
        <w:jc w:val="center"/>
        <w:rPr>
          <w:rFonts w:ascii="Times New Roman" w:eastAsia="Times New Roman" w:hAnsi="Times New Roman" w:cs="Times New Roman"/>
          <w:lang w:eastAsia="es-MX"/>
        </w:rPr>
      </w:pPr>
    </w:p>
    <w:p w14:paraId="0ADA83D8" w14:textId="2F2A8058" w:rsidR="009468A4" w:rsidRPr="00AD73C5" w:rsidRDefault="009468A4" w:rsidP="009468A4">
      <w:pPr>
        <w:rPr>
          <w:rFonts w:ascii="Times New Roman" w:eastAsia="Times New Roman" w:hAnsi="Times New Roman" w:cs="Times New Roman"/>
          <w:lang w:eastAsia="es-MX"/>
        </w:rPr>
      </w:pPr>
    </w:p>
    <w:p w14:paraId="0634FD16" w14:textId="7C00BA53" w:rsidR="009468A4" w:rsidRPr="00AD73C5" w:rsidRDefault="009468A4" w:rsidP="00CD5E71">
      <w:pPr>
        <w:jc w:val="both"/>
        <w:rPr>
          <w:rFonts w:ascii="Times New Roman" w:eastAsia="Times New Roman" w:hAnsi="Times New Roman" w:cs="Times New Roman"/>
          <w:lang w:eastAsia="es-MX"/>
        </w:rPr>
      </w:pPr>
    </w:p>
    <w:p w14:paraId="11BEAEAC" w14:textId="77777777" w:rsidR="009468A4" w:rsidRPr="00AD73C5" w:rsidRDefault="009468A4" w:rsidP="00CD5E71">
      <w:pPr>
        <w:jc w:val="both"/>
        <w:rPr>
          <w:rFonts w:ascii="Times New Roman" w:eastAsia="Times New Roman" w:hAnsi="Times New Roman" w:cs="Times New Roman"/>
          <w:lang w:eastAsia="es-MX"/>
        </w:rPr>
      </w:pPr>
    </w:p>
    <w:p w14:paraId="383C8049" w14:textId="77777777" w:rsidR="009468A4" w:rsidRPr="00AD73C5" w:rsidRDefault="009468A4" w:rsidP="00CD5E71">
      <w:pPr>
        <w:jc w:val="both"/>
        <w:rPr>
          <w:rFonts w:ascii="Times New Roman" w:eastAsia="Times New Roman" w:hAnsi="Times New Roman" w:cs="Times New Roman"/>
          <w:lang w:eastAsia="es-MX"/>
        </w:rPr>
      </w:pPr>
    </w:p>
    <w:p w14:paraId="4A910A83" w14:textId="53265788" w:rsidR="00F95EAE" w:rsidRPr="00AD73C5" w:rsidRDefault="005B6328" w:rsidP="00CD5E71">
      <w:pPr>
        <w:jc w:val="both"/>
        <w:rPr>
          <w:rFonts w:ascii="Times New Roman" w:eastAsia="Times New Roman" w:hAnsi="Times New Roman" w:cs="Times New Roman"/>
          <w:lang w:eastAsia="es-MX"/>
        </w:rPr>
      </w:pPr>
      <w:r w:rsidRPr="00AD73C5">
        <w:rPr>
          <w:rFonts w:ascii="Times New Roman" w:eastAsia="Times New Roman" w:hAnsi="Times New Roman" w:cs="Times New Roman"/>
          <w:lang w:eastAsia="es-MX"/>
        </w:rPr>
        <w:t xml:space="preserve">En </w:t>
      </w:r>
      <w:r w:rsidRPr="00AD1B38">
        <w:rPr>
          <w:rFonts w:ascii="Times New Roman" w:eastAsia="Times New Roman" w:hAnsi="Times New Roman" w:cs="Times New Roman"/>
          <w:lang w:eastAsia="es-MX"/>
        </w:rPr>
        <w:t xml:space="preserve">ejercicio de la facultad prevista en el </w:t>
      </w:r>
      <w:r w:rsidR="00E51623" w:rsidRPr="00AD1B38">
        <w:rPr>
          <w:rFonts w:ascii="Times New Roman" w:eastAsia="Times New Roman" w:hAnsi="Times New Roman" w:cs="Times New Roman"/>
          <w:lang w:eastAsia="es-MX"/>
        </w:rPr>
        <w:t>A</w:t>
      </w:r>
      <w:r w:rsidRPr="00AD1B38">
        <w:rPr>
          <w:rFonts w:ascii="Times New Roman" w:eastAsia="Times New Roman" w:hAnsi="Times New Roman" w:cs="Times New Roman"/>
          <w:lang w:eastAsia="es-MX"/>
        </w:rPr>
        <w:t xml:space="preserve">rtículo </w:t>
      </w:r>
      <w:r w:rsidR="00E51623" w:rsidRPr="00AD1B38">
        <w:rPr>
          <w:rFonts w:ascii="Times New Roman" w:eastAsia="Times New Roman" w:hAnsi="Times New Roman" w:cs="Times New Roman"/>
          <w:lang w:eastAsia="es-MX"/>
        </w:rPr>
        <w:t xml:space="preserve">375 de la Constitución Política de Colombia y el Artículo </w:t>
      </w:r>
      <w:r w:rsidRPr="00AD1B38">
        <w:rPr>
          <w:rFonts w:ascii="Times New Roman" w:eastAsia="Times New Roman" w:hAnsi="Times New Roman" w:cs="Times New Roman"/>
          <w:lang w:eastAsia="es-MX"/>
        </w:rPr>
        <w:t>219 de la Ley 5ª de 1992, presentamos a consideración del Congreso de la República</w:t>
      </w:r>
      <w:r w:rsidRPr="00AD73C5">
        <w:rPr>
          <w:rFonts w:ascii="Times New Roman" w:eastAsia="Times New Roman" w:hAnsi="Times New Roman" w:cs="Times New Roman"/>
          <w:lang w:eastAsia="es-MX"/>
        </w:rPr>
        <w:t xml:space="preserve"> el proyecto de </w:t>
      </w:r>
      <w:r w:rsidR="00E84D8C">
        <w:rPr>
          <w:rFonts w:ascii="Times New Roman" w:eastAsia="Times New Roman" w:hAnsi="Times New Roman" w:cs="Times New Roman"/>
          <w:lang w:eastAsia="es-MX"/>
        </w:rPr>
        <w:t xml:space="preserve">Ley N°   de </w:t>
      </w:r>
      <w:r w:rsidR="00E84D8C" w:rsidRPr="00E84D8C">
        <w:rPr>
          <w:rFonts w:ascii="Times New Roman" w:eastAsia="Times New Roman" w:hAnsi="Times New Roman" w:cs="Times New Roman"/>
          <w:i/>
          <w:lang w:eastAsia="es-MX"/>
        </w:rPr>
        <w:t>2022 “Por medio del cual se dictan disposiciones para garantizar la estabilidad laboral de los adultos mayores como medida para prevenir el “edadism</w:t>
      </w:r>
      <w:r w:rsidR="00E84D8C">
        <w:rPr>
          <w:rFonts w:ascii="Times New Roman" w:eastAsia="Times New Roman" w:hAnsi="Times New Roman" w:cs="Times New Roman"/>
          <w:i/>
          <w:lang w:eastAsia="es-MX"/>
        </w:rPr>
        <w:t>o” o la discriminación por edad</w:t>
      </w:r>
      <w:r w:rsidR="009468A4" w:rsidRPr="00E84D8C">
        <w:rPr>
          <w:rFonts w:ascii="Times New Roman" w:eastAsia="Times New Roman" w:hAnsi="Times New Roman" w:cs="Times New Roman"/>
          <w:i/>
          <w:lang w:eastAsia="es-MX"/>
        </w:rPr>
        <w:t>”</w:t>
      </w:r>
      <w:r w:rsidR="00E84D8C">
        <w:rPr>
          <w:rFonts w:ascii="Times New Roman" w:eastAsia="Times New Roman" w:hAnsi="Times New Roman" w:cs="Times New Roman"/>
          <w:i/>
          <w:lang w:eastAsia="es-MX"/>
        </w:rPr>
        <w:t>.</w:t>
      </w:r>
      <w:r w:rsidR="009468A4" w:rsidRPr="00AD73C5">
        <w:rPr>
          <w:rFonts w:ascii="Times New Roman" w:eastAsia="Times New Roman" w:hAnsi="Times New Roman" w:cs="Times New Roman"/>
          <w:lang w:eastAsia="es-MX"/>
        </w:rPr>
        <w:t xml:space="preserve"> </w:t>
      </w:r>
      <w:r w:rsidR="00E84D8C">
        <w:rPr>
          <w:rFonts w:ascii="Times New Roman" w:eastAsia="Times New Roman" w:hAnsi="Times New Roman" w:cs="Times New Roman"/>
          <w:lang w:eastAsia="es-MX"/>
        </w:rPr>
        <w:t>C</w:t>
      </w:r>
      <w:r w:rsidRPr="00AD73C5">
        <w:rPr>
          <w:rFonts w:ascii="Times New Roman" w:eastAsia="Times New Roman" w:hAnsi="Times New Roman" w:cs="Times New Roman"/>
          <w:lang w:eastAsia="es-MX"/>
        </w:rPr>
        <w:t xml:space="preserve">on el fin de surtir el respectivo trámite legislativo. </w:t>
      </w:r>
    </w:p>
    <w:p w14:paraId="7F7DF17B" w14:textId="77777777" w:rsidR="00F95EAE" w:rsidRPr="00AD73C5" w:rsidRDefault="00F95EAE" w:rsidP="005B6328">
      <w:pPr>
        <w:rPr>
          <w:rFonts w:ascii="Times New Roman" w:eastAsia="Times New Roman" w:hAnsi="Times New Roman" w:cs="Times New Roman"/>
          <w:lang w:eastAsia="es-MX"/>
        </w:rPr>
      </w:pPr>
    </w:p>
    <w:p w14:paraId="017E1F15" w14:textId="241900E2" w:rsidR="00F95EAE" w:rsidRPr="00AD73C5" w:rsidRDefault="00F95EAE" w:rsidP="00F95EAE">
      <w:pPr>
        <w:jc w:val="center"/>
        <w:rPr>
          <w:rFonts w:ascii="Times New Roman" w:eastAsia="Times New Roman" w:hAnsi="Times New Roman" w:cs="Times New Roman"/>
          <w:lang w:eastAsia="es-MX"/>
        </w:rPr>
      </w:pPr>
    </w:p>
    <w:p w14:paraId="698998ED" w14:textId="77777777" w:rsidR="009C2DA3" w:rsidRPr="00AD73C5" w:rsidRDefault="009C2DA3" w:rsidP="00F95EAE">
      <w:pPr>
        <w:jc w:val="center"/>
        <w:rPr>
          <w:rFonts w:ascii="Times New Roman" w:eastAsia="Times New Roman" w:hAnsi="Times New Roman" w:cs="Times New Roman"/>
          <w:lang w:eastAsia="es-MX"/>
        </w:rPr>
      </w:pPr>
    </w:p>
    <w:p w14:paraId="049FE08D" w14:textId="77777777" w:rsidR="009C2DA3" w:rsidRPr="00AD73C5" w:rsidRDefault="009C2DA3" w:rsidP="00F95EAE">
      <w:pPr>
        <w:jc w:val="center"/>
        <w:rPr>
          <w:rFonts w:ascii="Times New Roman" w:eastAsia="Times New Roman" w:hAnsi="Times New Roman" w:cs="Times New Roman"/>
          <w:lang w:eastAsia="es-MX"/>
        </w:rPr>
      </w:pPr>
    </w:p>
    <w:p w14:paraId="474637E3" w14:textId="77777777" w:rsidR="009C2DA3" w:rsidRPr="00AD73C5" w:rsidRDefault="009C2DA3" w:rsidP="00F95EAE">
      <w:pPr>
        <w:jc w:val="center"/>
        <w:rPr>
          <w:rFonts w:ascii="Times New Roman" w:eastAsia="Times New Roman" w:hAnsi="Times New Roman" w:cs="Times New Roman"/>
          <w:lang w:eastAsia="es-MX"/>
        </w:rPr>
      </w:pPr>
    </w:p>
    <w:p w14:paraId="45F1D575" w14:textId="77777777" w:rsidR="009C2DA3" w:rsidRPr="00AD73C5" w:rsidRDefault="009C2DA3" w:rsidP="00F95EAE">
      <w:pPr>
        <w:jc w:val="center"/>
        <w:rPr>
          <w:rFonts w:ascii="Times New Roman" w:eastAsia="Times New Roman" w:hAnsi="Times New Roman" w:cs="Times New Roman"/>
          <w:lang w:eastAsia="es-MX"/>
        </w:rPr>
      </w:pPr>
    </w:p>
    <w:p w14:paraId="561BEC4C" w14:textId="438CCCC0" w:rsidR="009C2DA3" w:rsidRPr="00AD73C5" w:rsidRDefault="009C2DA3" w:rsidP="00F95EAE">
      <w:pPr>
        <w:jc w:val="center"/>
        <w:rPr>
          <w:rFonts w:ascii="Times New Roman" w:eastAsia="Times New Roman" w:hAnsi="Times New Roman" w:cs="Times New Roman"/>
          <w:lang w:eastAsia="es-MX"/>
        </w:rPr>
      </w:pPr>
    </w:p>
    <w:p w14:paraId="0B97AD22" w14:textId="54D99A7C" w:rsidR="009C2DA3" w:rsidRPr="00AD73C5" w:rsidRDefault="009C2DA3" w:rsidP="00F95EAE">
      <w:pPr>
        <w:jc w:val="center"/>
        <w:rPr>
          <w:rFonts w:ascii="Times New Roman" w:eastAsia="Times New Roman" w:hAnsi="Times New Roman" w:cs="Times New Roman"/>
          <w:lang w:eastAsia="es-MX"/>
        </w:rPr>
      </w:pPr>
    </w:p>
    <w:p w14:paraId="3B087C89" w14:textId="4F9E666A" w:rsidR="009C2DA3" w:rsidRPr="00AD73C5" w:rsidRDefault="009C2DA3" w:rsidP="00F95EAE">
      <w:pPr>
        <w:jc w:val="center"/>
        <w:rPr>
          <w:rFonts w:ascii="Times New Roman" w:eastAsia="Times New Roman" w:hAnsi="Times New Roman" w:cs="Times New Roman"/>
          <w:lang w:eastAsia="es-MX"/>
        </w:rPr>
      </w:pPr>
    </w:p>
    <w:p w14:paraId="0ACBD7C3" w14:textId="492112DB" w:rsidR="009C2DA3" w:rsidRPr="00AD73C5" w:rsidRDefault="009C2DA3" w:rsidP="00F95EAE">
      <w:pPr>
        <w:jc w:val="center"/>
        <w:rPr>
          <w:rFonts w:ascii="Times New Roman" w:eastAsia="Times New Roman" w:hAnsi="Times New Roman" w:cs="Times New Roman"/>
          <w:lang w:eastAsia="es-MX"/>
        </w:rPr>
      </w:pPr>
    </w:p>
    <w:p w14:paraId="14DD2C2F" w14:textId="77777777" w:rsidR="009C2DA3" w:rsidRPr="00AD73C5" w:rsidRDefault="009C2DA3" w:rsidP="00F95EAE">
      <w:pPr>
        <w:jc w:val="center"/>
        <w:rPr>
          <w:rFonts w:ascii="Times New Roman" w:eastAsia="Times New Roman" w:hAnsi="Times New Roman" w:cs="Times New Roman"/>
          <w:lang w:eastAsia="es-MX"/>
        </w:rPr>
      </w:pPr>
    </w:p>
    <w:p w14:paraId="5AF42D7F" w14:textId="03F4CBA3" w:rsidR="009C2DA3" w:rsidRPr="00AD73C5" w:rsidRDefault="009C2DA3" w:rsidP="00F95EAE">
      <w:pPr>
        <w:jc w:val="center"/>
        <w:rPr>
          <w:rFonts w:ascii="Times New Roman" w:eastAsia="Times New Roman" w:hAnsi="Times New Roman" w:cs="Times New Roman"/>
          <w:lang w:eastAsia="es-MX"/>
        </w:rPr>
      </w:pPr>
    </w:p>
    <w:p w14:paraId="53D5CC35" w14:textId="6406AEA7" w:rsidR="009C2DA3" w:rsidRPr="00AD73C5" w:rsidRDefault="009C2DA3" w:rsidP="00E84D8C">
      <w:pPr>
        <w:rPr>
          <w:rFonts w:ascii="Times New Roman" w:eastAsia="Times New Roman" w:hAnsi="Times New Roman" w:cs="Times New Roman"/>
          <w:lang w:eastAsia="es-MX"/>
        </w:rPr>
      </w:pPr>
    </w:p>
    <w:p w14:paraId="680B0070" w14:textId="63873E74" w:rsidR="009C2DA3" w:rsidRPr="00735674" w:rsidRDefault="00735674" w:rsidP="00735674">
      <w:pPr>
        <w:rPr>
          <w:rFonts w:ascii="Times New Roman" w:eastAsia="Times New Roman" w:hAnsi="Times New Roman" w:cs="Times New Roman"/>
          <w:b/>
          <w:lang w:eastAsia="es-MX"/>
        </w:rPr>
      </w:pPr>
      <w:r w:rsidRPr="00735674">
        <w:rPr>
          <w:rFonts w:ascii="Times New Roman" w:eastAsia="Times New Roman" w:hAnsi="Times New Roman" w:cs="Times New Roman"/>
          <w:b/>
          <w:lang w:eastAsia="es-MX"/>
        </w:rPr>
        <w:t xml:space="preserve">Gerardo Yepes Caro </w:t>
      </w:r>
    </w:p>
    <w:p w14:paraId="5673C7AC" w14:textId="15283AB3" w:rsidR="00735674" w:rsidRDefault="00735674" w:rsidP="00735674">
      <w:pPr>
        <w:rPr>
          <w:rFonts w:ascii="Times New Roman" w:eastAsia="Times New Roman" w:hAnsi="Times New Roman" w:cs="Times New Roman"/>
          <w:lang w:eastAsia="es-MX"/>
        </w:rPr>
      </w:pPr>
      <w:r>
        <w:rPr>
          <w:rFonts w:ascii="Times New Roman" w:eastAsia="Times New Roman" w:hAnsi="Times New Roman" w:cs="Times New Roman"/>
          <w:lang w:eastAsia="es-MX"/>
        </w:rPr>
        <w:t xml:space="preserve">Representante a la Cámara </w:t>
      </w:r>
    </w:p>
    <w:p w14:paraId="33A3BFFE" w14:textId="0A807347" w:rsidR="009C2DA3" w:rsidRDefault="00735674" w:rsidP="00735674">
      <w:pPr>
        <w:rPr>
          <w:rFonts w:ascii="Times New Roman" w:eastAsia="Times New Roman" w:hAnsi="Times New Roman" w:cs="Times New Roman"/>
          <w:lang w:eastAsia="es-MX"/>
        </w:rPr>
      </w:pPr>
      <w:r>
        <w:rPr>
          <w:rFonts w:ascii="Times New Roman" w:eastAsia="Times New Roman" w:hAnsi="Times New Roman" w:cs="Times New Roman"/>
          <w:lang w:eastAsia="es-MX"/>
        </w:rPr>
        <w:t xml:space="preserve">Departamento del Tolima </w:t>
      </w:r>
    </w:p>
    <w:p w14:paraId="7CD32D40" w14:textId="77777777" w:rsidR="002D7AD6" w:rsidRPr="00AD73C5" w:rsidRDefault="002D7AD6" w:rsidP="00735674">
      <w:pPr>
        <w:rPr>
          <w:rFonts w:ascii="Times New Roman" w:eastAsia="Times New Roman" w:hAnsi="Times New Roman" w:cs="Times New Roman"/>
          <w:lang w:eastAsia="es-MX"/>
        </w:rPr>
      </w:pPr>
    </w:p>
    <w:p w14:paraId="28EEB149" w14:textId="7A7F6C23" w:rsidR="00276DD1" w:rsidRPr="00951027" w:rsidRDefault="00735674" w:rsidP="00276DD1">
      <w:pPr>
        <w:jc w:val="center"/>
        <w:rPr>
          <w:rFonts w:ascii="Times New Roman" w:eastAsia="Times New Roman" w:hAnsi="Times New Roman" w:cs="Times New Roman"/>
          <w:b/>
          <w:bCs/>
          <w:lang w:eastAsia="es-MX"/>
        </w:rPr>
      </w:pPr>
      <w:r>
        <w:rPr>
          <w:rFonts w:ascii="Times New Roman" w:eastAsia="Times New Roman" w:hAnsi="Times New Roman" w:cs="Times New Roman"/>
          <w:b/>
          <w:bCs/>
          <w:lang w:eastAsia="es-MX"/>
        </w:rPr>
        <w:lastRenderedPageBreak/>
        <w:t>Proyecto de Ley</w:t>
      </w:r>
      <w:r w:rsidR="001A25E4">
        <w:rPr>
          <w:rFonts w:ascii="Times New Roman" w:eastAsia="Times New Roman" w:hAnsi="Times New Roman" w:cs="Times New Roman"/>
          <w:b/>
          <w:bCs/>
          <w:lang w:eastAsia="es-MX"/>
        </w:rPr>
        <w:t xml:space="preserve"> No. 301 </w:t>
      </w:r>
      <w:r w:rsidRPr="00951027">
        <w:rPr>
          <w:rFonts w:ascii="Times New Roman" w:eastAsia="Times New Roman" w:hAnsi="Times New Roman" w:cs="Times New Roman"/>
          <w:b/>
          <w:bCs/>
          <w:lang w:eastAsia="es-MX"/>
        </w:rPr>
        <w:t>de 2022</w:t>
      </w:r>
      <w:r>
        <w:rPr>
          <w:rFonts w:ascii="Times New Roman" w:eastAsia="Times New Roman" w:hAnsi="Times New Roman" w:cs="Times New Roman"/>
          <w:b/>
          <w:bCs/>
          <w:lang w:eastAsia="es-MX"/>
        </w:rPr>
        <w:t xml:space="preserve"> </w:t>
      </w:r>
      <w:r w:rsidR="00276DD1">
        <w:rPr>
          <w:rFonts w:ascii="Times New Roman" w:eastAsia="Times New Roman" w:hAnsi="Times New Roman" w:cs="Times New Roman"/>
          <w:b/>
          <w:bCs/>
          <w:lang w:eastAsia="es-MX"/>
        </w:rPr>
        <w:t>Proyecto de Ley</w:t>
      </w:r>
      <w:r w:rsidR="00276DD1" w:rsidRPr="00951027">
        <w:rPr>
          <w:rFonts w:ascii="Times New Roman" w:eastAsia="Times New Roman" w:hAnsi="Times New Roman" w:cs="Times New Roman"/>
          <w:b/>
          <w:bCs/>
          <w:lang w:eastAsia="es-MX"/>
        </w:rPr>
        <w:t xml:space="preserve"> No. _____ de 2022</w:t>
      </w:r>
      <w:r w:rsidR="00276DD1">
        <w:rPr>
          <w:rFonts w:ascii="Times New Roman" w:eastAsia="Times New Roman" w:hAnsi="Times New Roman" w:cs="Times New Roman"/>
          <w:b/>
          <w:bCs/>
          <w:lang w:eastAsia="es-MX"/>
        </w:rPr>
        <w:t xml:space="preserve"> “Por medio del cual se dictan disposiciones para garantizar la estabilidad laboral de los adultos mayores como medida para prevenir el “edadismo” o la discriminación por edad. </w:t>
      </w:r>
    </w:p>
    <w:p w14:paraId="43827B23" w14:textId="40E84BC2" w:rsidR="009C2DA3" w:rsidRDefault="009C2DA3" w:rsidP="002D7AD6">
      <w:pPr>
        <w:rPr>
          <w:rFonts w:ascii="Times New Roman" w:eastAsia="Times New Roman" w:hAnsi="Times New Roman" w:cs="Times New Roman"/>
          <w:b/>
          <w:bCs/>
          <w:lang w:eastAsia="es-MX"/>
        </w:rPr>
      </w:pPr>
    </w:p>
    <w:p w14:paraId="2AAF37E8" w14:textId="77777777" w:rsidR="002D7AD6" w:rsidRPr="00951027" w:rsidRDefault="002D7AD6" w:rsidP="002D7AD6">
      <w:pPr>
        <w:rPr>
          <w:rFonts w:ascii="Times New Roman" w:eastAsia="Times New Roman" w:hAnsi="Times New Roman" w:cs="Times New Roman"/>
          <w:b/>
          <w:bCs/>
          <w:lang w:eastAsia="es-MX"/>
        </w:rPr>
      </w:pPr>
    </w:p>
    <w:p w14:paraId="178317BF" w14:textId="4447F188" w:rsidR="00F95EAE" w:rsidRDefault="005B6328" w:rsidP="00F95EAE">
      <w:pPr>
        <w:jc w:val="center"/>
        <w:rPr>
          <w:rFonts w:ascii="Times New Roman" w:eastAsia="Times New Roman" w:hAnsi="Times New Roman" w:cs="Times New Roman"/>
          <w:b/>
          <w:bCs/>
          <w:lang w:eastAsia="es-MX"/>
        </w:rPr>
      </w:pPr>
      <w:r w:rsidRPr="00951027">
        <w:rPr>
          <w:rFonts w:ascii="Times New Roman" w:eastAsia="Times New Roman" w:hAnsi="Times New Roman" w:cs="Times New Roman"/>
          <w:b/>
          <w:bCs/>
          <w:lang w:eastAsia="es-MX"/>
        </w:rPr>
        <w:t>El Congreso de Colombia</w:t>
      </w:r>
    </w:p>
    <w:p w14:paraId="1709C0E8" w14:textId="26DD0D01" w:rsidR="00E84D8C" w:rsidRPr="00951027" w:rsidRDefault="002D7AD6" w:rsidP="00F95EAE">
      <w:pPr>
        <w:jc w:val="center"/>
        <w:rPr>
          <w:rFonts w:ascii="Times New Roman" w:eastAsia="Times New Roman" w:hAnsi="Times New Roman" w:cs="Times New Roman"/>
          <w:b/>
          <w:bCs/>
          <w:lang w:eastAsia="es-MX"/>
        </w:rPr>
      </w:pPr>
      <w:r>
        <w:rPr>
          <w:rFonts w:ascii="Times New Roman" w:eastAsia="Times New Roman" w:hAnsi="Times New Roman" w:cs="Times New Roman"/>
          <w:b/>
          <w:bCs/>
          <w:lang w:eastAsia="es-MX"/>
        </w:rPr>
        <w:t>DECRETA</w:t>
      </w:r>
    </w:p>
    <w:p w14:paraId="02505F72" w14:textId="7FBAB8F0" w:rsidR="00F95EAE" w:rsidRPr="00AD73C5" w:rsidRDefault="00F95EAE" w:rsidP="00F95EAE">
      <w:pPr>
        <w:jc w:val="center"/>
        <w:rPr>
          <w:rFonts w:ascii="Times New Roman" w:eastAsia="Times New Roman" w:hAnsi="Times New Roman" w:cs="Times New Roman"/>
          <w:lang w:eastAsia="es-MX"/>
        </w:rPr>
      </w:pPr>
    </w:p>
    <w:p w14:paraId="122E5D13" w14:textId="1C9A2154" w:rsidR="000A6C75" w:rsidRDefault="00E84D8C" w:rsidP="000A6C75">
      <w:pPr>
        <w:rPr>
          <w:rFonts w:ascii="Times New Roman" w:eastAsia="Times New Roman" w:hAnsi="Times New Roman" w:cs="Times New Roman"/>
          <w:bCs/>
          <w:i/>
          <w:lang w:eastAsia="es-MX"/>
        </w:rPr>
      </w:pPr>
      <w:r w:rsidRPr="00F223AD">
        <w:rPr>
          <w:rFonts w:ascii="Times New Roman" w:eastAsia="Times New Roman" w:hAnsi="Times New Roman" w:cs="Times New Roman"/>
          <w:b/>
          <w:bCs/>
          <w:lang w:eastAsia="es-MX"/>
        </w:rPr>
        <w:t>Artículo 1°:</w:t>
      </w:r>
      <w:r>
        <w:rPr>
          <w:rFonts w:ascii="Times New Roman" w:eastAsia="Times New Roman" w:hAnsi="Times New Roman" w:cs="Times New Roman"/>
          <w:bCs/>
          <w:lang w:eastAsia="es-MX"/>
        </w:rPr>
        <w:t xml:space="preserve"> </w:t>
      </w:r>
      <w:r w:rsidRPr="00E9727F">
        <w:rPr>
          <w:rFonts w:ascii="Times New Roman" w:eastAsia="Times New Roman" w:hAnsi="Times New Roman" w:cs="Times New Roman"/>
          <w:b/>
          <w:bCs/>
          <w:lang w:eastAsia="es-MX"/>
        </w:rPr>
        <w:t>Establece el objeto</w:t>
      </w:r>
      <w:r>
        <w:rPr>
          <w:rFonts w:ascii="Times New Roman" w:eastAsia="Times New Roman" w:hAnsi="Times New Roman" w:cs="Times New Roman"/>
          <w:bCs/>
          <w:lang w:eastAsia="es-MX"/>
        </w:rPr>
        <w:t xml:space="preserve"> del proyecto de ley, el cual consiste en</w:t>
      </w:r>
      <w:r w:rsidRPr="00F223AD">
        <w:rPr>
          <w:rFonts w:ascii="Times New Roman" w:eastAsia="Times New Roman" w:hAnsi="Times New Roman" w:cs="Times New Roman"/>
          <w:bCs/>
          <w:i/>
          <w:lang w:eastAsia="es-MX"/>
        </w:rPr>
        <w:t>: Dictar disposiciones para garantizar la estabilidad laboral de los adultos mayores como medida para prevenir el “edadismo” o la discriminación por edad.</w:t>
      </w:r>
    </w:p>
    <w:p w14:paraId="6F6B4869" w14:textId="77777777" w:rsidR="00E84D8C" w:rsidRDefault="00E84D8C" w:rsidP="000A6C75">
      <w:pPr>
        <w:rPr>
          <w:rFonts w:ascii="Times New Roman" w:eastAsia="Times New Roman" w:hAnsi="Times New Roman" w:cs="Times New Roman"/>
          <w:b/>
          <w:bCs/>
          <w:lang w:eastAsia="es-MX"/>
        </w:rPr>
      </w:pPr>
    </w:p>
    <w:p w14:paraId="239070CA" w14:textId="757DE99B" w:rsidR="000A6C75" w:rsidRDefault="00E84D8C" w:rsidP="000A6C75">
      <w:pPr>
        <w:rPr>
          <w:rFonts w:ascii="Times New Roman" w:eastAsia="Times New Roman" w:hAnsi="Times New Roman" w:cs="Times New Roman"/>
          <w:bCs/>
          <w:lang w:eastAsia="es-MX"/>
        </w:rPr>
      </w:pPr>
      <w:r>
        <w:rPr>
          <w:rFonts w:ascii="Times New Roman" w:eastAsia="Times New Roman" w:hAnsi="Times New Roman" w:cs="Times New Roman"/>
          <w:b/>
          <w:bCs/>
          <w:lang w:eastAsia="es-MX"/>
        </w:rPr>
        <w:t xml:space="preserve">Artículo 2° Definiciones. </w:t>
      </w:r>
      <w:r w:rsidRPr="00E9727F">
        <w:rPr>
          <w:rFonts w:ascii="Times New Roman" w:eastAsia="Times New Roman" w:hAnsi="Times New Roman" w:cs="Times New Roman"/>
          <w:bCs/>
          <w:lang w:eastAsia="es-MX"/>
        </w:rPr>
        <w:t xml:space="preserve">En el presente proyecto de ley cuando </w:t>
      </w:r>
      <w:r>
        <w:rPr>
          <w:rFonts w:ascii="Times New Roman" w:eastAsia="Times New Roman" w:hAnsi="Times New Roman" w:cs="Times New Roman"/>
          <w:bCs/>
          <w:lang w:eastAsia="es-MX"/>
        </w:rPr>
        <w:t>se hace referencia</w:t>
      </w:r>
      <w:r w:rsidRPr="00E9727F">
        <w:rPr>
          <w:rFonts w:ascii="Times New Roman" w:eastAsia="Times New Roman" w:hAnsi="Times New Roman" w:cs="Times New Roman"/>
          <w:bCs/>
          <w:lang w:eastAsia="es-MX"/>
        </w:rPr>
        <w:t xml:space="preserve"> a personas ad</w:t>
      </w:r>
      <w:r>
        <w:rPr>
          <w:rFonts w:ascii="Times New Roman" w:eastAsia="Times New Roman" w:hAnsi="Times New Roman" w:cs="Times New Roman"/>
          <w:bCs/>
          <w:lang w:eastAsia="es-MX"/>
        </w:rPr>
        <w:t>ultos mayores deberá entenderse por estos</w:t>
      </w:r>
      <w:r w:rsidRPr="00E9727F">
        <w:rPr>
          <w:rFonts w:ascii="Times New Roman" w:eastAsia="Times New Roman" w:hAnsi="Times New Roman" w:cs="Times New Roman"/>
          <w:bCs/>
          <w:lang w:eastAsia="es-MX"/>
        </w:rPr>
        <w:t xml:space="preserve"> a (adulto medio, de 45 a 59 años; adulto mayor (o anciano joven), de 60 a 74 años; anciano, de 75 a 90 años; y anciano longevo, a partir de los 90 años)</w:t>
      </w:r>
      <w:r>
        <w:rPr>
          <w:rFonts w:ascii="Times New Roman" w:eastAsia="Times New Roman" w:hAnsi="Times New Roman" w:cs="Times New Roman"/>
          <w:bCs/>
          <w:lang w:eastAsia="es-MX"/>
        </w:rPr>
        <w:t>.</w:t>
      </w:r>
    </w:p>
    <w:p w14:paraId="7A77DC5C" w14:textId="1DAA42C9" w:rsidR="00E84D8C" w:rsidRDefault="00E84D8C" w:rsidP="000A6C75">
      <w:pPr>
        <w:rPr>
          <w:rFonts w:ascii="Times New Roman" w:eastAsia="Times New Roman" w:hAnsi="Times New Roman" w:cs="Times New Roman"/>
          <w:bCs/>
          <w:lang w:eastAsia="es-MX"/>
        </w:rPr>
      </w:pPr>
    </w:p>
    <w:p w14:paraId="13279472" w14:textId="098B68BC" w:rsidR="00E84D8C" w:rsidRDefault="00E84D8C" w:rsidP="00E84D8C">
      <w:pPr>
        <w:jc w:val="both"/>
        <w:rPr>
          <w:rFonts w:ascii="Times New Roman" w:eastAsia="Times New Roman" w:hAnsi="Times New Roman" w:cs="Times New Roman"/>
          <w:bCs/>
          <w:lang w:eastAsia="es-MX"/>
        </w:rPr>
      </w:pPr>
      <w:r>
        <w:rPr>
          <w:rFonts w:ascii="Times New Roman" w:eastAsia="Times New Roman" w:hAnsi="Times New Roman" w:cs="Times New Roman"/>
          <w:b/>
          <w:bCs/>
          <w:lang w:eastAsia="es-MX"/>
        </w:rPr>
        <w:t xml:space="preserve">Artículo 3° Formación para rehabilitación laboral. </w:t>
      </w:r>
      <w:r>
        <w:rPr>
          <w:rFonts w:ascii="Times New Roman" w:eastAsia="Times New Roman" w:hAnsi="Times New Roman" w:cs="Times New Roman"/>
          <w:bCs/>
          <w:lang w:eastAsia="es-MX"/>
        </w:rPr>
        <w:t xml:space="preserve">Las cajas de compensación familiar conforme su </w:t>
      </w:r>
      <w:proofErr w:type="spellStart"/>
      <w:r>
        <w:rPr>
          <w:rFonts w:ascii="Times New Roman" w:eastAsia="Times New Roman" w:hAnsi="Times New Roman" w:cs="Times New Roman"/>
          <w:bCs/>
          <w:lang w:eastAsia="es-MX"/>
        </w:rPr>
        <w:t>misionalidad</w:t>
      </w:r>
      <w:proofErr w:type="spellEnd"/>
      <w:r>
        <w:rPr>
          <w:rFonts w:ascii="Times New Roman" w:eastAsia="Times New Roman" w:hAnsi="Times New Roman" w:cs="Times New Roman"/>
          <w:bCs/>
          <w:lang w:eastAsia="es-MX"/>
        </w:rPr>
        <w:t xml:space="preserve"> diseñarán una oferta de servicios formativos para la actualización de conocimientos en medios digitales y la gestión de la empleabilidad de los adultos mayores. </w:t>
      </w:r>
    </w:p>
    <w:p w14:paraId="443DB82F" w14:textId="0ECFAC48" w:rsidR="00E84D8C" w:rsidRDefault="00E84D8C" w:rsidP="00E84D8C">
      <w:pPr>
        <w:jc w:val="both"/>
        <w:rPr>
          <w:rFonts w:ascii="Times New Roman" w:eastAsia="Times New Roman" w:hAnsi="Times New Roman" w:cs="Times New Roman"/>
          <w:bCs/>
          <w:lang w:eastAsia="es-MX"/>
        </w:rPr>
      </w:pPr>
    </w:p>
    <w:p w14:paraId="50110B64" w14:textId="38EECEE0" w:rsidR="00E84D8C" w:rsidRDefault="00E84D8C" w:rsidP="00E84D8C">
      <w:pPr>
        <w:jc w:val="both"/>
        <w:rPr>
          <w:rFonts w:ascii="Times New Roman" w:eastAsia="Times New Roman" w:hAnsi="Times New Roman" w:cs="Times New Roman"/>
          <w:bCs/>
          <w:lang w:eastAsia="es-MX"/>
        </w:rPr>
      </w:pPr>
      <w:r>
        <w:rPr>
          <w:rFonts w:ascii="Times New Roman" w:eastAsia="Times New Roman" w:hAnsi="Times New Roman" w:cs="Times New Roman"/>
          <w:b/>
          <w:bCs/>
          <w:lang w:eastAsia="es-MX"/>
        </w:rPr>
        <w:t xml:space="preserve">Artículo 4° </w:t>
      </w:r>
      <w:r w:rsidRPr="00612EBE">
        <w:rPr>
          <w:rFonts w:ascii="Times New Roman" w:eastAsia="Times New Roman" w:hAnsi="Times New Roman" w:cs="Times New Roman"/>
          <w:bCs/>
          <w:lang w:eastAsia="es-MX"/>
        </w:rPr>
        <w:t>El Ministerio de la TIC, diseñará un</w:t>
      </w:r>
      <w:r>
        <w:rPr>
          <w:rFonts w:ascii="Times New Roman" w:eastAsia="Times New Roman" w:hAnsi="Times New Roman" w:cs="Times New Roman"/>
          <w:bCs/>
          <w:lang w:eastAsia="es-MX"/>
        </w:rPr>
        <w:t>a oferta</w:t>
      </w:r>
      <w:r w:rsidRPr="00612EBE">
        <w:rPr>
          <w:rFonts w:ascii="Times New Roman" w:eastAsia="Times New Roman" w:hAnsi="Times New Roman" w:cs="Times New Roman"/>
          <w:bCs/>
          <w:lang w:eastAsia="es-MX"/>
        </w:rPr>
        <w:t xml:space="preserve"> de contenidos formativos en el marco de sus competencias que enfoquen una estrategia de actualiz</w:t>
      </w:r>
      <w:r>
        <w:rPr>
          <w:rFonts w:ascii="Times New Roman" w:eastAsia="Times New Roman" w:hAnsi="Times New Roman" w:cs="Times New Roman"/>
          <w:bCs/>
          <w:lang w:eastAsia="es-MX"/>
        </w:rPr>
        <w:t>ación de conocimientos en TIC, analizando las brechas existentes con los otros grupos poblaciones para la pertenencia de la formación.</w:t>
      </w:r>
    </w:p>
    <w:p w14:paraId="27D0DFD4" w14:textId="77777777" w:rsidR="00E84D8C" w:rsidRDefault="00E84D8C" w:rsidP="000A6C75">
      <w:pPr>
        <w:rPr>
          <w:rFonts w:ascii="Times New Roman" w:eastAsia="Times New Roman" w:hAnsi="Times New Roman" w:cs="Times New Roman"/>
          <w:bCs/>
          <w:lang w:eastAsia="es-MX"/>
        </w:rPr>
      </w:pPr>
    </w:p>
    <w:p w14:paraId="492DF8CF" w14:textId="16CF5702" w:rsidR="00E84D8C" w:rsidRDefault="001A25E4" w:rsidP="00E84D8C">
      <w:pPr>
        <w:jc w:val="both"/>
        <w:rPr>
          <w:rFonts w:ascii="Times New Roman" w:eastAsia="Times New Roman" w:hAnsi="Times New Roman" w:cs="Times New Roman"/>
          <w:b/>
          <w:bCs/>
          <w:lang w:eastAsia="es-MX"/>
        </w:rPr>
      </w:pPr>
      <w:r>
        <w:rPr>
          <w:rFonts w:ascii="Times New Roman" w:eastAsia="Times New Roman" w:hAnsi="Times New Roman" w:cs="Times New Roman"/>
          <w:b/>
          <w:bCs/>
          <w:lang w:eastAsia="es-MX"/>
        </w:rPr>
        <w:t>Artículo 5</w:t>
      </w:r>
      <w:r w:rsidR="00E84D8C">
        <w:rPr>
          <w:rFonts w:ascii="Times New Roman" w:eastAsia="Times New Roman" w:hAnsi="Times New Roman" w:cs="Times New Roman"/>
          <w:b/>
          <w:bCs/>
          <w:lang w:eastAsia="es-MX"/>
        </w:rPr>
        <w:t xml:space="preserve">° </w:t>
      </w:r>
      <w:r w:rsidR="00E84D8C" w:rsidRPr="0062640C">
        <w:rPr>
          <w:rFonts w:ascii="Times New Roman" w:eastAsia="Times New Roman" w:hAnsi="Times New Roman" w:cs="Times New Roman"/>
          <w:bCs/>
          <w:lang w:eastAsia="es-MX"/>
        </w:rPr>
        <w:t>Los empleadores tanto públicos como de derecho privado, deberán informar a la Oficina del trabajo o según corresponda, cuando se pretenda concretar un despido de una persona adulta mayor, lo anterior con el fin de advertir que éste no se da en virtud de su edad y con la finalidad de promover una cultura de la no discriminac</w:t>
      </w:r>
      <w:r w:rsidR="00E84D8C">
        <w:rPr>
          <w:rFonts w:ascii="Times New Roman" w:eastAsia="Times New Roman" w:hAnsi="Times New Roman" w:cs="Times New Roman"/>
          <w:bCs/>
          <w:lang w:eastAsia="es-MX"/>
        </w:rPr>
        <w:t xml:space="preserve">ión en el territorio nacional. </w:t>
      </w:r>
    </w:p>
    <w:p w14:paraId="03AEEDAD" w14:textId="5C9F55F5" w:rsidR="00E84D8C" w:rsidRDefault="00E84D8C" w:rsidP="00E84D8C">
      <w:pPr>
        <w:jc w:val="both"/>
        <w:rPr>
          <w:rFonts w:ascii="Times New Roman" w:eastAsia="Times New Roman" w:hAnsi="Times New Roman" w:cs="Times New Roman"/>
          <w:b/>
          <w:bCs/>
          <w:lang w:eastAsia="es-MX"/>
        </w:rPr>
      </w:pPr>
    </w:p>
    <w:p w14:paraId="454DE35F" w14:textId="1F991733" w:rsidR="00E84D8C" w:rsidRPr="0062640C" w:rsidRDefault="001A25E4" w:rsidP="00E84D8C">
      <w:pPr>
        <w:jc w:val="both"/>
        <w:rPr>
          <w:rFonts w:ascii="Times New Roman" w:eastAsia="Times New Roman" w:hAnsi="Times New Roman" w:cs="Times New Roman"/>
          <w:bCs/>
          <w:lang w:eastAsia="es-MX"/>
        </w:rPr>
      </w:pPr>
      <w:r>
        <w:rPr>
          <w:rFonts w:ascii="Times New Roman" w:eastAsia="Times New Roman" w:hAnsi="Times New Roman" w:cs="Times New Roman"/>
          <w:b/>
          <w:bCs/>
          <w:lang w:eastAsia="es-MX"/>
        </w:rPr>
        <w:t>Artículo 6</w:t>
      </w:r>
      <w:r w:rsidR="00E84D8C">
        <w:rPr>
          <w:rFonts w:ascii="Times New Roman" w:eastAsia="Times New Roman" w:hAnsi="Times New Roman" w:cs="Times New Roman"/>
          <w:b/>
          <w:bCs/>
          <w:lang w:eastAsia="es-MX"/>
        </w:rPr>
        <w:t xml:space="preserve">° </w:t>
      </w:r>
      <w:r w:rsidR="00E84D8C">
        <w:rPr>
          <w:rFonts w:ascii="Times New Roman" w:eastAsia="Times New Roman" w:hAnsi="Times New Roman" w:cs="Times New Roman"/>
          <w:bCs/>
          <w:lang w:eastAsia="es-MX"/>
        </w:rPr>
        <w:t>Dentro de los tiempos fijados por el Ministerio del Trabajo se reglamentarán las condiciones en las que se deba surtir la investigación, capacitando a los inspectores y sus equipos en la detección de factores directos o indirectos en los que se concreta la discriminación por edad o “edadismo”.</w:t>
      </w:r>
    </w:p>
    <w:p w14:paraId="67B174EA" w14:textId="18E7C2B9" w:rsidR="00E84D8C" w:rsidRDefault="00E84D8C" w:rsidP="00E84D8C">
      <w:pPr>
        <w:jc w:val="both"/>
        <w:rPr>
          <w:rFonts w:ascii="Times New Roman" w:eastAsia="Times New Roman" w:hAnsi="Times New Roman" w:cs="Times New Roman"/>
          <w:b/>
          <w:bCs/>
          <w:lang w:eastAsia="es-MX"/>
        </w:rPr>
      </w:pPr>
    </w:p>
    <w:p w14:paraId="0E25F05A" w14:textId="0979BD21" w:rsidR="00E84D8C" w:rsidRDefault="001A25E4" w:rsidP="00E84D8C">
      <w:pPr>
        <w:jc w:val="both"/>
        <w:rPr>
          <w:rFonts w:ascii="Times New Roman" w:eastAsia="Times New Roman" w:hAnsi="Times New Roman" w:cs="Times New Roman"/>
          <w:bCs/>
          <w:lang w:eastAsia="es-MX"/>
        </w:rPr>
      </w:pPr>
      <w:r>
        <w:rPr>
          <w:rFonts w:ascii="Times New Roman" w:eastAsia="Times New Roman" w:hAnsi="Times New Roman" w:cs="Times New Roman"/>
          <w:b/>
          <w:bCs/>
          <w:lang w:eastAsia="es-MX"/>
        </w:rPr>
        <w:t>Artículo 7</w:t>
      </w:r>
      <w:r w:rsidR="00E84D8C">
        <w:rPr>
          <w:rFonts w:ascii="Times New Roman" w:eastAsia="Times New Roman" w:hAnsi="Times New Roman" w:cs="Times New Roman"/>
          <w:b/>
          <w:bCs/>
          <w:lang w:eastAsia="es-MX"/>
        </w:rPr>
        <w:t xml:space="preserve">° </w:t>
      </w:r>
      <w:r w:rsidR="00E84D8C" w:rsidRPr="00A07755">
        <w:rPr>
          <w:rFonts w:ascii="Times New Roman" w:eastAsia="Times New Roman" w:hAnsi="Times New Roman" w:cs="Times New Roman"/>
          <w:bCs/>
          <w:lang w:eastAsia="es-MX"/>
        </w:rPr>
        <w:t xml:space="preserve">El Ministerio del trabajo estimará la sanción en multa para los empleadores que tengan algún grado de culpabilidad al finalizar los procesos correspondientes.  </w:t>
      </w:r>
    </w:p>
    <w:p w14:paraId="6AA54DD7" w14:textId="62A81B0D" w:rsidR="002D7AD6" w:rsidRDefault="002D7AD6" w:rsidP="00E84D8C">
      <w:pPr>
        <w:jc w:val="both"/>
        <w:rPr>
          <w:rFonts w:ascii="Times New Roman" w:eastAsia="Times New Roman" w:hAnsi="Times New Roman" w:cs="Times New Roman"/>
          <w:bCs/>
          <w:lang w:eastAsia="es-MX"/>
        </w:rPr>
      </w:pPr>
    </w:p>
    <w:p w14:paraId="6AAE0954" w14:textId="3D13E751" w:rsidR="002D7AD6" w:rsidRPr="002D7AD6" w:rsidRDefault="001A25E4" w:rsidP="002D7AD6">
      <w:pPr>
        <w:jc w:val="both"/>
        <w:rPr>
          <w:rFonts w:ascii="Times New Roman" w:eastAsia="Times New Roman" w:hAnsi="Times New Roman" w:cs="Times New Roman"/>
          <w:b/>
          <w:bCs/>
          <w:lang w:eastAsia="es-MX"/>
        </w:rPr>
      </w:pPr>
      <w:r>
        <w:rPr>
          <w:rFonts w:ascii="Times New Roman" w:eastAsia="Times New Roman" w:hAnsi="Times New Roman" w:cs="Times New Roman"/>
          <w:b/>
          <w:bCs/>
          <w:lang w:eastAsia="es-MX"/>
        </w:rPr>
        <w:t>Artículo 8</w:t>
      </w:r>
      <w:r w:rsidR="002D7AD6" w:rsidRPr="002D7AD6">
        <w:rPr>
          <w:rFonts w:ascii="Times New Roman" w:eastAsia="Times New Roman" w:hAnsi="Times New Roman" w:cs="Times New Roman"/>
          <w:b/>
          <w:bCs/>
          <w:lang w:eastAsia="es-MX"/>
        </w:rPr>
        <w:t xml:space="preserve">°. </w:t>
      </w:r>
      <w:r w:rsidR="002D7AD6" w:rsidRPr="002D7AD6">
        <w:rPr>
          <w:rFonts w:ascii="Times New Roman" w:eastAsia="Times New Roman" w:hAnsi="Times New Roman" w:cs="Times New Roman"/>
          <w:bCs/>
          <w:lang w:eastAsia="es-MX"/>
        </w:rPr>
        <w:t xml:space="preserve">Coexistencia normativa. En caso de que se encuentren dos disposiciones legales vigentes sobre el mismo tema, se utilizará la más beneficiosa para </w:t>
      </w:r>
      <w:r w:rsidR="002D7AD6">
        <w:rPr>
          <w:rFonts w:ascii="Times New Roman" w:eastAsia="Times New Roman" w:hAnsi="Times New Roman" w:cs="Times New Roman"/>
          <w:bCs/>
          <w:lang w:eastAsia="es-MX"/>
        </w:rPr>
        <w:t>el trabajador adulto mayor</w:t>
      </w:r>
    </w:p>
    <w:p w14:paraId="31A8D9B2" w14:textId="77777777" w:rsidR="002D7AD6" w:rsidRPr="002D7AD6" w:rsidRDefault="002D7AD6" w:rsidP="002D7AD6">
      <w:pPr>
        <w:jc w:val="both"/>
        <w:rPr>
          <w:rFonts w:ascii="Times New Roman" w:eastAsia="Times New Roman" w:hAnsi="Times New Roman" w:cs="Times New Roman"/>
          <w:b/>
          <w:bCs/>
          <w:lang w:eastAsia="es-MX"/>
        </w:rPr>
      </w:pPr>
    </w:p>
    <w:p w14:paraId="6622BBC7" w14:textId="7DCDE538" w:rsidR="002D7AD6" w:rsidRDefault="001A25E4" w:rsidP="002D7AD6">
      <w:pPr>
        <w:jc w:val="both"/>
        <w:rPr>
          <w:rFonts w:ascii="Times New Roman" w:eastAsia="Times New Roman" w:hAnsi="Times New Roman" w:cs="Times New Roman"/>
          <w:b/>
          <w:bCs/>
          <w:lang w:eastAsia="es-MX"/>
        </w:rPr>
      </w:pPr>
      <w:r>
        <w:rPr>
          <w:rFonts w:ascii="Times New Roman" w:eastAsia="Times New Roman" w:hAnsi="Times New Roman" w:cs="Times New Roman"/>
          <w:b/>
          <w:bCs/>
          <w:lang w:eastAsia="es-MX"/>
        </w:rPr>
        <w:t>Artículo 9</w:t>
      </w:r>
      <w:r w:rsidR="002D7AD6" w:rsidRPr="002D7AD6">
        <w:rPr>
          <w:rFonts w:ascii="Times New Roman" w:eastAsia="Times New Roman" w:hAnsi="Times New Roman" w:cs="Times New Roman"/>
          <w:b/>
          <w:bCs/>
          <w:lang w:eastAsia="es-MX"/>
        </w:rPr>
        <w:t xml:space="preserve">°. </w:t>
      </w:r>
      <w:r w:rsidR="002D7AD6" w:rsidRPr="002D7AD6">
        <w:rPr>
          <w:rFonts w:ascii="Times New Roman" w:eastAsia="Times New Roman" w:hAnsi="Times New Roman" w:cs="Times New Roman"/>
          <w:bCs/>
          <w:lang w:eastAsia="es-MX"/>
        </w:rPr>
        <w:t>Vigencia y derogatorias. La presente ley regirá a partir de su publicación, y deroga todas las disposiciones que le sean contrarias.</w:t>
      </w:r>
    </w:p>
    <w:p w14:paraId="38294245" w14:textId="77777777" w:rsidR="00E84D8C" w:rsidRPr="00951027" w:rsidRDefault="00E84D8C" w:rsidP="000A6C75">
      <w:pPr>
        <w:rPr>
          <w:rFonts w:ascii="Times New Roman" w:eastAsia="Times New Roman" w:hAnsi="Times New Roman" w:cs="Times New Roman"/>
          <w:b/>
          <w:bCs/>
          <w:lang w:eastAsia="es-MX"/>
        </w:rPr>
      </w:pPr>
    </w:p>
    <w:p w14:paraId="1E425405" w14:textId="77777777" w:rsidR="009C2DA3" w:rsidRPr="00AD73C5" w:rsidRDefault="005B6328" w:rsidP="009C2DA3">
      <w:pPr>
        <w:jc w:val="both"/>
        <w:rPr>
          <w:rFonts w:ascii="Times New Roman" w:eastAsia="Times New Roman" w:hAnsi="Times New Roman" w:cs="Times New Roman"/>
          <w:lang w:eastAsia="es-MX"/>
        </w:rPr>
      </w:pPr>
      <w:r w:rsidRPr="00AD1B38">
        <w:rPr>
          <w:rFonts w:ascii="Times New Roman" w:eastAsia="Times New Roman" w:hAnsi="Times New Roman" w:cs="Times New Roman"/>
          <w:lang w:eastAsia="es-MX"/>
        </w:rPr>
        <w:t>De las honorables congresistas,</w:t>
      </w:r>
      <w:r w:rsidRPr="00AD73C5">
        <w:rPr>
          <w:rFonts w:ascii="Times New Roman" w:eastAsia="Times New Roman" w:hAnsi="Times New Roman" w:cs="Times New Roman"/>
          <w:lang w:eastAsia="es-MX"/>
        </w:rPr>
        <w:t xml:space="preserve"> </w:t>
      </w:r>
    </w:p>
    <w:p w14:paraId="184CE8F5" w14:textId="3AAC0F6F" w:rsidR="009C2DA3" w:rsidRPr="00AD73C5" w:rsidRDefault="009C2DA3" w:rsidP="009C2DA3">
      <w:pPr>
        <w:jc w:val="both"/>
        <w:rPr>
          <w:rFonts w:ascii="Times New Roman" w:eastAsia="Times New Roman" w:hAnsi="Times New Roman" w:cs="Times New Roman"/>
          <w:lang w:eastAsia="es-MX"/>
        </w:rPr>
      </w:pPr>
    </w:p>
    <w:p w14:paraId="490B183C" w14:textId="3388CA93" w:rsidR="009C2DA3" w:rsidRDefault="009C2DA3" w:rsidP="009C2DA3">
      <w:pPr>
        <w:jc w:val="both"/>
        <w:rPr>
          <w:rFonts w:ascii="Times New Roman" w:eastAsia="Times New Roman" w:hAnsi="Times New Roman" w:cs="Times New Roman"/>
          <w:lang w:eastAsia="es-MX"/>
        </w:rPr>
      </w:pPr>
    </w:p>
    <w:p w14:paraId="21D04138" w14:textId="4D62D6B0" w:rsidR="00E84D8C" w:rsidRDefault="00E84D8C" w:rsidP="009C2DA3">
      <w:pPr>
        <w:jc w:val="both"/>
        <w:rPr>
          <w:rFonts w:ascii="Times New Roman" w:eastAsia="Times New Roman" w:hAnsi="Times New Roman" w:cs="Times New Roman"/>
          <w:lang w:eastAsia="es-MX"/>
        </w:rPr>
      </w:pPr>
    </w:p>
    <w:p w14:paraId="63D2F381" w14:textId="77777777" w:rsidR="00E84D8C" w:rsidRPr="00AD73C5" w:rsidRDefault="00E84D8C" w:rsidP="009C2DA3">
      <w:pPr>
        <w:jc w:val="both"/>
        <w:rPr>
          <w:rFonts w:ascii="Times New Roman" w:eastAsia="Times New Roman" w:hAnsi="Times New Roman" w:cs="Times New Roman"/>
          <w:lang w:eastAsia="es-MX"/>
        </w:rPr>
      </w:pPr>
    </w:p>
    <w:p w14:paraId="57C3CFC7" w14:textId="77777777" w:rsidR="00E84D8C" w:rsidRPr="00735674" w:rsidRDefault="00E84D8C" w:rsidP="00E84D8C">
      <w:pPr>
        <w:rPr>
          <w:rFonts w:ascii="Times New Roman" w:eastAsia="Times New Roman" w:hAnsi="Times New Roman" w:cs="Times New Roman"/>
          <w:b/>
          <w:lang w:eastAsia="es-MX"/>
        </w:rPr>
      </w:pPr>
      <w:r w:rsidRPr="00735674">
        <w:rPr>
          <w:rFonts w:ascii="Times New Roman" w:eastAsia="Times New Roman" w:hAnsi="Times New Roman" w:cs="Times New Roman"/>
          <w:b/>
          <w:lang w:eastAsia="es-MX"/>
        </w:rPr>
        <w:t xml:space="preserve">Gerardo Yepes Caro </w:t>
      </w:r>
    </w:p>
    <w:p w14:paraId="0E06E8BA" w14:textId="77777777" w:rsidR="00E84D8C" w:rsidRDefault="00E84D8C" w:rsidP="00E84D8C">
      <w:pPr>
        <w:rPr>
          <w:rFonts w:ascii="Times New Roman" w:eastAsia="Times New Roman" w:hAnsi="Times New Roman" w:cs="Times New Roman"/>
          <w:lang w:eastAsia="es-MX"/>
        </w:rPr>
      </w:pPr>
      <w:r>
        <w:rPr>
          <w:rFonts w:ascii="Times New Roman" w:eastAsia="Times New Roman" w:hAnsi="Times New Roman" w:cs="Times New Roman"/>
          <w:lang w:eastAsia="es-MX"/>
        </w:rPr>
        <w:t xml:space="preserve">Representante a la Cámara </w:t>
      </w:r>
    </w:p>
    <w:p w14:paraId="55E62AA8" w14:textId="3CAF5BD9" w:rsidR="00E84D8C" w:rsidRDefault="00E84D8C" w:rsidP="00E84D8C">
      <w:pPr>
        <w:rPr>
          <w:rFonts w:ascii="Times New Roman" w:eastAsia="Times New Roman" w:hAnsi="Times New Roman" w:cs="Times New Roman"/>
          <w:lang w:eastAsia="es-MX"/>
        </w:rPr>
      </w:pPr>
      <w:r>
        <w:rPr>
          <w:rFonts w:ascii="Times New Roman" w:eastAsia="Times New Roman" w:hAnsi="Times New Roman" w:cs="Times New Roman"/>
          <w:lang w:eastAsia="es-MX"/>
        </w:rPr>
        <w:t>Departamento del Tolima</w:t>
      </w:r>
    </w:p>
    <w:p w14:paraId="2E6360C9" w14:textId="3584C767" w:rsidR="008D6DE7" w:rsidRDefault="008D6DE7" w:rsidP="00E84D8C">
      <w:pPr>
        <w:rPr>
          <w:rFonts w:ascii="Times New Roman" w:eastAsia="Times New Roman" w:hAnsi="Times New Roman" w:cs="Times New Roman"/>
          <w:lang w:eastAsia="es-MX"/>
        </w:rPr>
      </w:pPr>
    </w:p>
    <w:p w14:paraId="41E27FBA" w14:textId="294ADD16" w:rsidR="008D6DE7" w:rsidRDefault="008D6DE7" w:rsidP="00E84D8C">
      <w:pPr>
        <w:rPr>
          <w:rFonts w:ascii="Times New Roman" w:eastAsia="Times New Roman" w:hAnsi="Times New Roman" w:cs="Times New Roman"/>
          <w:lang w:eastAsia="es-MX"/>
        </w:rPr>
      </w:pPr>
    </w:p>
    <w:p w14:paraId="381058A7" w14:textId="3CC6E89A" w:rsidR="008D6DE7" w:rsidRDefault="008D6DE7" w:rsidP="00E84D8C">
      <w:pPr>
        <w:rPr>
          <w:rFonts w:ascii="Times New Roman" w:eastAsia="Times New Roman" w:hAnsi="Times New Roman" w:cs="Times New Roman"/>
          <w:lang w:eastAsia="es-MX"/>
        </w:rPr>
      </w:pPr>
    </w:p>
    <w:p w14:paraId="35D631F7" w14:textId="75479849" w:rsidR="00637158" w:rsidRDefault="00637158" w:rsidP="00E84D8C">
      <w:pPr>
        <w:rPr>
          <w:rFonts w:ascii="Times New Roman" w:eastAsia="Times New Roman" w:hAnsi="Times New Roman" w:cs="Times New Roman"/>
          <w:lang w:eastAsia="es-MX"/>
        </w:rPr>
      </w:pPr>
    </w:p>
    <w:p w14:paraId="56AA1444" w14:textId="55D85655" w:rsidR="00637158" w:rsidRDefault="00637158" w:rsidP="00E84D8C">
      <w:pPr>
        <w:rPr>
          <w:rFonts w:ascii="Times New Roman" w:eastAsia="Times New Roman" w:hAnsi="Times New Roman" w:cs="Times New Roman"/>
          <w:lang w:eastAsia="es-MX"/>
        </w:rPr>
      </w:pPr>
    </w:p>
    <w:p w14:paraId="6774EEB7" w14:textId="0BF6DBA5" w:rsidR="00637158" w:rsidRDefault="00637158" w:rsidP="00E84D8C">
      <w:pPr>
        <w:rPr>
          <w:rFonts w:ascii="Times New Roman" w:eastAsia="Times New Roman" w:hAnsi="Times New Roman" w:cs="Times New Roman"/>
          <w:lang w:eastAsia="es-MX"/>
        </w:rPr>
      </w:pPr>
    </w:p>
    <w:p w14:paraId="1854F168" w14:textId="0DBDD98F" w:rsidR="00637158" w:rsidRDefault="00637158" w:rsidP="00E84D8C">
      <w:pPr>
        <w:rPr>
          <w:rFonts w:ascii="Times New Roman" w:eastAsia="Times New Roman" w:hAnsi="Times New Roman" w:cs="Times New Roman"/>
          <w:lang w:eastAsia="es-MX"/>
        </w:rPr>
      </w:pPr>
    </w:p>
    <w:p w14:paraId="474FEDF5" w14:textId="6068B3E2" w:rsidR="00637158" w:rsidRDefault="00637158" w:rsidP="00E84D8C">
      <w:pPr>
        <w:rPr>
          <w:rFonts w:ascii="Times New Roman" w:eastAsia="Times New Roman" w:hAnsi="Times New Roman" w:cs="Times New Roman"/>
          <w:lang w:eastAsia="es-MX"/>
        </w:rPr>
      </w:pPr>
    </w:p>
    <w:p w14:paraId="2BC9C3D0" w14:textId="7669CCD0" w:rsidR="00637158" w:rsidRDefault="00637158" w:rsidP="00E84D8C">
      <w:pPr>
        <w:rPr>
          <w:rFonts w:ascii="Times New Roman" w:eastAsia="Times New Roman" w:hAnsi="Times New Roman" w:cs="Times New Roman"/>
          <w:lang w:eastAsia="es-MX"/>
        </w:rPr>
      </w:pPr>
    </w:p>
    <w:p w14:paraId="53E347FD" w14:textId="514D9BA3" w:rsidR="00637158" w:rsidRDefault="00637158" w:rsidP="00E84D8C">
      <w:pPr>
        <w:rPr>
          <w:rFonts w:ascii="Times New Roman" w:eastAsia="Times New Roman" w:hAnsi="Times New Roman" w:cs="Times New Roman"/>
          <w:lang w:eastAsia="es-MX"/>
        </w:rPr>
      </w:pPr>
    </w:p>
    <w:p w14:paraId="2958972E" w14:textId="46AC86D1" w:rsidR="00637158" w:rsidRDefault="00637158" w:rsidP="00E84D8C">
      <w:pPr>
        <w:rPr>
          <w:rFonts w:ascii="Times New Roman" w:eastAsia="Times New Roman" w:hAnsi="Times New Roman" w:cs="Times New Roman"/>
          <w:lang w:eastAsia="es-MX"/>
        </w:rPr>
      </w:pPr>
    </w:p>
    <w:p w14:paraId="63BCE839" w14:textId="6125CCEA" w:rsidR="00637158" w:rsidRDefault="00637158" w:rsidP="00E84D8C">
      <w:pPr>
        <w:rPr>
          <w:rFonts w:ascii="Times New Roman" w:eastAsia="Times New Roman" w:hAnsi="Times New Roman" w:cs="Times New Roman"/>
          <w:lang w:eastAsia="es-MX"/>
        </w:rPr>
      </w:pPr>
    </w:p>
    <w:p w14:paraId="023310AB" w14:textId="7C13138F" w:rsidR="00637158" w:rsidRDefault="00637158" w:rsidP="00E84D8C">
      <w:pPr>
        <w:rPr>
          <w:rFonts w:ascii="Times New Roman" w:eastAsia="Times New Roman" w:hAnsi="Times New Roman" w:cs="Times New Roman"/>
          <w:lang w:eastAsia="es-MX"/>
        </w:rPr>
      </w:pPr>
    </w:p>
    <w:p w14:paraId="02E251F0" w14:textId="3F6E077B" w:rsidR="00637158" w:rsidRDefault="00637158" w:rsidP="00E84D8C">
      <w:pPr>
        <w:rPr>
          <w:rFonts w:ascii="Times New Roman" w:eastAsia="Times New Roman" w:hAnsi="Times New Roman" w:cs="Times New Roman"/>
          <w:lang w:eastAsia="es-MX"/>
        </w:rPr>
      </w:pPr>
    </w:p>
    <w:p w14:paraId="7B21C25D" w14:textId="592A61F8" w:rsidR="00637158" w:rsidRDefault="00637158" w:rsidP="00E84D8C">
      <w:pPr>
        <w:rPr>
          <w:rFonts w:ascii="Times New Roman" w:eastAsia="Times New Roman" w:hAnsi="Times New Roman" w:cs="Times New Roman"/>
          <w:lang w:eastAsia="es-MX"/>
        </w:rPr>
      </w:pPr>
    </w:p>
    <w:p w14:paraId="49FD4E6B" w14:textId="15B64B38" w:rsidR="00637158" w:rsidRDefault="00637158" w:rsidP="00E84D8C">
      <w:pPr>
        <w:rPr>
          <w:rFonts w:ascii="Times New Roman" w:eastAsia="Times New Roman" w:hAnsi="Times New Roman" w:cs="Times New Roman"/>
          <w:lang w:eastAsia="es-MX"/>
        </w:rPr>
      </w:pPr>
    </w:p>
    <w:p w14:paraId="0D706FD9" w14:textId="2D7F9CC4" w:rsidR="00637158" w:rsidRDefault="00637158" w:rsidP="00E84D8C">
      <w:pPr>
        <w:rPr>
          <w:rFonts w:ascii="Times New Roman" w:eastAsia="Times New Roman" w:hAnsi="Times New Roman" w:cs="Times New Roman"/>
          <w:lang w:eastAsia="es-MX"/>
        </w:rPr>
      </w:pPr>
    </w:p>
    <w:p w14:paraId="13ADE93E" w14:textId="11D9A16E" w:rsidR="00637158" w:rsidRDefault="00637158" w:rsidP="00E84D8C">
      <w:pPr>
        <w:rPr>
          <w:rFonts w:ascii="Times New Roman" w:eastAsia="Times New Roman" w:hAnsi="Times New Roman" w:cs="Times New Roman"/>
          <w:lang w:eastAsia="es-MX"/>
        </w:rPr>
      </w:pPr>
    </w:p>
    <w:p w14:paraId="6512AB63" w14:textId="1845D82C" w:rsidR="00637158" w:rsidRDefault="00637158" w:rsidP="00E84D8C">
      <w:pPr>
        <w:rPr>
          <w:rFonts w:ascii="Times New Roman" w:eastAsia="Times New Roman" w:hAnsi="Times New Roman" w:cs="Times New Roman"/>
          <w:lang w:eastAsia="es-MX"/>
        </w:rPr>
      </w:pPr>
    </w:p>
    <w:p w14:paraId="4A82D657" w14:textId="1865B6F4" w:rsidR="00637158" w:rsidRDefault="00637158" w:rsidP="00E84D8C">
      <w:pPr>
        <w:rPr>
          <w:rFonts w:ascii="Times New Roman" w:eastAsia="Times New Roman" w:hAnsi="Times New Roman" w:cs="Times New Roman"/>
          <w:lang w:eastAsia="es-MX"/>
        </w:rPr>
      </w:pPr>
    </w:p>
    <w:p w14:paraId="11285EF9" w14:textId="54D03000" w:rsidR="00637158" w:rsidRDefault="00637158" w:rsidP="00E84D8C">
      <w:pPr>
        <w:rPr>
          <w:rFonts w:ascii="Times New Roman" w:eastAsia="Times New Roman" w:hAnsi="Times New Roman" w:cs="Times New Roman"/>
          <w:lang w:eastAsia="es-MX"/>
        </w:rPr>
      </w:pPr>
    </w:p>
    <w:p w14:paraId="51CE5D05" w14:textId="74D36DAB" w:rsidR="00637158" w:rsidRDefault="00637158" w:rsidP="00E84D8C">
      <w:pPr>
        <w:rPr>
          <w:rFonts w:ascii="Times New Roman" w:eastAsia="Times New Roman" w:hAnsi="Times New Roman" w:cs="Times New Roman"/>
          <w:lang w:eastAsia="es-MX"/>
        </w:rPr>
      </w:pPr>
    </w:p>
    <w:p w14:paraId="6E2325B1" w14:textId="5569D8C8" w:rsidR="00637158" w:rsidRDefault="00637158" w:rsidP="00E84D8C">
      <w:pPr>
        <w:rPr>
          <w:rFonts w:ascii="Times New Roman" w:eastAsia="Times New Roman" w:hAnsi="Times New Roman" w:cs="Times New Roman"/>
          <w:lang w:eastAsia="es-MX"/>
        </w:rPr>
      </w:pPr>
    </w:p>
    <w:p w14:paraId="58AE56A2" w14:textId="333E66DC" w:rsidR="00637158" w:rsidRDefault="00637158" w:rsidP="00E84D8C">
      <w:pPr>
        <w:rPr>
          <w:rFonts w:ascii="Times New Roman" w:eastAsia="Times New Roman" w:hAnsi="Times New Roman" w:cs="Times New Roman"/>
          <w:lang w:eastAsia="es-MX"/>
        </w:rPr>
      </w:pPr>
    </w:p>
    <w:p w14:paraId="7BFCCFDF" w14:textId="2CBFA8EE" w:rsidR="00637158" w:rsidRDefault="00637158" w:rsidP="00E84D8C">
      <w:pPr>
        <w:rPr>
          <w:rFonts w:ascii="Times New Roman" w:eastAsia="Times New Roman" w:hAnsi="Times New Roman" w:cs="Times New Roman"/>
          <w:lang w:eastAsia="es-MX"/>
        </w:rPr>
      </w:pPr>
    </w:p>
    <w:p w14:paraId="4FC0834F" w14:textId="277A472A" w:rsidR="00637158" w:rsidRDefault="00637158" w:rsidP="00E84D8C">
      <w:pPr>
        <w:rPr>
          <w:rFonts w:ascii="Times New Roman" w:eastAsia="Times New Roman" w:hAnsi="Times New Roman" w:cs="Times New Roman"/>
          <w:lang w:eastAsia="es-MX"/>
        </w:rPr>
      </w:pPr>
    </w:p>
    <w:p w14:paraId="1908EB74" w14:textId="063D88C7" w:rsidR="00637158" w:rsidRDefault="00637158" w:rsidP="00E84D8C">
      <w:pPr>
        <w:rPr>
          <w:rFonts w:ascii="Times New Roman" w:eastAsia="Times New Roman" w:hAnsi="Times New Roman" w:cs="Times New Roman"/>
          <w:lang w:eastAsia="es-MX"/>
        </w:rPr>
      </w:pPr>
    </w:p>
    <w:p w14:paraId="01B4E049" w14:textId="130D0785" w:rsidR="00637158" w:rsidRDefault="00637158" w:rsidP="00E84D8C">
      <w:pPr>
        <w:rPr>
          <w:rFonts w:ascii="Times New Roman" w:eastAsia="Times New Roman" w:hAnsi="Times New Roman" w:cs="Times New Roman"/>
          <w:lang w:eastAsia="es-MX"/>
        </w:rPr>
      </w:pPr>
    </w:p>
    <w:p w14:paraId="75E6393B" w14:textId="1C2E7AF5" w:rsidR="00637158" w:rsidRDefault="00637158" w:rsidP="00E84D8C">
      <w:pPr>
        <w:rPr>
          <w:rFonts w:ascii="Times New Roman" w:eastAsia="Times New Roman" w:hAnsi="Times New Roman" w:cs="Times New Roman"/>
          <w:lang w:eastAsia="es-MX"/>
        </w:rPr>
      </w:pPr>
    </w:p>
    <w:p w14:paraId="3E2FB97C" w14:textId="47EB9187" w:rsidR="00637158" w:rsidRDefault="00637158" w:rsidP="00E84D8C">
      <w:pPr>
        <w:rPr>
          <w:rFonts w:ascii="Times New Roman" w:eastAsia="Times New Roman" w:hAnsi="Times New Roman" w:cs="Times New Roman"/>
          <w:lang w:eastAsia="es-MX"/>
        </w:rPr>
      </w:pPr>
    </w:p>
    <w:p w14:paraId="333ACCD3" w14:textId="71D079E4" w:rsidR="00637158" w:rsidRDefault="00637158" w:rsidP="00E84D8C">
      <w:pPr>
        <w:rPr>
          <w:rFonts w:ascii="Times New Roman" w:eastAsia="Times New Roman" w:hAnsi="Times New Roman" w:cs="Times New Roman"/>
          <w:lang w:eastAsia="es-MX"/>
        </w:rPr>
      </w:pPr>
    </w:p>
    <w:p w14:paraId="65E1055B" w14:textId="049752B2" w:rsidR="00637158" w:rsidRDefault="00637158" w:rsidP="00E84D8C">
      <w:pPr>
        <w:rPr>
          <w:rFonts w:ascii="Times New Roman" w:eastAsia="Times New Roman" w:hAnsi="Times New Roman" w:cs="Times New Roman"/>
          <w:lang w:eastAsia="es-MX"/>
        </w:rPr>
      </w:pPr>
    </w:p>
    <w:p w14:paraId="3C4C39F3" w14:textId="5357FD76" w:rsidR="00637158" w:rsidRDefault="00637158" w:rsidP="00E84D8C">
      <w:pPr>
        <w:rPr>
          <w:rFonts w:ascii="Times New Roman" w:eastAsia="Times New Roman" w:hAnsi="Times New Roman" w:cs="Times New Roman"/>
          <w:lang w:eastAsia="es-MX"/>
        </w:rPr>
      </w:pPr>
    </w:p>
    <w:p w14:paraId="71A37E11" w14:textId="28284917" w:rsidR="00637158" w:rsidRDefault="00637158" w:rsidP="00E84D8C">
      <w:pPr>
        <w:rPr>
          <w:rFonts w:ascii="Times New Roman" w:eastAsia="Times New Roman" w:hAnsi="Times New Roman" w:cs="Times New Roman"/>
          <w:lang w:eastAsia="es-MX"/>
        </w:rPr>
      </w:pPr>
    </w:p>
    <w:p w14:paraId="2C88B506" w14:textId="13956D77" w:rsidR="00637158" w:rsidRDefault="00637158" w:rsidP="00E84D8C">
      <w:pPr>
        <w:rPr>
          <w:rFonts w:ascii="Times New Roman" w:eastAsia="Times New Roman" w:hAnsi="Times New Roman" w:cs="Times New Roman"/>
          <w:lang w:eastAsia="es-MX"/>
        </w:rPr>
      </w:pPr>
    </w:p>
    <w:p w14:paraId="6695303E" w14:textId="04689557" w:rsidR="00637158" w:rsidRDefault="00637158" w:rsidP="00E84D8C">
      <w:pPr>
        <w:rPr>
          <w:rFonts w:ascii="Times New Roman" w:eastAsia="Times New Roman" w:hAnsi="Times New Roman" w:cs="Times New Roman"/>
          <w:lang w:eastAsia="es-MX"/>
        </w:rPr>
      </w:pPr>
    </w:p>
    <w:p w14:paraId="3B35E3C7" w14:textId="1D701379" w:rsidR="00637158" w:rsidRDefault="00637158" w:rsidP="00E84D8C">
      <w:pPr>
        <w:rPr>
          <w:rFonts w:ascii="Times New Roman" w:eastAsia="Times New Roman" w:hAnsi="Times New Roman" w:cs="Times New Roman"/>
          <w:lang w:eastAsia="es-MX"/>
        </w:rPr>
      </w:pPr>
    </w:p>
    <w:p w14:paraId="6FA7DC0D" w14:textId="15B1C96C" w:rsidR="00637158" w:rsidRDefault="00637158" w:rsidP="00E84D8C">
      <w:pPr>
        <w:rPr>
          <w:rFonts w:ascii="Times New Roman" w:eastAsia="Times New Roman" w:hAnsi="Times New Roman" w:cs="Times New Roman"/>
          <w:lang w:eastAsia="es-MX"/>
        </w:rPr>
      </w:pPr>
    </w:p>
    <w:p w14:paraId="608900E2" w14:textId="02F3D757" w:rsidR="00637158" w:rsidRDefault="00637158" w:rsidP="00E84D8C">
      <w:pPr>
        <w:rPr>
          <w:rFonts w:ascii="Times New Roman" w:eastAsia="Times New Roman" w:hAnsi="Times New Roman" w:cs="Times New Roman"/>
          <w:lang w:eastAsia="es-MX"/>
        </w:rPr>
      </w:pPr>
    </w:p>
    <w:p w14:paraId="5F98D409" w14:textId="050B364A" w:rsidR="00637158" w:rsidRDefault="00637158" w:rsidP="00E84D8C">
      <w:pPr>
        <w:rPr>
          <w:rFonts w:ascii="Times New Roman" w:eastAsia="Times New Roman" w:hAnsi="Times New Roman" w:cs="Times New Roman"/>
          <w:lang w:eastAsia="es-MX"/>
        </w:rPr>
      </w:pPr>
    </w:p>
    <w:p w14:paraId="1A2E7746" w14:textId="03A2695D" w:rsidR="00637158" w:rsidRDefault="00637158" w:rsidP="00E84D8C">
      <w:pPr>
        <w:rPr>
          <w:rFonts w:ascii="Times New Roman" w:eastAsia="Times New Roman" w:hAnsi="Times New Roman" w:cs="Times New Roman"/>
          <w:lang w:eastAsia="es-MX"/>
        </w:rPr>
      </w:pPr>
    </w:p>
    <w:p w14:paraId="08B0B95B" w14:textId="77777777" w:rsidR="00637158" w:rsidRDefault="00637158" w:rsidP="00E84D8C">
      <w:pPr>
        <w:rPr>
          <w:rFonts w:ascii="Times New Roman" w:eastAsia="Times New Roman" w:hAnsi="Times New Roman" w:cs="Times New Roman"/>
          <w:lang w:eastAsia="es-MX"/>
        </w:rPr>
      </w:pPr>
    </w:p>
    <w:p w14:paraId="550F637A" w14:textId="4A6811BE" w:rsidR="008D6DE7" w:rsidRDefault="008D6DE7" w:rsidP="00E84D8C">
      <w:pPr>
        <w:rPr>
          <w:rFonts w:ascii="Times New Roman" w:eastAsia="Times New Roman" w:hAnsi="Times New Roman" w:cs="Times New Roman"/>
          <w:lang w:eastAsia="es-MX"/>
        </w:rPr>
      </w:pPr>
    </w:p>
    <w:p w14:paraId="0025BD55" w14:textId="42DD0EA4" w:rsidR="008D6DE7" w:rsidRDefault="008D6DE7" w:rsidP="00E84D8C">
      <w:pPr>
        <w:rPr>
          <w:rFonts w:ascii="Times New Roman" w:eastAsia="Times New Roman" w:hAnsi="Times New Roman" w:cs="Times New Roman"/>
          <w:lang w:eastAsia="es-MX"/>
        </w:rPr>
      </w:pPr>
    </w:p>
    <w:p w14:paraId="5150F898" w14:textId="6B527883" w:rsidR="009C2DA3" w:rsidRPr="00E84D8C" w:rsidRDefault="005B6328" w:rsidP="00E84D8C">
      <w:pPr>
        <w:jc w:val="center"/>
        <w:rPr>
          <w:rFonts w:ascii="Times New Roman" w:eastAsia="Times New Roman" w:hAnsi="Times New Roman" w:cs="Times New Roman"/>
          <w:lang w:eastAsia="es-MX"/>
        </w:rPr>
      </w:pPr>
      <w:r w:rsidRPr="00AD73C5">
        <w:rPr>
          <w:rFonts w:ascii="Times New Roman" w:eastAsia="Times New Roman" w:hAnsi="Times New Roman" w:cs="Times New Roman"/>
          <w:b/>
          <w:bCs/>
          <w:lang w:eastAsia="es-MX"/>
        </w:rPr>
        <w:lastRenderedPageBreak/>
        <w:t>EXPOSICIÓN DE MOTIVOS</w:t>
      </w:r>
    </w:p>
    <w:p w14:paraId="6BD8A05B" w14:textId="77777777" w:rsidR="009C2DA3" w:rsidRPr="00AD73C5" w:rsidRDefault="009C2DA3" w:rsidP="005B6328">
      <w:pPr>
        <w:rPr>
          <w:rFonts w:ascii="Times New Roman" w:eastAsia="Times New Roman" w:hAnsi="Times New Roman" w:cs="Times New Roman"/>
          <w:b/>
          <w:bCs/>
          <w:lang w:eastAsia="es-MX"/>
        </w:rPr>
      </w:pPr>
    </w:p>
    <w:p w14:paraId="6813FB8F" w14:textId="3A5DDE21" w:rsidR="00276DD1" w:rsidRPr="00951027" w:rsidRDefault="00276DD1" w:rsidP="00276DD1">
      <w:pPr>
        <w:jc w:val="center"/>
        <w:rPr>
          <w:rFonts w:ascii="Times New Roman" w:eastAsia="Times New Roman" w:hAnsi="Times New Roman" w:cs="Times New Roman"/>
          <w:b/>
          <w:bCs/>
          <w:lang w:eastAsia="es-MX"/>
        </w:rPr>
      </w:pPr>
      <w:r>
        <w:rPr>
          <w:rFonts w:ascii="Times New Roman" w:eastAsia="Times New Roman" w:hAnsi="Times New Roman" w:cs="Times New Roman"/>
          <w:b/>
          <w:bCs/>
          <w:lang w:eastAsia="es-MX"/>
        </w:rPr>
        <w:t>Proyecto de Ley</w:t>
      </w:r>
      <w:r w:rsidR="001A25E4">
        <w:rPr>
          <w:rFonts w:ascii="Times New Roman" w:eastAsia="Times New Roman" w:hAnsi="Times New Roman" w:cs="Times New Roman"/>
          <w:b/>
          <w:bCs/>
          <w:lang w:eastAsia="es-MX"/>
        </w:rPr>
        <w:t xml:space="preserve"> No. </w:t>
      </w:r>
      <w:proofErr w:type="gramStart"/>
      <w:r w:rsidR="001A25E4">
        <w:rPr>
          <w:rFonts w:ascii="Times New Roman" w:eastAsia="Times New Roman" w:hAnsi="Times New Roman" w:cs="Times New Roman"/>
          <w:b/>
          <w:bCs/>
          <w:lang w:eastAsia="es-MX"/>
        </w:rPr>
        <w:t xml:space="preserve">301 </w:t>
      </w:r>
      <w:bookmarkStart w:id="0" w:name="_GoBack"/>
      <w:bookmarkEnd w:id="0"/>
      <w:r w:rsidRPr="00951027">
        <w:rPr>
          <w:rFonts w:ascii="Times New Roman" w:eastAsia="Times New Roman" w:hAnsi="Times New Roman" w:cs="Times New Roman"/>
          <w:b/>
          <w:bCs/>
          <w:lang w:eastAsia="es-MX"/>
        </w:rPr>
        <w:t xml:space="preserve"> de</w:t>
      </w:r>
      <w:proofErr w:type="gramEnd"/>
      <w:r w:rsidRPr="00951027">
        <w:rPr>
          <w:rFonts w:ascii="Times New Roman" w:eastAsia="Times New Roman" w:hAnsi="Times New Roman" w:cs="Times New Roman"/>
          <w:b/>
          <w:bCs/>
          <w:lang w:eastAsia="es-MX"/>
        </w:rPr>
        <w:t xml:space="preserve"> 2022</w:t>
      </w:r>
      <w:r>
        <w:rPr>
          <w:rFonts w:ascii="Times New Roman" w:eastAsia="Times New Roman" w:hAnsi="Times New Roman" w:cs="Times New Roman"/>
          <w:b/>
          <w:bCs/>
          <w:lang w:eastAsia="es-MX"/>
        </w:rPr>
        <w:t xml:space="preserve"> “Por medio del cual se dictan disposiciones para garantizar la estabilidad laboral de los adultos mayores como medida para prevenir el “edadismo” o la discriminación por edad. </w:t>
      </w:r>
    </w:p>
    <w:p w14:paraId="67550619" w14:textId="3C6BD712" w:rsidR="009C2DA3" w:rsidRPr="00AD73C5" w:rsidRDefault="009C2DA3" w:rsidP="005B6328">
      <w:pPr>
        <w:rPr>
          <w:rFonts w:ascii="Times New Roman" w:eastAsia="Times New Roman" w:hAnsi="Times New Roman" w:cs="Times New Roman"/>
          <w:lang w:eastAsia="es-MX"/>
        </w:rPr>
      </w:pPr>
    </w:p>
    <w:p w14:paraId="19202432" w14:textId="7245B2EA" w:rsidR="00185C0D" w:rsidRDefault="00185C0D" w:rsidP="00185C0D">
      <w:pPr>
        <w:jc w:val="center"/>
        <w:rPr>
          <w:rFonts w:ascii="Times New Roman" w:eastAsia="Times New Roman" w:hAnsi="Times New Roman" w:cs="Times New Roman"/>
          <w:b/>
          <w:bCs/>
          <w:lang w:eastAsia="es-MX"/>
        </w:rPr>
      </w:pPr>
    </w:p>
    <w:p w14:paraId="76ED9FA2" w14:textId="77777777" w:rsidR="00CD5E71" w:rsidRDefault="00CD5E71" w:rsidP="00185C0D">
      <w:pPr>
        <w:jc w:val="center"/>
        <w:rPr>
          <w:rFonts w:ascii="Times New Roman" w:eastAsia="Times New Roman" w:hAnsi="Times New Roman" w:cs="Times New Roman"/>
          <w:b/>
          <w:bCs/>
          <w:lang w:eastAsia="es-MX"/>
        </w:rPr>
      </w:pPr>
    </w:p>
    <w:p w14:paraId="45740981" w14:textId="77777777" w:rsidR="00185C0D" w:rsidRPr="00185C0D" w:rsidRDefault="00185C0D" w:rsidP="00185C0D">
      <w:pPr>
        <w:jc w:val="center"/>
        <w:rPr>
          <w:rFonts w:ascii="Times New Roman" w:eastAsia="Times New Roman" w:hAnsi="Times New Roman" w:cs="Times New Roman"/>
          <w:b/>
          <w:bCs/>
          <w:lang w:eastAsia="es-MX"/>
        </w:rPr>
      </w:pPr>
    </w:p>
    <w:p w14:paraId="4A5B61DC" w14:textId="77777777" w:rsidR="009C2DA3" w:rsidRPr="00AD73C5" w:rsidRDefault="005B6328" w:rsidP="005B6328">
      <w:pPr>
        <w:rPr>
          <w:rFonts w:ascii="Times New Roman" w:eastAsia="Times New Roman" w:hAnsi="Times New Roman" w:cs="Times New Roman"/>
          <w:b/>
          <w:bCs/>
          <w:lang w:eastAsia="es-MX"/>
        </w:rPr>
      </w:pPr>
      <w:r w:rsidRPr="00AD73C5">
        <w:rPr>
          <w:rFonts w:ascii="Times New Roman" w:eastAsia="Times New Roman" w:hAnsi="Times New Roman" w:cs="Times New Roman"/>
          <w:b/>
          <w:bCs/>
          <w:lang w:eastAsia="es-MX"/>
        </w:rPr>
        <w:t xml:space="preserve">I. OBJETO </w:t>
      </w:r>
    </w:p>
    <w:p w14:paraId="4E14EC2A" w14:textId="77777777" w:rsidR="009C2DA3" w:rsidRPr="00AD73C5" w:rsidRDefault="009C2DA3" w:rsidP="005B6328">
      <w:pPr>
        <w:rPr>
          <w:rFonts w:ascii="Times New Roman" w:eastAsia="Times New Roman" w:hAnsi="Times New Roman" w:cs="Times New Roman"/>
          <w:lang w:eastAsia="es-MX"/>
        </w:rPr>
      </w:pPr>
    </w:p>
    <w:p w14:paraId="4A18A85C" w14:textId="25BFA290" w:rsidR="009C2DA3" w:rsidRPr="003404D4" w:rsidRDefault="005B6328" w:rsidP="00E84D8C">
      <w:pPr>
        <w:jc w:val="both"/>
        <w:rPr>
          <w:rFonts w:ascii="Times New Roman" w:eastAsia="Times New Roman" w:hAnsi="Times New Roman" w:cs="Times New Roman"/>
          <w:lang w:eastAsia="es-MX"/>
        </w:rPr>
      </w:pPr>
      <w:r w:rsidRPr="003404D4">
        <w:rPr>
          <w:rFonts w:ascii="Times New Roman" w:eastAsia="Times New Roman" w:hAnsi="Times New Roman" w:cs="Times New Roman"/>
          <w:lang w:eastAsia="es-MX"/>
        </w:rPr>
        <w:t xml:space="preserve">El proyecto de </w:t>
      </w:r>
      <w:r w:rsidR="00706F24" w:rsidRPr="003404D4">
        <w:rPr>
          <w:rFonts w:ascii="Times New Roman" w:eastAsia="Times New Roman" w:hAnsi="Times New Roman" w:cs="Times New Roman"/>
          <w:lang w:eastAsia="es-MX"/>
        </w:rPr>
        <w:t>ley</w:t>
      </w:r>
      <w:r w:rsidRPr="003404D4">
        <w:rPr>
          <w:rFonts w:ascii="Times New Roman" w:eastAsia="Times New Roman" w:hAnsi="Times New Roman" w:cs="Times New Roman"/>
          <w:lang w:eastAsia="es-MX"/>
        </w:rPr>
        <w:t xml:space="preserve"> presentado a consideración del Honorable Congreso de la República, </w:t>
      </w:r>
      <w:r w:rsidR="00735674" w:rsidRPr="003404D4">
        <w:rPr>
          <w:rFonts w:ascii="Times New Roman" w:eastAsia="Times New Roman" w:hAnsi="Times New Roman" w:cs="Times New Roman"/>
          <w:lang w:eastAsia="es-MX"/>
        </w:rPr>
        <w:t xml:space="preserve">busca que </w:t>
      </w:r>
      <w:r w:rsidR="00735674" w:rsidRPr="00E84D8C">
        <w:rPr>
          <w:rFonts w:ascii="Times New Roman" w:eastAsia="Times New Roman" w:hAnsi="Times New Roman" w:cs="Times New Roman"/>
          <w:lang w:eastAsia="es-MX"/>
        </w:rPr>
        <w:t xml:space="preserve">se </w:t>
      </w:r>
      <w:r w:rsidR="00E84D8C" w:rsidRPr="00E84D8C">
        <w:rPr>
          <w:rFonts w:ascii="Times New Roman" w:eastAsia="Times New Roman" w:hAnsi="Times New Roman" w:cs="Times New Roman"/>
          <w:bCs/>
          <w:lang w:eastAsia="es-MX"/>
        </w:rPr>
        <w:t>dicten disposiciones para garantizar la estabilidad laboral de los adultos mayores como medida para prevenir el “</w:t>
      </w:r>
      <w:r w:rsidR="00E84D8C" w:rsidRPr="00E84D8C">
        <w:rPr>
          <w:rFonts w:ascii="Times New Roman" w:eastAsia="Times New Roman" w:hAnsi="Times New Roman" w:cs="Times New Roman"/>
          <w:bCs/>
          <w:i/>
          <w:lang w:eastAsia="es-MX"/>
        </w:rPr>
        <w:t>edadismo</w:t>
      </w:r>
      <w:r w:rsidR="00E84D8C" w:rsidRPr="00E84D8C">
        <w:rPr>
          <w:rFonts w:ascii="Times New Roman" w:eastAsia="Times New Roman" w:hAnsi="Times New Roman" w:cs="Times New Roman"/>
          <w:bCs/>
          <w:lang w:eastAsia="es-MX"/>
        </w:rPr>
        <w:t>” o la discriminación por edad</w:t>
      </w:r>
      <w:r w:rsidR="00E84D8C">
        <w:rPr>
          <w:rFonts w:ascii="Times New Roman" w:eastAsia="Times New Roman" w:hAnsi="Times New Roman" w:cs="Times New Roman"/>
          <w:bCs/>
          <w:lang w:eastAsia="es-MX"/>
        </w:rPr>
        <w:t>.</w:t>
      </w:r>
    </w:p>
    <w:p w14:paraId="5FBBAD5D" w14:textId="77777777" w:rsidR="009C2DA3" w:rsidRPr="003404D4" w:rsidRDefault="009C2DA3" w:rsidP="005B6328">
      <w:pPr>
        <w:rPr>
          <w:rFonts w:ascii="Times New Roman" w:eastAsia="Times New Roman" w:hAnsi="Times New Roman" w:cs="Times New Roman"/>
          <w:lang w:eastAsia="es-MX"/>
        </w:rPr>
      </w:pPr>
    </w:p>
    <w:p w14:paraId="21C73619" w14:textId="77777777" w:rsidR="009C2DA3" w:rsidRPr="003404D4" w:rsidRDefault="005B6328" w:rsidP="005B6328">
      <w:pPr>
        <w:rPr>
          <w:rFonts w:ascii="Times New Roman" w:eastAsia="Times New Roman" w:hAnsi="Times New Roman" w:cs="Times New Roman"/>
          <w:b/>
          <w:bCs/>
          <w:lang w:eastAsia="es-MX"/>
        </w:rPr>
      </w:pPr>
      <w:r w:rsidRPr="003404D4">
        <w:rPr>
          <w:rFonts w:ascii="Times New Roman" w:eastAsia="Times New Roman" w:hAnsi="Times New Roman" w:cs="Times New Roman"/>
          <w:b/>
          <w:bCs/>
          <w:lang w:eastAsia="es-MX"/>
        </w:rPr>
        <w:t xml:space="preserve">II. ANTECEDENTES </w:t>
      </w:r>
    </w:p>
    <w:p w14:paraId="4B906438" w14:textId="10A595F9" w:rsidR="009C2DA3" w:rsidRPr="003404D4" w:rsidRDefault="009C2DA3" w:rsidP="005B6328">
      <w:pPr>
        <w:rPr>
          <w:rFonts w:ascii="Times New Roman" w:eastAsia="Times New Roman" w:hAnsi="Times New Roman" w:cs="Times New Roman"/>
          <w:lang w:eastAsia="es-MX"/>
        </w:rPr>
      </w:pPr>
    </w:p>
    <w:p w14:paraId="491FB7E2" w14:textId="0D40B79F" w:rsidR="007A2719" w:rsidRPr="003404D4" w:rsidRDefault="00706F24" w:rsidP="007A2719">
      <w:pPr>
        <w:pStyle w:val="NormalWeb"/>
        <w:spacing w:before="0" w:beforeAutospacing="0" w:after="0" w:afterAutospacing="0"/>
        <w:jc w:val="both"/>
      </w:pPr>
      <w:bookmarkStart w:id="1" w:name="_Hlk105532945"/>
      <w:r w:rsidRPr="003404D4">
        <w:t xml:space="preserve">Es necesario entender que la discriminación como concepto ha estado ligada a los seres humanos como un </w:t>
      </w:r>
      <w:r w:rsidR="00955C2A" w:rsidRPr="003404D4">
        <w:t>elemento</w:t>
      </w:r>
      <w:r w:rsidRPr="003404D4">
        <w:t xml:space="preserve"> que nos</w:t>
      </w:r>
      <w:r w:rsidR="00BB355C" w:rsidRPr="003404D4">
        <w:t xml:space="preserve"> permite entender como un trato</w:t>
      </w:r>
      <w:r w:rsidRPr="003404D4">
        <w:t xml:space="preserve"> desigual hacia un grupo de personas o colectividad, los motivos han sido los protagonistas en diversos momentos de la historia</w:t>
      </w:r>
      <w:sdt>
        <w:sdtPr>
          <w:id w:val="-151834251"/>
          <w:citation/>
        </w:sdtPr>
        <w:sdtEndPr/>
        <w:sdtContent>
          <w:r w:rsidRPr="003404D4">
            <w:fldChar w:fldCharType="begin"/>
          </w:r>
          <w:r w:rsidRPr="003404D4">
            <w:instrText xml:space="preserve"> CITATION ASA20 \l 9226 </w:instrText>
          </w:r>
          <w:r w:rsidRPr="003404D4">
            <w:fldChar w:fldCharType="separate"/>
          </w:r>
          <w:r w:rsidR="008D6DE7">
            <w:rPr>
              <w:noProof/>
            </w:rPr>
            <w:t xml:space="preserve"> (ASALE, 2020)</w:t>
          </w:r>
          <w:r w:rsidRPr="003404D4">
            <w:fldChar w:fldCharType="end"/>
          </w:r>
        </w:sdtContent>
      </w:sdt>
      <w:r w:rsidR="00955C2A" w:rsidRPr="003404D4">
        <w:t xml:space="preserve"> este concepto encuentra sentido tanto </w:t>
      </w:r>
      <w:r w:rsidR="00BB355C" w:rsidRPr="003404D4">
        <w:t xml:space="preserve">en </w:t>
      </w:r>
      <w:r w:rsidR="00955C2A" w:rsidRPr="003404D4">
        <w:t xml:space="preserve">la comunidad primitiva, el esclavismo, el feudalismo, el capitalismo y el socialismo ha tenido diversas formas de discriminación fundamentadas en la misma estructura, normalmente se veía de manera más explícita la discriminación sobre las minorías aunque no siempre se dio de esta manera, </w:t>
      </w:r>
      <w:sdt>
        <w:sdtPr>
          <w:id w:val="-2076885701"/>
          <w:citation/>
        </w:sdtPr>
        <w:sdtEndPr/>
        <w:sdtContent>
          <w:r w:rsidR="00955C2A" w:rsidRPr="003404D4">
            <w:fldChar w:fldCharType="begin"/>
          </w:r>
          <w:r w:rsidR="00955C2A" w:rsidRPr="003404D4">
            <w:instrText xml:space="preserve"> CITATION Car00 \l 9226 </w:instrText>
          </w:r>
          <w:r w:rsidR="00955C2A" w:rsidRPr="003404D4">
            <w:fldChar w:fldCharType="separate"/>
          </w:r>
          <w:r w:rsidR="008D6DE7">
            <w:rPr>
              <w:noProof/>
            </w:rPr>
            <w:t>(Carmichael &amp; Woods, 2000)</w:t>
          </w:r>
          <w:r w:rsidR="00955C2A" w:rsidRPr="003404D4">
            <w:fldChar w:fldCharType="end"/>
          </w:r>
        </w:sdtContent>
      </w:sdt>
      <w:r w:rsidR="00500352" w:rsidRPr="003404D4">
        <w:t xml:space="preserve">, en general los ordenamientos jurídicos obedecen a la evolución o comprensión de los territorios sobre las maneras de relacionarse, por eso es probable que algunas normas inclusive pudieran tener contenidas ideas de promoción de la discriminación por ser otro momento de la vida social o inclusive por no realizarse análisis profundos considerando todas las variables en cada tema o problemática, de igual manera sucede con nuestra cultura, tradiciones, ideas sociales o hasta maneras de ser. </w:t>
      </w:r>
    </w:p>
    <w:p w14:paraId="4866F93E" w14:textId="128E0F65" w:rsidR="00500352" w:rsidRPr="003404D4" w:rsidRDefault="00500352" w:rsidP="007A2719">
      <w:pPr>
        <w:pStyle w:val="NormalWeb"/>
        <w:spacing w:before="0" w:beforeAutospacing="0" w:after="0" w:afterAutospacing="0"/>
        <w:jc w:val="both"/>
      </w:pPr>
    </w:p>
    <w:p w14:paraId="3969E773" w14:textId="2D02F913" w:rsidR="00B7642F" w:rsidRPr="003404D4" w:rsidRDefault="00BC3898" w:rsidP="007A2719">
      <w:pPr>
        <w:pStyle w:val="NormalWeb"/>
        <w:spacing w:before="0" w:beforeAutospacing="0" w:after="0" w:afterAutospacing="0"/>
        <w:jc w:val="both"/>
      </w:pPr>
      <w:r w:rsidRPr="003404D4">
        <w:t>La sociedad antigua entendía a las edades avanzadas como significado de un privilegio de los dioses, era entendida como una recompensa para los justos</w:t>
      </w:r>
      <w:sdt>
        <w:sdtPr>
          <w:id w:val="1652638142"/>
          <w:citation/>
        </w:sdtPr>
        <w:sdtEndPr/>
        <w:sdtContent>
          <w:r w:rsidRPr="003404D4">
            <w:fldChar w:fldCharType="begin"/>
          </w:r>
          <w:r w:rsidRPr="003404D4">
            <w:instrText xml:space="preserve"> CITATION TRE01 \l 9226 </w:instrText>
          </w:r>
          <w:r w:rsidRPr="003404D4">
            <w:fldChar w:fldCharType="separate"/>
          </w:r>
          <w:r w:rsidR="008D6DE7">
            <w:rPr>
              <w:noProof/>
            </w:rPr>
            <w:t xml:space="preserve"> (TREJO MATURANA, 2001)</w:t>
          </w:r>
          <w:r w:rsidRPr="003404D4">
            <w:fldChar w:fldCharType="end"/>
          </w:r>
        </w:sdtContent>
      </w:sdt>
      <w:r w:rsidR="00B7642F" w:rsidRPr="003404D4">
        <w:t xml:space="preserve"> de igual manera Plantón concebía la vejez feliz como una virtud, en el poema de Píndaro establece la República:</w:t>
      </w:r>
      <w:r w:rsidR="00B7642F" w:rsidRPr="003404D4">
        <w:rPr>
          <w:i/>
        </w:rPr>
        <w:t xml:space="preserve"> "Pero aquel que nada tiene que reprocharse abriga siempre una dulce esperanza, bienhechora, nodriza de la vejez"</w:t>
      </w:r>
      <w:r w:rsidR="004A3400" w:rsidRPr="003404D4">
        <w:rPr>
          <w:i/>
        </w:rPr>
        <w:t xml:space="preserve"> </w:t>
      </w:r>
      <w:r w:rsidR="004A3400" w:rsidRPr="003404D4">
        <w:t>no sucedía sin embargo en todas</w:t>
      </w:r>
      <w:r w:rsidR="00B7642F" w:rsidRPr="003404D4">
        <w:t xml:space="preserve"> las culturas</w:t>
      </w:r>
      <w:r w:rsidR="004A3400" w:rsidRPr="003404D4">
        <w:t xml:space="preserve">, </w:t>
      </w:r>
      <w:r w:rsidR="00B7642F" w:rsidRPr="003404D4">
        <w:t>Grecia</w:t>
      </w:r>
      <w:r w:rsidR="004A3400" w:rsidRPr="003404D4">
        <w:t xml:space="preserve"> en parte de su literatura versa con desprecio s</w:t>
      </w:r>
      <w:r w:rsidR="00B7642F" w:rsidRPr="003404D4">
        <w:t xml:space="preserve">obre las personas en edad mayor visto desde el texto de </w:t>
      </w:r>
      <w:proofErr w:type="spellStart"/>
      <w:r w:rsidR="00B7642F" w:rsidRPr="003404D4">
        <w:t>Minois</w:t>
      </w:r>
      <w:proofErr w:type="spellEnd"/>
      <w:r w:rsidR="00B7642F" w:rsidRPr="003404D4">
        <w:t>:</w:t>
      </w:r>
      <w:r w:rsidR="00B7642F" w:rsidRPr="003404D4">
        <w:rPr>
          <w:i/>
        </w:rPr>
        <w:t xml:space="preserve"> "Vejez maldita y patética de las tragedias, vejez ridícula y repulsiva de las comedias; vejez contradictoria y ambigua de los filósofos. Estos últimos han reflexionado con frecuencia sobre el misterio del envejecimiento"</w:t>
      </w:r>
      <w:sdt>
        <w:sdtPr>
          <w:rPr>
            <w:i/>
          </w:rPr>
          <w:id w:val="1464234295"/>
          <w:citation/>
        </w:sdtPr>
        <w:sdtEndPr/>
        <w:sdtContent>
          <w:r w:rsidR="00B7642F" w:rsidRPr="003404D4">
            <w:rPr>
              <w:i/>
            </w:rPr>
            <w:fldChar w:fldCharType="begin"/>
          </w:r>
          <w:r w:rsidR="00B7642F" w:rsidRPr="003404D4">
            <w:rPr>
              <w:i/>
            </w:rPr>
            <w:instrText xml:space="preserve">CITATION Deb95 \l 9226 </w:instrText>
          </w:r>
          <w:r w:rsidR="00B7642F" w:rsidRPr="003404D4">
            <w:rPr>
              <w:i/>
            </w:rPr>
            <w:fldChar w:fldCharType="separate"/>
          </w:r>
          <w:r w:rsidR="008D6DE7">
            <w:rPr>
              <w:i/>
              <w:noProof/>
            </w:rPr>
            <w:t xml:space="preserve"> </w:t>
          </w:r>
          <w:r w:rsidR="008D6DE7">
            <w:rPr>
              <w:noProof/>
            </w:rPr>
            <w:t>(Debray, 1995)</w:t>
          </w:r>
          <w:r w:rsidR="00B7642F" w:rsidRPr="003404D4">
            <w:rPr>
              <w:i/>
            </w:rPr>
            <w:fldChar w:fldCharType="end"/>
          </w:r>
        </w:sdtContent>
      </w:sdt>
      <w:r w:rsidR="00B7642F" w:rsidRPr="003404D4">
        <w:t xml:space="preserve">, la cultura hebrea concibe a los adultos mayores como parte importante en el ejercicio de toma de decisiones, distintas tribus dan un rol protagónico, desde el éxodo se establece como fueron claves en el proceso de conducción de los pueblos cuando Moisés recibe una orden de Dios diciendo: "Ve, reúne a los ancianos de Israel y diles". Igualmente, las órdenes indicaban "Vete delante del pueblo y lleva contigo a ancianos de Israel" </w:t>
      </w:r>
      <w:sdt>
        <w:sdtPr>
          <w:id w:val="-1304847281"/>
          <w:citation/>
        </w:sdtPr>
        <w:sdtEndPr/>
        <w:sdtContent>
          <w:r w:rsidR="00B7642F" w:rsidRPr="003404D4">
            <w:fldChar w:fldCharType="begin"/>
          </w:r>
          <w:r w:rsidR="000E0679" w:rsidRPr="003404D4">
            <w:instrText xml:space="preserve">CITATION Rei20 \l 9226 </w:instrText>
          </w:r>
          <w:r w:rsidR="00B7642F" w:rsidRPr="003404D4">
            <w:fldChar w:fldCharType="separate"/>
          </w:r>
          <w:r w:rsidR="008D6DE7">
            <w:rPr>
              <w:noProof/>
            </w:rPr>
            <w:t>(Reina Valera Ex 17:5, 2020)</w:t>
          </w:r>
          <w:r w:rsidR="00B7642F" w:rsidRPr="003404D4">
            <w:fldChar w:fldCharType="end"/>
          </w:r>
        </w:sdtContent>
      </w:sdt>
      <w:r w:rsidR="000E0679" w:rsidRPr="003404D4">
        <w:t xml:space="preserve">. El imperio romano en general tuvo diversas versiones sobre la edad adulta pero podría decirse que los Romanos tenía en general una esperanza de vida extendida como es el caso de </w:t>
      </w:r>
      <w:proofErr w:type="spellStart"/>
      <w:r w:rsidR="000E0679" w:rsidRPr="003404D4">
        <w:t>Domicio</w:t>
      </w:r>
      <w:proofErr w:type="spellEnd"/>
      <w:r w:rsidR="000E0679" w:rsidRPr="003404D4">
        <w:t xml:space="preserve"> Ulpiano (170 – 228 D.C) los romanos tenían un sociedad mayoritariamente en edad avanzada </w:t>
      </w:r>
      <w:r w:rsidR="000E0679" w:rsidRPr="003404D4">
        <w:lastRenderedPageBreak/>
        <w:t>comparado a los griegos, la Tabla de Ulpiano como referencia establecía un mecanismo para fijar rentas vitalicias y eran principalmente los hombres quiénes lograban estas edades, en contraposición a lo que sucede actualmente, se cree que las muertes postparto ayudaban a que éste fenómeno se presentara y los viudos a menudo de 60 años terminaran en matrimo</w:t>
      </w:r>
      <w:r w:rsidR="00EE005D" w:rsidRPr="003404D4">
        <w:t>nios frecuentes con jovencitas, la figura del “</w:t>
      </w:r>
      <w:proofErr w:type="spellStart"/>
      <w:r w:rsidR="00EE005D" w:rsidRPr="003404D4">
        <w:rPr>
          <w:i/>
        </w:rPr>
        <w:t>parter</w:t>
      </w:r>
      <w:proofErr w:type="spellEnd"/>
      <w:r w:rsidR="00EE005D" w:rsidRPr="003404D4">
        <w:rPr>
          <w:i/>
        </w:rPr>
        <w:t xml:space="preserve"> familia</w:t>
      </w:r>
      <w:r w:rsidR="00EE005D" w:rsidRPr="003404D4">
        <w:t xml:space="preserve">” concentraba mayoritariamente el poder en un grupo de lazos extendidos familiares. Se asegura que la república fue la mejor época, muchas personas en edad avanzada accedieron a cargos importantes, se les reconoció su valor e inclusive en el peor momento donde los excesos fueron condición de desprecio los juicios sociales fueron individuales, pero nunca asociados a su período de vida. </w:t>
      </w:r>
    </w:p>
    <w:p w14:paraId="0D216808" w14:textId="2A23D114" w:rsidR="00EE005D" w:rsidRPr="003404D4" w:rsidRDefault="00EE005D" w:rsidP="007A2719">
      <w:pPr>
        <w:pStyle w:val="NormalWeb"/>
        <w:spacing w:before="0" w:beforeAutospacing="0" w:after="0" w:afterAutospacing="0"/>
        <w:jc w:val="both"/>
      </w:pPr>
    </w:p>
    <w:p w14:paraId="3B18C6A1" w14:textId="43164793" w:rsidR="00EE005D" w:rsidRPr="003404D4" w:rsidRDefault="00EE005D" w:rsidP="007A2719">
      <w:pPr>
        <w:pStyle w:val="NormalWeb"/>
        <w:spacing w:before="0" w:beforeAutospacing="0" w:after="0" w:afterAutospacing="0"/>
        <w:jc w:val="both"/>
      </w:pPr>
      <w:r w:rsidRPr="003404D4">
        <w:t>Finalmente, la edad media tuvo una condición especialmente abominable y asistencial contra los débiles y desde ése momento las personas de edad avanzada aparecen como grupo especialmente discriminado</w:t>
      </w:r>
      <w:r w:rsidR="00F91047" w:rsidRPr="003404D4">
        <w:t xml:space="preserve"> por su edad</w:t>
      </w:r>
      <w:r w:rsidRPr="003404D4">
        <w:t xml:space="preserve"> al igual que los jóvenes por la insubordinación que terminaba imponiéndose por el poder de la institución de la iglesia, ésta época resalta la idea de la Ley del más fuerte, </w:t>
      </w:r>
      <w:r w:rsidR="00F91047" w:rsidRPr="003404D4">
        <w:t xml:space="preserve">hecho que los sometió a la solidaridad familiar con el fin de obtener una subsistencia, pese a esto fue una época especialmente difícil para todos los grupos sociales. Sin embargo, la iglesia no tuvo consideración con los ancianos, la reglas monásticas establecían condiciones como la de San Benito, en ella se establece un trato a los ancianos equivalente que al de los niños, de igual manera la denominada “Regla del Maestro” termina desplazando a los ancianos a labores de portero o trabajos menores </w:t>
      </w:r>
      <w:sdt>
        <w:sdtPr>
          <w:id w:val="1386528857"/>
          <w:citation/>
        </w:sdtPr>
        <w:sdtEndPr/>
        <w:sdtContent>
          <w:r w:rsidR="00F91047" w:rsidRPr="003404D4">
            <w:fldChar w:fldCharType="begin"/>
          </w:r>
          <w:r w:rsidR="00F91047" w:rsidRPr="003404D4">
            <w:instrText xml:space="preserve">CITATION Gaf95 \l 9226 </w:instrText>
          </w:r>
          <w:r w:rsidR="00F91047" w:rsidRPr="003404D4">
            <w:fldChar w:fldCharType="separate"/>
          </w:r>
          <w:r w:rsidR="008D6DE7">
            <w:rPr>
              <w:noProof/>
            </w:rPr>
            <w:t>(Gafo, 1995)</w:t>
          </w:r>
          <w:r w:rsidR="00F91047" w:rsidRPr="003404D4">
            <w:fldChar w:fldCharType="end"/>
          </w:r>
        </w:sdtContent>
      </w:sdt>
      <w:r w:rsidR="00605A56" w:rsidRPr="003404D4">
        <w:t>. Al finalizar la Edad media, el problema se agudizó, la peste negra, la viruela, la peste bubónica y otras afectaban particularmente a los jóvene</w:t>
      </w:r>
      <w:r w:rsidR="00FF4BDC" w:rsidRPr="003404D4">
        <w:t>s y los ancianos terminaron por recuperar su posición social y económica</w:t>
      </w:r>
      <w:sdt>
        <w:sdtPr>
          <w:id w:val="-1592857604"/>
          <w:citation/>
        </w:sdtPr>
        <w:sdtEndPr/>
        <w:sdtContent>
          <w:r w:rsidR="00FF4BDC" w:rsidRPr="003404D4">
            <w:fldChar w:fldCharType="begin"/>
          </w:r>
          <w:r w:rsidR="00FF4BDC" w:rsidRPr="003404D4">
            <w:instrText xml:space="preserve"> CITATION TRE01 \l 9226 </w:instrText>
          </w:r>
          <w:r w:rsidR="00FF4BDC" w:rsidRPr="003404D4">
            <w:fldChar w:fldCharType="separate"/>
          </w:r>
          <w:r w:rsidR="008D6DE7">
            <w:rPr>
              <w:noProof/>
            </w:rPr>
            <w:t xml:space="preserve"> (TREJO MATURANA, 2001)</w:t>
          </w:r>
          <w:r w:rsidR="00FF4BDC" w:rsidRPr="003404D4">
            <w:fldChar w:fldCharType="end"/>
          </w:r>
        </w:sdtContent>
      </w:sdt>
      <w:r w:rsidR="00FF4BDC" w:rsidRPr="003404D4">
        <w:t xml:space="preserve"> la idea del renacimiento nuevamente genera un problema para los adultos mayores pues el culto a la figura humana se convierte en todo los que ellos pretendían suprimir. </w:t>
      </w:r>
      <w:proofErr w:type="spellStart"/>
      <w:r w:rsidR="00FF4BDC" w:rsidRPr="003404D4">
        <w:t>Simon</w:t>
      </w:r>
      <w:proofErr w:type="spellEnd"/>
      <w:r w:rsidR="00FF4BDC" w:rsidRPr="003404D4">
        <w:t xml:space="preserve"> de </w:t>
      </w:r>
      <w:proofErr w:type="spellStart"/>
      <w:r w:rsidR="00FF4BDC" w:rsidRPr="003404D4">
        <w:t>Beauvoir</w:t>
      </w:r>
      <w:proofErr w:type="spellEnd"/>
      <w:r w:rsidR="00FF4BDC" w:rsidRPr="003404D4">
        <w:t xml:space="preserve"> en su texto </w:t>
      </w:r>
      <w:r w:rsidR="00FF4BDC" w:rsidRPr="003404D4">
        <w:rPr>
          <w:i/>
        </w:rPr>
        <w:t xml:space="preserve">La vejez </w:t>
      </w:r>
      <w:r w:rsidR="00FF4BDC" w:rsidRPr="003404D4">
        <w:t xml:space="preserve">da una mirada marxista a la idea del capitalismo marxista “(…) solo interesa el ser humano en la medida en que rinde. Después se lo desecha (…)” </w:t>
      </w:r>
      <w:r w:rsidR="003404D4" w:rsidRPr="003404D4">
        <w:rPr>
          <w:rStyle w:val="Refdenotaalpie"/>
        </w:rPr>
        <w:footnoteReference w:id="1"/>
      </w:r>
      <w:sdt>
        <w:sdtPr>
          <w:id w:val="-1981154259"/>
          <w:citation/>
        </w:sdtPr>
        <w:sdtEndPr/>
        <w:sdtContent>
          <w:r w:rsidR="003404D4" w:rsidRPr="003404D4">
            <w:fldChar w:fldCharType="begin"/>
          </w:r>
          <w:r w:rsidR="003404D4" w:rsidRPr="003404D4">
            <w:instrText xml:space="preserve"> CITATION MAR22 \l 9226 </w:instrText>
          </w:r>
          <w:r w:rsidR="003404D4" w:rsidRPr="003404D4">
            <w:fldChar w:fldCharType="separate"/>
          </w:r>
          <w:r w:rsidR="008D6DE7">
            <w:rPr>
              <w:noProof/>
            </w:rPr>
            <w:t xml:space="preserve"> (MARTIN, 2022)</w:t>
          </w:r>
          <w:r w:rsidR="003404D4" w:rsidRPr="003404D4">
            <w:fldChar w:fldCharType="end"/>
          </w:r>
        </w:sdtContent>
      </w:sdt>
      <w:r w:rsidR="003404D4" w:rsidRPr="003404D4">
        <w:t>.</w:t>
      </w:r>
    </w:p>
    <w:bookmarkEnd w:id="1"/>
    <w:p w14:paraId="46FF9CB6" w14:textId="0A9550FB" w:rsidR="003404D4" w:rsidRDefault="003404D4" w:rsidP="005B6328">
      <w:pPr>
        <w:rPr>
          <w:rFonts w:ascii="Times New Roman" w:eastAsia="Times New Roman" w:hAnsi="Times New Roman" w:cs="Times New Roman"/>
          <w:lang w:eastAsia="es-MX"/>
        </w:rPr>
      </w:pPr>
    </w:p>
    <w:p w14:paraId="1D506575" w14:textId="77777777" w:rsidR="008D6DE7" w:rsidRPr="00AD73C5" w:rsidRDefault="008D6DE7" w:rsidP="005B6328">
      <w:pPr>
        <w:rPr>
          <w:rFonts w:ascii="Times New Roman" w:eastAsia="Times New Roman" w:hAnsi="Times New Roman" w:cs="Times New Roman"/>
          <w:lang w:eastAsia="es-MX"/>
        </w:rPr>
      </w:pPr>
    </w:p>
    <w:p w14:paraId="04A9F5DA" w14:textId="77777777" w:rsidR="009C2DA3" w:rsidRPr="00AD73C5" w:rsidRDefault="005B6328" w:rsidP="005B6328">
      <w:pPr>
        <w:rPr>
          <w:rFonts w:ascii="Times New Roman" w:eastAsia="Times New Roman" w:hAnsi="Times New Roman" w:cs="Times New Roman"/>
          <w:b/>
          <w:bCs/>
          <w:lang w:eastAsia="es-MX"/>
        </w:rPr>
      </w:pPr>
      <w:r w:rsidRPr="00AD73C5">
        <w:rPr>
          <w:rFonts w:ascii="Times New Roman" w:eastAsia="Times New Roman" w:hAnsi="Times New Roman" w:cs="Times New Roman"/>
          <w:b/>
          <w:bCs/>
          <w:lang w:eastAsia="es-MX"/>
        </w:rPr>
        <w:t xml:space="preserve">III. JUSTIFICACIÓN DEL PROYECTO </w:t>
      </w:r>
    </w:p>
    <w:p w14:paraId="61D7195F" w14:textId="6ED8F0BA" w:rsidR="005B645C" w:rsidRDefault="00616B84" w:rsidP="008753B5">
      <w:pPr>
        <w:jc w:val="both"/>
        <w:rPr>
          <w:rFonts w:ascii="Times New Roman" w:eastAsia="Times New Roman" w:hAnsi="Times New Roman" w:cs="Times New Roman"/>
          <w:lang w:eastAsia="es-MX"/>
        </w:rPr>
      </w:pPr>
      <w:r>
        <w:rPr>
          <w:rFonts w:ascii="Times New Roman" w:eastAsia="Times New Roman" w:hAnsi="Times New Roman" w:cs="Times New Roman"/>
          <w:lang w:eastAsia="es-MX"/>
        </w:rPr>
        <w:br/>
        <w:t xml:space="preserve">Para la Organización Mundial de la Salud, y el Ministerio de Salud en Colombia, las personas adultas mayores generalmente tienen 60 años o más de edad, en este sentido en nuestro país existen según el Censo Nacional de Población y Vivienda de 2018 (DANE) para el año 2019 se proyectó un total de </w:t>
      </w:r>
      <w:r w:rsidR="005B645C">
        <w:rPr>
          <w:rFonts w:ascii="Times New Roman" w:eastAsia="Times New Roman" w:hAnsi="Times New Roman" w:cs="Times New Roman"/>
          <w:lang w:eastAsia="es-MX"/>
        </w:rPr>
        <w:t>7.107.914</w:t>
      </w:r>
      <w:r>
        <w:rPr>
          <w:rFonts w:ascii="Times New Roman" w:eastAsia="Times New Roman" w:hAnsi="Times New Roman" w:cs="Times New Roman"/>
          <w:lang w:eastAsia="es-MX"/>
        </w:rPr>
        <w:t xml:space="preserve"> personas mayores de 60 años o más, es decir, un 13,</w:t>
      </w:r>
      <w:r w:rsidR="005B645C">
        <w:rPr>
          <w:rFonts w:ascii="Times New Roman" w:eastAsia="Times New Roman" w:hAnsi="Times New Roman" w:cs="Times New Roman"/>
          <w:lang w:eastAsia="es-MX"/>
        </w:rPr>
        <w:t>9</w:t>
      </w:r>
      <w:r>
        <w:rPr>
          <w:rFonts w:ascii="Times New Roman" w:eastAsia="Times New Roman" w:hAnsi="Times New Roman" w:cs="Times New Roman"/>
          <w:lang w:eastAsia="es-MX"/>
        </w:rPr>
        <w:t xml:space="preserve">% de la población total colombiana. </w:t>
      </w:r>
      <w:r w:rsidR="005B645C" w:rsidRPr="005B645C">
        <w:rPr>
          <w:rFonts w:ascii="Times New Roman" w:eastAsia="Times New Roman" w:hAnsi="Times New Roman" w:cs="Times New Roman"/>
          <w:lang w:eastAsia="es-MX"/>
        </w:rPr>
        <w:t>El 77 % (5.491.964 personas) se ubicó en las cabeceras municipales; mientras que el 22,7 % (1.615.950 personas) se albergó en el sector rural y rural disperso.</w:t>
      </w:r>
      <w:r w:rsidR="00207A31" w:rsidRPr="00207A31">
        <w:t xml:space="preserve"> </w:t>
      </w:r>
      <w:r w:rsidR="00207A31">
        <w:rPr>
          <w:rFonts w:ascii="Times New Roman" w:eastAsia="Times New Roman" w:hAnsi="Times New Roman" w:cs="Times New Roman"/>
          <w:lang w:eastAsia="es-MX"/>
        </w:rPr>
        <w:t>C</w:t>
      </w:r>
      <w:r w:rsidR="00207A31" w:rsidRPr="00207A31">
        <w:rPr>
          <w:rFonts w:ascii="Times New Roman" w:eastAsia="Times New Roman" w:hAnsi="Times New Roman" w:cs="Times New Roman"/>
          <w:lang w:eastAsia="es-MX"/>
        </w:rPr>
        <w:t xml:space="preserve">onsiderando la densidad poblacional por ente territorial, por entidad territorial, se posicionaron por encima del promedio nacional siete </w:t>
      </w:r>
      <w:r w:rsidR="00207A31" w:rsidRPr="00207A31">
        <w:rPr>
          <w:rFonts w:ascii="Times New Roman" w:eastAsia="Times New Roman" w:hAnsi="Times New Roman" w:cs="Times New Roman"/>
          <w:lang w:eastAsia="es-MX"/>
        </w:rPr>
        <w:lastRenderedPageBreak/>
        <w:t>de ellos con un 15 % a 20 % de su población en este rango de edad: Quindío, Caldas, Risaralda, Tolima, Boyacá, Valle del Cauca y Antioquia.</w:t>
      </w:r>
    </w:p>
    <w:p w14:paraId="1397F33A" w14:textId="475AC206" w:rsidR="00207A31" w:rsidRDefault="00207A31" w:rsidP="008753B5">
      <w:pPr>
        <w:jc w:val="both"/>
        <w:rPr>
          <w:rFonts w:ascii="Times New Roman" w:eastAsia="Times New Roman" w:hAnsi="Times New Roman" w:cs="Times New Roman"/>
          <w:lang w:eastAsia="es-MX"/>
        </w:rPr>
      </w:pPr>
    </w:p>
    <w:p w14:paraId="7FD244BB" w14:textId="3F2CB6DD" w:rsidR="00207A31" w:rsidRDefault="00207A31" w:rsidP="008753B5">
      <w:pPr>
        <w:jc w:val="both"/>
        <w:rPr>
          <w:rFonts w:ascii="Times New Roman" w:eastAsia="Times New Roman" w:hAnsi="Times New Roman" w:cs="Times New Roman"/>
          <w:lang w:eastAsia="es-MX"/>
        </w:rPr>
      </w:pPr>
      <w:r>
        <w:rPr>
          <w:rFonts w:ascii="Times New Roman" w:eastAsia="Times New Roman" w:hAnsi="Times New Roman" w:cs="Times New Roman"/>
          <w:lang w:eastAsia="es-MX"/>
        </w:rPr>
        <w:t xml:space="preserve">Según proyecciones del (DANE) para el 2031 se estima que este grupo sea de 10 millones de personas mayores en Colombia, aumentando en un 41% con respecto al 2021, la denominada transición demográfica a lo denominaron el tránsito a una sociedad envejecida, implica retos para la agenda nacional, el gasto público y nuestra visión frente a esta población. </w:t>
      </w:r>
    </w:p>
    <w:p w14:paraId="61621772" w14:textId="0C44EF27" w:rsidR="00524048" w:rsidRDefault="00616B84" w:rsidP="008753B5">
      <w:pPr>
        <w:jc w:val="both"/>
        <w:rPr>
          <w:rFonts w:ascii="Times New Roman" w:hAnsi="Times New Roman" w:cs="Times New Roman"/>
        </w:rPr>
      </w:pPr>
      <w:r w:rsidRPr="00AD73C5">
        <w:rPr>
          <w:rFonts w:ascii="Times New Roman" w:hAnsi="Times New Roman" w:cs="Times New Roman"/>
        </w:rPr>
        <w:t xml:space="preserve"> </w:t>
      </w:r>
    </w:p>
    <w:p w14:paraId="4B977340" w14:textId="6C240D42" w:rsidR="00616B84" w:rsidRDefault="00616B84" w:rsidP="008753B5">
      <w:pPr>
        <w:jc w:val="both"/>
        <w:rPr>
          <w:rFonts w:ascii="Times New Roman" w:hAnsi="Times New Roman" w:cs="Times New Roman"/>
        </w:rPr>
      </w:pPr>
      <w:r>
        <w:rPr>
          <w:rFonts w:ascii="Times New Roman" w:hAnsi="Times New Roman" w:cs="Times New Roman"/>
        </w:rPr>
        <w:t>En términos o acepci</w:t>
      </w:r>
      <w:r w:rsidR="0062640C">
        <w:rPr>
          <w:rFonts w:ascii="Times New Roman" w:hAnsi="Times New Roman" w:cs="Times New Roman"/>
        </w:rPr>
        <w:t>ones no se encuentra unificada una única manera para determinar a ésta población</w:t>
      </w:r>
      <w:r>
        <w:rPr>
          <w:rFonts w:ascii="Times New Roman" w:hAnsi="Times New Roman" w:cs="Times New Roman"/>
        </w:rPr>
        <w:t>, pese a esto la (OMS) establece que una persona se clasifica según su edad en: adulto joven, de 18 a 44 años; adulto medio, de 45 a 59 años; adulto mayor (o anciano joven), de 60 a 74 años; anciano, de 75 a 90 años; y anciano longevo, a partir de los 90 años</w:t>
      </w:r>
      <w:r>
        <w:rPr>
          <w:rStyle w:val="Refdenotaalpie"/>
          <w:rFonts w:ascii="Times New Roman" w:hAnsi="Times New Roman" w:cs="Times New Roman"/>
        </w:rPr>
        <w:footnoteReference w:id="2"/>
      </w:r>
      <w:r>
        <w:rPr>
          <w:rFonts w:ascii="Times New Roman" w:hAnsi="Times New Roman" w:cs="Times New Roman"/>
        </w:rPr>
        <w:t>.</w:t>
      </w:r>
    </w:p>
    <w:p w14:paraId="31A0B73C" w14:textId="7DA2339D" w:rsidR="00207A31" w:rsidRDefault="00207A31" w:rsidP="008753B5">
      <w:pPr>
        <w:jc w:val="both"/>
        <w:rPr>
          <w:rFonts w:ascii="Times New Roman" w:hAnsi="Times New Roman" w:cs="Times New Roman"/>
        </w:rPr>
      </w:pPr>
    </w:p>
    <w:p w14:paraId="7685AF9D" w14:textId="4610201B" w:rsidR="005B645C" w:rsidRDefault="00207A31" w:rsidP="008753B5">
      <w:pPr>
        <w:jc w:val="both"/>
        <w:rPr>
          <w:rFonts w:ascii="Times New Roman" w:hAnsi="Times New Roman" w:cs="Times New Roman"/>
        </w:rPr>
      </w:pPr>
      <w:r>
        <w:rPr>
          <w:rFonts w:ascii="Times New Roman" w:hAnsi="Times New Roman" w:cs="Times New Roman"/>
        </w:rPr>
        <w:t xml:space="preserve">Es necesario considerar que Colombia cuenta con una Política </w:t>
      </w:r>
      <w:r w:rsidRPr="00207A31">
        <w:rPr>
          <w:rFonts w:ascii="Times New Roman" w:hAnsi="Times New Roman" w:cs="Times New Roman"/>
        </w:rPr>
        <w:t>Pública Nacional de Envejecimiento y Vejez 2022-2031</w:t>
      </w:r>
      <w:r>
        <w:rPr>
          <w:rFonts w:ascii="Times New Roman" w:hAnsi="Times New Roman" w:cs="Times New Roman"/>
        </w:rPr>
        <w:t xml:space="preserve"> y</w:t>
      </w:r>
      <w:r w:rsidRPr="00207A31">
        <w:rPr>
          <w:rFonts w:ascii="Times New Roman" w:hAnsi="Times New Roman" w:cs="Times New Roman"/>
        </w:rPr>
        <w:t xml:space="preserve"> con la creación del Observatorio de envejecimiento y vejez,</w:t>
      </w:r>
      <w:r>
        <w:rPr>
          <w:rFonts w:ascii="Times New Roman" w:hAnsi="Times New Roman" w:cs="Times New Roman"/>
        </w:rPr>
        <w:t xml:space="preserve"> además de </w:t>
      </w:r>
      <w:r w:rsidRPr="00207A31">
        <w:rPr>
          <w:rFonts w:ascii="Times New Roman" w:hAnsi="Times New Roman" w:cs="Times New Roman"/>
        </w:rPr>
        <w:t>plan nacional de acción intersectorial a través del cual se definirán metas, acciones, responsables, recursos, indicadores de gestión y el impacto de esta política.</w:t>
      </w:r>
      <w:r>
        <w:rPr>
          <w:rFonts w:ascii="Times New Roman" w:hAnsi="Times New Roman" w:cs="Times New Roman"/>
        </w:rPr>
        <w:t xml:space="preserve"> Dentro de estos públicos es necesario considerar que existen unos ejes estratégicos concebidos en:</w:t>
      </w:r>
    </w:p>
    <w:p w14:paraId="6819E7C0" w14:textId="53932255" w:rsidR="00207A31" w:rsidRPr="00207A31" w:rsidRDefault="00207A31" w:rsidP="008753B5">
      <w:pPr>
        <w:jc w:val="both"/>
        <w:rPr>
          <w:rFonts w:ascii="Times New Roman" w:hAnsi="Times New Roman" w:cs="Times New Roman"/>
        </w:rPr>
      </w:pPr>
    </w:p>
    <w:p w14:paraId="44DCA87C" w14:textId="77777777" w:rsidR="00207A31" w:rsidRPr="00207A31" w:rsidRDefault="00207A31" w:rsidP="008753B5">
      <w:pPr>
        <w:pStyle w:val="Prrafodelista"/>
        <w:numPr>
          <w:ilvl w:val="0"/>
          <w:numId w:val="3"/>
        </w:numPr>
        <w:jc w:val="both"/>
        <w:rPr>
          <w:rFonts w:ascii="Times New Roman" w:hAnsi="Times New Roman" w:cs="Times New Roman"/>
        </w:rPr>
      </w:pPr>
      <w:r w:rsidRPr="00207A31">
        <w:rPr>
          <w:rFonts w:ascii="Times New Roman" w:hAnsi="Times New Roman" w:cs="Times New Roman"/>
        </w:rPr>
        <w:t>Superación de la dependencia económica de las personas mayores.</w:t>
      </w:r>
    </w:p>
    <w:p w14:paraId="603880ED" w14:textId="77777777" w:rsidR="00207A31" w:rsidRPr="00207A31" w:rsidRDefault="00207A31" w:rsidP="008753B5">
      <w:pPr>
        <w:pStyle w:val="Prrafodelista"/>
        <w:numPr>
          <w:ilvl w:val="0"/>
          <w:numId w:val="3"/>
        </w:numPr>
        <w:jc w:val="both"/>
        <w:rPr>
          <w:rFonts w:ascii="Times New Roman" w:hAnsi="Times New Roman" w:cs="Times New Roman"/>
        </w:rPr>
      </w:pPr>
      <w:r w:rsidRPr="00207A31">
        <w:rPr>
          <w:rFonts w:ascii="Times New Roman" w:hAnsi="Times New Roman" w:cs="Times New Roman"/>
        </w:rPr>
        <w:t>Inclusión y participación ciudadana.</w:t>
      </w:r>
    </w:p>
    <w:p w14:paraId="72B6E2CE" w14:textId="77777777" w:rsidR="00207A31" w:rsidRPr="00207A31" w:rsidRDefault="00207A31" w:rsidP="008753B5">
      <w:pPr>
        <w:pStyle w:val="Prrafodelista"/>
        <w:numPr>
          <w:ilvl w:val="0"/>
          <w:numId w:val="3"/>
        </w:numPr>
        <w:jc w:val="both"/>
        <w:rPr>
          <w:rFonts w:ascii="Times New Roman" w:hAnsi="Times New Roman" w:cs="Times New Roman"/>
        </w:rPr>
      </w:pPr>
      <w:r w:rsidRPr="00207A31">
        <w:rPr>
          <w:rFonts w:ascii="Times New Roman" w:hAnsi="Times New Roman" w:cs="Times New Roman"/>
        </w:rPr>
        <w:t>Vida libre de violencias para las personas mayores.</w:t>
      </w:r>
    </w:p>
    <w:p w14:paraId="6D27E973" w14:textId="77777777" w:rsidR="00207A31" w:rsidRPr="00207A31" w:rsidRDefault="00207A31" w:rsidP="008753B5">
      <w:pPr>
        <w:pStyle w:val="Prrafodelista"/>
        <w:numPr>
          <w:ilvl w:val="0"/>
          <w:numId w:val="3"/>
        </w:numPr>
        <w:jc w:val="both"/>
        <w:rPr>
          <w:rFonts w:ascii="Times New Roman" w:hAnsi="Times New Roman" w:cs="Times New Roman"/>
        </w:rPr>
      </w:pPr>
      <w:r w:rsidRPr="00207A31">
        <w:rPr>
          <w:rFonts w:ascii="Times New Roman" w:hAnsi="Times New Roman" w:cs="Times New Roman"/>
        </w:rPr>
        <w:t>Atención integral en salud, atención a la dependencia y organización del servicio de cuidado.</w:t>
      </w:r>
    </w:p>
    <w:p w14:paraId="2F33E148" w14:textId="77777777" w:rsidR="00207A31" w:rsidRPr="00207A31" w:rsidRDefault="00207A31" w:rsidP="008753B5">
      <w:pPr>
        <w:pStyle w:val="Prrafodelista"/>
        <w:numPr>
          <w:ilvl w:val="0"/>
          <w:numId w:val="3"/>
        </w:numPr>
        <w:jc w:val="both"/>
        <w:rPr>
          <w:rFonts w:ascii="Times New Roman" w:hAnsi="Times New Roman" w:cs="Times New Roman"/>
        </w:rPr>
      </w:pPr>
      <w:r w:rsidRPr="00207A31">
        <w:rPr>
          <w:rFonts w:ascii="Times New Roman" w:hAnsi="Times New Roman" w:cs="Times New Roman"/>
        </w:rPr>
        <w:t>Envejecimiento saludable para una vida independiente, autónoma y productiva en la vejez.</w:t>
      </w:r>
    </w:p>
    <w:p w14:paraId="0D0C2BF8" w14:textId="0C970571" w:rsidR="00207A31" w:rsidRDefault="00207A31" w:rsidP="008753B5">
      <w:pPr>
        <w:pStyle w:val="Prrafodelista"/>
        <w:numPr>
          <w:ilvl w:val="0"/>
          <w:numId w:val="3"/>
        </w:numPr>
        <w:jc w:val="both"/>
        <w:rPr>
          <w:rFonts w:ascii="Times New Roman" w:hAnsi="Times New Roman" w:cs="Times New Roman"/>
        </w:rPr>
      </w:pPr>
      <w:r w:rsidRPr="00207A31">
        <w:rPr>
          <w:rFonts w:ascii="Times New Roman" w:hAnsi="Times New Roman" w:cs="Times New Roman"/>
        </w:rPr>
        <w:t>Educación, formación e investigación para enfrentar el desafío del envejecimiento y la vejez.</w:t>
      </w:r>
    </w:p>
    <w:p w14:paraId="35E4A407" w14:textId="49414F90" w:rsidR="005B645C" w:rsidRPr="00616B84" w:rsidRDefault="00E94AD5" w:rsidP="008753B5">
      <w:pPr>
        <w:jc w:val="both"/>
        <w:rPr>
          <w:rFonts w:ascii="Times New Roman" w:hAnsi="Times New Roman" w:cs="Times New Roman"/>
        </w:rPr>
      </w:pPr>
      <w:r>
        <w:rPr>
          <w:rFonts w:ascii="Times New Roman" w:hAnsi="Times New Roman" w:cs="Times New Roman"/>
        </w:rPr>
        <w:t xml:space="preserve">El proyecto de ley centra su estudio en la necesidad de establecer una serie de condiciones que posibiliten el escenario del cuidado del trabajo y las condiciones de no discriminación cuando de despidos se trata pero además una serie de responsabilidades en cabeza del Ministerio de las TIC para la rehabilitación laboral, en este sentido el proceso implica una consideración sobre la necesidad de formación y un análisis de brechas que sirvan como reproche social a las conductas de manera directa o indirecta promueven una sociedad que discrimina por edad. </w:t>
      </w:r>
    </w:p>
    <w:p w14:paraId="0B344782" w14:textId="77777777" w:rsidR="00AD73C5" w:rsidRPr="00AD73C5" w:rsidRDefault="00AD73C5" w:rsidP="00AD73C5">
      <w:pPr>
        <w:contextualSpacing/>
        <w:jc w:val="both"/>
        <w:rPr>
          <w:rFonts w:ascii="Times New Roman" w:hAnsi="Times New Roman" w:cs="Times New Roman"/>
          <w:color w:val="767171" w:themeColor="background2" w:themeShade="80"/>
          <w:lang w:val="es-ES" w:eastAsia="es-ES"/>
        </w:rPr>
      </w:pPr>
    </w:p>
    <w:p w14:paraId="4F4633F2" w14:textId="4B813189" w:rsidR="00616B84" w:rsidRDefault="00616B84" w:rsidP="00C25084">
      <w:pPr>
        <w:pStyle w:val="NormalWeb"/>
        <w:spacing w:before="0" w:beforeAutospacing="0" w:after="0" w:afterAutospacing="0"/>
        <w:jc w:val="both"/>
        <w:rPr>
          <w:color w:val="333333"/>
        </w:rPr>
      </w:pPr>
      <w:r w:rsidRPr="003404D4">
        <w:t>La discriminación se puede clasificar por criterios como: clase social, edad, género, origen étnico, discapacidad, orientación sexual, especie, lateralidad, embarazo, religión, personalidad, trastorno psi</w:t>
      </w:r>
      <w:r>
        <w:rPr>
          <w:color w:val="333333"/>
        </w:rPr>
        <w:t>quiátrico entre otros. En su clasificación también debemos advertir que existen algunas formas de discriminación como lo son: Directa, cognitiva, no cognitiva, jerárquica, reflexiva, se segundo orden, epistémica etc.</w:t>
      </w:r>
      <w:sdt>
        <w:sdtPr>
          <w:rPr>
            <w:color w:val="333333"/>
          </w:rPr>
          <w:id w:val="401717507"/>
          <w:citation/>
        </w:sdtPr>
        <w:sdtEndPr/>
        <w:sdtContent>
          <w:r>
            <w:rPr>
              <w:color w:val="333333"/>
            </w:rPr>
            <w:fldChar w:fldCharType="begin"/>
          </w:r>
          <w:r>
            <w:rPr>
              <w:color w:val="333333"/>
            </w:rPr>
            <w:instrText xml:space="preserve"> CITATION Jua17 \l 9226 </w:instrText>
          </w:r>
          <w:r>
            <w:rPr>
              <w:color w:val="333333"/>
            </w:rPr>
            <w:fldChar w:fldCharType="separate"/>
          </w:r>
          <w:r w:rsidR="008D6DE7">
            <w:rPr>
              <w:noProof/>
              <w:color w:val="333333"/>
            </w:rPr>
            <w:t xml:space="preserve"> </w:t>
          </w:r>
          <w:r w:rsidR="008D6DE7" w:rsidRPr="008D6DE7">
            <w:rPr>
              <w:noProof/>
              <w:color w:val="333333"/>
            </w:rPr>
            <w:t>(Corbin, 2017)</w:t>
          </w:r>
          <w:r>
            <w:rPr>
              <w:color w:val="333333"/>
            </w:rPr>
            <w:fldChar w:fldCharType="end"/>
          </w:r>
        </w:sdtContent>
      </w:sdt>
      <w:r>
        <w:rPr>
          <w:color w:val="333333"/>
        </w:rPr>
        <w:t>.</w:t>
      </w:r>
    </w:p>
    <w:p w14:paraId="53439D2F" w14:textId="77777777" w:rsidR="00616B84" w:rsidRPr="007A2719" w:rsidRDefault="00616B84" w:rsidP="00C25084">
      <w:pPr>
        <w:pStyle w:val="NormalWeb"/>
        <w:spacing w:before="0" w:beforeAutospacing="0" w:after="0" w:afterAutospacing="0"/>
        <w:jc w:val="both"/>
        <w:rPr>
          <w:color w:val="333333"/>
        </w:rPr>
      </w:pPr>
    </w:p>
    <w:p w14:paraId="440656A9" w14:textId="3C56FF2F" w:rsidR="00C25084" w:rsidRDefault="00F82F34" w:rsidP="00C25084">
      <w:pPr>
        <w:jc w:val="both"/>
        <w:rPr>
          <w:rFonts w:ascii="Times New Roman" w:eastAsia="Times New Roman" w:hAnsi="Times New Roman" w:cs="Times New Roman"/>
          <w:b/>
          <w:lang w:eastAsia="es-MX"/>
        </w:rPr>
      </w:pPr>
      <w:r>
        <w:rPr>
          <w:rFonts w:ascii="Times New Roman" w:eastAsia="Times New Roman" w:hAnsi="Times New Roman" w:cs="Times New Roman"/>
          <w:lang w:eastAsia="es-MX"/>
        </w:rPr>
        <w:t xml:space="preserve">Existen una serie de creencias estereotípicas asociadas al desempeño laboral de los trabajadores mayores, existe evidencia de que las tasas de contratación laboral son más bajas para candidatos mayores igualmente calificados que los candidatos más jóvenes </w:t>
      </w:r>
      <w:sdt>
        <w:sdtPr>
          <w:rPr>
            <w:rFonts w:ascii="Times New Roman" w:eastAsia="Times New Roman" w:hAnsi="Times New Roman" w:cs="Times New Roman"/>
            <w:lang w:eastAsia="es-MX"/>
          </w:rPr>
          <w:id w:val="712008564"/>
          <w:citation/>
        </w:sdtPr>
        <w:sdtEndPr/>
        <w:sdtContent>
          <w:r w:rsidR="00C25084">
            <w:rPr>
              <w:rFonts w:ascii="Times New Roman" w:eastAsia="Times New Roman" w:hAnsi="Times New Roman" w:cs="Times New Roman"/>
              <w:lang w:eastAsia="es-MX"/>
            </w:rPr>
            <w:fldChar w:fldCharType="begin"/>
          </w:r>
          <w:r w:rsidR="00C25084">
            <w:rPr>
              <w:rFonts w:ascii="Times New Roman" w:eastAsia="Times New Roman" w:hAnsi="Times New Roman" w:cs="Times New Roman"/>
              <w:lang w:eastAsia="es-MX"/>
            </w:rPr>
            <w:instrText xml:space="preserve"> CITATION Kri11 \l 9226 </w:instrText>
          </w:r>
          <w:r w:rsidR="00C25084">
            <w:rPr>
              <w:rFonts w:ascii="Times New Roman" w:eastAsia="Times New Roman" w:hAnsi="Times New Roman" w:cs="Times New Roman"/>
              <w:lang w:eastAsia="es-MX"/>
            </w:rPr>
            <w:fldChar w:fldCharType="separate"/>
          </w:r>
          <w:r w:rsidR="00C25084" w:rsidRPr="00C25084">
            <w:rPr>
              <w:rFonts w:ascii="Times New Roman" w:eastAsia="Times New Roman" w:hAnsi="Times New Roman" w:cs="Times New Roman"/>
              <w:noProof/>
              <w:lang w:eastAsia="es-MX"/>
            </w:rPr>
            <w:t>(Krings, 2011)</w:t>
          </w:r>
          <w:r w:rsidR="00C25084">
            <w:rPr>
              <w:rFonts w:ascii="Times New Roman" w:eastAsia="Times New Roman" w:hAnsi="Times New Roman" w:cs="Times New Roman"/>
              <w:lang w:eastAsia="es-MX"/>
            </w:rPr>
            <w:fldChar w:fldCharType="end"/>
          </w:r>
        </w:sdtContent>
      </w:sdt>
      <w:r w:rsidR="00C25084">
        <w:rPr>
          <w:rFonts w:ascii="Times New Roman" w:eastAsia="Times New Roman" w:hAnsi="Times New Roman" w:cs="Times New Roman"/>
          <w:lang w:eastAsia="es-MX"/>
        </w:rPr>
        <w:t xml:space="preserve"> se ha establecido un rigor en el abordaje que supone que es una población con menor resistencia al cambio, menos flexibilidad y adaptabilidad, en relación con empleados más jóvenes se les cargó una idea del costo por su cercanía con la edad retiro, altas rentas por distintos conceptos</w:t>
      </w:r>
      <w:sdt>
        <w:sdtPr>
          <w:rPr>
            <w:rFonts w:ascii="Times New Roman" w:eastAsia="Times New Roman" w:hAnsi="Times New Roman" w:cs="Times New Roman"/>
            <w:lang w:eastAsia="es-MX"/>
          </w:rPr>
          <w:id w:val="-1844464117"/>
          <w:citation/>
        </w:sdtPr>
        <w:sdtEndPr/>
        <w:sdtContent>
          <w:r w:rsidR="00C25084">
            <w:rPr>
              <w:rFonts w:ascii="Times New Roman" w:eastAsia="Times New Roman" w:hAnsi="Times New Roman" w:cs="Times New Roman"/>
              <w:lang w:eastAsia="es-MX"/>
            </w:rPr>
            <w:fldChar w:fldCharType="begin"/>
          </w:r>
          <w:r w:rsidR="00C25084">
            <w:rPr>
              <w:rFonts w:ascii="Times New Roman" w:eastAsia="Times New Roman" w:hAnsi="Times New Roman" w:cs="Times New Roman"/>
              <w:lang w:eastAsia="es-MX"/>
            </w:rPr>
            <w:instrText xml:space="preserve"> CITATION Pos09 \l 9226 </w:instrText>
          </w:r>
          <w:r w:rsidR="00C25084">
            <w:rPr>
              <w:rFonts w:ascii="Times New Roman" w:eastAsia="Times New Roman" w:hAnsi="Times New Roman" w:cs="Times New Roman"/>
              <w:lang w:eastAsia="es-MX"/>
            </w:rPr>
            <w:fldChar w:fldCharType="separate"/>
          </w:r>
          <w:r w:rsidR="00C25084">
            <w:rPr>
              <w:rFonts w:ascii="Times New Roman" w:eastAsia="Times New Roman" w:hAnsi="Times New Roman" w:cs="Times New Roman"/>
              <w:noProof/>
              <w:lang w:eastAsia="es-MX"/>
            </w:rPr>
            <w:t xml:space="preserve"> </w:t>
          </w:r>
          <w:r w:rsidR="00C25084" w:rsidRPr="00C25084">
            <w:rPr>
              <w:rFonts w:ascii="Times New Roman" w:eastAsia="Times New Roman" w:hAnsi="Times New Roman" w:cs="Times New Roman"/>
              <w:noProof/>
              <w:lang w:eastAsia="es-MX"/>
            </w:rPr>
            <w:t>(Posthuma, 2009)</w:t>
          </w:r>
          <w:r w:rsidR="00C25084">
            <w:rPr>
              <w:rFonts w:ascii="Times New Roman" w:eastAsia="Times New Roman" w:hAnsi="Times New Roman" w:cs="Times New Roman"/>
              <w:lang w:eastAsia="es-MX"/>
            </w:rPr>
            <w:fldChar w:fldCharType="end"/>
          </w:r>
        </w:sdtContent>
      </w:sdt>
      <w:r w:rsidR="00C25084">
        <w:rPr>
          <w:rFonts w:ascii="Times New Roman" w:eastAsia="Times New Roman" w:hAnsi="Times New Roman" w:cs="Times New Roman"/>
          <w:lang w:eastAsia="es-MX"/>
        </w:rPr>
        <w:t xml:space="preserve">, lo anterior no sólo se comparó sino que además pudo establecer como hallazgo que el desempeño laboral de jóvenes y adultos mayores es comparable, concluyendo que </w:t>
      </w:r>
      <w:r w:rsidR="00C25084" w:rsidRPr="00C25084">
        <w:rPr>
          <w:rFonts w:ascii="Times New Roman" w:eastAsia="Times New Roman" w:hAnsi="Times New Roman" w:cs="Times New Roman"/>
          <w:b/>
          <w:lang w:eastAsia="es-MX"/>
        </w:rPr>
        <w:t xml:space="preserve">la edad es un predictor débil de rendimiento en el trabajo </w:t>
      </w:r>
      <w:sdt>
        <w:sdtPr>
          <w:rPr>
            <w:rFonts w:ascii="Times New Roman" w:eastAsia="Times New Roman" w:hAnsi="Times New Roman" w:cs="Times New Roman"/>
            <w:b/>
            <w:lang w:eastAsia="es-MX"/>
          </w:rPr>
          <w:id w:val="-1924871325"/>
          <w:citation/>
        </w:sdtPr>
        <w:sdtEndPr/>
        <w:sdtContent>
          <w:r w:rsidR="00C25084">
            <w:rPr>
              <w:rFonts w:ascii="Times New Roman" w:eastAsia="Times New Roman" w:hAnsi="Times New Roman" w:cs="Times New Roman"/>
              <w:b/>
              <w:lang w:eastAsia="es-MX"/>
            </w:rPr>
            <w:fldChar w:fldCharType="begin"/>
          </w:r>
          <w:r w:rsidR="00C25084">
            <w:rPr>
              <w:rFonts w:ascii="Times New Roman" w:eastAsia="Times New Roman" w:hAnsi="Times New Roman" w:cs="Times New Roman"/>
              <w:b/>
              <w:lang w:eastAsia="es-MX"/>
            </w:rPr>
            <w:instrText xml:space="preserve"> CITATION McD12 \l 9226 </w:instrText>
          </w:r>
          <w:r w:rsidR="00C25084">
            <w:rPr>
              <w:rFonts w:ascii="Times New Roman" w:eastAsia="Times New Roman" w:hAnsi="Times New Roman" w:cs="Times New Roman"/>
              <w:b/>
              <w:lang w:eastAsia="es-MX"/>
            </w:rPr>
            <w:fldChar w:fldCharType="separate"/>
          </w:r>
          <w:r w:rsidR="00C25084" w:rsidRPr="00C25084">
            <w:rPr>
              <w:rFonts w:ascii="Times New Roman" w:eastAsia="Times New Roman" w:hAnsi="Times New Roman" w:cs="Times New Roman"/>
              <w:noProof/>
              <w:lang w:eastAsia="es-MX"/>
            </w:rPr>
            <w:t>(McDaniel, 2012)</w:t>
          </w:r>
          <w:r w:rsidR="00C25084">
            <w:rPr>
              <w:rFonts w:ascii="Times New Roman" w:eastAsia="Times New Roman" w:hAnsi="Times New Roman" w:cs="Times New Roman"/>
              <w:b/>
              <w:lang w:eastAsia="es-MX"/>
            </w:rPr>
            <w:fldChar w:fldCharType="end"/>
          </w:r>
        </w:sdtContent>
      </w:sdt>
      <w:r w:rsidR="00C25084">
        <w:rPr>
          <w:rFonts w:ascii="Times New Roman" w:eastAsia="Times New Roman" w:hAnsi="Times New Roman" w:cs="Times New Roman"/>
          <w:b/>
          <w:lang w:eastAsia="es-MX"/>
        </w:rPr>
        <w:t>.</w:t>
      </w:r>
    </w:p>
    <w:p w14:paraId="70889207" w14:textId="72056704" w:rsidR="00604E18" w:rsidRDefault="00604E18" w:rsidP="00C25084">
      <w:pPr>
        <w:jc w:val="both"/>
        <w:rPr>
          <w:rFonts w:ascii="Times New Roman" w:eastAsia="Times New Roman" w:hAnsi="Times New Roman" w:cs="Times New Roman"/>
          <w:b/>
          <w:lang w:eastAsia="es-MX"/>
        </w:rPr>
      </w:pPr>
    </w:p>
    <w:p w14:paraId="05B3322C" w14:textId="77777777" w:rsidR="00604E18" w:rsidRDefault="00604E18" w:rsidP="00604E18">
      <w:pPr>
        <w:jc w:val="center"/>
        <w:rPr>
          <w:rFonts w:ascii="Times New Roman" w:eastAsia="Times New Roman" w:hAnsi="Times New Roman" w:cs="Times New Roman"/>
          <w:b/>
          <w:lang w:eastAsia="es-MX"/>
        </w:rPr>
      </w:pPr>
    </w:p>
    <w:p w14:paraId="544DEDA7" w14:textId="469873F6" w:rsidR="00604E18" w:rsidRDefault="00604E18" w:rsidP="00604E18">
      <w:pPr>
        <w:jc w:val="center"/>
        <w:rPr>
          <w:rFonts w:ascii="Times New Roman" w:eastAsia="Times New Roman" w:hAnsi="Times New Roman" w:cs="Times New Roman"/>
          <w:b/>
          <w:lang w:eastAsia="es-MX"/>
        </w:rPr>
      </w:pPr>
      <w:r w:rsidRPr="00604E18">
        <w:rPr>
          <w:rFonts w:ascii="Times New Roman" w:eastAsia="Times New Roman" w:hAnsi="Times New Roman" w:cs="Times New Roman"/>
          <w:b/>
          <w:noProof/>
          <w:lang w:eastAsia="es-CO"/>
        </w:rPr>
        <w:drawing>
          <wp:inline distT="0" distB="0" distL="0" distR="0" wp14:anchorId="468158BF" wp14:editId="22F3C2E1">
            <wp:extent cx="4472940" cy="2857500"/>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832"/>
                    <a:stretch/>
                  </pic:blipFill>
                  <pic:spPr bwMode="auto">
                    <a:xfrm>
                      <a:off x="0" y="0"/>
                      <a:ext cx="4473328" cy="2857748"/>
                    </a:xfrm>
                    <a:prstGeom prst="rect">
                      <a:avLst/>
                    </a:prstGeom>
                    <a:ln>
                      <a:noFill/>
                    </a:ln>
                    <a:extLst>
                      <a:ext uri="{53640926-AAD7-44D8-BBD7-CCE9431645EC}">
                        <a14:shadowObscured xmlns:a14="http://schemas.microsoft.com/office/drawing/2010/main"/>
                      </a:ext>
                    </a:extLst>
                  </pic:spPr>
                </pic:pic>
              </a:graphicData>
            </a:graphic>
          </wp:inline>
        </w:drawing>
      </w:r>
    </w:p>
    <w:p w14:paraId="61A58420" w14:textId="349A6A77" w:rsidR="00604E18" w:rsidRDefault="00604E18" w:rsidP="00604E18">
      <w:pPr>
        <w:jc w:val="center"/>
        <w:rPr>
          <w:rFonts w:ascii="Times New Roman" w:eastAsia="Times New Roman" w:hAnsi="Times New Roman" w:cs="Times New Roman"/>
          <w:b/>
          <w:lang w:eastAsia="es-MX"/>
        </w:rPr>
      </w:pPr>
      <w:r>
        <w:rPr>
          <w:rFonts w:ascii="Times New Roman" w:eastAsia="Times New Roman" w:hAnsi="Times New Roman" w:cs="Times New Roman"/>
          <w:b/>
          <w:lang w:eastAsia="es-MX"/>
        </w:rPr>
        <w:t>F</w:t>
      </w:r>
      <w:r w:rsidR="00637158">
        <w:rPr>
          <w:rFonts w:ascii="Times New Roman" w:eastAsia="Times New Roman" w:hAnsi="Times New Roman" w:cs="Times New Roman"/>
          <w:b/>
          <w:lang w:eastAsia="es-MX"/>
        </w:rPr>
        <w:t>uente: El mercado Laboral y las Personas Mayores</w:t>
      </w:r>
      <w:r>
        <w:rPr>
          <w:rFonts w:ascii="Times New Roman" w:eastAsia="Times New Roman" w:hAnsi="Times New Roman" w:cs="Times New Roman"/>
          <w:b/>
          <w:lang w:eastAsia="es-MX"/>
        </w:rPr>
        <w:t>.</w:t>
      </w:r>
      <w:sdt>
        <w:sdtPr>
          <w:rPr>
            <w:rFonts w:ascii="Times New Roman" w:eastAsia="Times New Roman" w:hAnsi="Times New Roman" w:cs="Times New Roman"/>
            <w:b/>
            <w:lang w:eastAsia="es-MX"/>
          </w:rPr>
          <w:id w:val="-1554153005"/>
          <w:citation/>
        </w:sdtPr>
        <w:sdtEndPr/>
        <w:sdtContent>
          <w:r w:rsidR="00637158">
            <w:rPr>
              <w:rFonts w:ascii="Times New Roman" w:eastAsia="Times New Roman" w:hAnsi="Times New Roman" w:cs="Times New Roman"/>
              <w:b/>
              <w:lang w:eastAsia="es-MX"/>
            </w:rPr>
            <w:fldChar w:fldCharType="begin"/>
          </w:r>
          <w:r w:rsidR="00637158">
            <w:rPr>
              <w:rFonts w:ascii="Times New Roman" w:eastAsia="Times New Roman" w:hAnsi="Times New Roman" w:cs="Times New Roman"/>
              <w:b/>
              <w:lang w:eastAsia="es-MX"/>
            </w:rPr>
            <w:instrText xml:space="preserve"> CITATION Mar15 \l 9226 </w:instrText>
          </w:r>
          <w:r w:rsidR="00637158">
            <w:rPr>
              <w:rFonts w:ascii="Times New Roman" w:eastAsia="Times New Roman" w:hAnsi="Times New Roman" w:cs="Times New Roman"/>
              <w:b/>
              <w:lang w:eastAsia="es-MX"/>
            </w:rPr>
            <w:fldChar w:fldCharType="separate"/>
          </w:r>
          <w:r w:rsidR="00637158">
            <w:rPr>
              <w:rFonts w:ascii="Times New Roman" w:eastAsia="Times New Roman" w:hAnsi="Times New Roman" w:cs="Times New Roman"/>
              <w:b/>
              <w:noProof/>
              <w:lang w:eastAsia="es-MX"/>
            </w:rPr>
            <w:t xml:space="preserve"> </w:t>
          </w:r>
          <w:r w:rsidR="00637158" w:rsidRPr="00637158">
            <w:rPr>
              <w:rFonts w:ascii="Times New Roman" w:eastAsia="Times New Roman" w:hAnsi="Times New Roman" w:cs="Times New Roman"/>
              <w:noProof/>
              <w:lang w:eastAsia="es-MX"/>
            </w:rPr>
            <w:t>(Martínez-Restrepo, Enríquez, &amp; Pertuz, 2015)</w:t>
          </w:r>
          <w:r w:rsidR="00637158">
            <w:rPr>
              <w:rFonts w:ascii="Times New Roman" w:eastAsia="Times New Roman" w:hAnsi="Times New Roman" w:cs="Times New Roman"/>
              <w:b/>
              <w:lang w:eastAsia="es-MX"/>
            </w:rPr>
            <w:fldChar w:fldCharType="end"/>
          </w:r>
        </w:sdtContent>
      </w:sdt>
      <w:r>
        <w:rPr>
          <w:rFonts w:ascii="Times New Roman" w:eastAsia="Times New Roman" w:hAnsi="Times New Roman" w:cs="Times New Roman"/>
          <w:b/>
          <w:lang w:eastAsia="es-MX"/>
        </w:rPr>
        <w:t xml:space="preserve"> </w:t>
      </w:r>
    </w:p>
    <w:p w14:paraId="7AEEEFDA" w14:textId="0D7F94F0" w:rsidR="000D39D1" w:rsidRDefault="000D39D1" w:rsidP="00C25084">
      <w:pPr>
        <w:jc w:val="both"/>
        <w:rPr>
          <w:rFonts w:ascii="Times New Roman" w:eastAsia="Times New Roman" w:hAnsi="Times New Roman" w:cs="Times New Roman"/>
          <w:b/>
          <w:lang w:eastAsia="es-MX"/>
        </w:rPr>
      </w:pPr>
    </w:p>
    <w:p w14:paraId="72816B70" w14:textId="64724AF2" w:rsidR="000D39D1" w:rsidRDefault="000D39D1" w:rsidP="00C25084">
      <w:pPr>
        <w:jc w:val="both"/>
        <w:rPr>
          <w:rFonts w:ascii="Times New Roman" w:eastAsia="Times New Roman" w:hAnsi="Times New Roman" w:cs="Times New Roman"/>
          <w:lang w:eastAsia="es-MX"/>
        </w:rPr>
      </w:pPr>
      <w:r>
        <w:rPr>
          <w:rFonts w:ascii="Times New Roman" w:eastAsia="Times New Roman" w:hAnsi="Times New Roman" w:cs="Times New Roman"/>
          <w:lang w:eastAsia="es-MX"/>
        </w:rPr>
        <w:t>Los adultos mayores en Colombia trabajan en su mayoría por no haber podido acceder aún al retiro o pensión según estudios de la Misión Colombia Envejece de la Fundación Saldarriaga Concha, 30% de la población mayor de 60 años y el 7% de los mayores de 80 años aún trabajan, cifra diametralmente distinta a la situación en países de la Unión Europea donde llega apenas al 11,1%</w:t>
      </w:r>
      <w:r w:rsidR="00637158">
        <w:rPr>
          <w:rFonts w:ascii="Times New Roman" w:eastAsia="Times New Roman" w:hAnsi="Times New Roman" w:cs="Times New Roman"/>
          <w:lang w:eastAsia="es-MX"/>
        </w:rPr>
        <w:t>.</w:t>
      </w:r>
    </w:p>
    <w:p w14:paraId="0FB20DC5" w14:textId="77777777" w:rsidR="00637158" w:rsidRPr="000D39D1" w:rsidRDefault="00637158" w:rsidP="00C25084">
      <w:pPr>
        <w:jc w:val="both"/>
        <w:rPr>
          <w:rFonts w:ascii="Times New Roman" w:eastAsia="Times New Roman" w:hAnsi="Times New Roman" w:cs="Times New Roman"/>
          <w:lang w:eastAsia="es-MX"/>
        </w:rPr>
      </w:pPr>
    </w:p>
    <w:p w14:paraId="68EB5AC2" w14:textId="77777777" w:rsidR="00C25084" w:rsidRPr="00C25084" w:rsidRDefault="00C25084" w:rsidP="00C25084">
      <w:pPr>
        <w:jc w:val="both"/>
        <w:rPr>
          <w:rFonts w:ascii="Times New Roman" w:eastAsia="Times New Roman" w:hAnsi="Times New Roman" w:cs="Times New Roman"/>
          <w:b/>
          <w:lang w:eastAsia="es-MX"/>
        </w:rPr>
      </w:pPr>
    </w:p>
    <w:p w14:paraId="7568D7FE" w14:textId="77777777" w:rsidR="00524048" w:rsidRPr="00AD73C5" w:rsidRDefault="00524048" w:rsidP="005B6328">
      <w:pPr>
        <w:rPr>
          <w:rFonts w:ascii="Times New Roman" w:eastAsia="Times New Roman" w:hAnsi="Times New Roman" w:cs="Times New Roman"/>
          <w:lang w:eastAsia="es-MX"/>
        </w:rPr>
      </w:pPr>
    </w:p>
    <w:p w14:paraId="59E626C6" w14:textId="68DA6355" w:rsidR="00185C0D" w:rsidRPr="004C7AB1" w:rsidRDefault="005B6328" w:rsidP="00255C1C">
      <w:pPr>
        <w:spacing w:line="276" w:lineRule="auto"/>
        <w:jc w:val="both"/>
        <w:rPr>
          <w:rFonts w:ascii="Times New Roman" w:eastAsia="Times New Roman" w:hAnsi="Times New Roman" w:cs="Times New Roman"/>
          <w:b/>
          <w:bCs/>
          <w:lang w:eastAsia="es-MX"/>
        </w:rPr>
      </w:pPr>
      <w:r w:rsidRPr="004C7AB1">
        <w:rPr>
          <w:rFonts w:ascii="Times New Roman" w:eastAsia="Times New Roman" w:hAnsi="Times New Roman" w:cs="Times New Roman"/>
          <w:b/>
          <w:bCs/>
          <w:lang w:eastAsia="es-MX"/>
        </w:rPr>
        <w:t>IV.</w:t>
      </w:r>
      <w:r w:rsidR="00255C1C" w:rsidRPr="004C7AB1">
        <w:rPr>
          <w:rFonts w:ascii="Times New Roman" w:eastAsia="Times New Roman" w:hAnsi="Times New Roman" w:cs="Times New Roman"/>
          <w:lang w:eastAsia="es-MX"/>
        </w:rPr>
        <w:t xml:space="preserve"> </w:t>
      </w:r>
      <w:r w:rsidR="00185C0D" w:rsidRPr="004C7AB1">
        <w:rPr>
          <w:rFonts w:ascii="Times New Roman" w:eastAsia="Times New Roman" w:hAnsi="Times New Roman" w:cs="Times New Roman"/>
          <w:b/>
          <w:bCs/>
          <w:lang w:eastAsia="es-MX"/>
        </w:rPr>
        <w:t>ANÁLISIS DE CONSTITUCIONALIDAD Y LEGALIDAD</w:t>
      </w:r>
      <w:r w:rsidR="00A04416" w:rsidRPr="004C7AB1">
        <w:rPr>
          <w:rFonts w:ascii="Times New Roman" w:eastAsia="Times New Roman" w:hAnsi="Times New Roman" w:cs="Times New Roman"/>
          <w:b/>
          <w:bCs/>
          <w:lang w:eastAsia="es-MX"/>
        </w:rPr>
        <w:t>.</w:t>
      </w:r>
      <w:r w:rsidR="00185C0D" w:rsidRPr="004C7AB1">
        <w:rPr>
          <w:rFonts w:ascii="Times New Roman" w:eastAsia="Times New Roman" w:hAnsi="Times New Roman" w:cs="Times New Roman"/>
          <w:b/>
          <w:bCs/>
          <w:lang w:eastAsia="es-MX"/>
        </w:rPr>
        <w:t xml:space="preserve"> </w:t>
      </w:r>
    </w:p>
    <w:p w14:paraId="1D2192F7" w14:textId="2C0FD477" w:rsidR="00CB1ADD" w:rsidRPr="004C7AB1" w:rsidRDefault="00CB1ADD" w:rsidP="00255C1C">
      <w:pPr>
        <w:spacing w:line="276" w:lineRule="auto"/>
        <w:jc w:val="both"/>
        <w:rPr>
          <w:rFonts w:ascii="Times New Roman" w:eastAsia="Times New Roman" w:hAnsi="Times New Roman" w:cs="Times New Roman"/>
          <w:b/>
          <w:bCs/>
          <w:lang w:eastAsia="es-MX"/>
        </w:rPr>
      </w:pPr>
    </w:p>
    <w:p w14:paraId="7412AE62" w14:textId="46B5081C" w:rsidR="00CB1ADD" w:rsidRPr="004C7AB1" w:rsidRDefault="00CB1ADD" w:rsidP="00052C4C">
      <w:pPr>
        <w:pStyle w:val="Prrafodelista"/>
        <w:numPr>
          <w:ilvl w:val="0"/>
          <w:numId w:val="1"/>
        </w:numPr>
        <w:spacing w:line="276" w:lineRule="auto"/>
        <w:jc w:val="both"/>
        <w:rPr>
          <w:rFonts w:ascii="Times New Roman" w:eastAsia="Times New Roman" w:hAnsi="Times New Roman" w:cs="Times New Roman"/>
          <w:b/>
          <w:bCs/>
          <w:color w:val="000000"/>
          <w:lang w:eastAsia="es-CO"/>
        </w:rPr>
      </w:pPr>
      <w:r w:rsidRPr="004C7AB1">
        <w:rPr>
          <w:rFonts w:ascii="Times New Roman" w:eastAsia="Times New Roman" w:hAnsi="Times New Roman" w:cs="Times New Roman"/>
          <w:b/>
          <w:bCs/>
          <w:color w:val="000000"/>
          <w:lang w:eastAsia="es-CO"/>
        </w:rPr>
        <w:t>ANÁLISIS CONSTITUCIONAL</w:t>
      </w:r>
    </w:p>
    <w:p w14:paraId="2A04F849" w14:textId="77777777" w:rsidR="00052C4C" w:rsidRPr="004C7AB1" w:rsidRDefault="00052C4C" w:rsidP="00052C4C">
      <w:pPr>
        <w:pStyle w:val="Prrafodelista"/>
        <w:spacing w:line="276" w:lineRule="auto"/>
        <w:jc w:val="both"/>
        <w:rPr>
          <w:rFonts w:ascii="Times New Roman" w:eastAsia="Times New Roman" w:hAnsi="Times New Roman" w:cs="Times New Roman"/>
          <w:b/>
          <w:bCs/>
          <w:color w:val="000000"/>
          <w:lang w:eastAsia="es-CO"/>
        </w:rPr>
      </w:pPr>
    </w:p>
    <w:p w14:paraId="508B539D" w14:textId="373D6DBB" w:rsidR="00CB1ADD" w:rsidRPr="004C7AB1" w:rsidRDefault="00B01CDE" w:rsidP="00B01CDE">
      <w:pPr>
        <w:pStyle w:val="Prrafodelista"/>
        <w:numPr>
          <w:ilvl w:val="1"/>
          <w:numId w:val="2"/>
        </w:numPr>
        <w:spacing w:line="276" w:lineRule="auto"/>
        <w:jc w:val="both"/>
        <w:rPr>
          <w:rFonts w:ascii="Times New Roman" w:eastAsia="Times New Roman" w:hAnsi="Times New Roman" w:cs="Times New Roman"/>
          <w:lang w:eastAsia="es-CO"/>
        </w:rPr>
      </w:pPr>
      <w:r w:rsidRPr="004C7AB1">
        <w:rPr>
          <w:rFonts w:ascii="Times New Roman" w:eastAsia="Times New Roman" w:hAnsi="Times New Roman" w:cs="Times New Roman"/>
          <w:b/>
          <w:bCs/>
          <w:color w:val="000000"/>
          <w:lang w:eastAsia="es-CO"/>
        </w:rPr>
        <w:t xml:space="preserve"> </w:t>
      </w:r>
      <w:r w:rsidR="00052C4C" w:rsidRPr="004C7AB1">
        <w:rPr>
          <w:rFonts w:ascii="Times New Roman" w:eastAsia="Times New Roman" w:hAnsi="Times New Roman" w:cs="Times New Roman"/>
          <w:b/>
          <w:bCs/>
          <w:color w:val="000000"/>
          <w:lang w:eastAsia="es-CO"/>
        </w:rPr>
        <w:t>CONSTITUCIÓN POLÍTICA DE COLOMBIA.</w:t>
      </w:r>
    </w:p>
    <w:p w14:paraId="3249E29F" w14:textId="40218D3B" w:rsidR="00C13D27" w:rsidRDefault="00C13D27" w:rsidP="00B01CDE">
      <w:pPr>
        <w:spacing w:line="276" w:lineRule="auto"/>
        <w:jc w:val="both"/>
        <w:rPr>
          <w:rFonts w:ascii="Times New Roman" w:eastAsia="Times New Roman" w:hAnsi="Times New Roman" w:cs="Times New Roman"/>
          <w:lang w:eastAsia="es-CO"/>
        </w:rPr>
      </w:pPr>
    </w:p>
    <w:p w14:paraId="6233F2F6" w14:textId="3F4D8B95" w:rsidR="006C55AD" w:rsidRDefault="006C55AD" w:rsidP="00B01CDE">
      <w:pPr>
        <w:spacing w:line="276" w:lineRule="auto"/>
        <w:jc w:val="both"/>
        <w:rPr>
          <w:rFonts w:ascii="Times New Roman" w:eastAsia="Times New Roman" w:hAnsi="Times New Roman" w:cs="Times New Roman"/>
          <w:lang w:eastAsia="es-CO"/>
        </w:rPr>
      </w:pPr>
      <w:r>
        <w:rPr>
          <w:rFonts w:ascii="Times New Roman" w:eastAsia="Times New Roman" w:hAnsi="Times New Roman" w:cs="Times New Roman"/>
          <w:lang w:eastAsia="es-CO"/>
        </w:rPr>
        <w:t xml:space="preserve">Los principios fundantes del derecho al trabajo se encuentran desde el preámbulo de </w:t>
      </w:r>
      <w:r w:rsidR="00CD6B98">
        <w:rPr>
          <w:rFonts w:ascii="Times New Roman" w:eastAsia="Times New Roman" w:hAnsi="Times New Roman" w:cs="Times New Roman"/>
          <w:lang w:eastAsia="es-CO"/>
        </w:rPr>
        <w:t xml:space="preserve">la </w:t>
      </w:r>
      <w:r>
        <w:rPr>
          <w:rFonts w:ascii="Times New Roman" w:eastAsia="Times New Roman" w:hAnsi="Times New Roman" w:cs="Times New Roman"/>
          <w:lang w:eastAsia="es-CO"/>
        </w:rPr>
        <w:t xml:space="preserve">constitución en lo referente a la dignidad humana, la solidaridad y la prevalencia del interés </w:t>
      </w:r>
      <w:r w:rsidR="00CD6B98">
        <w:rPr>
          <w:rFonts w:ascii="Times New Roman" w:eastAsia="Times New Roman" w:hAnsi="Times New Roman" w:cs="Times New Roman"/>
          <w:lang w:eastAsia="es-CO"/>
        </w:rPr>
        <w:t>general, como orientadores de</w:t>
      </w:r>
      <w:r>
        <w:rPr>
          <w:rFonts w:ascii="Times New Roman" w:eastAsia="Times New Roman" w:hAnsi="Times New Roman" w:cs="Times New Roman"/>
          <w:lang w:eastAsia="es-CO"/>
        </w:rPr>
        <w:t xml:space="preserve"> interpretación. </w:t>
      </w:r>
    </w:p>
    <w:p w14:paraId="3F8292B0" w14:textId="77777777" w:rsidR="006C55AD" w:rsidRDefault="006C55AD" w:rsidP="00B01CDE">
      <w:pPr>
        <w:spacing w:line="276" w:lineRule="auto"/>
        <w:jc w:val="both"/>
        <w:rPr>
          <w:rFonts w:ascii="Times New Roman" w:eastAsia="Times New Roman" w:hAnsi="Times New Roman" w:cs="Times New Roman"/>
          <w:lang w:eastAsia="es-CO"/>
        </w:rPr>
      </w:pPr>
    </w:p>
    <w:p w14:paraId="48FDAE91" w14:textId="10F0F838" w:rsidR="00E94AD5" w:rsidRDefault="00E94AD5" w:rsidP="00B01CDE">
      <w:pPr>
        <w:spacing w:line="276" w:lineRule="auto"/>
        <w:jc w:val="both"/>
        <w:rPr>
          <w:rFonts w:ascii="Times New Roman" w:eastAsia="Times New Roman" w:hAnsi="Times New Roman" w:cs="Times New Roman"/>
          <w:lang w:eastAsia="es-CO"/>
        </w:rPr>
      </w:pPr>
      <w:r>
        <w:rPr>
          <w:rFonts w:ascii="Times New Roman" w:eastAsia="Times New Roman" w:hAnsi="Times New Roman" w:cs="Times New Roman"/>
          <w:lang w:eastAsia="es-CO"/>
        </w:rPr>
        <w:t xml:space="preserve">Nuestra constitución </w:t>
      </w:r>
      <w:r w:rsidR="00D65D33">
        <w:rPr>
          <w:rFonts w:ascii="Times New Roman" w:eastAsia="Times New Roman" w:hAnsi="Times New Roman" w:cs="Times New Roman"/>
          <w:lang w:eastAsia="es-CO"/>
        </w:rPr>
        <w:t>ha</w:t>
      </w:r>
      <w:r>
        <w:rPr>
          <w:rFonts w:ascii="Times New Roman" w:eastAsia="Times New Roman" w:hAnsi="Times New Roman" w:cs="Times New Roman"/>
          <w:lang w:eastAsia="es-CO"/>
        </w:rPr>
        <w:t xml:space="preserve"> considerado que existen una serie de condiciones a</w:t>
      </w:r>
      <w:r w:rsidR="00D65D33">
        <w:rPr>
          <w:rFonts w:ascii="Times New Roman" w:eastAsia="Times New Roman" w:hAnsi="Times New Roman" w:cs="Times New Roman"/>
          <w:lang w:eastAsia="es-CO"/>
        </w:rPr>
        <w:t>sociadas al derecho al trabajo, pero además a la consideración de la idea del trabajo como una condición de especial protección y fija las circunstancias en las que ésta se pueda dar:</w:t>
      </w:r>
    </w:p>
    <w:p w14:paraId="3EC7E791" w14:textId="160B7660" w:rsidR="00D65D33" w:rsidRPr="00D65D33" w:rsidRDefault="00D65D33" w:rsidP="00B01CDE">
      <w:pPr>
        <w:spacing w:line="276" w:lineRule="auto"/>
        <w:jc w:val="both"/>
        <w:rPr>
          <w:rFonts w:ascii="Times New Roman" w:eastAsia="Times New Roman" w:hAnsi="Times New Roman" w:cs="Times New Roman"/>
          <w:i/>
          <w:lang w:eastAsia="es-CO"/>
        </w:rPr>
      </w:pPr>
    </w:p>
    <w:p w14:paraId="50C90C67" w14:textId="5299BAEE" w:rsidR="00D65D33" w:rsidRPr="00D65D33" w:rsidRDefault="00D65D33" w:rsidP="00B01CDE">
      <w:pPr>
        <w:spacing w:line="276" w:lineRule="auto"/>
        <w:jc w:val="both"/>
        <w:rPr>
          <w:rFonts w:ascii="Times New Roman" w:eastAsia="Times New Roman" w:hAnsi="Times New Roman" w:cs="Times New Roman"/>
          <w:i/>
          <w:color w:val="000000"/>
          <w:lang w:eastAsia="es-CO"/>
        </w:rPr>
      </w:pPr>
      <w:r w:rsidRPr="00D65D33">
        <w:rPr>
          <w:rFonts w:ascii="Times New Roman" w:eastAsia="Times New Roman" w:hAnsi="Times New Roman" w:cs="Times New Roman"/>
          <w:i/>
          <w:color w:val="000000"/>
          <w:lang w:eastAsia="es-CO"/>
        </w:rPr>
        <w:t>Artículo 25. El trabajo es un derecho y una obligación social y goza, en todas sus modalidades, de la especial protección del Estado. Toda persona tiene derecho a un trabajo en condiciones dignas y justas.</w:t>
      </w:r>
    </w:p>
    <w:p w14:paraId="4F176222" w14:textId="692AFE29" w:rsidR="00D65D33" w:rsidRDefault="00D65D33" w:rsidP="00B01CDE">
      <w:pPr>
        <w:spacing w:line="276" w:lineRule="auto"/>
        <w:jc w:val="both"/>
        <w:rPr>
          <w:rFonts w:ascii="Times New Roman" w:eastAsia="Times New Roman" w:hAnsi="Times New Roman" w:cs="Times New Roman"/>
          <w:color w:val="000000"/>
          <w:lang w:eastAsia="es-CO"/>
        </w:rPr>
      </w:pPr>
    </w:p>
    <w:p w14:paraId="31654DBA" w14:textId="2B136AFF" w:rsidR="00D65D33" w:rsidRDefault="00D65D33" w:rsidP="00B01CDE">
      <w:pPr>
        <w:spacing w:line="276" w:lineRule="auto"/>
        <w:jc w:val="both"/>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 xml:space="preserve">Se debe establecer además que existe un sistema universal de derechos humanos, en ellos no sólo se consigna el derecho al trabajo sino además en el Pacto Internacional de Derechos Económicos, Sociales y Culturales (PIDESC) y el Comité de Derechos Económicos, Sociales y Culturales (CDESC), en este sentido el enfoque procura entenderlo en el marco de las condiciones de dignidad de los seres humanos, es importante entonces considerarlo además en circunstancias de dignidad. </w:t>
      </w:r>
    </w:p>
    <w:p w14:paraId="22FC9566" w14:textId="4EFC3EF3" w:rsidR="001161FE" w:rsidRDefault="001161FE" w:rsidP="00B01CDE">
      <w:pPr>
        <w:spacing w:line="276" w:lineRule="auto"/>
        <w:jc w:val="both"/>
        <w:rPr>
          <w:rFonts w:ascii="Times New Roman" w:eastAsia="Times New Roman" w:hAnsi="Times New Roman" w:cs="Times New Roman"/>
          <w:color w:val="000000"/>
          <w:lang w:eastAsia="es-CO"/>
        </w:rPr>
      </w:pPr>
    </w:p>
    <w:p w14:paraId="3E07C266" w14:textId="68C6CD9B" w:rsidR="001161FE" w:rsidRDefault="001161FE" w:rsidP="00B01CDE">
      <w:pPr>
        <w:spacing w:line="276" w:lineRule="auto"/>
        <w:jc w:val="both"/>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 xml:space="preserve">En derecho al trabajo debe concebirse desde este bloque de constitucionalidad en una esfera individual donde se reconoce al trabajador para que accede en condiciones de dignidad y en procura del cuidado y desarrollo de condiciones justas. En un segundo momento, el enfoque colectivo supone el hecho y consideración sobe los grupos de trabajadores, efectivamente este proceso implicaría una condición de asociación en sindicatos, promoviendo además el derecho de huelga y similares. </w:t>
      </w:r>
    </w:p>
    <w:p w14:paraId="2DCAA9C6" w14:textId="52DFCB13" w:rsidR="001161FE" w:rsidRDefault="001161FE" w:rsidP="00B01CDE">
      <w:pPr>
        <w:spacing w:line="276" w:lineRule="auto"/>
        <w:jc w:val="both"/>
        <w:rPr>
          <w:rFonts w:ascii="Times New Roman" w:eastAsia="Times New Roman" w:hAnsi="Times New Roman" w:cs="Times New Roman"/>
          <w:color w:val="000000"/>
          <w:lang w:eastAsia="es-CO"/>
        </w:rPr>
      </w:pPr>
    </w:p>
    <w:p w14:paraId="6E7E6FF1" w14:textId="67E628C1" w:rsidR="001161FE" w:rsidRDefault="001161FE" w:rsidP="00B01CDE">
      <w:pPr>
        <w:spacing w:line="276" w:lineRule="auto"/>
        <w:jc w:val="both"/>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El trabajo debe considerar algunas dimensiones contempladas tanto el artículo 23 como en el artículo 25 de la Declaración Universal de Derechos Humanos,</w:t>
      </w:r>
      <w:r w:rsidR="006C55AD">
        <w:rPr>
          <w:rFonts w:ascii="Times New Roman" w:eastAsia="Times New Roman" w:hAnsi="Times New Roman" w:cs="Times New Roman"/>
          <w:color w:val="000000"/>
          <w:lang w:eastAsia="es-CO"/>
        </w:rPr>
        <w:t xml:space="preserve"> en ese sentido se aborda el derecho a un nivel de vida adecuado que debe considerar la salud, bienestar, alimentación, vivienda, vestido y seguridad social.</w:t>
      </w:r>
    </w:p>
    <w:p w14:paraId="03B663E9" w14:textId="5A6DC4BE" w:rsidR="006C55AD" w:rsidRDefault="006C55AD" w:rsidP="00B01CDE">
      <w:pPr>
        <w:spacing w:line="276" w:lineRule="auto"/>
        <w:jc w:val="both"/>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 xml:space="preserve">Desde los convenios de la Organización Internacional del Trabajo (OIT) se ha venido estableciendo un enfoque de derechos fundamentales centrado en la ratificación de la Declaración de los Principios y Derechos Fundamentales en el Trabajo, ésta declaración se relaciona cuatro categorías con principios: i) la eliminación de todas las formas de trabajo forzoso u obligatorio; </w:t>
      </w:r>
      <w:r w:rsidRPr="006C55AD">
        <w:rPr>
          <w:rFonts w:ascii="Times New Roman" w:eastAsia="Times New Roman" w:hAnsi="Times New Roman" w:cs="Times New Roman"/>
          <w:b/>
          <w:color w:val="000000"/>
          <w:lang w:eastAsia="es-CO"/>
        </w:rPr>
        <w:t>ii) la eliminación de la discriminación en materia de empleo y ocupación;</w:t>
      </w:r>
      <w:r>
        <w:rPr>
          <w:rFonts w:ascii="Times New Roman" w:eastAsia="Times New Roman" w:hAnsi="Times New Roman" w:cs="Times New Roman"/>
          <w:color w:val="000000"/>
          <w:lang w:eastAsia="es-CO"/>
        </w:rPr>
        <w:t xml:space="preserve"> iii) la abolición efectiva del trabajo infantil; y iv) la libertad de asociación y la libertad sindical y el reconocimiento efectivo del derecho de negociación colectiva. </w:t>
      </w:r>
    </w:p>
    <w:p w14:paraId="52492C1F" w14:textId="1CF0AC86" w:rsidR="00D65D33" w:rsidRDefault="00D65D33" w:rsidP="00B01CDE">
      <w:pPr>
        <w:spacing w:line="276" w:lineRule="auto"/>
        <w:jc w:val="both"/>
        <w:rPr>
          <w:rFonts w:ascii="Times New Roman" w:eastAsia="Times New Roman" w:hAnsi="Times New Roman" w:cs="Times New Roman"/>
          <w:color w:val="000000"/>
          <w:lang w:eastAsia="es-CO"/>
        </w:rPr>
      </w:pPr>
    </w:p>
    <w:p w14:paraId="58174F8B" w14:textId="554B483A" w:rsidR="00CD6B98" w:rsidRDefault="00CD6B98" w:rsidP="00B01CDE">
      <w:pPr>
        <w:spacing w:line="276" w:lineRule="auto"/>
        <w:jc w:val="both"/>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 xml:space="preserve">El desarrollo del derecho al trabajo se establece de manera ordenada en la Sentencia T-475 de 1992 se estableció por la Corte Constitucional: </w:t>
      </w:r>
    </w:p>
    <w:p w14:paraId="441EBA41" w14:textId="77777777" w:rsidR="00CD6B98" w:rsidRDefault="00CD6B98" w:rsidP="00B01CDE">
      <w:pPr>
        <w:spacing w:line="276" w:lineRule="auto"/>
        <w:jc w:val="both"/>
        <w:rPr>
          <w:rFonts w:ascii="Times New Roman" w:eastAsia="Times New Roman" w:hAnsi="Times New Roman" w:cs="Times New Roman"/>
          <w:color w:val="000000"/>
          <w:lang w:eastAsia="es-CO"/>
        </w:rPr>
      </w:pPr>
    </w:p>
    <w:p w14:paraId="41E3F704" w14:textId="2FF7ECFC" w:rsidR="00CD6B98" w:rsidRPr="00CD6B98" w:rsidRDefault="00CD6B98" w:rsidP="00CD6B98">
      <w:pPr>
        <w:spacing w:line="276" w:lineRule="auto"/>
        <w:jc w:val="both"/>
        <w:rPr>
          <w:rFonts w:ascii="Times New Roman" w:eastAsia="Times New Roman" w:hAnsi="Times New Roman" w:cs="Times New Roman"/>
          <w:i/>
          <w:color w:val="000000"/>
          <w:lang w:eastAsia="es-CO"/>
        </w:rPr>
      </w:pPr>
      <w:r w:rsidRPr="00CD6B98">
        <w:rPr>
          <w:rFonts w:ascii="Times New Roman" w:eastAsia="Times New Roman" w:hAnsi="Times New Roman" w:cs="Times New Roman"/>
          <w:i/>
          <w:color w:val="000000"/>
          <w:lang w:eastAsia="es-CO"/>
        </w:rPr>
        <w:t>“no solo la actividad laboral subordinada está protegida por el derecho fundamental al trabajo. El trabajo no subordinado y libre, aquel ejercido de forma independiente por el</w:t>
      </w:r>
    </w:p>
    <w:p w14:paraId="61883376" w14:textId="77777777" w:rsidR="00CD6B98" w:rsidRPr="00CD6B98" w:rsidRDefault="00CD6B98" w:rsidP="00CD6B98">
      <w:pPr>
        <w:spacing w:line="276" w:lineRule="auto"/>
        <w:jc w:val="both"/>
        <w:rPr>
          <w:rFonts w:ascii="Times New Roman" w:eastAsia="Times New Roman" w:hAnsi="Times New Roman" w:cs="Times New Roman"/>
          <w:i/>
          <w:color w:val="000000"/>
          <w:lang w:eastAsia="es-CO"/>
        </w:rPr>
      </w:pPr>
      <w:r w:rsidRPr="00CD6B98">
        <w:rPr>
          <w:rFonts w:ascii="Times New Roman" w:eastAsia="Times New Roman" w:hAnsi="Times New Roman" w:cs="Times New Roman"/>
          <w:i/>
          <w:color w:val="000000"/>
          <w:lang w:eastAsia="es-CO"/>
        </w:rPr>
        <w:t>individuo, está comprendido en el núcleo esencial del derecho al trabajo.</w:t>
      </w:r>
    </w:p>
    <w:p w14:paraId="3BD0941A" w14:textId="77777777" w:rsidR="00CD6B98" w:rsidRPr="00CD6B98" w:rsidRDefault="00CD6B98" w:rsidP="00CD6B98">
      <w:pPr>
        <w:spacing w:line="276" w:lineRule="auto"/>
        <w:jc w:val="both"/>
        <w:rPr>
          <w:rFonts w:ascii="Times New Roman" w:eastAsia="Times New Roman" w:hAnsi="Times New Roman" w:cs="Times New Roman"/>
          <w:i/>
          <w:color w:val="000000"/>
          <w:lang w:eastAsia="es-CO"/>
        </w:rPr>
      </w:pPr>
    </w:p>
    <w:p w14:paraId="02EC05F2" w14:textId="012E6024" w:rsidR="00CD6B98" w:rsidRDefault="00CD6B98" w:rsidP="00CD6B98">
      <w:pPr>
        <w:spacing w:line="276" w:lineRule="auto"/>
        <w:jc w:val="both"/>
        <w:rPr>
          <w:rFonts w:ascii="Times New Roman" w:eastAsia="Times New Roman" w:hAnsi="Times New Roman" w:cs="Times New Roman"/>
          <w:i/>
          <w:color w:val="000000"/>
          <w:lang w:eastAsia="es-CO"/>
        </w:rPr>
      </w:pPr>
      <w:r w:rsidRPr="00CD6B98">
        <w:rPr>
          <w:rFonts w:ascii="Times New Roman" w:eastAsia="Times New Roman" w:hAnsi="Times New Roman" w:cs="Times New Roman"/>
          <w:i/>
          <w:color w:val="000000"/>
          <w:lang w:eastAsia="es-CO"/>
        </w:rPr>
        <w:lastRenderedPageBreak/>
        <w:t>La Constitución, más que al trabajo como actividad abstracta, protege al</w:t>
      </w:r>
      <w:r>
        <w:rPr>
          <w:rFonts w:ascii="Times New Roman" w:eastAsia="Times New Roman" w:hAnsi="Times New Roman" w:cs="Times New Roman"/>
          <w:i/>
          <w:color w:val="000000"/>
          <w:lang w:eastAsia="es-CO"/>
        </w:rPr>
        <w:t xml:space="preserve"> </w:t>
      </w:r>
      <w:r w:rsidRPr="00CD6B98">
        <w:rPr>
          <w:rFonts w:ascii="Times New Roman" w:eastAsia="Times New Roman" w:hAnsi="Times New Roman" w:cs="Times New Roman"/>
          <w:i/>
          <w:color w:val="000000"/>
          <w:lang w:eastAsia="es-CO"/>
        </w:rPr>
        <w:t>trabajador y su dignidad”.</w:t>
      </w:r>
    </w:p>
    <w:p w14:paraId="6B2AF40E" w14:textId="69E1B904" w:rsidR="00CD6B98" w:rsidRDefault="00CD6B98" w:rsidP="00CD6B98">
      <w:pPr>
        <w:spacing w:line="276" w:lineRule="auto"/>
        <w:jc w:val="both"/>
        <w:rPr>
          <w:rFonts w:ascii="Times New Roman" w:eastAsia="Times New Roman" w:hAnsi="Times New Roman" w:cs="Times New Roman"/>
          <w:i/>
          <w:color w:val="000000"/>
          <w:lang w:eastAsia="es-CO"/>
        </w:rPr>
      </w:pPr>
    </w:p>
    <w:p w14:paraId="51822F97" w14:textId="1B99B309" w:rsidR="00CB1ADD" w:rsidRDefault="00CD6B98" w:rsidP="00CB1ADD">
      <w:pPr>
        <w:spacing w:line="276" w:lineRule="auto"/>
        <w:jc w:val="both"/>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La implicación como el presente proyecto de ley deben abordar un enfoque centrado en el trabajador por medio de su relación contractual y reglamentaria, pero en igual medida debe considerar el trabajo por cuenta propia, independiente y además sin subordinación. Desde un punto de vista centrado en el proceso constitucional el artículo 53, es quien dio facultades particulares a el congreso para el cumplimiento de un postulado centrado en:</w:t>
      </w:r>
    </w:p>
    <w:p w14:paraId="72761996" w14:textId="37C08DF9" w:rsidR="00CD6B98" w:rsidRPr="00BF1115" w:rsidRDefault="00CD6B98" w:rsidP="00CB1ADD">
      <w:pPr>
        <w:spacing w:line="276" w:lineRule="auto"/>
        <w:jc w:val="both"/>
        <w:rPr>
          <w:rFonts w:ascii="Times New Roman" w:eastAsia="Times New Roman" w:hAnsi="Times New Roman" w:cs="Times New Roman"/>
          <w:b/>
          <w:color w:val="000000"/>
          <w:lang w:eastAsia="es-CO"/>
        </w:rPr>
      </w:pPr>
    </w:p>
    <w:p w14:paraId="121CD346" w14:textId="0BB8C5E0" w:rsidR="00CD6B98" w:rsidRPr="00BF1115" w:rsidRDefault="00CD6B98" w:rsidP="00CD6B98">
      <w:pPr>
        <w:spacing w:line="276" w:lineRule="auto"/>
        <w:jc w:val="both"/>
        <w:rPr>
          <w:rFonts w:ascii="Times New Roman" w:eastAsia="Times New Roman" w:hAnsi="Times New Roman" w:cs="Times New Roman"/>
          <w:b/>
          <w:i/>
          <w:color w:val="000000"/>
          <w:lang w:eastAsia="es-CO"/>
        </w:rPr>
      </w:pPr>
      <w:r w:rsidRPr="00BF1115">
        <w:rPr>
          <w:rFonts w:ascii="Times New Roman" w:eastAsia="Times New Roman" w:hAnsi="Times New Roman" w:cs="Times New Roman"/>
          <w:b/>
          <w:i/>
          <w:color w:val="000000"/>
          <w:lang w:eastAsia="es-CO"/>
        </w:rPr>
        <w:t>ARTICULO 53. El Congreso expedirá el estatuto del trabajo. La ley correspondiente tendrá en cuenta por lo menos los siguientes principios mínimos fundamentales:</w:t>
      </w:r>
    </w:p>
    <w:p w14:paraId="7010EF74" w14:textId="77777777" w:rsidR="00CD6B98" w:rsidRPr="00BF1115" w:rsidRDefault="00CD6B98" w:rsidP="00CD6B98">
      <w:pPr>
        <w:spacing w:line="276" w:lineRule="auto"/>
        <w:jc w:val="both"/>
        <w:rPr>
          <w:rFonts w:ascii="Times New Roman" w:eastAsia="Times New Roman" w:hAnsi="Times New Roman" w:cs="Times New Roman"/>
          <w:i/>
          <w:color w:val="000000"/>
          <w:lang w:eastAsia="es-CO"/>
        </w:rPr>
      </w:pPr>
    </w:p>
    <w:p w14:paraId="76E1ECE2" w14:textId="4A8BCBA9" w:rsidR="00CD6B98" w:rsidRPr="00BF1115" w:rsidRDefault="00CD6B98" w:rsidP="00CD6B98">
      <w:pPr>
        <w:spacing w:line="276" w:lineRule="auto"/>
        <w:jc w:val="both"/>
        <w:rPr>
          <w:rFonts w:ascii="Times New Roman" w:eastAsia="Times New Roman" w:hAnsi="Times New Roman" w:cs="Times New Roman"/>
          <w:i/>
          <w:color w:val="000000"/>
          <w:lang w:eastAsia="es-CO"/>
        </w:rPr>
      </w:pPr>
      <w:r w:rsidRPr="00BF1115">
        <w:rPr>
          <w:rFonts w:ascii="Times New Roman" w:eastAsia="Times New Roman" w:hAnsi="Times New Roman" w:cs="Times New Roman"/>
          <w:b/>
          <w:i/>
          <w:color w:val="000000"/>
          <w:lang w:eastAsia="es-CO"/>
        </w:rPr>
        <w:t>Igualdad de oportunidades para los trabajadores</w:t>
      </w:r>
      <w:r w:rsidRPr="00BF1115">
        <w:rPr>
          <w:rFonts w:ascii="Times New Roman" w:eastAsia="Times New Roman" w:hAnsi="Times New Roman" w:cs="Times New Roman"/>
          <w:i/>
          <w:color w:val="000000"/>
          <w:lang w:eastAsia="es-CO"/>
        </w:rPr>
        <w:t>; remuneración mínima vital y móvil,</w:t>
      </w:r>
    </w:p>
    <w:p w14:paraId="120923B9" w14:textId="508D2379" w:rsidR="00CD6B98" w:rsidRPr="00BF1115" w:rsidRDefault="00CD6B98" w:rsidP="00CD6B98">
      <w:pPr>
        <w:spacing w:line="276" w:lineRule="auto"/>
        <w:jc w:val="both"/>
        <w:rPr>
          <w:rFonts w:ascii="Times New Roman" w:eastAsia="Times New Roman" w:hAnsi="Times New Roman" w:cs="Times New Roman"/>
          <w:i/>
          <w:color w:val="000000"/>
          <w:lang w:eastAsia="es-CO"/>
        </w:rPr>
      </w:pPr>
      <w:r w:rsidRPr="00BF1115">
        <w:rPr>
          <w:rFonts w:ascii="Times New Roman" w:eastAsia="Times New Roman" w:hAnsi="Times New Roman" w:cs="Times New Roman"/>
          <w:i/>
          <w:color w:val="000000"/>
          <w:lang w:eastAsia="es-CO"/>
        </w:rPr>
        <w:t xml:space="preserve">proporcional a la cantidad y calidad de trabajo; </w:t>
      </w:r>
      <w:r w:rsidRPr="00BF1115">
        <w:rPr>
          <w:rFonts w:ascii="Times New Roman" w:eastAsia="Times New Roman" w:hAnsi="Times New Roman" w:cs="Times New Roman"/>
          <w:b/>
          <w:i/>
          <w:color w:val="000000"/>
          <w:lang w:eastAsia="es-CO"/>
        </w:rPr>
        <w:t>estabilidad en el empleo</w:t>
      </w:r>
      <w:r w:rsidRPr="00BF1115">
        <w:rPr>
          <w:rFonts w:ascii="Times New Roman" w:eastAsia="Times New Roman" w:hAnsi="Times New Roman" w:cs="Times New Roman"/>
          <w:i/>
          <w:color w:val="000000"/>
          <w:lang w:eastAsia="es-CO"/>
        </w:rPr>
        <w:t xml:space="preserve">; </w:t>
      </w:r>
      <w:proofErr w:type="spellStart"/>
      <w:r w:rsidRPr="00BF1115">
        <w:rPr>
          <w:rFonts w:ascii="Times New Roman" w:eastAsia="Times New Roman" w:hAnsi="Times New Roman" w:cs="Times New Roman"/>
          <w:i/>
          <w:color w:val="000000"/>
          <w:lang w:eastAsia="es-CO"/>
        </w:rPr>
        <w:t>irrenunciabilidad</w:t>
      </w:r>
      <w:proofErr w:type="spellEnd"/>
      <w:r w:rsidRPr="00BF1115">
        <w:rPr>
          <w:rFonts w:ascii="Times New Roman" w:eastAsia="Times New Roman" w:hAnsi="Times New Roman" w:cs="Times New Roman"/>
          <w:i/>
          <w:color w:val="000000"/>
          <w:lang w:eastAsia="es-CO"/>
        </w:rPr>
        <w:t xml:space="preserve"> a los beneficios mínimos establecidos en normas laborales; facultades para transigir y conciliar sobre derechos inciertos y discutibles; situación más favorable al trabajador en caso de duda en la aplicación e interpretación de las fuentes formales de derecho; primacía de la realidad sobre formalidades establecidas por los sujetos de las relaciones laborales; garantía a la seguridad social, </w:t>
      </w:r>
      <w:r w:rsidRPr="00BF1115">
        <w:rPr>
          <w:rFonts w:ascii="Times New Roman" w:eastAsia="Times New Roman" w:hAnsi="Times New Roman" w:cs="Times New Roman"/>
          <w:b/>
          <w:i/>
          <w:color w:val="000000"/>
          <w:lang w:eastAsia="es-CO"/>
        </w:rPr>
        <w:t>la capacitación</w:t>
      </w:r>
      <w:r w:rsidRPr="00BF1115">
        <w:rPr>
          <w:rFonts w:ascii="Times New Roman" w:eastAsia="Times New Roman" w:hAnsi="Times New Roman" w:cs="Times New Roman"/>
          <w:i/>
          <w:color w:val="000000"/>
          <w:lang w:eastAsia="es-CO"/>
        </w:rPr>
        <w:t>, el adiestramiento y el descanso necesario; protección especial a la mujer, a la maternidad y al trabajador menor de edad.</w:t>
      </w:r>
    </w:p>
    <w:p w14:paraId="5196BABD" w14:textId="77777777" w:rsidR="00CD6B98" w:rsidRPr="00BF1115" w:rsidRDefault="00CD6B98" w:rsidP="00CD6B98">
      <w:pPr>
        <w:spacing w:line="276" w:lineRule="auto"/>
        <w:jc w:val="both"/>
        <w:rPr>
          <w:rFonts w:ascii="Times New Roman" w:eastAsia="Times New Roman" w:hAnsi="Times New Roman" w:cs="Times New Roman"/>
          <w:i/>
          <w:color w:val="000000"/>
          <w:lang w:eastAsia="es-CO"/>
        </w:rPr>
      </w:pPr>
    </w:p>
    <w:p w14:paraId="03AC252F" w14:textId="441D73DC" w:rsidR="00CD6B98" w:rsidRPr="00BF1115" w:rsidRDefault="00CD6B98" w:rsidP="00CD6B98">
      <w:pPr>
        <w:spacing w:line="276" w:lineRule="auto"/>
        <w:jc w:val="both"/>
        <w:rPr>
          <w:rFonts w:ascii="Times New Roman" w:eastAsia="Times New Roman" w:hAnsi="Times New Roman" w:cs="Times New Roman"/>
          <w:i/>
          <w:color w:val="000000"/>
          <w:lang w:eastAsia="es-CO"/>
        </w:rPr>
      </w:pPr>
      <w:r w:rsidRPr="00BF1115">
        <w:rPr>
          <w:rFonts w:ascii="Times New Roman" w:eastAsia="Times New Roman" w:hAnsi="Times New Roman" w:cs="Times New Roman"/>
          <w:i/>
          <w:color w:val="000000"/>
          <w:lang w:eastAsia="es-CO"/>
        </w:rPr>
        <w:t>El estado garantiza el derecho al pago oportuno y al reajuste periódico de las pensiones legales.</w:t>
      </w:r>
    </w:p>
    <w:p w14:paraId="38F2AABF" w14:textId="77777777" w:rsidR="00CD6B98" w:rsidRPr="00BF1115" w:rsidRDefault="00CD6B98" w:rsidP="00CD6B98">
      <w:pPr>
        <w:spacing w:line="276" w:lineRule="auto"/>
        <w:jc w:val="both"/>
        <w:rPr>
          <w:rFonts w:ascii="Times New Roman" w:eastAsia="Times New Roman" w:hAnsi="Times New Roman" w:cs="Times New Roman"/>
          <w:i/>
          <w:color w:val="000000"/>
          <w:lang w:eastAsia="es-CO"/>
        </w:rPr>
      </w:pPr>
    </w:p>
    <w:p w14:paraId="76660A16" w14:textId="35CB68D0" w:rsidR="00CD6B98" w:rsidRPr="00BF1115" w:rsidRDefault="00CD6B98" w:rsidP="00CD6B98">
      <w:pPr>
        <w:spacing w:line="276" w:lineRule="auto"/>
        <w:jc w:val="both"/>
        <w:rPr>
          <w:rFonts w:ascii="Times New Roman" w:eastAsia="Times New Roman" w:hAnsi="Times New Roman" w:cs="Times New Roman"/>
          <w:i/>
          <w:color w:val="000000"/>
          <w:lang w:eastAsia="es-CO"/>
        </w:rPr>
      </w:pPr>
      <w:r w:rsidRPr="00BF1115">
        <w:rPr>
          <w:rFonts w:ascii="Times New Roman" w:eastAsia="Times New Roman" w:hAnsi="Times New Roman" w:cs="Times New Roman"/>
          <w:i/>
          <w:color w:val="000000"/>
          <w:lang w:eastAsia="es-CO"/>
        </w:rPr>
        <w:t>Los convenios internacionales del trabajo debidamente ratificados, hacen parte de la legislación interna.</w:t>
      </w:r>
    </w:p>
    <w:p w14:paraId="5780B2E0" w14:textId="77777777" w:rsidR="00CD6B98" w:rsidRPr="00BF1115" w:rsidRDefault="00CD6B98" w:rsidP="00CD6B98">
      <w:pPr>
        <w:spacing w:line="276" w:lineRule="auto"/>
        <w:jc w:val="both"/>
        <w:rPr>
          <w:rFonts w:ascii="Times New Roman" w:eastAsia="Times New Roman" w:hAnsi="Times New Roman" w:cs="Times New Roman"/>
          <w:i/>
          <w:color w:val="000000"/>
          <w:lang w:eastAsia="es-CO"/>
        </w:rPr>
      </w:pPr>
    </w:p>
    <w:p w14:paraId="7113544F" w14:textId="3CC46C42" w:rsidR="00CD6B98" w:rsidRDefault="00CD6B98" w:rsidP="00CD6B98">
      <w:pPr>
        <w:spacing w:line="276" w:lineRule="auto"/>
        <w:jc w:val="both"/>
        <w:rPr>
          <w:rFonts w:ascii="Times New Roman" w:eastAsia="Times New Roman" w:hAnsi="Times New Roman" w:cs="Times New Roman"/>
          <w:i/>
          <w:color w:val="000000"/>
          <w:lang w:eastAsia="es-CO"/>
        </w:rPr>
      </w:pPr>
      <w:r w:rsidRPr="00BF1115">
        <w:rPr>
          <w:rFonts w:ascii="Times New Roman" w:eastAsia="Times New Roman" w:hAnsi="Times New Roman" w:cs="Times New Roman"/>
          <w:i/>
          <w:color w:val="000000"/>
          <w:lang w:eastAsia="es-CO"/>
        </w:rPr>
        <w:t>La ley, los contratos, los acuerdos y convenios de trabajo, no pu</w:t>
      </w:r>
      <w:r w:rsidR="00BF1115">
        <w:rPr>
          <w:rFonts w:ascii="Times New Roman" w:eastAsia="Times New Roman" w:hAnsi="Times New Roman" w:cs="Times New Roman"/>
          <w:i/>
          <w:color w:val="000000"/>
          <w:lang w:eastAsia="es-CO"/>
        </w:rPr>
        <w:t xml:space="preserve">eden menoscabar la libertad, la </w:t>
      </w:r>
      <w:r w:rsidRPr="00BF1115">
        <w:rPr>
          <w:rFonts w:ascii="Times New Roman" w:eastAsia="Times New Roman" w:hAnsi="Times New Roman" w:cs="Times New Roman"/>
          <w:i/>
          <w:color w:val="000000"/>
          <w:lang w:eastAsia="es-CO"/>
        </w:rPr>
        <w:t>dignidad humana ni los derechos de los trabajadores.</w:t>
      </w:r>
    </w:p>
    <w:p w14:paraId="5679FE4F" w14:textId="211E10D7" w:rsidR="00BF1115" w:rsidRDefault="00BF1115" w:rsidP="00CD6B98">
      <w:pPr>
        <w:spacing w:line="276" w:lineRule="auto"/>
        <w:jc w:val="both"/>
        <w:rPr>
          <w:rFonts w:ascii="Times New Roman" w:eastAsia="Times New Roman" w:hAnsi="Times New Roman" w:cs="Times New Roman"/>
          <w:i/>
          <w:color w:val="000000"/>
          <w:lang w:eastAsia="es-CO"/>
        </w:rPr>
      </w:pPr>
    </w:p>
    <w:p w14:paraId="1978D06A" w14:textId="378DD682" w:rsidR="00BF1115" w:rsidRDefault="00BF1115" w:rsidP="00CD6B98">
      <w:pPr>
        <w:spacing w:line="276" w:lineRule="auto"/>
        <w:jc w:val="both"/>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 xml:space="preserve"> En efecto, ésta búsqueda se ve concretada en el propósito de la promulgación del Código Sustantivo del Trabajo y en él se contemplaron unas medidas aplicables para las formas y realidad de ése momento histórico fijando unos postulados básicos hasta el día de hoy, pero como la sociedad y las leyes, el marco normativo requiere responder a una serie de fenómenos sociales que van variando el enfoque en particular sobre los sujetos objeto de discriminación y ése impacto pretende procurarse en este sentido.</w:t>
      </w:r>
    </w:p>
    <w:p w14:paraId="576B079A" w14:textId="400F78A3" w:rsidR="00BF1115" w:rsidRDefault="00BF1115" w:rsidP="00CD6B98">
      <w:pPr>
        <w:spacing w:line="276" w:lineRule="auto"/>
        <w:jc w:val="both"/>
        <w:rPr>
          <w:rFonts w:ascii="Times New Roman" w:eastAsia="Times New Roman" w:hAnsi="Times New Roman" w:cs="Times New Roman"/>
          <w:color w:val="000000"/>
          <w:lang w:eastAsia="es-CO"/>
        </w:rPr>
      </w:pPr>
    </w:p>
    <w:p w14:paraId="0C66CDDD" w14:textId="02218E37" w:rsidR="00BF1115" w:rsidRDefault="00BF1115" w:rsidP="00BF1115">
      <w:pPr>
        <w:spacing w:line="276" w:lineRule="auto"/>
        <w:jc w:val="both"/>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 xml:space="preserve">Finalmente, </w:t>
      </w:r>
      <w:r w:rsidRPr="00BF1115">
        <w:rPr>
          <w:rFonts w:ascii="Times New Roman" w:eastAsia="Times New Roman" w:hAnsi="Times New Roman" w:cs="Times New Roman"/>
          <w:color w:val="000000"/>
          <w:lang w:eastAsia="es-CO"/>
        </w:rPr>
        <w:t xml:space="preserve">el artículo 334 constitucional, </w:t>
      </w:r>
      <w:r>
        <w:rPr>
          <w:rFonts w:ascii="Times New Roman" w:eastAsia="Times New Roman" w:hAnsi="Times New Roman" w:cs="Times New Roman"/>
          <w:color w:val="000000"/>
          <w:lang w:eastAsia="es-CO"/>
        </w:rPr>
        <w:t>se enfoca en</w:t>
      </w:r>
      <w:r w:rsidRPr="00BF1115">
        <w:rPr>
          <w:rFonts w:ascii="Times New Roman" w:eastAsia="Times New Roman" w:hAnsi="Times New Roman" w:cs="Times New Roman"/>
          <w:color w:val="000000"/>
          <w:lang w:eastAsia="es-CO"/>
        </w:rPr>
        <w:t xml:space="preserve"> la intervención del Estado en la economía</w:t>
      </w:r>
      <w:r>
        <w:rPr>
          <w:rFonts w:ascii="Times New Roman" w:eastAsia="Times New Roman" w:hAnsi="Times New Roman" w:cs="Times New Roman"/>
          <w:color w:val="000000"/>
          <w:lang w:eastAsia="es-CO"/>
        </w:rPr>
        <w:t>, condiciona que el Estado de forma</w:t>
      </w:r>
      <w:r w:rsidRPr="00BF1115">
        <w:rPr>
          <w:rFonts w:ascii="Times New Roman" w:eastAsia="Times New Roman" w:hAnsi="Times New Roman" w:cs="Times New Roman"/>
          <w:color w:val="000000"/>
          <w:lang w:eastAsia="es-CO"/>
        </w:rPr>
        <w:t xml:space="preserve"> especial </w:t>
      </w:r>
      <w:r>
        <w:rPr>
          <w:rFonts w:ascii="Times New Roman" w:eastAsia="Times New Roman" w:hAnsi="Times New Roman" w:cs="Times New Roman"/>
          <w:color w:val="000000"/>
          <w:lang w:eastAsia="es-CO"/>
        </w:rPr>
        <w:t>interviene</w:t>
      </w:r>
      <w:r w:rsidRPr="00BF1115">
        <w:rPr>
          <w:rFonts w:ascii="Times New Roman" w:eastAsia="Times New Roman" w:hAnsi="Times New Roman" w:cs="Times New Roman"/>
          <w:color w:val="000000"/>
          <w:lang w:eastAsia="es-CO"/>
        </w:rPr>
        <w:t xml:space="preserve"> para dar pleno empleo a los recursos humanos y asegurar que to</w:t>
      </w:r>
      <w:r>
        <w:rPr>
          <w:rFonts w:ascii="Times New Roman" w:eastAsia="Times New Roman" w:hAnsi="Times New Roman" w:cs="Times New Roman"/>
          <w:color w:val="000000"/>
          <w:lang w:eastAsia="es-CO"/>
        </w:rPr>
        <w:t xml:space="preserve">das las personas, en particular </w:t>
      </w:r>
      <w:r w:rsidRPr="00BF1115">
        <w:rPr>
          <w:rFonts w:ascii="Times New Roman" w:eastAsia="Times New Roman" w:hAnsi="Times New Roman" w:cs="Times New Roman"/>
          <w:color w:val="000000"/>
          <w:lang w:eastAsia="es-CO"/>
        </w:rPr>
        <w:t>las de menores ingresos, tengan acceso efectivo a los bienes y servicios básicos</w:t>
      </w:r>
      <w:r>
        <w:rPr>
          <w:rFonts w:ascii="Times New Roman" w:eastAsia="Times New Roman" w:hAnsi="Times New Roman" w:cs="Times New Roman"/>
          <w:color w:val="000000"/>
          <w:lang w:eastAsia="es-CO"/>
        </w:rPr>
        <w:t xml:space="preserve">, es decir, lo fija como un derecho y un deber a cargo del estado. </w:t>
      </w:r>
    </w:p>
    <w:p w14:paraId="7DF07837" w14:textId="0A51A73D" w:rsidR="00C01D30" w:rsidRDefault="00C01D30" w:rsidP="00BF1115">
      <w:pPr>
        <w:spacing w:line="276" w:lineRule="auto"/>
        <w:jc w:val="both"/>
        <w:rPr>
          <w:rFonts w:ascii="Times New Roman" w:eastAsia="Times New Roman" w:hAnsi="Times New Roman" w:cs="Times New Roman"/>
          <w:color w:val="000000"/>
          <w:lang w:eastAsia="es-CO"/>
        </w:rPr>
      </w:pPr>
    </w:p>
    <w:p w14:paraId="79899524" w14:textId="6BB91478" w:rsidR="00C01D30" w:rsidRPr="00BF1115" w:rsidRDefault="00C01D30" w:rsidP="00BF1115">
      <w:pPr>
        <w:spacing w:line="276" w:lineRule="auto"/>
        <w:jc w:val="both"/>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lastRenderedPageBreak/>
        <w:t xml:space="preserve">En este entendido, la Constitución Política de Colombia concibe el empleo como una circunstancia promotora de la estabilidad y que procura por ofrecer herramientas que promuevan una cultura libre de cualquier tipo de discriminación en el escenario laboral. </w:t>
      </w:r>
    </w:p>
    <w:p w14:paraId="5E2D0005" w14:textId="77777777" w:rsidR="00CD6B98" w:rsidRPr="00CD6B98" w:rsidRDefault="00CD6B98" w:rsidP="00CD6B98">
      <w:pPr>
        <w:spacing w:line="276" w:lineRule="auto"/>
        <w:jc w:val="both"/>
        <w:rPr>
          <w:rFonts w:ascii="Times New Roman" w:eastAsia="Times New Roman" w:hAnsi="Times New Roman" w:cs="Times New Roman"/>
          <w:color w:val="000000"/>
          <w:lang w:eastAsia="es-CO"/>
        </w:rPr>
      </w:pPr>
    </w:p>
    <w:p w14:paraId="0A6889CD" w14:textId="2D13D707" w:rsidR="00CB1ADD" w:rsidRPr="009D73DE" w:rsidRDefault="00CB1ADD" w:rsidP="00B01CDE">
      <w:pPr>
        <w:pStyle w:val="Prrafodelista"/>
        <w:numPr>
          <w:ilvl w:val="0"/>
          <w:numId w:val="1"/>
        </w:numPr>
        <w:spacing w:line="276" w:lineRule="auto"/>
        <w:jc w:val="both"/>
        <w:rPr>
          <w:rFonts w:ascii="Times New Roman" w:eastAsia="Times New Roman" w:hAnsi="Times New Roman" w:cs="Times New Roman"/>
          <w:lang w:eastAsia="es-CO"/>
        </w:rPr>
      </w:pPr>
      <w:r w:rsidRPr="009D73DE">
        <w:rPr>
          <w:rFonts w:ascii="Times New Roman" w:eastAsia="Times New Roman" w:hAnsi="Times New Roman" w:cs="Times New Roman"/>
          <w:b/>
          <w:bCs/>
          <w:color w:val="000000"/>
          <w:lang w:eastAsia="es-CO"/>
        </w:rPr>
        <w:t>ANÁLISIS DE LEGALIDAD</w:t>
      </w:r>
    </w:p>
    <w:p w14:paraId="5B09F973" w14:textId="77777777" w:rsidR="00C01D30" w:rsidRDefault="00C01D30" w:rsidP="00CB1ADD">
      <w:pPr>
        <w:spacing w:line="276" w:lineRule="auto"/>
        <w:jc w:val="both"/>
        <w:rPr>
          <w:rFonts w:ascii="Times New Roman" w:eastAsia="Times New Roman" w:hAnsi="Times New Roman" w:cs="Times New Roman"/>
          <w:lang w:eastAsia="es-CO"/>
        </w:rPr>
      </w:pPr>
      <w:r>
        <w:rPr>
          <w:rFonts w:ascii="Times New Roman" w:eastAsia="Times New Roman" w:hAnsi="Times New Roman" w:cs="Times New Roman"/>
          <w:lang w:eastAsia="es-CO"/>
        </w:rPr>
        <w:t xml:space="preserve">Como sustento de la normativa se debe entender que el marco normativo concibe que se trata de un problema esencialmente multifactorial, que en muchas ocasiones hace difícil evidenciar el fenómeno y clasificarlo en el tipo de discriminación que pudiera presentarse, el Diario Oficial No. 45.777 de diciembre 30 de 2004, ley 931 que resalta: </w:t>
      </w:r>
    </w:p>
    <w:p w14:paraId="0F041118" w14:textId="77777777" w:rsidR="00C01D30" w:rsidRDefault="00C01D30" w:rsidP="00CB1ADD">
      <w:pPr>
        <w:spacing w:line="276" w:lineRule="auto"/>
        <w:jc w:val="both"/>
        <w:rPr>
          <w:rFonts w:ascii="Times New Roman" w:eastAsia="Times New Roman" w:hAnsi="Times New Roman" w:cs="Times New Roman"/>
          <w:lang w:eastAsia="es-CO"/>
        </w:rPr>
      </w:pPr>
    </w:p>
    <w:p w14:paraId="677B3E0F" w14:textId="5CB99590" w:rsidR="00CB1ADD" w:rsidRDefault="00C01D30" w:rsidP="00CB1ADD">
      <w:pPr>
        <w:spacing w:line="276" w:lineRule="auto"/>
        <w:jc w:val="both"/>
        <w:rPr>
          <w:rFonts w:ascii="Times New Roman" w:eastAsia="Times New Roman" w:hAnsi="Times New Roman" w:cs="Times New Roman"/>
          <w:i/>
          <w:lang w:eastAsia="es-CO"/>
        </w:rPr>
      </w:pPr>
      <w:r>
        <w:rPr>
          <w:rFonts w:ascii="Times New Roman" w:eastAsia="Times New Roman" w:hAnsi="Times New Roman" w:cs="Times New Roman"/>
          <w:lang w:eastAsia="es-CO"/>
        </w:rPr>
        <w:t xml:space="preserve"> </w:t>
      </w:r>
      <w:r w:rsidRPr="00C01D30">
        <w:rPr>
          <w:rFonts w:ascii="Times New Roman" w:eastAsia="Times New Roman" w:hAnsi="Times New Roman" w:cs="Times New Roman"/>
          <w:i/>
          <w:lang w:eastAsia="es-CO"/>
        </w:rPr>
        <w:t>ARTÍCULO 1o. OBJETIVO. La presente ley tiene por objeto la protección especial por parte del Estado de los derechos que tienen los ciudadanos a ser tratados en condiciones de igualdad, sin que puedan ser discriminados en razón de su edad para acceder al trabajo. ARTÍCULO 2o. PROHIBICIÓN. Ninguna persona natural o jurídica, de derecho público o privado, podrá exigir a los aspirantes a ocupar un cargo o ejercer un trabajo, cumplir con un rango de edad determinado para ser tenido en cuenta en la decisión que defina la aprobación de su aspiración laboral. Los requisitos para acceder a un cargo que se encuentre vacante o a ejercer un trabajo deberán referirse a méritos o calidades de expe</w:t>
      </w:r>
      <w:r>
        <w:rPr>
          <w:rFonts w:ascii="Times New Roman" w:eastAsia="Times New Roman" w:hAnsi="Times New Roman" w:cs="Times New Roman"/>
          <w:i/>
          <w:lang w:eastAsia="es-CO"/>
        </w:rPr>
        <w:t>riencia, profesión u ocupación.</w:t>
      </w:r>
    </w:p>
    <w:p w14:paraId="7FFCAD1A" w14:textId="0C726E81" w:rsidR="00C01D30" w:rsidRDefault="00C01D30" w:rsidP="00CB1ADD">
      <w:pPr>
        <w:spacing w:line="276" w:lineRule="auto"/>
        <w:jc w:val="both"/>
        <w:rPr>
          <w:rFonts w:ascii="Times New Roman" w:eastAsia="Times New Roman" w:hAnsi="Times New Roman" w:cs="Times New Roman"/>
          <w:i/>
          <w:lang w:eastAsia="es-CO"/>
        </w:rPr>
      </w:pPr>
    </w:p>
    <w:p w14:paraId="2091241E" w14:textId="1FD3A69A" w:rsidR="003A01A2" w:rsidRPr="00C01D30" w:rsidRDefault="00C01D30" w:rsidP="00CB1ADD">
      <w:pPr>
        <w:spacing w:line="276" w:lineRule="auto"/>
        <w:jc w:val="both"/>
        <w:rPr>
          <w:rFonts w:ascii="Times New Roman" w:eastAsia="Times New Roman" w:hAnsi="Times New Roman" w:cs="Times New Roman"/>
          <w:lang w:eastAsia="es-CO"/>
        </w:rPr>
      </w:pPr>
      <w:r>
        <w:rPr>
          <w:rFonts w:ascii="Times New Roman" w:eastAsia="Times New Roman" w:hAnsi="Times New Roman" w:cs="Times New Roman"/>
          <w:lang w:eastAsia="es-CO"/>
        </w:rPr>
        <w:t>Este antecedente legislativo, requiere comprender que aun cuando los escenarios de discriminación se den en</w:t>
      </w:r>
      <w:r w:rsidR="003A01A2">
        <w:rPr>
          <w:rFonts w:ascii="Times New Roman" w:eastAsia="Times New Roman" w:hAnsi="Times New Roman" w:cs="Times New Roman"/>
          <w:lang w:eastAsia="es-CO"/>
        </w:rPr>
        <w:t xml:space="preserve"> el marco laboral, las personas tienen consecuencias sobre la decisión de discriminar un trabajador y en muchas ocasiones no es sólo una convocatoria o restricción, que si bien no debe considerarse como parte de la idea de retiro forzoso que pudiera tener otra connotación, si implica una mirada real sobre fenómeno de la discriminación por edad, el desempleo de una persona mayor implica unas consecuencias distintas que para cualquier otro grupo poblacional, éste no sólo implica en muchos casos salir del mercado laboral sino afectaciones de tipos personal y de salud mental. En consecuencia, la implicación de dejar de trabajar o condena a no cumplir con su último tramo para acceder a su pensión que de salir en los últimos 3 años podría implicarles una pérdida de la pensión. </w:t>
      </w:r>
    </w:p>
    <w:p w14:paraId="6FE1C36D" w14:textId="77777777" w:rsidR="00C01D30" w:rsidRDefault="00C01D30" w:rsidP="00CB1ADD">
      <w:pPr>
        <w:spacing w:line="276" w:lineRule="auto"/>
        <w:jc w:val="both"/>
        <w:rPr>
          <w:rFonts w:ascii="Times New Roman" w:eastAsia="Times New Roman" w:hAnsi="Times New Roman" w:cs="Times New Roman"/>
          <w:lang w:eastAsia="es-CO"/>
        </w:rPr>
      </w:pPr>
    </w:p>
    <w:p w14:paraId="2ED2C5F2" w14:textId="2DFEAF92" w:rsidR="008753B5" w:rsidRDefault="008753B5" w:rsidP="008753B5">
      <w:pPr>
        <w:spacing w:line="276" w:lineRule="auto"/>
        <w:jc w:val="both"/>
        <w:rPr>
          <w:rFonts w:ascii="Times New Roman" w:eastAsia="Times New Roman" w:hAnsi="Times New Roman" w:cs="Times New Roman"/>
          <w:lang w:eastAsia="es-CO"/>
        </w:rPr>
      </w:pPr>
      <w:r w:rsidRPr="008753B5">
        <w:rPr>
          <w:rFonts w:ascii="Times New Roman" w:eastAsia="Times New Roman" w:hAnsi="Times New Roman" w:cs="Times New Roman"/>
          <w:lang w:eastAsia="es-CO"/>
        </w:rPr>
        <w:t>Ley 1850 de 2017 que penaliza el maltra</w:t>
      </w:r>
      <w:r>
        <w:rPr>
          <w:rFonts w:ascii="Times New Roman" w:eastAsia="Times New Roman" w:hAnsi="Times New Roman" w:cs="Times New Roman"/>
          <w:lang w:eastAsia="es-CO"/>
        </w:rPr>
        <w:t xml:space="preserve">to intrafamiliar, negligencia y </w:t>
      </w:r>
      <w:r w:rsidRPr="008753B5">
        <w:rPr>
          <w:rFonts w:ascii="Times New Roman" w:eastAsia="Times New Roman" w:hAnsi="Times New Roman" w:cs="Times New Roman"/>
          <w:lang w:eastAsia="es-CO"/>
        </w:rPr>
        <w:t>abandono de las personas mayores</w:t>
      </w:r>
      <w:r w:rsidR="00990B70">
        <w:rPr>
          <w:rFonts w:ascii="Times New Roman" w:eastAsia="Times New Roman" w:hAnsi="Times New Roman" w:cs="Times New Roman"/>
          <w:lang w:eastAsia="es-CO"/>
        </w:rPr>
        <w:t>, pero además contempla algunas alt</w:t>
      </w:r>
      <w:r w:rsidR="008D6DE7">
        <w:rPr>
          <w:rFonts w:ascii="Times New Roman" w:eastAsia="Times New Roman" w:hAnsi="Times New Roman" w:cs="Times New Roman"/>
          <w:lang w:eastAsia="es-CO"/>
        </w:rPr>
        <w:t>ernativas poco utilizadas en la</w:t>
      </w:r>
      <w:r w:rsidR="00990B70">
        <w:rPr>
          <w:rFonts w:ascii="Times New Roman" w:eastAsia="Times New Roman" w:hAnsi="Times New Roman" w:cs="Times New Roman"/>
          <w:lang w:eastAsia="es-CO"/>
        </w:rPr>
        <w:t xml:space="preserve"> asimilación del desempleo de la población mayor, se resalta como solución la protección, pero además asume una alternativa de operación que se encuentra en el Artículo 12:</w:t>
      </w:r>
    </w:p>
    <w:p w14:paraId="341E4AA7" w14:textId="0922C1C3" w:rsidR="00990B70" w:rsidRDefault="00990B70" w:rsidP="008753B5">
      <w:pPr>
        <w:spacing w:line="276" w:lineRule="auto"/>
        <w:jc w:val="both"/>
        <w:rPr>
          <w:rFonts w:ascii="Times New Roman" w:eastAsia="Times New Roman" w:hAnsi="Times New Roman" w:cs="Times New Roman"/>
          <w:lang w:eastAsia="es-CO"/>
        </w:rPr>
      </w:pPr>
    </w:p>
    <w:p w14:paraId="490A4F1F" w14:textId="77777777" w:rsidR="00990B70" w:rsidRPr="00990B70" w:rsidRDefault="00990B70" w:rsidP="00990B70">
      <w:pPr>
        <w:spacing w:line="276" w:lineRule="auto"/>
        <w:jc w:val="both"/>
        <w:rPr>
          <w:rFonts w:ascii="Times New Roman" w:eastAsia="Times New Roman" w:hAnsi="Times New Roman" w:cs="Times New Roman"/>
          <w:i/>
          <w:lang w:eastAsia="es-CO"/>
        </w:rPr>
      </w:pPr>
      <w:r w:rsidRPr="00990B70">
        <w:rPr>
          <w:rFonts w:ascii="Times New Roman" w:eastAsia="Times New Roman" w:hAnsi="Times New Roman" w:cs="Times New Roman"/>
          <w:b/>
          <w:i/>
          <w:lang w:eastAsia="es-CO"/>
        </w:rPr>
        <w:t>PROGRAMA DE ASISTENCIA A PERSONAS DE LA TERCERA EDAD</w:t>
      </w:r>
      <w:r w:rsidRPr="00990B70">
        <w:rPr>
          <w:rFonts w:ascii="Times New Roman" w:eastAsia="Times New Roman" w:hAnsi="Times New Roman" w:cs="Times New Roman"/>
          <w:i/>
          <w:lang w:eastAsia="es-CO"/>
        </w:rPr>
        <w:t>. En los municipios, distritos y departamentos, de acuerdo con su tradición y cultura, se podrá financiar la creación, construcción, dotación y operación de Granjas para Adultos Mayores, para brindar en condiciones dignas, albergue, alimentación, recreación y todo el cuidado que los usuarios requieran. Para este propósito se podrán destinar recursos del gasto social presupuestado para la atención de personas vulnerables.</w:t>
      </w:r>
    </w:p>
    <w:p w14:paraId="2B8A272A" w14:textId="77777777" w:rsidR="00990B70" w:rsidRPr="00990B70" w:rsidRDefault="00990B70" w:rsidP="00990B70">
      <w:pPr>
        <w:spacing w:line="276" w:lineRule="auto"/>
        <w:jc w:val="both"/>
        <w:rPr>
          <w:rFonts w:ascii="Times New Roman" w:eastAsia="Times New Roman" w:hAnsi="Times New Roman" w:cs="Times New Roman"/>
          <w:i/>
          <w:lang w:eastAsia="es-CO"/>
        </w:rPr>
      </w:pPr>
    </w:p>
    <w:p w14:paraId="6E0D33FF" w14:textId="77777777" w:rsidR="00990B70" w:rsidRPr="00990B70" w:rsidRDefault="00990B70" w:rsidP="00990B70">
      <w:pPr>
        <w:spacing w:line="276" w:lineRule="auto"/>
        <w:jc w:val="both"/>
        <w:rPr>
          <w:rFonts w:ascii="Times New Roman" w:eastAsia="Times New Roman" w:hAnsi="Times New Roman" w:cs="Times New Roman"/>
          <w:i/>
          <w:lang w:eastAsia="es-CO"/>
        </w:rPr>
      </w:pPr>
      <w:r w:rsidRPr="008D6DE7">
        <w:rPr>
          <w:rFonts w:ascii="Times New Roman" w:eastAsia="Times New Roman" w:hAnsi="Times New Roman" w:cs="Times New Roman"/>
          <w:b/>
          <w:i/>
          <w:lang w:eastAsia="es-CO"/>
        </w:rPr>
        <w:lastRenderedPageBreak/>
        <w:t>PARÁGRAFO 1o</w:t>
      </w:r>
      <w:r w:rsidRPr="00990B70">
        <w:rPr>
          <w:rFonts w:ascii="Times New Roman" w:eastAsia="Times New Roman" w:hAnsi="Times New Roman" w:cs="Times New Roman"/>
          <w:i/>
          <w:lang w:eastAsia="es-CO"/>
        </w:rPr>
        <w:t>. Para una adecuada operación de las Granjas para Adultos Mayores, durante los seis meses siguientes a la entrada en vigencia de la presente ley, el Ministerio de Agricultura y Desarrollo Rural, Agencia Nacional de Tierras y el Consejo Superior de uso de Suelo, el Instituto del Servicio Nacional de Aprendizaje (Sena) y el Ministerio de Salud y Protección Social, generarán los lineamientos técnicos necesarios para la adecuada entrada en funcionamiento de las Granjas para Adultos Mayores.</w:t>
      </w:r>
    </w:p>
    <w:p w14:paraId="0B90B141" w14:textId="77777777" w:rsidR="00990B70" w:rsidRPr="00990B70" w:rsidRDefault="00990B70" w:rsidP="00990B70">
      <w:pPr>
        <w:spacing w:line="276" w:lineRule="auto"/>
        <w:jc w:val="both"/>
        <w:rPr>
          <w:rFonts w:ascii="Times New Roman" w:eastAsia="Times New Roman" w:hAnsi="Times New Roman" w:cs="Times New Roman"/>
          <w:i/>
          <w:lang w:eastAsia="es-CO"/>
        </w:rPr>
      </w:pPr>
    </w:p>
    <w:p w14:paraId="15700832" w14:textId="3ED7B7EC" w:rsidR="00990B70" w:rsidRDefault="00990B70" w:rsidP="00990B70">
      <w:pPr>
        <w:spacing w:line="276" w:lineRule="auto"/>
        <w:jc w:val="both"/>
        <w:rPr>
          <w:rFonts w:ascii="Times New Roman" w:eastAsia="Times New Roman" w:hAnsi="Times New Roman" w:cs="Times New Roman"/>
          <w:i/>
          <w:lang w:eastAsia="es-CO"/>
        </w:rPr>
      </w:pPr>
      <w:r w:rsidRPr="008D6DE7">
        <w:rPr>
          <w:rFonts w:ascii="Times New Roman" w:eastAsia="Times New Roman" w:hAnsi="Times New Roman" w:cs="Times New Roman"/>
          <w:b/>
          <w:i/>
          <w:lang w:eastAsia="es-CO"/>
        </w:rPr>
        <w:t>PARÁGRAFO</w:t>
      </w:r>
      <w:r w:rsidRPr="00990B70">
        <w:rPr>
          <w:rFonts w:ascii="Times New Roman" w:eastAsia="Times New Roman" w:hAnsi="Times New Roman" w:cs="Times New Roman"/>
          <w:i/>
          <w:lang w:eastAsia="es-CO"/>
        </w:rPr>
        <w:t xml:space="preserve"> </w:t>
      </w:r>
      <w:r w:rsidRPr="008D6DE7">
        <w:rPr>
          <w:rFonts w:ascii="Times New Roman" w:eastAsia="Times New Roman" w:hAnsi="Times New Roman" w:cs="Times New Roman"/>
          <w:b/>
          <w:i/>
          <w:lang w:eastAsia="es-CO"/>
        </w:rPr>
        <w:t>2o.</w:t>
      </w:r>
      <w:r w:rsidRPr="00990B70">
        <w:rPr>
          <w:rFonts w:ascii="Times New Roman" w:eastAsia="Times New Roman" w:hAnsi="Times New Roman" w:cs="Times New Roman"/>
          <w:i/>
          <w:lang w:eastAsia="es-CO"/>
        </w:rPr>
        <w:t xml:space="preserve"> Las unidades municipales de asistencia técnica agropecuaria podrán incorporar en sus planes de asistencia técnica y planes operativos, el acompañamiento y asistencia permanente a los proyectos desarrollados que en materia agrícola, pecuaria, silvícola y ambiental se desarrollen en las Granjas para Adultos Mayores.</w:t>
      </w:r>
    </w:p>
    <w:p w14:paraId="74B7B09F" w14:textId="45FFC670" w:rsidR="00990B70" w:rsidRDefault="00990B70" w:rsidP="00990B70">
      <w:pPr>
        <w:spacing w:line="276" w:lineRule="auto"/>
        <w:jc w:val="both"/>
        <w:rPr>
          <w:rFonts w:ascii="Times New Roman" w:eastAsia="Times New Roman" w:hAnsi="Times New Roman" w:cs="Times New Roman"/>
          <w:i/>
          <w:lang w:eastAsia="es-CO"/>
        </w:rPr>
      </w:pPr>
    </w:p>
    <w:p w14:paraId="006C8824" w14:textId="30AA56CF" w:rsidR="00990B70" w:rsidRPr="00990B70" w:rsidRDefault="00990B70" w:rsidP="00990B70">
      <w:pPr>
        <w:spacing w:line="276" w:lineRule="auto"/>
        <w:jc w:val="both"/>
        <w:rPr>
          <w:rFonts w:ascii="Times New Roman" w:eastAsia="Times New Roman" w:hAnsi="Times New Roman" w:cs="Times New Roman"/>
          <w:lang w:eastAsia="es-CO"/>
        </w:rPr>
      </w:pPr>
      <w:r>
        <w:rPr>
          <w:rFonts w:ascii="Times New Roman" w:eastAsia="Times New Roman" w:hAnsi="Times New Roman" w:cs="Times New Roman"/>
          <w:lang w:eastAsia="es-CO"/>
        </w:rPr>
        <w:t xml:space="preserve">Es claro que existen dos enfoques en el abordaje de las soluciones políticas al fenómeno el primero es el objeto del presente proyecto de ley que supone cuidar el empleo de las personas mayores, pero existe claramente otro centrado en promover alternativas donde encontramos ésta y otras opciones como el Sello del adulto mayor. </w:t>
      </w:r>
    </w:p>
    <w:p w14:paraId="16CC2F64" w14:textId="6B7B325C" w:rsidR="00033A0F" w:rsidRPr="00990B70" w:rsidRDefault="00033A0F" w:rsidP="00255C1C">
      <w:pPr>
        <w:spacing w:line="276" w:lineRule="auto"/>
        <w:jc w:val="both"/>
        <w:rPr>
          <w:rFonts w:ascii="Times New Roman" w:eastAsia="Times New Roman" w:hAnsi="Times New Roman" w:cs="Times New Roman"/>
          <w:i/>
          <w:lang w:eastAsia="es-MX"/>
        </w:rPr>
      </w:pPr>
    </w:p>
    <w:p w14:paraId="7047F6C5" w14:textId="0049BAD9" w:rsidR="008753B5" w:rsidRDefault="008753B5" w:rsidP="008753B5">
      <w:pPr>
        <w:spacing w:line="276"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A</w:t>
      </w:r>
      <w:r w:rsidRPr="008753B5">
        <w:rPr>
          <w:rFonts w:ascii="Times New Roman" w:eastAsia="Times New Roman" w:hAnsi="Times New Roman" w:cs="Times New Roman"/>
          <w:lang w:eastAsia="es-MX"/>
        </w:rPr>
        <w:t>rtículo 217 de l</w:t>
      </w:r>
      <w:r>
        <w:rPr>
          <w:rFonts w:ascii="Times New Roman" w:eastAsia="Times New Roman" w:hAnsi="Times New Roman" w:cs="Times New Roman"/>
          <w:lang w:eastAsia="es-MX"/>
        </w:rPr>
        <w:t xml:space="preserve">a Ley 1955 de 2019 que modifica </w:t>
      </w:r>
      <w:r w:rsidRPr="008753B5">
        <w:rPr>
          <w:rFonts w:ascii="Times New Roman" w:eastAsia="Times New Roman" w:hAnsi="Times New Roman" w:cs="Times New Roman"/>
          <w:lang w:eastAsia="es-MX"/>
        </w:rPr>
        <w:t>la Ley 687 de 2001 en relación a la Estampilla para el Bienestar del Adulto Mayor</w:t>
      </w:r>
      <w:r w:rsidR="00990B70">
        <w:rPr>
          <w:rFonts w:ascii="Times New Roman" w:eastAsia="Times New Roman" w:hAnsi="Times New Roman" w:cs="Times New Roman"/>
          <w:lang w:eastAsia="es-MX"/>
        </w:rPr>
        <w:t xml:space="preserve">, referente al uso de los recursos para la protección en los denominados Centros Vida y el 30% a la modalidad asistencia y cuidado en los Centros de Bienestar al Adulto Mayor. </w:t>
      </w:r>
    </w:p>
    <w:p w14:paraId="3A2376A5" w14:textId="7D8B614B" w:rsidR="008753B5" w:rsidRDefault="008753B5" w:rsidP="008753B5">
      <w:pPr>
        <w:spacing w:line="276" w:lineRule="auto"/>
        <w:jc w:val="both"/>
        <w:rPr>
          <w:rFonts w:ascii="Times New Roman" w:eastAsia="Times New Roman" w:hAnsi="Times New Roman" w:cs="Times New Roman"/>
          <w:lang w:eastAsia="es-MX"/>
        </w:rPr>
      </w:pPr>
    </w:p>
    <w:p w14:paraId="672073C7" w14:textId="0AB65E0C" w:rsidR="008753B5" w:rsidRDefault="008753B5" w:rsidP="008753B5">
      <w:pPr>
        <w:spacing w:line="276"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 xml:space="preserve">Ley </w:t>
      </w:r>
      <w:r w:rsidRPr="008753B5">
        <w:rPr>
          <w:rFonts w:ascii="Times New Roman" w:eastAsia="Times New Roman" w:hAnsi="Times New Roman" w:cs="Times New Roman"/>
          <w:lang w:eastAsia="es-MX"/>
        </w:rPr>
        <w:t>2040 de 2020 que impulsa el empleo de las</w:t>
      </w:r>
      <w:r w:rsidR="00990B70">
        <w:rPr>
          <w:rFonts w:ascii="Times New Roman" w:eastAsia="Times New Roman" w:hAnsi="Times New Roman" w:cs="Times New Roman"/>
          <w:lang w:eastAsia="es-MX"/>
        </w:rPr>
        <w:t xml:space="preserve"> personas mayores sin pensión, la normativa presenta la posibilidad de presentar una serie de condiciones centradas en el marco de la certificación de empleador mayores, </w:t>
      </w:r>
      <w:r w:rsidR="00F214DF">
        <w:rPr>
          <w:rFonts w:ascii="Times New Roman" w:eastAsia="Times New Roman" w:hAnsi="Times New Roman" w:cs="Times New Roman"/>
          <w:lang w:eastAsia="es-MX"/>
        </w:rPr>
        <w:t xml:space="preserve">la deducción del impuesto sobre la renta por contratación de los adultos mayores. Configuración del “Sello amigable “Adulto Mayor” </w:t>
      </w:r>
    </w:p>
    <w:p w14:paraId="3E2C5E75" w14:textId="77777777" w:rsidR="00F214DF" w:rsidRDefault="00F214DF" w:rsidP="008753B5">
      <w:pPr>
        <w:spacing w:line="276" w:lineRule="auto"/>
        <w:jc w:val="both"/>
        <w:rPr>
          <w:rFonts w:ascii="Times New Roman" w:eastAsia="Times New Roman" w:hAnsi="Times New Roman" w:cs="Times New Roman"/>
          <w:lang w:eastAsia="es-MX"/>
        </w:rPr>
      </w:pPr>
    </w:p>
    <w:p w14:paraId="77B2C5F6" w14:textId="629D3BF4" w:rsidR="00CA10E4" w:rsidRDefault="00CA10E4" w:rsidP="00F214DF">
      <w:pPr>
        <w:spacing w:line="276" w:lineRule="auto"/>
        <w:ind w:left="1416" w:hanging="1416"/>
        <w:jc w:val="both"/>
        <w:rPr>
          <w:rFonts w:ascii="Times New Roman" w:eastAsia="Times New Roman" w:hAnsi="Times New Roman" w:cs="Times New Roman"/>
          <w:lang w:eastAsia="es-MX"/>
        </w:rPr>
      </w:pPr>
      <w:r w:rsidRPr="00CA10E4">
        <w:rPr>
          <w:rFonts w:ascii="Times New Roman" w:eastAsia="Times New Roman" w:hAnsi="Times New Roman" w:cs="Times New Roman"/>
          <w:lang w:eastAsia="es-MX"/>
        </w:rPr>
        <w:t>Ley 2055 de 2021</w:t>
      </w:r>
      <w:r>
        <w:rPr>
          <w:rFonts w:ascii="Times New Roman" w:eastAsia="Times New Roman" w:hAnsi="Times New Roman" w:cs="Times New Roman"/>
          <w:lang w:eastAsia="es-MX"/>
        </w:rPr>
        <w:t xml:space="preserve"> </w:t>
      </w:r>
      <w:r w:rsidRPr="00CA10E4">
        <w:rPr>
          <w:rFonts w:ascii="Times New Roman" w:eastAsia="Times New Roman" w:hAnsi="Times New Roman" w:cs="Times New Roman"/>
          <w:lang w:eastAsia="es-MX"/>
        </w:rPr>
        <w:t>"Convención Interamericana sobre la Protección</w:t>
      </w:r>
      <w:r>
        <w:rPr>
          <w:rFonts w:ascii="Times New Roman" w:eastAsia="Times New Roman" w:hAnsi="Times New Roman" w:cs="Times New Roman"/>
          <w:lang w:eastAsia="es-MX"/>
        </w:rPr>
        <w:t xml:space="preserve"> de los Derechos Humanos de las </w:t>
      </w:r>
      <w:r w:rsidRPr="00CA10E4">
        <w:rPr>
          <w:rFonts w:ascii="Times New Roman" w:eastAsia="Times New Roman" w:hAnsi="Times New Roman" w:cs="Times New Roman"/>
          <w:lang w:eastAsia="es-MX"/>
        </w:rPr>
        <w:t>Personas Mayores"</w:t>
      </w:r>
      <w:r w:rsidR="00F214DF">
        <w:rPr>
          <w:rFonts w:ascii="Times New Roman" w:eastAsia="Times New Roman" w:hAnsi="Times New Roman" w:cs="Times New Roman"/>
          <w:lang w:eastAsia="es-MX"/>
        </w:rPr>
        <w:t xml:space="preserve"> especialmente la prohibición en Colombia de la discriminación por razones de edad. </w:t>
      </w:r>
    </w:p>
    <w:p w14:paraId="40D4F5E4" w14:textId="77777777" w:rsidR="00CA10E4" w:rsidRPr="00CA10E4" w:rsidRDefault="00CA10E4" w:rsidP="00CA10E4">
      <w:pPr>
        <w:spacing w:line="276" w:lineRule="auto"/>
        <w:jc w:val="both"/>
        <w:rPr>
          <w:rFonts w:ascii="Times New Roman" w:eastAsia="Times New Roman" w:hAnsi="Times New Roman" w:cs="Times New Roman"/>
          <w:lang w:eastAsia="es-MX"/>
        </w:rPr>
      </w:pPr>
    </w:p>
    <w:p w14:paraId="18976BA2" w14:textId="77777777" w:rsidR="00CA10E4" w:rsidRPr="008753B5" w:rsidRDefault="00CA10E4" w:rsidP="008753B5">
      <w:pPr>
        <w:spacing w:line="276" w:lineRule="auto"/>
        <w:jc w:val="both"/>
        <w:rPr>
          <w:rFonts w:ascii="Times New Roman" w:eastAsia="Times New Roman" w:hAnsi="Times New Roman" w:cs="Times New Roman"/>
          <w:lang w:eastAsia="es-MX"/>
        </w:rPr>
      </w:pPr>
    </w:p>
    <w:p w14:paraId="64571C84" w14:textId="0BAF42D2" w:rsidR="00185C0D" w:rsidRPr="00B0769B" w:rsidRDefault="00185C0D" w:rsidP="00255C1C">
      <w:pPr>
        <w:spacing w:line="276" w:lineRule="auto"/>
        <w:jc w:val="both"/>
        <w:rPr>
          <w:rFonts w:ascii="Times New Roman" w:eastAsia="Times New Roman" w:hAnsi="Times New Roman" w:cs="Times New Roman"/>
          <w:lang w:eastAsia="es-MX"/>
        </w:rPr>
      </w:pPr>
      <w:r w:rsidRPr="00B0769B">
        <w:rPr>
          <w:rFonts w:ascii="Times New Roman" w:eastAsia="Times New Roman" w:hAnsi="Times New Roman" w:cs="Times New Roman"/>
          <w:b/>
          <w:bCs/>
          <w:lang w:eastAsia="es-MX"/>
        </w:rPr>
        <w:t>V.</w:t>
      </w:r>
      <w:r w:rsidRPr="00B0769B">
        <w:rPr>
          <w:rFonts w:ascii="Times New Roman" w:eastAsia="Times New Roman" w:hAnsi="Times New Roman" w:cs="Times New Roman"/>
          <w:lang w:eastAsia="es-MX"/>
        </w:rPr>
        <w:t xml:space="preserve"> </w:t>
      </w:r>
      <w:r w:rsidRPr="00B0769B">
        <w:rPr>
          <w:rFonts w:ascii="Times New Roman" w:eastAsia="Times New Roman" w:hAnsi="Times New Roman" w:cs="Times New Roman"/>
          <w:b/>
          <w:bCs/>
          <w:lang w:eastAsia="es-MX"/>
        </w:rPr>
        <w:t>ANÁLISIS DE CONVENIENCIA</w:t>
      </w:r>
      <w:r w:rsidR="00C34095" w:rsidRPr="00B0769B">
        <w:rPr>
          <w:rFonts w:ascii="Times New Roman" w:eastAsia="Times New Roman" w:hAnsi="Times New Roman" w:cs="Times New Roman"/>
          <w:b/>
          <w:bCs/>
          <w:lang w:eastAsia="es-MX"/>
        </w:rPr>
        <w:t>.</w:t>
      </w:r>
      <w:r w:rsidRPr="00B0769B">
        <w:rPr>
          <w:rFonts w:ascii="Times New Roman" w:eastAsia="Times New Roman" w:hAnsi="Times New Roman" w:cs="Times New Roman"/>
          <w:lang w:eastAsia="es-MX"/>
        </w:rPr>
        <w:t xml:space="preserve"> </w:t>
      </w:r>
    </w:p>
    <w:p w14:paraId="79F289D9" w14:textId="74165583" w:rsidR="008A3604" w:rsidRDefault="008A3604" w:rsidP="00923457">
      <w:pPr>
        <w:spacing w:line="276" w:lineRule="auto"/>
        <w:jc w:val="both"/>
        <w:rPr>
          <w:rFonts w:ascii="Times New Roman" w:eastAsia="Times New Roman" w:hAnsi="Times New Roman" w:cs="Times New Roman"/>
          <w:lang w:eastAsia="es-MX"/>
        </w:rPr>
      </w:pPr>
    </w:p>
    <w:p w14:paraId="17DB8066" w14:textId="10F52001" w:rsidR="00F214DF" w:rsidRDefault="00F214DF" w:rsidP="00923457">
      <w:pPr>
        <w:spacing w:line="276"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El proyecto de ley centra su estudio en la protección del trabajador no de manera oficiosa sino como una medida que promueva un efectivo cuidado sobre el empleo de las personas mayores por la implicaciones que esto tiene en las personas mayores de 45 años y es reiterado como se evaden las responsabilidades por la no realización de un proceso de consulta real y advirtiendo las circunstancias de acompañamiento a una parte que no sólo es trabajador y parte débil, sino además sobre el que bien podrían ejercer más de una forma de discriminación, la encuesta SABE en Colombia presentó los siguientes análisis:</w:t>
      </w:r>
    </w:p>
    <w:p w14:paraId="1D793A10" w14:textId="1ABAB807" w:rsidR="00F214DF" w:rsidRDefault="00F214DF" w:rsidP="00923457">
      <w:pPr>
        <w:spacing w:line="276" w:lineRule="auto"/>
        <w:jc w:val="both"/>
        <w:rPr>
          <w:rFonts w:ascii="Times New Roman" w:eastAsia="Times New Roman" w:hAnsi="Times New Roman" w:cs="Times New Roman"/>
          <w:lang w:eastAsia="es-MX"/>
        </w:rPr>
      </w:pPr>
    </w:p>
    <w:p w14:paraId="54261198" w14:textId="27037F70" w:rsidR="00F214DF" w:rsidRPr="00F214DF" w:rsidRDefault="00F214DF" w:rsidP="00F214DF">
      <w:pPr>
        <w:pStyle w:val="Prrafodelista"/>
        <w:numPr>
          <w:ilvl w:val="0"/>
          <w:numId w:val="4"/>
        </w:numPr>
        <w:spacing w:line="276" w:lineRule="auto"/>
        <w:jc w:val="both"/>
        <w:rPr>
          <w:rFonts w:ascii="Times New Roman" w:eastAsia="Times New Roman" w:hAnsi="Times New Roman" w:cs="Times New Roman"/>
          <w:lang w:eastAsia="es-MX"/>
        </w:rPr>
      </w:pPr>
      <w:r w:rsidRPr="00F214DF">
        <w:rPr>
          <w:rFonts w:ascii="Times New Roman" w:eastAsia="Times New Roman" w:hAnsi="Times New Roman" w:cs="Times New Roman"/>
          <w:lang w:eastAsia="es-MX"/>
        </w:rPr>
        <w:lastRenderedPageBreak/>
        <w:t>Más del doble de los hombres en comparación con las mujeres sufraga de manera autónoma sus gastos. En particular, mientras un 40% a 50% de los hombres paga en su totalidad los gastos de la casa, comida, ropa, paseos y transporte, entre las mujeres 18% a 28% lo hace. Adicionalmente, mientras más de la tercera parte de los hombres sufraga en su totalidad los costos de visitas médicas y prótesis, solo una quinta parte de las mujeres asume dichos gastos. De forma similar, mientras una quinta parte de los hombres paga totalmente los costos de hospitalizaciones y una cuarta parte paga los medicamentos, entre 10% y 15% de las mujeres asumen dichos costos de salud.</w:t>
      </w:r>
    </w:p>
    <w:p w14:paraId="4C3CC108" w14:textId="77777777" w:rsidR="00F214DF" w:rsidRPr="00B0769B" w:rsidRDefault="00F214DF" w:rsidP="00923457">
      <w:pPr>
        <w:spacing w:line="276" w:lineRule="auto"/>
        <w:jc w:val="both"/>
        <w:rPr>
          <w:rFonts w:ascii="Times New Roman" w:eastAsia="Times New Roman" w:hAnsi="Times New Roman" w:cs="Times New Roman"/>
          <w:lang w:eastAsia="es-MX"/>
        </w:rPr>
      </w:pPr>
    </w:p>
    <w:p w14:paraId="518AE973" w14:textId="01BC2C6B" w:rsidR="00F214DF" w:rsidRPr="00F214DF" w:rsidRDefault="00F214DF" w:rsidP="00F214DF">
      <w:pPr>
        <w:pStyle w:val="Prrafodelista"/>
        <w:numPr>
          <w:ilvl w:val="0"/>
          <w:numId w:val="4"/>
        </w:numPr>
        <w:spacing w:line="276" w:lineRule="auto"/>
        <w:jc w:val="both"/>
        <w:rPr>
          <w:rFonts w:ascii="Times New Roman" w:eastAsia="Times New Roman" w:hAnsi="Times New Roman" w:cs="Times New Roman"/>
          <w:lang w:eastAsia="es-MX"/>
        </w:rPr>
      </w:pPr>
      <w:r w:rsidRPr="00F214DF">
        <w:rPr>
          <w:rFonts w:ascii="Times New Roman" w:eastAsia="Times New Roman" w:hAnsi="Times New Roman" w:cs="Times New Roman"/>
          <w:lang w:eastAsia="es-MX"/>
        </w:rPr>
        <w:t>Las personas adultas mayores reportaron haber trabajado un promedio de 35,9 años. Se observaron diferencias en este promedio según grupo etario y sexo. Los hombres y quienes tienen mayor edad reportaron mayor cantidad de años de trabajo. Específicamente, se observaron casi quince años de diferencia en el promedio de tiempo laborado entre quienes se encuentran entre 60 a 64 años (30.6%) y quienes tienen 80 o más años de edad (43.0%). De manera similar, los hombres (44,8%) tienen 15 años más de tiempo laborado que las mujeres (29,5%).</w:t>
      </w:r>
    </w:p>
    <w:p w14:paraId="592AB093" w14:textId="77777777" w:rsidR="00F214DF" w:rsidRPr="00F214DF" w:rsidRDefault="00F214DF" w:rsidP="00F214DF">
      <w:pPr>
        <w:spacing w:line="276" w:lineRule="auto"/>
        <w:jc w:val="both"/>
        <w:rPr>
          <w:rFonts w:ascii="Times New Roman" w:eastAsia="Times New Roman" w:hAnsi="Times New Roman" w:cs="Times New Roman"/>
          <w:lang w:eastAsia="es-MX"/>
        </w:rPr>
      </w:pPr>
    </w:p>
    <w:p w14:paraId="2912B6BD" w14:textId="5DF4D84E" w:rsidR="0051429A" w:rsidRDefault="00F214DF" w:rsidP="00F214DF">
      <w:pPr>
        <w:spacing w:line="276" w:lineRule="auto"/>
        <w:jc w:val="both"/>
        <w:rPr>
          <w:rFonts w:ascii="Times New Roman" w:eastAsia="Times New Roman" w:hAnsi="Times New Roman" w:cs="Times New Roman"/>
          <w:i/>
          <w:lang w:eastAsia="es-MX"/>
        </w:rPr>
      </w:pPr>
      <w:r>
        <w:rPr>
          <w:rFonts w:ascii="Times New Roman" w:eastAsia="Times New Roman" w:hAnsi="Times New Roman" w:cs="Times New Roman"/>
          <w:lang w:eastAsia="es-MX"/>
        </w:rPr>
        <w:t xml:space="preserve">La </w:t>
      </w:r>
      <w:r w:rsidR="0051429A">
        <w:rPr>
          <w:rFonts w:ascii="Times New Roman" w:eastAsia="Times New Roman" w:hAnsi="Times New Roman" w:cs="Times New Roman"/>
          <w:lang w:eastAsia="es-MX"/>
        </w:rPr>
        <w:t xml:space="preserve">encuesta identifica que en comparación con todos los demás grupos poblaciones de la sociedad colombiana, las personas adultas mayores están </w:t>
      </w:r>
      <w:r w:rsidR="0051429A" w:rsidRPr="0051429A">
        <w:rPr>
          <w:rFonts w:ascii="Times New Roman" w:eastAsia="Times New Roman" w:hAnsi="Times New Roman" w:cs="Times New Roman"/>
          <w:i/>
          <w:lang w:eastAsia="es-MX"/>
        </w:rPr>
        <w:t>“están en peores condiciones socioeconómicas. De acuerdo con los resultados de la Encuesta SABE Colombia en 2015, las personas mayores de los estratos 1, 2 y 3 fueron 28.4%, 39,6% y 30,0%, respectivamente. Esto es, las personas adultas mayores tienen una mayor proporción en estratos 1 y 2 y una menor proporción en estratos más altos, en comparación con el promedio nacional. La peor condición socioeconómica evidenciada se refleja en los demás indicadores de bienestar que evalúa la encuesta”.</w:t>
      </w:r>
    </w:p>
    <w:p w14:paraId="151B0314" w14:textId="3038C31B" w:rsidR="0051429A" w:rsidRDefault="0051429A" w:rsidP="00F214DF">
      <w:pPr>
        <w:spacing w:line="276"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 xml:space="preserve">Bajo este entendido las personas adulto mayores requieren un cuidado urgente, preferente y especial en lo referente a las condiciones laborales y en especial al cuidado no sólo en términos de actualización y habilidades tecnológicas sino especialmente a la manera en la que son desvinculados laboralmente de sus trabajos por esta circunstancia. </w:t>
      </w:r>
    </w:p>
    <w:p w14:paraId="0CA1AAD1" w14:textId="3122DCC2" w:rsidR="00130407" w:rsidRDefault="00130407" w:rsidP="00F214DF">
      <w:pPr>
        <w:spacing w:line="276" w:lineRule="auto"/>
        <w:jc w:val="both"/>
        <w:rPr>
          <w:rFonts w:ascii="Times New Roman" w:eastAsia="Times New Roman" w:hAnsi="Times New Roman" w:cs="Times New Roman"/>
          <w:lang w:eastAsia="es-MX"/>
        </w:rPr>
      </w:pPr>
    </w:p>
    <w:p w14:paraId="217BC73C" w14:textId="1CB3F0A2" w:rsidR="00130407" w:rsidRDefault="00130407" w:rsidP="00F214DF">
      <w:pPr>
        <w:spacing w:line="276"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 xml:space="preserve">Los adultos mayores presentan una participación en la economía, representada principalmente en su aporte en la reducción de pobreza de los hogares, mediante labores en ocasiones no remuneradas si se ve desde el enfoque de empleados y mucho más desde el enfoque del Sistema Nacional del Cuidado, </w:t>
      </w:r>
      <w:r w:rsidR="00F82F34">
        <w:rPr>
          <w:rFonts w:ascii="Times New Roman" w:eastAsia="Times New Roman" w:hAnsi="Times New Roman" w:cs="Times New Roman"/>
          <w:lang w:eastAsia="es-MX"/>
        </w:rPr>
        <w:t xml:space="preserve">según la Encuesta Continua de Hogares 29.9% de las personas entre los 60 y 79 aun laboran, es </w:t>
      </w:r>
      <w:r w:rsidR="009365DE">
        <w:rPr>
          <w:rFonts w:ascii="Times New Roman" w:eastAsia="Times New Roman" w:hAnsi="Times New Roman" w:cs="Times New Roman"/>
          <w:lang w:eastAsia="es-MX"/>
        </w:rPr>
        <w:t>cierto,</w:t>
      </w:r>
      <w:r w:rsidR="00F82F34">
        <w:rPr>
          <w:rFonts w:ascii="Times New Roman" w:eastAsia="Times New Roman" w:hAnsi="Times New Roman" w:cs="Times New Roman"/>
          <w:lang w:eastAsia="es-MX"/>
        </w:rPr>
        <w:t xml:space="preserve"> sin embargo, que esta participación disminuye con el incremento de la edad a 5.8%.</w:t>
      </w:r>
    </w:p>
    <w:p w14:paraId="6864F063" w14:textId="0366F4CA" w:rsidR="0051429A" w:rsidRDefault="0051429A" w:rsidP="00F214DF">
      <w:pPr>
        <w:spacing w:line="276" w:lineRule="auto"/>
        <w:jc w:val="both"/>
        <w:rPr>
          <w:rFonts w:ascii="Times New Roman" w:eastAsia="Times New Roman" w:hAnsi="Times New Roman" w:cs="Times New Roman"/>
          <w:lang w:eastAsia="es-MX"/>
        </w:rPr>
      </w:pPr>
    </w:p>
    <w:p w14:paraId="1FC98F4C" w14:textId="27FD7CE5" w:rsidR="0051429A" w:rsidRPr="0051429A" w:rsidRDefault="0051429A" w:rsidP="00F214DF">
      <w:pPr>
        <w:spacing w:line="276"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 xml:space="preserve">Según cifras del (DANE) en 2021, los adultos mayores fueron el grupo mayormente afectado por los efectos de la pandemia en lo referente a el aumento del desempleo </w:t>
      </w:r>
      <w:r w:rsidR="002D7AD6">
        <w:rPr>
          <w:rFonts w:ascii="Times New Roman" w:eastAsia="Times New Roman" w:hAnsi="Times New Roman" w:cs="Times New Roman"/>
          <w:lang w:eastAsia="es-MX"/>
        </w:rPr>
        <w:t xml:space="preserve">que se ubicó en un 20% para este grupo poblacional, proteger el empleo es una condición de garantía para las personas adulto mayores que ven con dificultad que su estabilidad laboral se mantenga pues la edad empieza a implicarles una condición de retiro que se promueve muchas veces por sus compañeros de trabajo, una asignación de funciones menores o inclusive un despido que indirectamente esconde la circunstancia de la edad. </w:t>
      </w:r>
    </w:p>
    <w:p w14:paraId="4F71B791" w14:textId="77777777" w:rsidR="00185C0D" w:rsidRPr="004E7FCD" w:rsidRDefault="00185C0D" w:rsidP="00255C1C">
      <w:pPr>
        <w:spacing w:line="276" w:lineRule="auto"/>
        <w:jc w:val="both"/>
        <w:rPr>
          <w:rFonts w:ascii="Times New Roman" w:eastAsia="Times New Roman" w:hAnsi="Times New Roman" w:cs="Times New Roman"/>
          <w:lang w:eastAsia="es-MX"/>
        </w:rPr>
      </w:pPr>
    </w:p>
    <w:p w14:paraId="04296E14" w14:textId="66E2742F" w:rsidR="003A01A2" w:rsidRDefault="00185C0D" w:rsidP="00255C1C">
      <w:pPr>
        <w:spacing w:line="276" w:lineRule="auto"/>
        <w:jc w:val="both"/>
      </w:pPr>
      <w:r w:rsidRPr="004E7FCD">
        <w:rPr>
          <w:rFonts w:ascii="Times New Roman" w:eastAsia="Times New Roman" w:hAnsi="Times New Roman" w:cs="Times New Roman"/>
          <w:b/>
          <w:bCs/>
          <w:lang w:eastAsia="es-MX"/>
        </w:rPr>
        <w:t>VI</w:t>
      </w:r>
      <w:r w:rsidRPr="004E7FCD">
        <w:rPr>
          <w:rFonts w:ascii="Times New Roman" w:eastAsia="Times New Roman" w:hAnsi="Times New Roman" w:cs="Times New Roman"/>
          <w:b/>
          <w:bCs/>
          <w:color w:val="000000"/>
          <w:lang w:eastAsia="es-CO"/>
        </w:rPr>
        <w:t xml:space="preserve">. </w:t>
      </w:r>
      <w:r w:rsidR="00255C1C" w:rsidRPr="004E7FCD">
        <w:rPr>
          <w:rFonts w:ascii="Times New Roman" w:eastAsia="Times New Roman" w:hAnsi="Times New Roman" w:cs="Times New Roman"/>
          <w:b/>
          <w:bCs/>
          <w:color w:val="000000"/>
          <w:lang w:eastAsia="es-CO"/>
        </w:rPr>
        <w:t>IMPACTO ECONÓMICO, FISCAL Y ECOLÓGICO.</w:t>
      </w:r>
      <w:r w:rsidR="00255C1C" w:rsidRPr="004E7FCD">
        <w:rPr>
          <w:rFonts w:ascii="Times New Roman" w:eastAsia="Times New Roman" w:hAnsi="Times New Roman" w:cs="Times New Roman"/>
          <w:lang w:eastAsia="es-CO"/>
        </w:rPr>
        <w:t xml:space="preserve"> El presente proyecto de </w:t>
      </w:r>
      <w:r w:rsidR="00BA5748" w:rsidRPr="004E7FCD">
        <w:rPr>
          <w:rFonts w:ascii="Times New Roman" w:eastAsia="Times New Roman" w:hAnsi="Times New Roman" w:cs="Times New Roman"/>
          <w:lang w:eastAsia="es-CO"/>
        </w:rPr>
        <w:t xml:space="preserve">Acto Legislativo </w:t>
      </w:r>
      <w:r w:rsidR="00255C1C" w:rsidRPr="004E7FCD">
        <w:rPr>
          <w:rFonts w:ascii="Times New Roman" w:eastAsia="Times New Roman" w:hAnsi="Times New Roman" w:cs="Times New Roman"/>
          <w:lang w:eastAsia="es-CO"/>
        </w:rPr>
        <w:t>no genera gastos económicos, fiscales y ecológicos a la Nación.</w:t>
      </w:r>
      <w:r w:rsidR="00B22D5D" w:rsidRPr="00B22D5D">
        <w:t xml:space="preserve"> </w:t>
      </w:r>
    </w:p>
    <w:p w14:paraId="189016DA" w14:textId="7D02C129" w:rsidR="003A01A2" w:rsidRDefault="003A01A2" w:rsidP="00255C1C">
      <w:pPr>
        <w:spacing w:line="276" w:lineRule="auto"/>
        <w:jc w:val="both"/>
      </w:pPr>
    </w:p>
    <w:p w14:paraId="4BFE1EDF" w14:textId="01EE13A9" w:rsidR="009365DE" w:rsidRDefault="009365DE" w:rsidP="009365DE">
      <w:pPr>
        <w:pStyle w:val="Bibliografa"/>
        <w:ind w:left="720" w:hanging="720"/>
        <w:rPr>
          <w:noProof/>
        </w:rPr>
      </w:pPr>
      <w:r>
        <w:fldChar w:fldCharType="begin"/>
      </w:r>
      <w:r>
        <w:instrText xml:space="preserve"> BIBLIOGRAPHY  \l 9226 </w:instrText>
      </w:r>
      <w:r>
        <w:fldChar w:fldCharType="separate"/>
      </w:r>
    </w:p>
    <w:p w14:paraId="2574DC7D" w14:textId="666FC1E8" w:rsidR="009365DE" w:rsidRPr="009365DE" w:rsidRDefault="009365DE" w:rsidP="009365DE">
      <w:pPr>
        <w:rPr>
          <w:b/>
        </w:rPr>
      </w:pPr>
    </w:p>
    <w:p w14:paraId="686EDBA3" w14:textId="43503AB3" w:rsidR="009365DE" w:rsidRPr="009365DE" w:rsidRDefault="009365DE" w:rsidP="009365DE">
      <w:pPr>
        <w:rPr>
          <w:rFonts w:ascii="Times New Roman" w:hAnsi="Times New Roman" w:cs="Times New Roman"/>
          <w:b/>
        </w:rPr>
      </w:pPr>
      <w:r w:rsidRPr="009365DE">
        <w:rPr>
          <w:rFonts w:ascii="Times New Roman" w:hAnsi="Times New Roman" w:cs="Times New Roman"/>
          <w:b/>
        </w:rPr>
        <w:t>VII. BIBLIOGRAFÍA</w:t>
      </w:r>
    </w:p>
    <w:p w14:paraId="74BBDF3B" w14:textId="77777777" w:rsidR="009365DE" w:rsidRPr="009365DE" w:rsidRDefault="009365DE" w:rsidP="009365DE"/>
    <w:p w14:paraId="6EF33869" w14:textId="77777777" w:rsidR="009365DE" w:rsidRDefault="009365DE" w:rsidP="009365DE">
      <w:pPr>
        <w:pStyle w:val="Bibliografa"/>
        <w:ind w:left="720" w:hanging="720"/>
        <w:rPr>
          <w:noProof/>
        </w:rPr>
      </w:pPr>
      <w:r>
        <w:rPr>
          <w:noProof/>
        </w:rPr>
        <w:t xml:space="preserve">ASALE, R. (2020). </w:t>
      </w:r>
      <w:r>
        <w:rPr>
          <w:i/>
          <w:iCs/>
          <w:noProof/>
        </w:rPr>
        <w:t>Diccionario de la lengua española.</w:t>
      </w:r>
      <w:r>
        <w:rPr>
          <w:noProof/>
        </w:rPr>
        <w:t xml:space="preserve"> españa.</w:t>
      </w:r>
    </w:p>
    <w:p w14:paraId="03C80777" w14:textId="77777777" w:rsidR="009365DE" w:rsidRDefault="009365DE" w:rsidP="009365DE">
      <w:pPr>
        <w:pStyle w:val="Bibliografa"/>
        <w:ind w:left="720" w:hanging="720"/>
        <w:rPr>
          <w:noProof/>
        </w:rPr>
      </w:pPr>
      <w:r>
        <w:rPr>
          <w:noProof/>
        </w:rPr>
        <w:t xml:space="preserve">Carmichael, F., &amp; Woods, R. (2000). Ethic Penalties in Unemployment and occupation Attainment: Evidence for Britain. </w:t>
      </w:r>
      <w:r>
        <w:rPr>
          <w:i/>
          <w:iCs/>
          <w:noProof/>
        </w:rPr>
        <w:t xml:space="preserve">Revistas Internacional de Economía Aplicada </w:t>
      </w:r>
      <w:r>
        <w:rPr>
          <w:noProof/>
        </w:rPr>
        <w:t>, 71-98.</w:t>
      </w:r>
    </w:p>
    <w:p w14:paraId="2BD30253" w14:textId="77777777" w:rsidR="009365DE" w:rsidRDefault="009365DE" w:rsidP="009365DE">
      <w:pPr>
        <w:pStyle w:val="Bibliografa"/>
        <w:ind w:left="720" w:hanging="720"/>
        <w:rPr>
          <w:noProof/>
        </w:rPr>
      </w:pPr>
      <w:r>
        <w:rPr>
          <w:noProof/>
        </w:rPr>
        <w:t xml:space="preserve">Corbin, J. A. (11 de febrero de 2017). </w:t>
      </w:r>
      <w:r>
        <w:rPr>
          <w:i/>
          <w:iCs/>
          <w:noProof/>
        </w:rPr>
        <w:t>Psicología y mente</w:t>
      </w:r>
      <w:r>
        <w:rPr>
          <w:noProof/>
        </w:rPr>
        <w:t>. Obtenido de Psicología y mente : https://psicologiaymente.com/social/tipos-de-discriminacion</w:t>
      </w:r>
    </w:p>
    <w:p w14:paraId="590CF66E" w14:textId="77777777" w:rsidR="009365DE" w:rsidRDefault="009365DE" w:rsidP="009365DE">
      <w:pPr>
        <w:pStyle w:val="Bibliografa"/>
        <w:ind w:left="720" w:hanging="720"/>
        <w:rPr>
          <w:noProof/>
        </w:rPr>
      </w:pPr>
      <w:r>
        <w:rPr>
          <w:noProof/>
        </w:rPr>
        <w:t xml:space="preserve">Debray, R. (1995). </w:t>
      </w:r>
      <w:r>
        <w:rPr>
          <w:i/>
          <w:iCs/>
          <w:noProof/>
        </w:rPr>
        <w:t>El Estado Seductor.</w:t>
      </w:r>
      <w:r>
        <w:rPr>
          <w:noProof/>
        </w:rPr>
        <w:t xml:space="preserve"> Buenos Aires: Manantial.</w:t>
      </w:r>
    </w:p>
    <w:p w14:paraId="6156B05A" w14:textId="77777777" w:rsidR="009365DE" w:rsidRDefault="009365DE" w:rsidP="009365DE">
      <w:pPr>
        <w:pStyle w:val="Bibliografa"/>
        <w:ind w:left="720" w:hanging="720"/>
        <w:rPr>
          <w:noProof/>
        </w:rPr>
      </w:pPr>
      <w:r>
        <w:rPr>
          <w:noProof/>
        </w:rPr>
        <w:t xml:space="preserve">Díaz, L. B. (2015). Significado del deporte en la dimensión social de la salud. </w:t>
      </w:r>
      <w:r>
        <w:rPr>
          <w:i/>
          <w:iCs/>
          <w:noProof/>
        </w:rPr>
        <w:t>Salus</w:t>
      </w:r>
      <w:r>
        <w:rPr>
          <w:noProof/>
        </w:rPr>
        <w:t>, 33.</w:t>
      </w:r>
    </w:p>
    <w:p w14:paraId="55B85718" w14:textId="77777777" w:rsidR="009365DE" w:rsidRDefault="009365DE" w:rsidP="009365DE">
      <w:pPr>
        <w:pStyle w:val="Bibliografa"/>
        <w:ind w:left="720" w:hanging="720"/>
        <w:rPr>
          <w:noProof/>
        </w:rPr>
      </w:pPr>
      <w:r>
        <w:rPr>
          <w:noProof/>
        </w:rPr>
        <w:t xml:space="preserve">Gafo, J. (1995). </w:t>
      </w:r>
      <w:r>
        <w:rPr>
          <w:i/>
          <w:iCs/>
          <w:noProof/>
        </w:rPr>
        <w:t>La Iglesia Católica y la Tradición cristiana ante la ancianidad.</w:t>
      </w:r>
      <w:r>
        <w:rPr>
          <w:noProof/>
        </w:rPr>
        <w:t xml:space="preserve"> Madrid: Ética y ancianidad.</w:t>
      </w:r>
    </w:p>
    <w:p w14:paraId="1BF20ADD" w14:textId="77777777" w:rsidR="009365DE" w:rsidRDefault="009365DE" w:rsidP="009365DE">
      <w:pPr>
        <w:pStyle w:val="Bibliografa"/>
        <w:ind w:left="720" w:hanging="720"/>
        <w:rPr>
          <w:noProof/>
        </w:rPr>
      </w:pPr>
      <w:r>
        <w:rPr>
          <w:noProof/>
        </w:rPr>
        <w:t xml:space="preserve">Krings, F. S. (2011). Stereotypical inferences as mediators of age discrimination: The role of competence and warmth. </w:t>
      </w:r>
      <w:r>
        <w:rPr>
          <w:i/>
          <w:iCs/>
          <w:noProof/>
        </w:rPr>
        <w:t>British Journal of Management</w:t>
      </w:r>
      <w:r>
        <w:rPr>
          <w:noProof/>
        </w:rPr>
        <w:t>, 187-201.</w:t>
      </w:r>
    </w:p>
    <w:p w14:paraId="2F977D47" w14:textId="77777777" w:rsidR="009365DE" w:rsidRDefault="009365DE" w:rsidP="009365DE">
      <w:pPr>
        <w:pStyle w:val="Bibliografa"/>
        <w:ind w:left="720" w:hanging="720"/>
        <w:rPr>
          <w:noProof/>
        </w:rPr>
      </w:pPr>
      <w:r>
        <w:rPr>
          <w:noProof/>
        </w:rPr>
        <w:t xml:space="preserve">MARTIN, N. B. (2022). Las personas mayores en el contexto de la sociedad paliativa. Algunas reflexionas desde la filosofía de BYUNG. CHUL HAN. </w:t>
      </w:r>
      <w:r>
        <w:rPr>
          <w:i/>
          <w:iCs/>
          <w:noProof/>
        </w:rPr>
        <w:t>Revista Internacional CONSINTER de Direito - Publicação Oficial do Conselho Internacional de Estudos Contemporâneos em Pós-Graduação</w:t>
      </w:r>
      <w:r>
        <w:rPr>
          <w:noProof/>
        </w:rPr>
        <w:t>, 153 - 182.</w:t>
      </w:r>
    </w:p>
    <w:p w14:paraId="61ADE116" w14:textId="77777777" w:rsidR="009365DE" w:rsidRDefault="009365DE" w:rsidP="009365DE">
      <w:pPr>
        <w:pStyle w:val="Bibliografa"/>
        <w:ind w:left="720" w:hanging="720"/>
        <w:rPr>
          <w:noProof/>
        </w:rPr>
      </w:pPr>
      <w:r>
        <w:rPr>
          <w:noProof/>
        </w:rPr>
        <w:t xml:space="preserve">Martínez-Restrepo, S., Enríquez, E., &amp; Pertuz, M. C.-M. (2015). El mercado laboral y las personas mayores. </w:t>
      </w:r>
      <w:r>
        <w:rPr>
          <w:i/>
          <w:iCs/>
          <w:noProof/>
        </w:rPr>
        <w:t xml:space="preserve">Editorial Fundación Saldarriaga Concha. </w:t>
      </w:r>
      <w:r>
        <w:rPr>
          <w:noProof/>
        </w:rPr>
        <w:t>, 25-30.</w:t>
      </w:r>
    </w:p>
    <w:p w14:paraId="66A0F017" w14:textId="77777777" w:rsidR="009365DE" w:rsidRDefault="009365DE" w:rsidP="009365DE">
      <w:pPr>
        <w:pStyle w:val="Bibliografa"/>
        <w:ind w:left="720" w:hanging="720"/>
        <w:rPr>
          <w:noProof/>
        </w:rPr>
      </w:pPr>
      <w:r>
        <w:rPr>
          <w:noProof/>
        </w:rPr>
        <w:t xml:space="preserve">McDaniel, M. P. (2012). Job performance and the aging worker. </w:t>
      </w:r>
      <w:r>
        <w:rPr>
          <w:i/>
          <w:iCs/>
          <w:noProof/>
        </w:rPr>
        <w:t>The Oxford Handbook of Work and Aging</w:t>
      </w:r>
      <w:r>
        <w:rPr>
          <w:noProof/>
        </w:rPr>
        <w:t>, 280-297.</w:t>
      </w:r>
    </w:p>
    <w:p w14:paraId="4727A029" w14:textId="77777777" w:rsidR="009365DE" w:rsidRDefault="009365DE" w:rsidP="009365DE">
      <w:pPr>
        <w:pStyle w:val="Bibliografa"/>
        <w:ind w:left="720" w:hanging="720"/>
        <w:rPr>
          <w:noProof/>
        </w:rPr>
      </w:pPr>
      <w:r>
        <w:rPr>
          <w:noProof/>
        </w:rPr>
        <w:t xml:space="preserve">Posthuma, R. &amp;. (2009). Age stereotypes in the workplace: Common stereotypes, moderators, and future research directions. </w:t>
      </w:r>
      <w:r>
        <w:rPr>
          <w:i/>
          <w:iCs/>
          <w:noProof/>
        </w:rPr>
        <w:t>Journal of Management</w:t>
      </w:r>
      <w:r>
        <w:rPr>
          <w:noProof/>
        </w:rPr>
        <w:t>, 158-188.</w:t>
      </w:r>
    </w:p>
    <w:p w14:paraId="56381DC2" w14:textId="77777777" w:rsidR="009365DE" w:rsidRDefault="009365DE" w:rsidP="009365DE">
      <w:pPr>
        <w:pStyle w:val="Bibliografa"/>
        <w:ind w:left="720" w:hanging="720"/>
        <w:rPr>
          <w:noProof/>
        </w:rPr>
      </w:pPr>
      <w:r>
        <w:rPr>
          <w:noProof/>
        </w:rPr>
        <w:t xml:space="preserve">Reina Valera Ex 17:5. (2020). </w:t>
      </w:r>
      <w:r>
        <w:rPr>
          <w:i/>
          <w:iCs/>
          <w:noProof/>
        </w:rPr>
        <w:t>(Exodo 17: 5).</w:t>
      </w:r>
      <w:r>
        <w:rPr>
          <w:noProof/>
        </w:rPr>
        <w:t xml:space="preserve"> Bogotá: Reina Valera.</w:t>
      </w:r>
    </w:p>
    <w:p w14:paraId="41DA85A6" w14:textId="77777777" w:rsidR="009365DE" w:rsidRDefault="009365DE" w:rsidP="009365DE">
      <w:pPr>
        <w:pStyle w:val="Bibliografa"/>
        <w:ind w:left="720" w:hanging="720"/>
        <w:rPr>
          <w:noProof/>
        </w:rPr>
      </w:pPr>
      <w:r>
        <w:rPr>
          <w:noProof/>
        </w:rPr>
        <w:t xml:space="preserve">TREJO MATURANA, C. (2001). </w:t>
      </w:r>
      <w:r>
        <w:rPr>
          <w:i/>
          <w:iCs/>
          <w:noProof/>
        </w:rPr>
        <w:t>El viejo en la historia .</w:t>
      </w:r>
      <w:r>
        <w:rPr>
          <w:noProof/>
        </w:rPr>
        <w:t xml:space="preserve"> Chile: Acta Bioethica.</w:t>
      </w:r>
    </w:p>
    <w:p w14:paraId="774619E7" w14:textId="77777777" w:rsidR="009365DE" w:rsidRDefault="009365DE" w:rsidP="009365DE">
      <w:pPr>
        <w:pStyle w:val="Bibliografa"/>
        <w:ind w:left="720" w:hanging="720"/>
        <w:rPr>
          <w:noProof/>
        </w:rPr>
      </w:pPr>
      <w:r>
        <w:rPr>
          <w:noProof/>
        </w:rPr>
        <w:t xml:space="preserve">William Ramírez, S. V. (2004). EL IMPACTO DE LA ACTIVIDAD FÍSICA Y EL DEPORTESOBRE LA SALUD, LA COGNICIÓN, LA SOCIALIZACIÓNY EL RENDIMIENTO ACADÉMICO: UNA REVISIÓN TEÓRICA. </w:t>
      </w:r>
      <w:r>
        <w:rPr>
          <w:i/>
          <w:iCs/>
          <w:noProof/>
        </w:rPr>
        <w:t>Estudios Sociale</w:t>
      </w:r>
      <w:r>
        <w:rPr>
          <w:noProof/>
        </w:rPr>
        <w:t>, 75.</w:t>
      </w:r>
    </w:p>
    <w:p w14:paraId="6DB93728" w14:textId="4B093896" w:rsidR="009365DE" w:rsidRDefault="009365DE" w:rsidP="009365DE">
      <w:pPr>
        <w:spacing w:line="276" w:lineRule="auto"/>
        <w:jc w:val="both"/>
      </w:pPr>
      <w:r>
        <w:fldChar w:fldCharType="end"/>
      </w:r>
    </w:p>
    <w:p w14:paraId="62F725EC" w14:textId="1DE1F2BB" w:rsidR="003A01A2" w:rsidRDefault="003A01A2" w:rsidP="00255C1C">
      <w:pPr>
        <w:spacing w:line="276" w:lineRule="auto"/>
        <w:jc w:val="both"/>
        <w:rPr>
          <w:rFonts w:ascii="Times New Roman" w:hAnsi="Times New Roman" w:cs="Times New Roman"/>
          <w:b/>
        </w:rPr>
      </w:pPr>
    </w:p>
    <w:p w14:paraId="4D3F3E43" w14:textId="1EA233E1" w:rsidR="003A01A2" w:rsidRDefault="003A01A2" w:rsidP="00255C1C">
      <w:pPr>
        <w:spacing w:line="276" w:lineRule="auto"/>
        <w:jc w:val="both"/>
        <w:rPr>
          <w:rFonts w:ascii="Times New Roman" w:hAnsi="Times New Roman" w:cs="Times New Roman"/>
          <w:b/>
        </w:rPr>
      </w:pPr>
      <w:r w:rsidRPr="003A01A2">
        <w:rPr>
          <w:rFonts w:ascii="Times New Roman" w:hAnsi="Times New Roman" w:cs="Times New Roman"/>
          <w:b/>
        </w:rPr>
        <w:t xml:space="preserve"> </w:t>
      </w:r>
    </w:p>
    <w:p w14:paraId="4FAD0F49" w14:textId="115ADB99" w:rsidR="008D6DE7" w:rsidRDefault="008D6DE7" w:rsidP="00255C1C">
      <w:pPr>
        <w:spacing w:line="276" w:lineRule="auto"/>
        <w:jc w:val="both"/>
        <w:rPr>
          <w:rFonts w:ascii="Times New Roman" w:hAnsi="Times New Roman" w:cs="Times New Roman"/>
          <w:b/>
        </w:rPr>
      </w:pPr>
    </w:p>
    <w:p w14:paraId="411E15E3" w14:textId="6E10B0C8" w:rsidR="003A01A2" w:rsidRPr="00303F67" w:rsidRDefault="003A01A2" w:rsidP="00255C1C">
      <w:pPr>
        <w:spacing w:line="276" w:lineRule="auto"/>
        <w:jc w:val="both"/>
        <w:rPr>
          <w:rFonts w:ascii="Times New Roman" w:eastAsia="Times New Roman" w:hAnsi="Times New Roman" w:cs="Times New Roman"/>
          <w:lang w:eastAsia="es-CO"/>
        </w:rPr>
      </w:pPr>
    </w:p>
    <w:p w14:paraId="444B0E20" w14:textId="49CD65EF" w:rsidR="007E1A70" w:rsidRDefault="007E1A70">
      <w:pPr>
        <w:rPr>
          <w:rFonts w:ascii="Times New Roman" w:hAnsi="Times New Roman" w:cs="Times New Roman"/>
        </w:rPr>
      </w:pPr>
    </w:p>
    <w:p w14:paraId="67CC6254" w14:textId="26E52EEC" w:rsidR="002012BE" w:rsidRDefault="002012BE">
      <w:pPr>
        <w:rPr>
          <w:rFonts w:ascii="Times New Roman" w:hAnsi="Times New Roman" w:cs="Times New Roman"/>
        </w:rPr>
      </w:pPr>
    </w:p>
    <w:p w14:paraId="5C1CEF46" w14:textId="0F4CA59B" w:rsidR="000D3128" w:rsidRPr="005B6328" w:rsidRDefault="000D3128">
      <w:pPr>
        <w:rPr>
          <w:rFonts w:ascii="Times New Roman" w:hAnsi="Times New Roman" w:cs="Times New Roman"/>
        </w:rPr>
      </w:pPr>
      <w:r>
        <w:rPr>
          <w:rFonts w:ascii="Times New Roman" w:hAnsi="Times New Roman" w:cs="Times New Roman"/>
        </w:rPr>
        <w:t xml:space="preserve"> </w:t>
      </w:r>
    </w:p>
    <w:sectPr w:rsidR="000D3128" w:rsidRPr="005B632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9BE99" w14:textId="77777777" w:rsidR="001D53C8" w:rsidRDefault="001D53C8" w:rsidP="00AD28FD">
      <w:r>
        <w:separator/>
      </w:r>
    </w:p>
  </w:endnote>
  <w:endnote w:type="continuationSeparator" w:id="0">
    <w:p w14:paraId="4B31BD36" w14:textId="77777777" w:rsidR="001D53C8" w:rsidRDefault="001D53C8" w:rsidP="00AD2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B5D4C" w14:textId="77777777" w:rsidR="001D53C8" w:rsidRDefault="001D53C8" w:rsidP="00AD28FD">
      <w:r>
        <w:separator/>
      </w:r>
    </w:p>
  </w:footnote>
  <w:footnote w:type="continuationSeparator" w:id="0">
    <w:p w14:paraId="723DF612" w14:textId="77777777" w:rsidR="001D53C8" w:rsidRDefault="001D53C8" w:rsidP="00AD28FD">
      <w:r>
        <w:continuationSeparator/>
      </w:r>
    </w:p>
  </w:footnote>
  <w:footnote w:id="1">
    <w:p w14:paraId="20436DF3" w14:textId="77777777" w:rsidR="003404D4" w:rsidRDefault="003404D4" w:rsidP="003404D4">
      <w:pPr>
        <w:pStyle w:val="Textonotapie"/>
      </w:pPr>
      <w:r>
        <w:rPr>
          <w:rStyle w:val="Refdenotaalpie"/>
        </w:rPr>
        <w:footnoteRef/>
      </w:r>
      <w:r>
        <w:t xml:space="preserve"> </w:t>
      </w:r>
      <w:r w:rsidRPr="00FF4BDC">
        <w:t xml:space="preserve">El Papa Francisco recuerda un cuento que le contaba su abuela, que explica lo que significa descuidar a los ancianos. “Es la historia de una familia en la que el padre decidió mandar al abuelo a comer solo en la cocina porque, a medida que envejecía, empezaba a dejar caer la sopa y se ensuciaba. Pero un día ese papá, al regresar a casa, encontró a su hijo que estaba construyendo una mesa de madera porque, el mismo aislamiento, tarde o temprano le tocaría a él”. “Cuidar a los ancianos y a los jóvenes es la cultura de la esperanza”, </w:t>
      </w:r>
      <w:proofErr w:type="spellStart"/>
      <w:r w:rsidRPr="00FF4BDC">
        <w:t>L’Osservatore</w:t>
      </w:r>
      <w:proofErr w:type="spellEnd"/>
      <w:r w:rsidRPr="00FF4BDC">
        <w:t xml:space="preserve"> Romano, ed. </w:t>
      </w:r>
      <w:proofErr w:type="spellStart"/>
      <w:r w:rsidRPr="00FF4BDC">
        <w:t>sem</w:t>
      </w:r>
      <w:proofErr w:type="spellEnd"/>
      <w:r w:rsidRPr="00FF4BDC">
        <w:t>. en lengua española, n. 46, viernes 15 de noviembre de 2019. https://www.vatican.va/comtent/francesco/es/cotidie/2019/documents/papa-francesco-cotidie_20190930_cultura-esperanza.html</w:t>
      </w:r>
    </w:p>
  </w:footnote>
  <w:footnote w:id="2">
    <w:p w14:paraId="18FDCE40" w14:textId="77777777" w:rsidR="005B645C" w:rsidRPr="005B645C" w:rsidRDefault="00616B84" w:rsidP="005B645C">
      <w:pPr>
        <w:rPr>
          <w:sz w:val="20"/>
          <w:szCs w:val="20"/>
        </w:rPr>
      </w:pPr>
      <w:r>
        <w:rPr>
          <w:rStyle w:val="Refdenotaalpie"/>
        </w:rPr>
        <w:footnoteRef/>
      </w:r>
      <w:r>
        <w:t xml:space="preserve"> </w:t>
      </w:r>
      <w:r w:rsidR="005B645C" w:rsidRPr="005B645C">
        <w:rPr>
          <w:sz w:val="20"/>
          <w:szCs w:val="20"/>
        </w:rPr>
        <w:t>Si bien es más simple definir adulto mayor en función exclusiva de la edad cronológica, hay quienes argumentan que, ya que esta etapa de la vida trae consigo cambios importantes de las condiciones económicas, el físico y los roles en la vida familiar, entre otros, lo importante es la percepción que la sociedad tiene de ella, es decir, la construcción social que implica.</w:t>
      </w:r>
    </w:p>
    <w:p w14:paraId="4EF2DFF4" w14:textId="11BA205A" w:rsidR="00616B84" w:rsidRDefault="001D53C8">
      <w:pPr>
        <w:pStyle w:val="Textonotapie"/>
      </w:pPr>
      <w:hyperlink r:id="rId1" w:anchor=".Y3xNTXbMK3A" w:history="1">
        <w:r w:rsidR="00616B84" w:rsidRPr="009A66C1">
          <w:rPr>
            <w:rStyle w:val="Hipervnculo"/>
          </w:rPr>
          <w:t>https://www.upf.edu/web/antenas/el-neologismo-del-mes/-/asset_publisher/GhGirAynV0fp/content/id/6332740/maximized#.Y3xNTXbMK3A</w:t>
        </w:r>
      </w:hyperlink>
      <w:r w:rsidR="00616B84">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E740F"/>
    <w:multiLevelType w:val="hybridMultilevel"/>
    <w:tmpl w:val="F6A82DBE"/>
    <w:lvl w:ilvl="0" w:tplc="1706A690">
      <w:start w:val="1"/>
      <w:numFmt w:val="decimal"/>
      <w:lvlText w:val="%1."/>
      <w:lvlJc w:val="left"/>
      <w:pPr>
        <w:ind w:left="720" w:hanging="360"/>
      </w:pPr>
      <w:rPr>
        <w:b/>
        <w:bCs/>
      </w:rPr>
    </w:lvl>
    <w:lvl w:ilvl="1" w:tplc="240A0015">
      <w:start w:val="1"/>
      <w:numFmt w:val="upp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A1060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0A784C"/>
    <w:multiLevelType w:val="hybridMultilevel"/>
    <w:tmpl w:val="97D0A7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E357C5E"/>
    <w:multiLevelType w:val="multilevel"/>
    <w:tmpl w:val="F6B6510E"/>
    <w:lvl w:ilvl="0">
      <w:start w:val="1"/>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328"/>
    <w:rsid w:val="00001B9C"/>
    <w:rsid w:val="0000505C"/>
    <w:rsid w:val="00021397"/>
    <w:rsid w:val="00021CF6"/>
    <w:rsid w:val="00025C1B"/>
    <w:rsid w:val="00033A0F"/>
    <w:rsid w:val="00052C4C"/>
    <w:rsid w:val="000658C0"/>
    <w:rsid w:val="00077B53"/>
    <w:rsid w:val="000A2C4A"/>
    <w:rsid w:val="000A6C75"/>
    <w:rsid w:val="000B594A"/>
    <w:rsid w:val="000B7095"/>
    <w:rsid w:val="000D3128"/>
    <w:rsid w:val="000D39D1"/>
    <w:rsid w:val="000D7C8B"/>
    <w:rsid w:val="000E0679"/>
    <w:rsid w:val="001161FE"/>
    <w:rsid w:val="00126B16"/>
    <w:rsid w:val="00130407"/>
    <w:rsid w:val="0014751C"/>
    <w:rsid w:val="00147B06"/>
    <w:rsid w:val="00167644"/>
    <w:rsid w:val="00174A9A"/>
    <w:rsid w:val="00180F02"/>
    <w:rsid w:val="00185C0D"/>
    <w:rsid w:val="00190E70"/>
    <w:rsid w:val="001A25E4"/>
    <w:rsid w:val="001B7312"/>
    <w:rsid w:val="001D53C8"/>
    <w:rsid w:val="001E3202"/>
    <w:rsid w:val="001E7471"/>
    <w:rsid w:val="002012BE"/>
    <w:rsid w:val="00207A31"/>
    <w:rsid w:val="00236876"/>
    <w:rsid w:val="002418F8"/>
    <w:rsid w:val="00255C1C"/>
    <w:rsid w:val="00265123"/>
    <w:rsid w:val="00270FA7"/>
    <w:rsid w:val="00276781"/>
    <w:rsid w:val="00276DD1"/>
    <w:rsid w:val="002770A5"/>
    <w:rsid w:val="002C1E49"/>
    <w:rsid w:val="002C5983"/>
    <w:rsid w:val="002C6BC2"/>
    <w:rsid w:val="002C7BBD"/>
    <w:rsid w:val="002D7AD6"/>
    <w:rsid w:val="002E7BF5"/>
    <w:rsid w:val="002F7ACF"/>
    <w:rsid w:val="00304F04"/>
    <w:rsid w:val="003063D4"/>
    <w:rsid w:val="00315A02"/>
    <w:rsid w:val="00337105"/>
    <w:rsid w:val="003404D4"/>
    <w:rsid w:val="00341F11"/>
    <w:rsid w:val="00357214"/>
    <w:rsid w:val="003621B8"/>
    <w:rsid w:val="003677E7"/>
    <w:rsid w:val="00384179"/>
    <w:rsid w:val="003A01A2"/>
    <w:rsid w:val="003C0FEA"/>
    <w:rsid w:val="003C3FFB"/>
    <w:rsid w:val="0041628C"/>
    <w:rsid w:val="00425266"/>
    <w:rsid w:val="00485F93"/>
    <w:rsid w:val="004952E5"/>
    <w:rsid w:val="004958F2"/>
    <w:rsid w:val="004A3400"/>
    <w:rsid w:val="004A7070"/>
    <w:rsid w:val="004C7AB1"/>
    <w:rsid w:val="004E77A3"/>
    <w:rsid w:val="004E7FCD"/>
    <w:rsid w:val="00500352"/>
    <w:rsid w:val="0051429A"/>
    <w:rsid w:val="00523856"/>
    <w:rsid w:val="00524048"/>
    <w:rsid w:val="005379FC"/>
    <w:rsid w:val="00545863"/>
    <w:rsid w:val="005562D9"/>
    <w:rsid w:val="005644BC"/>
    <w:rsid w:val="00595132"/>
    <w:rsid w:val="005A6FB4"/>
    <w:rsid w:val="005B23BD"/>
    <w:rsid w:val="005B6328"/>
    <w:rsid w:val="005B645C"/>
    <w:rsid w:val="005B77E8"/>
    <w:rsid w:val="006010CA"/>
    <w:rsid w:val="00604E18"/>
    <w:rsid w:val="00605A56"/>
    <w:rsid w:val="006066BD"/>
    <w:rsid w:val="00612EBE"/>
    <w:rsid w:val="00616B84"/>
    <w:rsid w:val="0062640C"/>
    <w:rsid w:val="006264D0"/>
    <w:rsid w:val="00637158"/>
    <w:rsid w:val="006774C7"/>
    <w:rsid w:val="00697E0B"/>
    <w:rsid w:val="006C4E0F"/>
    <w:rsid w:val="006C4E34"/>
    <w:rsid w:val="006C55AD"/>
    <w:rsid w:val="006D5F31"/>
    <w:rsid w:val="006E1945"/>
    <w:rsid w:val="006F3C66"/>
    <w:rsid w:val="00706F24"/>
    <w:rsid w:val="00715D65"/>
    <w:rsid w:val="007229EA"/>
    <w:rsid w:val="007241E5"/>
    <w:rsid w:val="00735674"/>
    <w:rsid w:val="007370B8"/>
    <w:rsid w:val="00766D46"/>
    <w:rsid w:val="00791771"/>
    <w:rsid w:val="007944D4"/>
    <w:rsid w:val="007A2719"/>
    <w:rsid w:val="007A6DEB"/>
    <w:rsid w:val="007B4FCC"/>
    <w:rsid w:val="007B669F"/>
    <w:rsid w:val="007D17C1"/>
    <w:rsid w:val="007E1A70"/>
    <w:rsid w:val="00812E9F"/>
    <w:rsid w:val="00834EDC"/>
    <w:rsid w:val="00870351"/>
    <w:rsid w:val="00870689"/>
    <w:rsid w:val="00871C65"/>
    <w:rsid w:val="00872FBF"/>
    <w:rsid w:val="008753B5"/>
    <w:rsid w:val="00881352"/>
    <w:rsid w:val="00891522"/>
    <w:rsid w:val="008A3604"/>
    <w:rsid w:val="008D6628"/>
    <w:rsid w:val="008D6DE7"/>
    <w:rsid w:val="008D77B5"/>
    <w:rsid w:val="00923457"/>
    <w:rsid w:val="009365DE"/>
    <w:rsid w:val="00936C8E"/>
    <w:rsid w:val="00941101"/>
    <w:rsid w:val="009468A4"/>
    <w:rsid w:val="00951027"/>
    <w:rsid w:val="0095221D"/>
    <w:rsid w:val="00952CA9"/>
    <w:rsid w:val="00955C2A"/>
    <w:rsid w:val="009649DA"/>
    <w:rsid w:val="009816DC"/>
    <w:rsid w:val="00990B70"/>
    <w:rsid w:val="009B34BB"/>
    <w:rsid w:val="009C2DA3"/>
    <w:rsid w:val="009C3DE5"/>
    <w:rsid w:val="009C3E1E"/>
    <w:rsid w:val="009C6839"/>
    <w:rsid w:val="009D20D9"/>
    <w:rsid w:val="009D73DE"/>
    <w:rsid w:val="009F43B9"/>
    <w:rsid w:val="00A002FF"/>
    <w:rsid w:val="00A02801"/>
    <w:rsid w:val="00A04416"/>
    <w:rsid w:val="00A07755"/>
    <w:rsid w:val="00A11389"/>
    <w:rsid w:val="00A438FC"/>
    <w:rsid w:val="00A5479C"/>
    <w:rsid w:val="00A732B4"/>
    <w:rsid w:val="00A77EB5"/>
    <w:rsid w:val="00A8348D"/>
    <w:rsid w:val="00A851DB"/>
    <w:rsid w:val="00A86E8D"/>
    <w:rsid w:val="00AC30A2"/>
    <w:rsid w:val="00AD1B38"/>
    <w:rsid w:val="00AD28FD"/>
    <w:rsid w:val="00AD73C5"/>
    <w:rsid w:val="00AE4897"/>
    <w:rsid w:val="00AE7012"/>
    <w:rsid w:val="00AF2AA9"/>
    <w:rsid w:val="00B01CDE"/>
    <w:rsid w:val="00B0670B"/>
    <w:rsid w:val="00B0769B"/>
    <w:rsid w:val="00B22D5D"/>
    <w:rsid w:val="00B2626B"/>
    <w:rsid w:val="00B4317C"/>
    <w:rsid w:val="00B653B9"/>
    <w:rsid w:val="00B70C9D"/>
    <w:rsid w:val="00B7642F"/>
    <w:rsid w:val="00B771F2"/>
    <w:rsid w:val="00BA5748"/>
    <w:rsid w:val="00BB1DB7"/>
    <w:rsid w:val="00BB355C"/>
    <w:rsid w:val="00BC05B9"/>
    <w:rsid w:val="00BC122E"/>
    <w:rsid w:val="00BC3898"/>
    <w:rsid w:val="00BE0CB7"/>
    <w:rsid w:val="00BF1115"/>
    <w:rsid w:val="00BF2B39"/>
    <w:rsid w:val="00C01D30"/>
    <w:rsid w:val="00C02030"/>
    <w:rsid w:val="00C13D27"/>
    <w:rsid w:val="00C208AD"/>
    <w:rsid w:val="00C228EB"/>
    <w:rsid w:val="00C25084"/>
    <w:rsid w:val="00C34095"/>
    <w:rsid w:val="00C41498"/>
    <w:rsid w:val="00C52B49"/>
    <w:rsid w:val="00C52E45"/>
    <w:rsid w:val="00C52E54"/>
    <w:rsid w:val="00C55ECB"/>
    <w:rsid w:val="00C70FFF"/>
    <w:rsid w:val="00C7390B"/>
    <w:rsid w:val="00CA10E4"/>
    <w:rsid w:val="00CB1ADD"/>
    <w:rsid w:val="00CB72EA"/>
    <w:rsid w:val="00CB7D11"/>
    <w:rsid w:val="00CC5D17"/>
    <w:rsid w:val="00CD5E71"/>
    <w:rsid w:val="00CD6B98"/>
    <w:rsid w:val="00CE0C5C"/>
    <w:rsid w:val="00CE20C9"/>
    <w:rsid w:val="00CE6032"/>
    <w:rsid w:val="00CF5F0A"/>
    <w:rsid w:val="00D03F40"/>
    <w:rsid w:val="00D1090A"/>
    <w:rsid w:val="00D223E8"/>
    <w:rsid w:val="00D44696"/>
    <w:rsid w:val="00D45ADF"/>
    <w:rsid w:val="00D65D33"/>
    <w:rsid w:val="00D702B2"/>
    <w:rsid w:val="00DD4F48"/>
    <w:rsid w:val="00DD574C"/>
    <w:rsid w:val="00DE48CA"/>
    <w:rsid w:val="00DE575E"/>
    <w:rsid w:val="00DF4073"/>
    <w:rsid w:val="00E011EC"/>
    <w:rsid w:val="00E05833"/>
    <w:rsid w:val="00E20806"/>
    <w:rsid w:val="00E25974"/>
    <w:rsid w:val="00E51623"/>
    <w:rsid w:val="00E61D10"/>
    <w:rsid w:val="00E76DE1"/>
    <w:rsid w:val="00E84009"/>
    <w:rsid w:val="00E84D8C"/>
    <w:rsid w:val="00E937E5"/>
    <w:rsid w:val="00E94AD5"/>
    <w:rsid w:val="00E95423"/>
    <w:rsid w:val="00E9727F"/>
    <w:rsid w:val="00EB27C6"/>
    <w:rsid w:val="00EC18EF"/>
    <w:rsid w:val="00EC2081"/>
    <w:rsid w:val="00EE005D"/>
    <w:rsid w:val="00EE4CDE"/>
    <w:rsid w:val="00EE7B97"/>
    <w:rsid w:val="00F214DF"/>
    <w:rsid w:val="00F223AD"/>
    <w:rsid w:val="00F473DE"/>
    <w:rsid w:val="00F82F34"/>
    <w:rsid w:val="00F91047"/>
    <w:rsid w:val="00F95EAE"/>
    <w:rsid w:val="00FC21FB"/>
    <w:rsid w:val="00FF01D0"/>
    <w:rsid w:val="00FF0CEB"/>
    <w:rsid w:val="00FF4BDC"/>
    <w:rsid w:val="00FF73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AFA7D"/>
  <w15:chartTrackingRefBased/>
  <w15:docId w15:val="{AF9DF294-32AB-4E44-A0FA-FB0FDA69B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D8C"/>
  </w:style>
  <w:style w:type="paragraph" w:styleId="Ttulo1">
    <w:name w:val="heading 1"/>
    <w:basedOn w:val="Normal"/>
    <w:next w:val="Normal"/>
    <w:link w:val="Ttulo1Car"/>
    <w:uiPriority w:val="9"/>
    <w:qFormat/>
    <w:rsid w:val="008D6DE7"/>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s-CO"/>
    </w:rPr>
  </w:style>
  <w:style w:type="paragraph" w:styleId="Ttulo2">
    <w:name w:val="heading 2"/>
    <w:basedOn w:val="Normal"/>
    <w:next w:val="Normal"/>
    <w:link w:val="Ttulo2Car"/>
    <w:uiPriority w:val="9"/>
    <w:unhideWhenUsed/>
    <w:qFormat/>
    <w:rsid w:val="003404D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C2DA3"/>
    <w:pPr>
      <w:ind w:left="720"/>
      <w:contextualSpacing/>
    </w:pPr>
  </w:style>
  <w:style w:type="paragraph" w:styleId="NormalWeb">
    <w:name w:val="Normal (Web)"/>
    <w:basedOn w:val="Normal"/>
    <w:uiPriority w:val="99"/>
    <w:unhideWhenUsed/>
    <w:rsid w:val="00524048"/>
    <w:pPr>
      <w:spacing w:before="100" w:beforeAutospacing="1" w:after="100" w:afterAutospacing="1"/>
    </w:pPr>
    <w:rPr>
      <w:rFonts w:ascii="Times New Roman" w:eastAsia="Times New Roman" w:hAnsi="Times New Roman" w:cs="Times New Roman"/>
      <w:lang w:eastAsia="es-MX"/>
    </w:rPr>
  </w:style>
  <w:style w:type="paragraph" w:styleId="Sinespaciado">
    <w:name w:val="No Spacing"/>
    <w:uiPriority w:val="1"/>
    <w:qFormat/>
    <w:rsid w:val="00CB1ADD"/>
    <w:rPr>
      <w:sz w:val="22"/>
      <w:szCs w:val="22"/>
    </w:rPr>
  </w:style>
  <w:style w:type="character" w:customStyle="1" w:styleId="apple-converted-space">
    <w:name w:val="apple-converted-space"/>
    <w:basedOn w:val="Fuentedeprrafopredeter"/>
    <w:rsid w:val="009D20D9"/>
  </w:style>
  <w:style w:type="character" w:styleId="Hipervnculo">
    <w:name w:val="Hyperlink"/>
    <w:basedOn w:val="Fuentedeprrafopredeter"/>
    <w:uiPriority w:val="99"/>
    <w:unhideWhenUsed/>
    <w:rsid w:val="009D20D9"/>
    <w:rPr>
      <w:color w:val="0000FF"/>
      <w:u w:val="single"/>
    </w:rPr>
  </w:style>
  <w:style w:type="paragraph" w:styleId="Textonotapie">
    <w:name w:val="footnote text"/>
    <w:basedOn w:val="Normal"/>
    <w:link w:val="TextonotapieCar"/>
    <w:uiPriority w:val="99"/>
    <w:semiHidden/>
    <w:unhideWhenUsed/>
    <w:rsid w:val="00AD28FD"/>
    <w:rPr>
      <w:sz w:val="20"/>
      <w:szCs w:val="20"/>
    </w:rPr>
  </w:style>
  <w:style w:type="character" w:customStyle="1" w:styleId="TextonotapieCar">
    <w:name w:val="Texto nota pie Car"/>
    <w:basedOn w:val="Fuentedeprrafopredeter"/>
    <w:link w:val="Textonotapie"/>
    <w:uiPriority w:val="99"/>
    <w:semiHidden/>
    <w:rsid w:val="00AD28FD"/>
    <w:rPr>
      <w:sz w:val="20"/>
      <w:szCs w:val="20"/>
    </w:rPr>
  </w:style>
  <w:style w:type="character" w:styleId="Refdenotaalpie">
    <w:name w:val="footnote reference"/>
    <w:basedOn w:val="Fuentedeprrafopredeter"/>
    <w:uiPriority w:val="99"/>
    <w:semiHidden/>
    <w:unhideWhenUsed/>
    <w:rsid w:val="00AD28FD"/>
    <w:rPr>
      <w:vertAlign w:val="superscript"/>
    </w:rPr>
  </w:style>
  <w:style w:type="table" w:styleId="Tablaconcuadrcula">
    <w:name w:val="Table Grid"/>
    <w:basedOn w:val="Tablanormal"/>
    <w:uiPriority w:val="39"/>
    <w:rsid w:val="00236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3404D4"/>
    <w:rPr>
      <w:rFonts w:asciiTheme="majorHAnsi" w:eastAsiaTheme="majorEastAsia" w:hAnsiTheme="majorHAnsi" w:cstheme="majorBidi"/>
      <w:color w:val="2F5496" w:themeColor="accent1" w:themeShade="BF"/>
      <w:sz w:val="26"/>
      <w:szCs w:val="26"/>
    </w:rPr>
  </w:style>
  <w:style w:type="character" w:customStyle="1" w:styleId="Ttulo1Car">
    <w:name w:val="Título 1 Car"/>
    <w:basedOn w:val="Fuentedeprrafopredeter"/>
    <w:link w:val="Ttulo1"/>
    <w:uiPriority w:val="9"/>
    <w:rsid w:val="008D6DE7"/>
    <w:rPr>
      <w:rFonts w:asciiTheme="majorHAnsi" w:eastAsiaTheme="majorEastAsia" w:hAnsiTheme="majorHAnsi" w:cstheme="majorBidi"/>
      <w:color w:val="2F5496" w:themeColor="accent1" w:themeShade="BF"/>
      <w:sz w:val="32"/>
      <w:szCs w:val="32"/>
      <w:lang w:eastAsia="es-CO"/>
    </w:rPr>
  </w:style>
  <w:style w:type="paragraph" w:styleId="Bibliografa">
    <w:name w:val="Bibliography"/>
    <w:basedOn w:val="Normal"/>
    <w:next w:val="Normal"/>
    <w:uiPriority w:val="37"/>
    <w:unhideWhenUsed/>
    <w:rsid w:val="008D6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962">
      <w:bodyDiv w:val="1"/>
      <w:marLeft w:val="0"/>
      <w:marRight w:val="0"/>
      <w:marTop w:val="0"/>
      <w:marBottom w:val="0"/>
      <w:divBdr>
        <w:top w:val="none" w:sz="0" w:space="0" w:color="auto"/>
        <w:left w:val="none" w:sz="0" w:space="0" w:color="auto"/>
        <w:bottom w:val="none" w:sz="0" w:space="0" w:color="auto"/>
        <w:right w:val="none" w:sz="0" w:space="0" w:color="auto"/>
      </w:divBdr>
    </w:div>
    <w:div w:id="55906485">
      <w:bodyDiv w:val="1"/>
      <w:marLeft w:val="0"/>
      <w:marRight w:val="0"/>
      <w:marTop w:val="0"/>
      <w:marBottom w:val="0"/>
      <w:divBdr>
        <w:top w:val="none" w:sz="0" w:space="0" w:color="auto"/>
        <w:left w:val="none" w:sz="0" w:space="0" w:color="auto"/>
        <w:bottom w:val="none" w:sz="0" w:space="0" w:color="auto"/>
        <w:right w:val="none" w:sz="0" w:space="0" w:color="auto"/>
      </w:divBdr>
    </w:div>
    <w:div w:id="82069230">
      <w:bodyDiv w:val="1"/>
      <w:marLeft w:val="0"/>
      <w:marRight w:val="0"/>
      <w:marTop w:val="0"/>
      <w:marBottom w:val="0"/>
      <w:divBdr>
        <w:top w:val="none" w:sz="0" w:space="0" w:color="auto"/>
        <w:left w:val="none" w:sz="0" w:space="0" w:color="auto"/>
        <w:bottom w:val="none" w:sz="0" w:space="0" w:color="auto"/>
        <w:right w:val="none" w:sz="0" w:space="0" w:color="auto"/>
      </w:divBdr>
    </w:div>
    <w:div w:id="94331560">
      <w:bodyDiv w:val="1"/>
      <w:marLeft w:val="0"/>
      <w:marRight w:val="0"/>
      <w:marTop w:val="0"/>
      <w:marBottom w:val="0"/>
      <w:divBdr>
        <w:top w:val="none" w:sz="0" w:space="0" w:color="auto"/>
        <w:left w:val="none" w:sz="0" w:space="0" w:color="auto"/>
        <w:bottom w:val="none" w:sz="0" w:space="0" w:color="auto"/>
        <w:right w:val="none" w:sz="0" w:space="0" w:color="auto"/>
      </w:divBdr>
    </w:div>
    <w:div w:id="121505525">
      <w:bodyDiv w:val="1"/>
      <w:marLeft w:val="0"/>
      <w:marRight w:val="0"/>
      <w:marTop w:val="0"/>
      <w:marBottom w:val="0"/>
      <w:divBdr>
        <w:top w:val="none" w:sz="0" w:space="0" w:color="auto"/>
        <w:left w:val="none" w:sz="0" w:space="0" w:color="auto"/>
        <w:bottom w:val="none" w:sz="0" w:space="0" w:color="auto"/>
        <w:right w:val="none" w:sz="0" w:space="0" w:color="auto"/>
      </w:divBdr>
    </w:div>
    <w:div w:id="150680061">
      <w:bodyDiv w:val="1"/>
      <w:marLeft w:val="0"/>
      <w:marRight w:val="0"/>
      <w:marTop w:val="0"/>
      <w:marBottom w:val="0"/>
      <w:divBdr>
        <w:top w:val="none" w:sz="0" w:space="0" w:color="auto"/>
        <w:left w:val="none" w:sz="0" w:space="0" w:color="auto"/>
        <w:bottom w:val="none" w:sz="0" w:space="0" w:color="auto"/>
        <w:right w:val="none" w:sz="0" w:space="0" w:color="auto"/>
      </w:divBdr>
    </w:div>
    <w:div w:id="212741075">
      <w:bodyDiv w:val="1"/>
      <w:marLeft w:val="0"/>
      <w:marRight w:val="0"/>
      <w:marTop w:val="0"/>
      <w:marBottom w:val="0"/>
      <w:divBdr>
        <w:top w:val="none" w:sz="0" w:space="0" w:color="auto"/>
        <w:left w:val="none" w:sz="0" w:space="0" w:color="auto"/>
        <w:bottom w:val="none" w:sz="0" w:space="0" w:color="auto"/>
        <w:right w:val="none" w:sz="0" w:space="0" w:color="auto"/>
      </w:divBdr>
    </w:div>
    <w:div w:id="231279405">
      <w:bodyDiv w:val="1"/>
      <w:marLeft w:val="0"/>
      <w:marRight w:val="0"/>
      <w:marTop w:val="0"/>
      <w:marBottom w:val="0"/>
      <w:divBdr>
        <w:top w:val="none" w:sz="0" w:space="0" w:color="auto"/>
        <w:left w:val="none" w:sz="0" w:space="0" w:color="auto"/>
        <w:bottom w:val="none" w:sz="0" w:space="0" w:color="auto"/>
        <w:right w:val="none" w:sz="0" w:space="0" w:color="auto"/>
      </w:divBdr>
    </w:div>
    <w:div w:id="307519108">
      <w:bodyDiv w:val="1"/>
      <w:marLeft w:val="0"/>
      <w:marRight w:val="0"/>
      <w:marTop w:val="0"/>
      <w:marBottom w:val="0"/>
      <w:divBdr>
        <w:top w:val="none" w:sz="0" w:space="0" w:color="auto"/>
        <w:left w:val="none" w:sz="0" w:space="0" w:color="auto"/>
        <w:bottom w:val="none" w:sz="0" w:space="0" w:color="auto"/>
        <w:right w:val="none" w:sz="0" w:space="0" w:color="auto"/>
      </w:divBdr>
    </w:div>
    <w:div w:id="352221791">
      <w:bodyDiv w:val="1"/>
      <w:marLeft w:val="0"/>
      <w:marRight w:val="0"/>
      <w:marTop w:val="0"/>
      <w:marBottom w:val="0"/>
      <w:divBdr>
        <w:top w:val="none" w:sz="0" w:space="0" w:color="auto"/>
        <w:left w:val="none" w:sz="0" w:space="0" w:color="auto"/>
        <w:bottom w:val="none" w:sz="0" w:space="0" w:color="auto"/>
        <w:right w:val="none" w:sz="0" w:space="0" w:color="auto"/>
      </w:divBdr>
    </w:div>
    <w:div w:id="364062233">
      <w:bodyDiv w:val="1"/>
      <w:marLeft w:val="0"/>
      <w:marRight w:val="0"/>
      <w:marTop w:val="0"/>
      <w:marBottom w:val="0"/>
      <w:divBdr>
        <w:top w:val="none" w:sz="0" w:space="0" w:color="auto"/>
        <w:left w:val="none" w:sz="0" w:space="0" w:color="auto"/>
        <w:bottom w:val="none" w:sz="0" w:space="0" w:color="auto"/>
        <w:right w:val="none" w:sz="0" w:space="0" w:color="auto"/>
      </w:divBdr>
    </w:div>
    <w:div w:id="366025139">
      <w:bodyDiv w:val="1"/>
      <w:marLeft w:val="0"/>
      <w:marRight w:val="0"/>
      <w:marTop w:val="0"/>
      <w:marBottom w:val="0"/>
      <w:divBdr>
        <w:top w:val="none" w:sz="0" w:space="0" w:color="auto"/>
        <w:left w:val="none" w:sz="0" w:space="0" w:color="auto"/>
        <w:bottom w:val="none" w:sz="0" w:space="0" w:color="auto"/>
        <w:right w:val="none" w:sz="0" w:space="0" w:color="auto"/>
      </w:divBdr>
    </w:div>
    <w:div w:id="416561314">
      <w:bodyDiv w:val="1"/>
      <w:marLeft w:val="0"/>
      <w:marRight w:val="0"/>
      <w:marTop w:val="0"/>
      <w:marBottom w:val="0"/>
      <w:divBdr>
        <w:top w:val="none" w:sz="0" w:space="0" w:color="auto"/>
        <w:left w:val="none" w:sz="0" w:space="0" w:color="auto"/>
        <w:bottom w:val="none" w:sz="0" w:space="0" w:color="auto"/>
        <w:right w:val="none" w:sz="0" w:space="0" w:color="auto"/>
      </w:divBdr>
    </w:div>
    <w:div w:id="434595756">
      <w:bodyDiv w:val="1"/>
      <w:marLeft w:val="0"/>
      <w:marRight w:val="0"/>
      <w:marTop w:val="0"/>
      <w:marBottom w:val="0"/>
      <w:divBdr>
        <w:top w:val="none" w:sz="0" w:space="0" w:color="auto"/>
        <w:left w:val="none" w:sz="0" w:space="0" w:color="auto"/>
        <w:bottom w:val="none" w:sz="0" w:space="0" w:color="auto"/>
        <w:right w:val="none" w:sz="0" w:space="0" w:color="auto"/>
      </w:divBdr>
    </w:div>
    <w:div w:id="458956108">
      <w:bodyDiv w:val="1"/>
      <w:marLeft w:val="0"/>
      <w:marRight w:val="0"/>
      <w:marTop w:val="0"/>
      <w:marBottom w:val="0"/>
      <w:divBdr>
        <w:top w:val="none" w:sz="0" w:space="0" w:color="auto"/>
        <w:left w:val="none" w:sz="0" w:space="0" w:color="auto"/>
        <w:bottom w:val="none" w:sz="0" w:space="0" w:color="auto"/>
        <w:right w:val="none" w:sz="0" w:space="0" w:color="auto"/>
      </w:divBdr>
    </w:div>
    <w:div w:id="466048802">
      <w:bodyDiv w:val="1"/>
      <w:marLeft w:val="0"/>
      <w:marRight w:val="0"/>
      <w:marTop w:val="0"/>
      <w:marBottom w:val="0"/>
      <w:divBdr>
        <w:top w:val="none" w:sz="0" w:space="0" w:color="auto"/>
        <w:left w:val="none" w:sz="0" w:space="0" w:color="auto"/>
        <w:bottom w:val="none" w:sz="0" w:space="0" w:color="auto"/>
        <w:right w:val="none" w:sz="0" w:space="0" w:color="auto"/>
      </w:divBdr>
    </w:div>
    <w:div w:id="519202128">
      <w:bodyDiv w:val="1"/>
      <w:marLeft w:val="0"/>
      <w:marRight w:val="0"/>
      <w:marTop w:val="0"/>
      <w:marBottom w:val="0"/>
      <w:divBdr>
        <w:top w:val="none" w:sz="0" w:space="0" w:color="auto"/>
        <w:left w:val="none" w:sz="0" w:space="0" w:color="auto"/>
        <w:bottom w:val="none" w:sz="0" w:space="0" w:color="auto"/>
        <w:right w:val="none" w:sz="0" w:space="0" w:color="auto"/>
      </w:divBdr>
    </w:div>
    <w:div w:id="583806702">
      <w:bodyDiv w:val="1"/>
      <w:marLeft w:val="0"/>
      <w:marRight w:val="0"/>
      <w:marTop w:val="0"/>
      <w:marBottom w:val="0"/>
      <w:divBdr>
        <w:top w:val="none" w:sz="0" w:space="0" w:color="auto"/>
        <w:left w:val="none" w:sz="0" w:space="0" w:color="auto"/>
        <w:bottom w:val="none" w:sz="0" w:space="0" w:color="auto"/>
        <w:right w:val="none" w:sz="0" w:space="0" w:color="auto"/>
      </w:divBdr>
    </w:div>
    <w:div w:id="604650111">
      <w:bodyDiv w:val="1"/>
      <w:marLeft w:val="0"/>
      <w:marRight w:val="0"/>
      <w:marTop w:val="0"/>
      <w:marBottom w:val="0"/>
      <w:divBdr>
        <w:top w:val="none" w:sz="0" w:space="0" w:color="auto"/>
        <w:left w:val="none" w:sz="0" w:space="0" w:color="auto"/>
        <w:bottom w:val="none" w:sz="0" w:space="0" w:color="auto"/>
        <w:right w:val="none" w:sz="0" w:space="0" w:color="auto"/>
      </w:divBdr>
    </w:div>
    <w:div w:id="642581628">
      <w:bodyDiv w:val="1"/>
      <w:marLeft w:val="0"/>
      <w:marRight w:val="0"/>
      <w:marTop w:val="0"/>
      <w:marBottom w:val="0"/>
      <w:divBdr>
        <w:top w:val="none" w:sz="0" w:space="0" w:color="auto"/>
        <w:left w:val="none" w:sz="0" w:space="0" w:color="auto"/>
        <w:bottom w:val="none" w:sz="0" w:space="0" w:color="auto"/>
        <w:right w:val="none" w:sz="0" w:space="0" w:color="auto"/>
      </w:divBdr>
    </w:div>
    <w:div w:id="671222625">
      <w:bodyDiv w:val="1"/>
      <w:marLeft w:val="0"/>
      <w:marRight w:val="0"/>
      <w:marTop w:val="0"/>
      <w:marBottom w:val="0"/>
      <w:divBdr>
        <w:top w:val="none" w:sz="0" w:space="0" w:color="auto"/>
        <w:left w:val="none" w:sz="0" w:space="0" w:color="auto"/>
        <w:bottom w:val="none" w:sz="0" w:space="0" w:color="auto"/>
        <w:right w:val="none" w:sz="0" w:space="0" w:color="auto"/>
      </w:divBdr>
    </w:div>
    <w:div w:id="816147880">
      <w:bodyDiv w:val="1"/>
      <w:marLeft w:val="0"/>
      <w:marRight w:val="0"/>
      <w:marTop w:val="0"/>
      <w:marBottom w:val="0"/>
      <w:divBdr>
        <w:top w:val="none" w:sz="0" w:space="0" w:color="auto"/>
        <w:left w:val="none" w:sz="0" w:space="0" w:color="auto"/>
        <w:bottom w:val="none" w:sz="0" w:space="0" w:color="auto"/>
        <w:right w:val="none" w:sz="0" w:space="0" w:color="auto"/>
      </w:divBdr>
    </w:div>
    <w:div w:id="945188433">
      <w:bodyDiv w:val="1"/>
      <w:marLeft w:val="0"/>
      <w:marRight w:val="0"/>
      <w:marTop w:val="0"/>
      <w:marBottom w:val="0"/>
      <w:divBdr>
        <w:top w:val="none" w:sz="0" w:space="0" w:color="auto"/>
        <w:left w:val="none" w:sz="0" w:space="0" w:color="auto"/>
        <w:bottom w:val="none" w:sz="0" w:space="0" w:color="auto"/>
        <w:right w:val="none" w:sz="0" w:space="0" w:color="auto"/>
      </w:divBdr>
    </w:div>
    <w:div w:id="958339066">
      <w:bodyDiv w:val="1"/>
      <w:marLeft w:val="0"/>
      <w:marRight w:val="0"/>
      <w:marTop w:val="0"/>
      <w:marBottom w:val="0"/>
      <w:divBdr>
        <w:top w:val="none" w:sz="0" w:space="0" w:color="auto"/>
        <w:left w:val="none" w:sz="0" w:space="0" w:color="auto"/>
        <w:bottom w:val="none" w:sz="0" w:space="0" w:color="auto"/>
        <w:right w:val="none" w:sz="0" w:space="0" w:color="auto"/>
      </w:divBdr>
    </w:div>
    <w:div w:id="1003239690">
      <w:bodyDiv w:val="1"/>
      <w:marLeft w:val="0"/>
      <w:marRight w:val="0"/>
      <w:marTop w:val="0"/>
      <w:marBottom w:val="0"/>
      <w:divBdr>
        <w:top w:val="none" w:sz="0" w:space="0" w:color="auto"/>
        <w:left w:val="none" w:sz="0" w:space="0" w:color="auto"/>
        <w:bottom w:val="none" w:sz="0" w:space="0" w:color="auto"/>
        <w:right w:val="none" w:sz="0" w:space="0" w:color="auto"/>
      </w:divBdr>
    </w:div>
    <w:div w:id="1024940449">
      <w:bodyDiv w:val="1"/>
      <w:marLeft w:val="0"/>
      <w:marRight w:val="0"/>
      <w:marTop w:val="0"/>
      <w:marBottom w:val="0"/>
      <w:divBdr>
        <w:top w:val="none" w:sz="0" w:space="0" w:color="auto"/>
        <w:left w:val="none" w:sz="0" w:space="0" w:color="auto"/>
        <w:bottom w:val="none" w:sz="0" w:space="0" w:color="auto"/>
        <w:right w:val="none" w:sz="0" w:space="0" w:color="auto"/>
      </w:divBdr>
    </w:div>
    <w:div w:id="1220820663">
      <w:bodyDiv w:val="1"/>
      <w:marLeft w:val="0"/>
      <w:marRight w:val="0"/>
      <w:marTop w:val="0"/>
      <w:marBottom w:val="0"/>
      <w:divBdr>
        <w:top w:val="none" w:sz="0" w:space="0" w:color="auto"/>
        <w:left w:val="none" w:sz="0" w:space="0" w:color="auto"/>
        <w:bottom w:val="none" w:sz="0" w:space="0" w:color="auto"/>
        <w:right w:val="none" w:sz="0" w:space="0" w:color="auto"/>
      </w:divBdr>
    </w:div>
    <w:div w:id="1307934302">
      <w:bodyDiv w:val="1"/>
      <w:marLeft w:val="0"/>
      <w:marRight w:val="0"/>
      <w:marTop w:val="0"/>
      <w:marBottom w:val="0"/>
      <w:divBdr>
        <w:top w:val="none" w:sz="0" w:space="0" w:color="auto"/>
        <w:left w:val="none" w:sz="0" w:space="0" w:color="auto"/>
        <w:bottom w:val="none" w:sz="0" w:space="0" w:color="auto"/>
        <w:right w:val="none" w:sz="0" w:space="0" w:color="auto"/>
      </w:divBdr>
    </w:div>
    <w:div w:id="1384215367">
      <w:bodyDiv w:val="1"/>
      <w:marLeft w:val="0"/>
      <w:marRight w:val="0"/>
      <w:marTop w:val="0"/>
      <w:marBottom w:val="0"/>
      <w:divBdr>
        <w:top w:val="none" w:sz="0" w:space="0" w:color="auto"/>
        <w:left w:val="none" w:sz="0" w:space="0" w:color="auto"/>
        <w:bottom w:val="none" w:sz="0" w:space="0" w:color="auto"/>
        <w:right w:val="none" w:sz="0" w:space="0" w:color="auto"/>
      </w:divBdr>
    </w:div>
    <w:div w:id="1465539452">
      <w:bodyDiv w:val="1"/>
      <w:marLeft w:val="0"/>
      <w:marRight w:val="0"/>
      <w:marTop w:val="0"/>
      <w:marBottom w:val="0"/>
      <w:divBdr>
        <w:top w:val="none" w:sz="0" w:space="0" w:color="auto"/>
        <w:left w:val="none" w:sz="0" w:space="0" w:color="auto"/>
        <w:bottom w:val="none" w:sz="0" w:space="0" w:color="auto"/>
        <w:right w:val="none" w:sz="0" w:space="0" w:color="auto"/>
      </w:divBdr>
    </w:div>
    <w:div w:id="1495340714">
      <w:bodyDiv w:val="1"/>
      <w:marLeft w:val="0"/>
      <w:marRight w:val="0"/>
      <w:marTop w:val="0"/>
      <w:marBottom w:val="0"/>
      <w:divBdr>
        <w:top w:val="none" w:sz="0" w:space="0" w:color="auto"/>
        <w:left w:val="none" w:sz="0" w:space="0" w:color="auto"/>
        <w:bottom w:val="none" w:sz="0" w:space="0" w:color="auto"/>
        <w:right w:val="none" w:sz="0" w:space="0" w:color="auto"/>
      </w:divBdr>
    </w:div>
    <w:div w:id="1520464968">
      <w:bodyDiv w:val="1"/>
      <w:marLeft w:val="0"/>
      <w:marRight w:val="0"/>
      <w:marTop w:val="0"/>
      <w:marBottom w:val="0"/>
      <w:divBdr>
        <w:top w:val="none" w:sz="0" w:space="0" w:color="auto"/>
        <w:left w:val="none" w:sz="0" w:space="0" w:color="auto"/>
        <w:bottom w:val="none" w:sz="0" w:space="0" w:color="auto"/>
        <w:right w:val="none" w:sz="0" w:space="0" w:color="auto"/>
      </w:divBdr>
    </w:div>
    <w:div w:id="1640112577">
      <w:bodyDiv w:val="1"/>
      <w:marLeft w:val="0"/>
      <w:marRight w:val="0"/>
      <w:marTop w:val="0"/>
      <w:marBottom w:val="0"/>
      <w:divBdr>
        <w:top w:val="none" w:sz="0" w:space="0" w:color="auto"/>
        <w:left w:val="none" w:sz="0" w:space="0" w:color="auto"/>
        <w:bottom w:val="none" w:sz="0" w:space="0" w:color="auto"/>
        <w:right w:val="none" w:sz="0" w:space="0" w:color="auto"/>
      </w:divBdr>
    </w:div>
    <w:div w:id="1712919004">
      <w:bodyDiv w:val="1"/>
      <w:marLeft w:val="0"/>
      <w:marRight w:val="0"/>
      <w:marTop w:val="0"/>
      <w:marBottom w:val="0"/>
      <w:divBdr>
        <w:top w:val="none" w:sz="0" w:space="0" w:color="auto"/>
        <w:left w:val="none" w:sz="0" w:space="0" w:color="auto"/>
        <w:bottom w:val="none" w:sz="0" w:space="0" w:color="auto"/>
        <w:right w:val="none" w:sz="0" w:space="0" w:color="auto"/>
      </w:divBdr>
    </w:div>
    <w:div w:id="1748115515">
      <w:bodyDiv w:val="1"/>
      <w:marLeft w:val="0"/>
      <w:marRight w:val="0"/>
      <w:marTop w:val="0"/>
      <w:marBottom w:val="0"/>
      <w:divBdr>
        <w:top w:val="none" w:sz="0" w:space="0" w:color="auto"/>
        <w:left w:val="none" w:sz="0" w:space="0" w:color="auto"/>
        <w:bottom w:val="none" w:sz="0" w:space="0" w:color="auto"/>
        <w:right w:val="none" w:sz="0" w:space="0" w:color="auto"/>
      </w:divBdr>
    </w:div>
    <w:div w:id="1753433780">
      <w:bodyDiv w:val="1"/>
      <w:marLeft w:val="0"/>
      <w:marRight w:val="0"/>
      <w:marTop w:val="0"/>
      <w:marBottom w:val="0"/>
      <w:divBdr>
        <w:top w:val="none" w:sz="0" w:space="0" w:color="auto"/>
        <w:left w:val="none" w:sz="0" w:space="0" w:color="auto"/>
        <w:bottom w:val="none" w:sz="0" w:space="0" w:color="auto"/>
        <w:right w:val="none" w:sz="0" w:space="0" w:color="auto"/>
      </w:divBdr>
    </w:div>
    <w:div w:id="1857843664">
      <w:bodyDiv w:val="1"/>
      <w:marLeft w:val="0"/>
      <w:marRight w:val="0"/>
      <w:marTop w:val="0"/>
      <w:marBottom w:val="0"/>
      <w:divBdr>
        <w:top w:val="none" w:sz="0" w:space="0" w:color="auto"/>
        <w:left w:val="none" w:sz="0" w:space="0" w:color="auto"/>
        <w:bottom w:val="none" w:sz="0" w:space="0" w:color="auto"/>
        <w:right w:val="none" w:sz="0" w:space="0" w:color="auto"/>
      </w:divBdr>
    </w:div>
    <w:div w:id="1888636456">
      <w:bodyDiv w:val="1"/>
      <w:marLeft w:val="0"/>
      <w:marRight w:val="0"/>
      <w:marTop w:val="0"/>
      <w:marBottom w:val="0"/>
      <w:divBdr>
        <w:top w:val="none" w:sz="0" w:space="0" w:color="auto"/>
        <w:left w:val="none" w:sz="0" w:space="0" w:color="auto"/>
        <w:bottom w:val="none" w:sz="0" w:space="0" w:color="auto"/>
        <w:right w:val="none" w:sz="0" w:space="0" w:color="auto"/>
      </w:divBdr>
    </w:div>
    <w:div w:id="1958488434">
      <w:bodyDiv w:val="1"/>
      <w:marLeft w:val="0"/>
      <w:marRight w:val="0"/>
      <w:marTop w:val="0"/>
      <w:marBottom w:val="0"/>
      <w:divBdr>
        <w:top w:val="none" w:sz="0" w:space="0" w:color="auto"/>
        <w:left w:val="none" w:sz="0" w:space="0" w:color="auto"/>
        <w:bottom w:val="none" w:sz="0" w:space="0" w:color="auto"/>
        <w:right w:val="none" w:sz="0" w:space="0" w:color="auto"/>
      </w:divBdr>
    </w:div>
    <w:div w:id="1962031632">
      <w:bodyDiv w:val="1"/>
      <w:marLeft w:val="0"/>
      <w:marRight w:val="0"/>
      <w:marTop w:val="0"/>
      <w:marBottom w:val="0"/>
      <w:divBdr>
        <w:top w:val="none" w:sz="0" w:space="0" w:color="auto"/>
        <w:left w:val="none" w:sz="0" w:space="0" w:color="auto"/>
        <w:bottom w:val="none" w:sz="0" w:space="0" w:color="auto"/>
        <w:right w:val="none" w:sz="0" w:space="0" w:color="auto"/>
      </w:divBdr>
    </w:div>
    <w:div w:id="1972589742">
      <w:bodyDiv w:val="1"/>
      <w:marLeft w:val="0"/>
      <w:marRight w:val="0"/>
      <w:marTop w:val="0"/>
      <w:marBottom w:val="0"/>
      <w:divBdr>
        <w:top w:val="none" w:sz="0" w:space="0" w:color="auto"/>
        <w:left w:val="none" w:sz="0" w:space="0" w:color="auto"/>
        <w:bottom w:val="none" w:sz="0" w:space="0" w:color="auto"/>
        <w:right w:val="none" w:sz="0" w:space="0" w:color="auto"/>
      </w:divBdr>
    </w:div>
    <w:div w:id="2045012412">
      <w:bodyDiv w:val="1"/>
      <w:marLeft w:val="0"/>
      <w:marRight w:val="0"/>
      <w:marTop w:val="0"/>
      <w:marBottom w:val="0"/>
      <w:divBdr>
        <w:top w:val="none" w:sz="0" w:space="0" w:color="auto"/>
        <w:left w:val="none" w:sz="0" w:space="0" w:color="auto"/>
        <w:bottom w:val="none" w:sz="0" w:space="0" w:color="auto"/>
        <w:right w:val="none" w:sz="0" w:space="0" w:color="auto"/>
      </w:divBdr>
    </w:div>
    <w:div w:id="2050451106">
      <w:bodyDiv w:val="1"/>
      <w:marLeft w:val="0"/>
      <w:marRight w:val="0"/>
      <w:marTop w:val="0"/>
      <w:marBottom w:val="0"/>
      <w:divBdr>
        <w:top w:val="none" w:sz="0" w:space="0" w:color="auto"/>
        <w:left w:val="none" w:sz="0" w:space="0" w:color="auto"/>
        <w:bottom w:val="none" w:sz="0" w:space="0" w:color="auto"/>
        <w:right w:val="none" w:sz="0" w:space="0" w:color="auto"/>
      </w:divBdr>
    </w:div>
    <w:div w:id="2078162434">
      <w:bodyDiv w:val="1"/>
      <w:marLeft w:val="0"/>
      <w:marRight w:val="0"/>
      <w:marTop w:val="0"/>
      <w:marBottom w:val="0"/>
      <w:divBdr>
        <w:top w:val="none" w:sz="0" w:space="0" w:color="auto"/>
        <w:left w:val="none" w:sz="0" w:space="0" w:color="auto"/>
        <w:bottom w:val="none" w:sz="0" w:space="0" w:color="auto"/>
        <w:right w:val="none" w:sz="0" w:space="0" w:color="auto"/>
      </w:divBdr>
    </w:div>
    <w:div w:id="2087453396">
      <w:bodyDiv w:val="1"/>
      <w:marLeft w:val="0"/>
      <w:marRight w:val="0"/>
      <w:marTop w:val="0"/>
      <w:marBottom w:val="0"/>
      <w:divBdr>
        <w:top w:val="none" w:sz="0" w:space="0" w:color="auto"/>
        <w:left w:val="none" w:sz="0" w:space="0" w:color="auto"/>
        <w:bottom w:val="none" w:sz="0" w:space="0" w:color="auto"/>
        <w:right w:val="none" w:sz="0" w:space="0" w:color="auto"/>
      </w:divBdr>
    </w:div>
    <w:div w:id="209855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pf.edu/web/antenas/el-neologismo-del-mes/-/asset_publisher/GhGirAynV0fp/content/id/6332740/maximize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Son19</b:Tag>
    <b:SourceType>JournalArticle</b:SourceType>
    <b:Guid>{3A153524-B337-4806-95EA-0866DB98C512}</b:Guid>
    <b:Author>
      <b:Author>
        <b:NameList>
          <b:Person>
            <b:Last>Álvarez</b:Last>
            <b:First>Sonia</b:First>
            <b:Middle>Venegas</b:Middle>
          </b:Person>
        </b:NameList>
      </b:Author>
    </b:Author>
    <b:Title>El derecho fundamental a la cultura física y al deporte: un derecho económico, social y cultural de reciente constitucionalización en México</b:Title>
    <b:JournalName>Cuestiones constitucionales</b:JournalName>
    <b:Year>2019</b:Year>
    <b:RefOrder>13</b:RefOrder>
  </b:Source>
  <b:Source xmlns:b="http://schemas.openxmlformats.org/officeDocument/2006/bibliography">
    <b:Tag>Wil04</b:Tag>
    <b:SourceType>JournalArticle</b:SourceType>
    <b:Guid>{3C3817F1-D25A-48E8-9CCF-FB8C8E341818}</b:Guid>
    <b:Author>
      <b:Author>
        <b:NameList>
          <b:Person>
            <b:Last>William Ramírez</b:Last>
            <b:First>Stefano</b:First>
            <b:Middle>Vinaccia y Gustavo Ramón Suárez</b:Middle>
          </b:Person>
        </b:NameList>
      </b:Author>
    </b:Author>
    <b:Title>EL IMPACTO DE LA ACTIVIDAD FÍSICA  Y EL DEPORTESOBRE LA SALUD, LA COGNICIÓN, LA SOCIALIZACIÓNY EL RENDIMIENTO ACADÉMICO: UNA REVISIÓN TEÓRICA</b:Title>
    <b:JournalName>Estudios Sociale</b:JournalName>
    <b:Year>2004</b:Year>
    <b:Pages>75</b:Pages>
    <b:RefOrder>14</b:RefOrder>
  </b:Source>
  <b:Source xmlns:b="http://schemas.openxmlformats.org/officeDocument/2006/bibliography">
    <b:Tag>Lis15</b:Tag>
    <b:SourceType>JournalArticle</b:SourceType>
    <b:Guid>{EA688809-6D86-4D7D-8819-FF11DCAB5E5E}</b:Guid>
    <b:Title>Significado del deporte en la dimensión social de la salud</b:Title>
    <b:Year>2015</b:Year>
    <b:Pages>33</b:Pages>
    <b:Author>
      <b:Author>
        <b:NameList>
          <b:Person>
            <b:Last>Díaz</b:Last>
            <b:First>Lismey</b:First>
            <b:Middle>Britapaz Avarez y Jorge Del Valle</b:Middle>
          </b:Person>
        </b:NameList>
      </b:Author>
    </b:Author>
    <b:JournalName>Salus</b:JournalName>
    <b:RefOrder>15</b:RefOrder>
  </b:Source>
  <b:Source>
    <b:Tag>ASA20</b:Tag>
    <b:SourceType>Book</b:SourceType>
    <b:Guid>{00FFF1D9-D6EC-4F91-B921-1304C58415AB}</b:Guid>
    <b:Author>
      <b:Author>
        <b:NameList>
          <b:Person>
            <b:Last>ASALE</b:Last>
            <b:First>RAE</b:First>
          </b:Person>
        </b:NameList>
      </b:Author>
    </b:Author>
    <b:Title>Diccionario de la lengua española</b:Title>
    <b:JournalName>Edición del Triventenario </b:JournalName>
    <b:Year>2020</b:Year>
    <b:City>españa</b:City>
    <b:RefOrder>1</b:RefOrder>
  </b:Source>
  <b:Source>
    <b:Tag>Car00</b:Tag>
    <b:SourceType>JournalArticle</b:SourceType>
    <b:Guid>{90351BAF-99AA-413F-850D-B4F3D8430A0F}</b:Guid>
    <b:Author>
      <b:Author>
        <b:NameList>
          <b:Person>
            <b:Last>Carmichael</b:Last>
            <b:First>F</b:First>
          </b:Person>
          <b:Person>
            <b:Last>Woods</b:Last>
            <b:First>R</b:First>
          </b:Person>
        </b:NameList>
      </b:Author>
    </b:Author>
    <b:Title>Ethic Penalties in Unemployment and occupation Attainment: Evidence for Britain</b:Title>
    <b:Year>2000</b:Year>
    <b:City>Gran Bretaña </b:City>
    <b:Publisher>Taylor is Francis online</b:Publisher>
    <b:JournalName>Revistas Internacional de Economía Aplicada </b:JournalName>
    <b:Pages>71-98</b:Pages>
    <b:RefOrder>2</b:RefOrder>
  </b:Source>
  <b:Source>
    <b:Tag>Jua17</b:Tag>
    <b:SourceType>InternetSite</b:SourceType>
    <b:Guid>{A6270634-3837-46AA-A121-D8BF15A25246}</b:Guid>
    <b:Title>Psicología y mente</b:Title>
    <b:Year>2017</b:Year>
    <b:Author>
      <b:Author>
        <b:NameList>
          <b:Person>
            <b:Last>Corbin</b:Last>
            <b:First>Juan</b:First>
            <b:Middle>Armando</b:Middle>
          </b:Person>
        </b:NameList>
      </b:Author>
    </b:Author>
    <b:InternetSiteTitle>Psicología y mente </b:InternetSiteTitle>
    <b:Month>febrero</b:Month>
    <b:Day>11</b:Day>
    <b:URL>https://psicologiaymente.com/social/tipos-de-discriminacion</b:URL>
    <b:RefOrder>8</b:RefOrder>
  </b:Source>
  <b:Source>
    <b:Tag>TRE01</b:Tag>
    <b:SourceType>Book</b:SourceType>
    <b:Guid>{F4FAA46B-B219-4FAC-B5ED-0A3F6A7F37D0}</b:Guid>
    <b:Author>
      <b:Author>
        <b:NameList>
          <b:Person>
            <b:Last>TREJO MATURANA</b:Last>
            <b:First>C.</b:First>
          </b:Person>
        </b:NameList>
      </b:Author>
    </b:Author>
    <b:Title>El viejo en la historia </b:Title>
    <b:Year>2001</b:Year>
    <b:City>Chile</b:City>
    <b:Publisher>Acta Bioethica</b:Publisher>
    <b:RefOrder>3</b:RefOrder>
  </b:Source>
  <b:Source>
    <b:Tag>Deb95</b:Tag>
    <b:SourceType>Book</b:SourceType>
    <b:Guid>{6BF2DA65-4E06-4F31-8514-B4C8107BD4EA}</b:Guid>
    <b:Author>
      <b:Author>
        <b:NameList>
          <b:Person>
            <b:Last>Debray</b:Last>
            <b:First>R.</b:First>
          </b:Person>
        </b:NameList>
      </b:Author>
    </b:Author>
    <b:Title>El Estado Seductor</b:Title>
    <b:Year>1995</b:Year>
    <b:City>Buenos Aires</b:City>
    <b:Publisher>Manantial</b:Publisher>
    <b:RefOrder>4</b:RefOrder>
  </b:Source>
  <b:Source>
    <b:Tag>Rei20</b:Tag>
    <b:SourceType>Book</b:SourceType>
    <b:Guid>{A3388D60-4172-4A42-BD5F-8921B19AEB87}</b:Guid>
    <b:Author>
      <b:Author>
        <b:NameList>
          <b:Person>
            <b:Last>Reina Valera Ex 17:5</b:Last>
          </b:Person>
        </b:NameList>
      </b:Author>
    </b:Author>
    <b:Title>(Exodo 17: 5).</b:Title>
    <b:Year>2020</b:Year>
    <b:City>Bogotá</b:City>
    <b:Publisher>Reina Valera</b:Publisher>
    <b:RefOrder>5</b:RefOrder>
  </b:Source>
  <b:Source>
    <b:Tag>Gaf95</b:Tag>
    <b:SourceType>Book</b:SourceType>
    <b:Guid>{99F90FFA-86A3-4CE3-853A-B028AA8DE382}</b:Guid>
    <b:Author>
      <b:Author>
        <b:NameList>
          <b:Person>
            <b:Last>Gafo</b:Last>
            <b:First>J</b:First>
          </b:Person>
        </b:NameList>
      </b:Author>
    </b:Author>
    <b:Title>La Iglesia Católica y la Tradición cristiana ante la ancianidad</b:Title>
    <b:Year>1995</b:Year>
    <b:City>Madrid</b:City>
    <b:Publisher>Ética y ancianidad</b:Publisher>
    <b:RefOrder>6</b:RefOrder>
  </b:Source>
  <b:Source>
    <b:Tag>MAR22</b:Tag>
    <b:SourceType>JournalArticle</b:SourceType>
    <b:Guid>{FA61D34A-CC71-4558-B25D-35B17DD8A9AB}</b:Guid>
    <b:Author>
      <b:Author>
        <b:NameList>
          <b:Person>
            <b:Last>MARTIN</b:Last>
            <b:First>Nuria</b:First>
            <b:Middle>Belloso.</b:Middle>
          </b:Person>
        </b:NameList>
      </b:Author>
    </b:Author>
    <b:Title>Las personas mayores en el contexto de la sociedad paliativa. Algunas reflexionas desde la filosofía de BYUNG. CHUL HAN</b:Title>
    <b:Year>2022</b:Year>
    <b:Publisher>Revista Internacional CONSINTER de Direito - Publicação Oficial do Conselho Internacional de Estudos Contemporâneos em Pós-Graduação</b:Publisher>
    <b:JournalName>Revista Internacional CONSINTER de Direito - Publicação Oficial do Conselho Internacional de Estudos Contemporâneos em Pós-Graduação</b:JournalName>
    <b:Pages>153 - 182</b:Pages>
    <b:RefOrder>7</b:RefOrder>
  </b:Source>
  <b:Source>
    <b:Tag>Kri11</b:Tag>
    <b:SourceType>JournalArticle</b:SourceType>
    <b:Guid>{4F51D54C-3FE3-4CE6-A1B6-B767E87EC205}</b:Guid>
    <b:Author>
      <b:Author>
        <b:NameList>
          <b:Person>
            <b:Last>Krings</b:Last>
            <b:First>F.,</b:First>
            <b:Middle>Sczesny, S. &amp; Kluge, A.</b:Middle>
          </b:Person>
        </b:NameList>
      </b:Author>
    </b:Author>
    <b:Title>Stereotypical inferences as mediators of age discrimination: The role of competence and warmth.</b:Title>
    <b:JournalName> British Journal of Management</b:JournalName>
    <b:Year>2011</b:Year>
    <b:Pages>187-201</b:Pages>
    <b:RefOrder>9</b:RefOrder>
  </b:Source>
  <b:Source>
    <b:Tag>Pos09</b:Tag>
    <b:SourceType>JournalArticle</b:SourceType>
    <b:Guid>{0AE29B2B-7F4C-4EF5-9AB0-0F79B5B44435}</b:Guid>
    <b:Author>
      <b:Author>
        <b:NameList>
          <b:Person>
            <b:Last>Posthuma</b:Last>
            <b:First>R.A.,</b:First>
            <b:Middle>&amp; Campion, M.A.</b:Middle>
          </b:Person>
        </b:NameList>
      </b:Author>
    </b:Author>
    <b:Title>Age stereotypes in the workplace: Common stereotypes, moderators, and future research directions.</b:Title>
    <b:JournalName>Journal of Management</b:JournalName>
    <b:Year>2009</b:Year>
    <b:Pages>158-188</b:Pages>
    <b:RefOrder>10</b:RefOrder>
  </b:Source>
  <b:Source>
    <b:Tag>McD12</b:Tag>
    <b:SourceType>JournalArticle</b:SourceType>
    <b:Guid>{1BEFBE0C-F630-4B8B-8B83-5C2C49B667C4}</b:Guid>
    <b:Author>
      <b:Author>
        <b:NameList>
          <b:Person>
            <b:Last>McDaniel</b:Last>
            <b:First>M.,</b:First>
            <b:Middle>Pesta, B. &amp; Banks, G.</b:Middle>
          </b:Person>
        </b:NameList>
      </b:Author>
    </b:Author>
    <b:Title>Job performance and the aging worker.</b:Title>
    <b:JournalName>The Oxford Handbook of Work and Aging</b:JournalName>
    <b:Year>2012</b:Year>
    <b:Pages>280-297</b:Pages>
    <b:RefOrder>11</b:RefOrder>
  </b:Source>
  <b:Source>
    <b:Tag>Mar15</b:Tag>
    <b:SourceType>JournalArticle</b:SourceType>
    <b:Guid>{E8A1D2D3-3AD2-440D-8325-B5EB03CA6E14}</b:Guid>
    <b:Author>
      <b:Author>
        <b:NameList>
          <b:Person>
            <b:Last>Martínez-Restrepo</b:Last>
            <b:First>Susana</b:First>
          </b:Person>
          <b:Person>
            <b:Last>Enríquez</b:Last>
            <b:First>Erika</b:First>
          </b:Person>
          <b:Person>
            <b:Last>Pertuz</b:Last>
            <b:First>María</b:First>
            <b:Middle>Cecilia y Alzate-Mesa, Juan Pablo.</b:Middle>
          </b:Person>
        </b:NameList>
      </b:Author>
    </b:Author>
    <b:Title>El mercado laboral y las personas mayores.</b:Title>
    <b:JournalName>Editorial Fundación Saldarriaga Concha. </b:JournalName>
    <b:Year>2015</b:Year>
    <b:Pages>25-30</b:Pages>
    <b:RefOrder>12</b:RefOrder>
  </b:Source>
</b:Sources>
</file>

<file path=customXml/itemProps1.xml><?xml version="1.0" encoding="utf-8"?>
<ds:datastoreItem xmlns:ds="http://schemas.openxmlformats.org/officeDocument/2006/customXml" ds:itemID="{C6633D75-62FE-4DD9-B6BA-6FA6BBDE0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4821</Words>
  <Characters>26516</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Yepes Caro</dc:creator>
  <cp:keywords/>
  <dc:description/>
  <cp:lastModifiedBy>Cristian Giovanni Moran Leon</cp:lastModifiedBy>
  <cp:revision>2</cp:revision>
  <dcterms:created xsi:type="dcterms:W3CDTF">2022-11-30T14:32:00Z</dcterms:created>
  <dcterms:modified xsi:type="dcterms:W3CDTF">2022-11-30T14:32:00Z</dcterms:modified>
</cp:coreProperties>
</file>