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7A5E35" w14:textId="162F12C0" w:rsidR="00921E3F" w:rsidRPr="008D46B7" w:rsidRDefault="002A024A" w:rsidP="00921E3F">
      <w:pPr>
        <w:spacing w:line="276" w:lineRule="auto"/>
        <w:rPr>
          <w:rFonts w:ascii="Arial" w:hAnsi="Arial" w:cs="Arial"/>
        </w:rPr>
      </w:pPr>
      <w:bookmarkStart w:id="0" w:name="_GoBack"/>
      <w:bookmarkEnd w:id="0"/>
      <w:r>
        <w:rPr>
          <w:rFonts w:ascii="Arial" w:hAnsi="Arial" w:cs="Arial"/>
        </w:rPr>
        <w:t xml:space="preserve">Bogotá D.C., </w:t>
      </w:r>
      <w:r w:rsidR="000D0D45">
        <w:rPr>
          <w:rFonts w:ascii="Arial" w:hAnsi="Arial" w:cs="Arial"/>
        </w:rPr>
        <w:t xml:space="preserve">octubre </w:t>
      </w:r>
      <w:r w:rsidR="0084099D" w:rsidRPr="008D46B7">
        <w:rPr>
          <w:rFonts w:ascii="Arial" w:hAnsi="Arial" w:cs="Arial"/>
        </w:rPr>
        <w:t>de 2022</w:t>
      </w:r>
    </w:p>
    <w:p w14:paraId="757CE70D" w14:textId="77777777" w:rsidR="00921E3F" w:rsidRPr="008D46B7" w:rsidRDefault="00921E3F" w:rsidP="00921E3F">
      <w:pPr>
        <w:rPr>
          <w:rFonts w:ascii="Arial" w:hAnsi="Arial" w:cs="Arial"/>
        </w:rPr>
      </w:pPr>
      <w:r w:rsidRPr="008D46B7">
        <w:rPr>
          <w:rFonts w:ascii="Arial" w:hAnsi="Arial" w:cs="Arial"/>
        </w:rPr>
        <w:t>Doctor</w:t>
      </w:r>
    </w:p>
    <w:p w14:paraId="53B8C8B8" w14:textId="7F42F4E2" w:rsidR="00921E3F" w:rsidRPr="00BD28AA" w:rsidRDefault="00921E3F" w:rsidP="00BD28AA">
      <w:pPr>
        <w:jc w:val="both"/>
        <w:rPr>
          <w:rFonts w:ascii="Arial" w:hAnsi="Arial" w:cs="Arial"/>
          <w:b/>
        </w:rPr>
      </w:pPr>
      <w:r w:rsidRPr="008D46B7">
        <w:rPr>
          <w:rFonts w:ascii="Arial" w:hAnsi="Arial" w:cs="Arial"/>
          <w:b/>
        </w:rPr>
        <w:t>J</w:t>
      </w:r>
      <w:r w:rsidR="00BD28AA" w:rsidRPr="00BD28AA">
        <w:rPr>
          <w:rFonts w:ascii="Arial" w:hAnsi="Arial" w:cs="Arial"/>
          <w:b/>
        </w:rPr>
        <w:t>aime Luis Lacouture Peñaloza</w:t>
      </w:r>
    </w:p>
    <w:p w14:paraId="72F9235E" w14:textId="77777777" w:rsidR="00921E3F" w:rsidRPr="008D46B7" w:rsidRDefault="00921E3F" w:rsidP="00921E3F">
      <w:pPr>
        <w:rPr>
          <w:rFonts w:ascii="Arial" w:hAnsi="Arial" w:cs="Arial"/>
        </w:rPr>
      </w:pPr>
      <w:r w:rsidRPr="008D46B7">
        <w:rPr>
          <w:rFonts w:ascii="Arial" w:hAnsi="Arial" w:cs="Arial"/>
          <w:b/>
        </w:rPr>
        <w:t>Secretario General</w:t>
      </w:r>
    </w:p>
    <w:p w14:paraId="5ACEB5E6" w14:textId="77777777" w:rsidR="00921E3F" w:rsidRPr="008D46B7" w:rsidRDefault="00921E3F" w:rsidP="00921E3F">
      <w:pPr>
        <w:rPr>
          <w:rFonts w:ascii="Arial" w:hAnsi="Arial" w:cs="Arial"/>
        </w:rPr>
      </w:pPr>
      <w:r w:rsidRPr="008D46B7">
        <w:rPr>
          <w:rFonts w:ascii="Arial" w:hAnsi="Arial" w:cs="Arial"/>
        </w:rPr>
        <w:t>Cámara de Representantes</w:t>
      </w:r>
    </w:p>
    <w:p w14:paraId="47250FFF" w14:textId="77777777" w:rsidR="00921E3F" w:rsidRPr="008D46B7" w:rsidRDefault="00921E3F" w:rsidP="00921E3F">
      <w:pPr>
        <w:rPr>
          <w:rFonts w:ascii="Arial" w:hAnsi="Arial" w:cs="Arial"/>
        </w:rPr>
      </w:pPr>
      <w:r w:rsidRPr="008D46B7">
        <w:rPr>
          <w:rFonts w:ascii="Arial" w:hAnsi="Arial" w:cs="Arial"/>
        </w:rPr>
        <w:t>Ciudad</w:t>
      </w:r>
    </w:p>
    <w:p w14:paraId="73E38280" w14:textId="77777777" w:rsidR="00921E3F" w:rsidRPr="008D46B7" w:rsidRDefault="00921E3F" w:rsidP="00921E3F">
      <w:pPr>
        <w:spacing w:line="276" w:lineRule="auto"/>
        <w:rPr>
          <w:rFonts w:ascii="Arial" w:hAnsi="Arial" w:cs="Arial"/>
        </w:rPr>
      </w:pPr>
    </w:p>
    <w:p w14:paraId="7A1252AC" w14:textId="77777777" w:rsidR="00921E3F" w:rsidRPr="008D46B7" w:rsidRDefault="00921E3F" w:rsidP="00921E3F">
      <w:pPr>
        <w:jc w:val="both"/>
        <w:rPr>
          <w:rFonts w:ascii="Arial" w:hAnsi="Arial" w:cs="Arial"/>
          <w:b/>
        </w:rPr>
      </w:pPr>
    </w:p>
    <w:p w14:paraId="2BFA7929" w14:textId="22296276" w:rsidR="00921E3F" w:rsidRPr="008D46B7" w:rsidRDefault="00921E3F" w:rsidP="00921E3F">
      <w:pPr>
        <w:ind w:left="2124"/>
        <w:jc w:val="both"/>
        <w:rPr>
          <w:rFonts w:ascii="Arial" w:hAnsi="Arial" w:cs="Arial"/>
          <w:b/>
          <w:i/>
        </w:rPr>
      </w:pPr>
      <w:r w:rsidRPr="008D46B7">
        <w:rPr>
          <w:rFonts w:ascii="Arial" w:hAnsi="Arial" w:cs="Arial"/>
          <w:b/>
        </w:rPr>
        <w:t xml:space="preserve">Asunto: </w:t>
      </w:r>
      <w:r w:rsidRPr="008D46B7">
        <w:rPr>
          <w:rFonts w:ascii="Arial" w:hAnsi="Arial" w:cs="Arial"/>
          <w:b/>
          <w:i/>
        </w:rPr>
        <w:t xml:space="preserve">Radicación del Proyecto de Ley Estatutaria: “Por medio de la cual se modifica el Decreto – Ley 2591 de 1991, </w:t>
      </w:r>
      <w:r w:rsidR="00F137F0">
        <w:rPr>
          <w:rFonts w:ascii="Arial" w:hAnsi="Arial" w:cs="Arial"/>
          <w:b/>
          <w:i/>
        </w:rPr>
        <w:t xml:space="preserve">y se dictan otras disposiciones” o </w:t>
      </w:r>
      <w:r w:rsidR="00E318FA">
        <w:rPr>
          <w:rFonts w:ascii="Arial" w:hAnsi="Arial" w:cs="Arial"/>
          <w:b/>
          <w:i/>
        </w:rPr>
        <w:t>“</w:t>
      </w:r>
      <w:r w:rsidR="00D36BDA">
        <w:rPr>
          <w:rFonts w:ascii="Arial" w:hAnsi="Arial" w:cs="Arial"/>
          <w:b/>
          <w:i/>
        </w:rPr>
        <w:t>Los derechos se respetan”</w:t>
      </w:r>
      <w:r w:rsidRPr="008D46B7">
        <w:rPr>
          <w:rFonts w:ascii="Arial" w:hAnsi="Arial" w:cs="Arial"/>
          <w:b/>
          <w:i/>
        </w:rPr>
        <w:t>.</w:t>
      </w:r>
    </w:p>
    <w:p w14:paraId="4306EA4B" w14:textId="77777777" w:rsidR="00921E3F" w:rsidRPr="008D46B7" w:rsidRDefault="00921E3F" w:rsidP="00921E3F">
      <w:pPr>
        <w:ind w:left="2124"/>
        <w:jc w:val="both"/>
        <w:rPr>
          <w:rFonts w:ascii="Arial" w:hAnsi="Arial" w:cs="Arial"/>
          <w:b/>
          <w:i/>
        </w:rPr>
      </w:pPr>
    </w:p>
    <w:p w14:paraId="7B571543" w14:textId="77777777" w:rsidR="00921E3F" w:rsidRPr="008D46B7" w:rsidRDefault="00921E3F" w:rsidP="00921E3F">
      <w:pPr>
        <w:jc w:val="both"/>
        <w:rPr>
          <w:rFonts w:ascii="Arial" w:hAnsi="Arial" w:cs="Arial"/>
          <w:b/>
          <w:i/>
        </w:rPr>
      </w:pPr>
      <w:r w:rsidRPr="008D46B7">
        <w:rPr>
          <w:rFonts w:ascii="Arial" w:hAnsi="Arial" w:cs="Arial"/>
          <w:b/>
          <w:i/>
        </w:rPr>
        <w:t xml:space="preserve"> </w:t>
      </w:r>
    </w:p>
    <w:p w14:paraId="56D79942" w14:textId="0070AD7F" w:rsidR="00921E3F" w:rsidRPr="00BD28AA" w:rsidRDefault="00921E3F" w:rsidP="00BD28AA">
      <w:pPr>
        <w:jc w:val="both"/>
        <w:rPr>
          <w:rFonts w:ascii="Arial" w:hAnsi="Arial" w:cs="Arial"/>
        </w:rPr>
      </w:pPr>
      <w:r w:rsidRPr="008D46B7">
        <w:rPr>
          <w:rFonts w:ascii="Arial" w:hAnsi="Arial" w:cs="Arial"/>
        </w:rPr>
        <w:t>Respetado Doctor J</w:t>
      </w:r>
      <w:r w:rsidR="00BD28AA" w:rsidRPr="00BD28AA">
        <w:rPr>
          <w:rFonts w:ascii="Arial" w:hAnsi="Arial" w:cs="Arial"/>
        </w:rPr>
        <w:t>aime Luis Lacouture Peñaloza</w:t>
      </w:r>
      <w:r w:rsidRPr="008D46B7">
        <w:rPr>
          <w:rFonts w:ascii="Arial" w:hAnsi="Arial" w:cs="Arial"/>
        </w:rPr>
        <w:t>:</w:t>
      </w:r>
    </w:p>
    <w:p w14:paraId="281F64CD" w14:textId="77777777" w:rsidR="00921E3F" w:rsidRPr="008D46B7" w:rsidRDefault="00921E3F" w:rsidP="00921E3F">
      <w:pPr>
        <w:spacing w:line="276" w:lineRule="auto"/>
        <w:jc w:val="both"/>
        <w:rPr>
          <w:rFonts w:ascii="Arial" w:hAnsi="Arial" w:cs="Arial"/>
        </w:rPr>
      </w:pPr>
    </w:p>
    <w:p w14:paraId="378325BB" w14:textId="77777777" w:rsidR="00921E3F" w:rsidRPr="008D46B7" w:rsidRDefault="00921E3F" w:rsidP="00921E3F">
      <w:pPr>
        <w:spacing w:line="276" w:lineRule="auto"/>
        <w:jc w:val="both"/>
        <w:rPr>
          <w:rFonts w:ascii="Arial" w:hAnsi="Arial" w:cs="Arial"/>
        </w:rPr>
      </w:pPr>
      <w:r w:rsidRPr="008D46B7">
        <w:rPr>
          <w:rFonts w:ascii="Arial" w:hAnsi="Arial" w:cs="Arial"/>
        </w:rPr>
        <w:t>Por medio de la presente, muy comedidamente me permito radicar el Proyecto de Ley del asunto. En tal sentido, respetuosamente solicito proceder según el trámite previsto legal y constitucionalmente para tales efectos.</w:t>
      </w:r>
    </w:p>
    <w:p w14:paraId="3D4B5259" w14:textId="77777777" w:rsidR="00921E3F" w:rsidRPr="008D46B7" w:rsidRDefault="00921E3F" w:rsidP="00921E3F">
      <w:pPr>
        <w:spacing w:line="276" w:lineRule="auto"/>
        <w:jc w:val="both"/>
        <w:rPr>
          <w:rFonts w:ascii="Arial" w:hAnsi="Arial" w:cs="Arial"/>
        </w:rPr>
      </w:pPr>
    </w:p>
    <w:p w14:paraId="0DA2EAE4" w14:textId="77777777" w:rsidR="00921E3F" w:rsidRPr="008D46B7" w:rsidRDefault="00921E3F" w:rsidP="00921E3F">
      <w:pPr>
        <w:tabs>
          <w:tab w:val="left" w:pos="3915"/>
        </w:tabs>
        <w:spacing w:line="276" w:lineRule="auto"/>
        <w:jc w:val="both"/>
        <w:rPr>
          <w:rFonts w:ascii="Arial" w:hAnsi="Arial" w:cs="Arial"/>
        </w:rPr>
      </w:pPr>
      <w:r w:rsidRPr="008D46B7">
        <w:rPr>
          <w:rFonts w:ascii="Arial" w:hAnsi="Arial" w:cs="Arial"/>
        </w:rPr>
        <w:t xml:space="preserve">Cordialmente, </w:t>
      </w:r>
    </w:p>
    <w:p w14:paraId="3E19D60A" w14:textId="77777777" w:rsidR="00921E3F" w:rsidRPr="008D46B7" w:rsidRDefault="00921E3F" w:rsidP="00921E3F">
      <w:pPr>
        <w:jc w:val="center"/>
        <w:rPr>
          <w:rFonts w:ascii="Arial" w:hAnsi="Arial" w:cs="Arial"/>
          <w:b/>
        </w:rPr>
      </w:pPr>
    </w:p>
    <w:p w14:paraId="003513BB" w14:textId="5021018D" w:rsidR="00921E3F" w:rsidRDefault="00921E3F" w:rsidP="00921E3F">
      <w:pPr>
        <w:rPr>
          <w:rFonts w:ascii="Arial" w:hAnsi="Arial" w:cs="Arial"/>
          <w:noProof/>
          <w:lang w:eastAsia="es-CO"/>
        </w:rPr>
      </w:pPr>
    </w:p>
    <w:p w14:paraId="1D45633A" w14:textId="09FC7C38" w:rsidR="00F20A48" w:rsidRDefault="00F20A48" w:rsidP="00921E3F">
      <w:pPr>
        <w:rPr>
          <w:rFonts w:ascii="Arial" w:hAnsi="Arial" w:cs="Arial"/>
          <w:noProof/>
          <w:lang w:eastAsia="es-CO"/>
        </w:rPr>
      </w:pPr>
    </w:p>
    <w:p w14:paraId="36362325" w14:textId="55EF2220" w:rsidR="00F20A48" w:rsidRDefault="00F20A48" w:rsidP="00921E3F">
      <w:pPr>
        <w:rPr>
          <w:rFonts w:ascii="Arial" w:hAnsi="Arial" w:cs="Arial"/>
          <w:noProof/>
          <w:lang w:eastAsia="es-CO"/>
        </w:rPr>
      </w:pPr>
    </w:p>
    <w:p w14:paraId="51FCFDBD" w14:textId="77777777" w:rsidR="00F20A48" w:rsidRDefault="00F20A48" w:rsidP="00921E3F">
      <w:pPr>
        <w:rPr>
          <w:rFonts w:ascii="Arial" w:hAnsi="Arial" w:cs="Arial"/>
          <w:noProof/>
          <w:lang w:eastAsia="es-CO"/>
        </w:rPr>
      </w:pPr>
    </w:p>
    <w:p w14:paraId="0F429519" w14:textId="0BCCF007" w:rsidR="00921E3F" w:rsidRPr="008D46B7" w:rsidRDefault="00F20A48" w:rsidP="00921E3F">
      <w:pPr>
        <w:tabs>
          <w:tab w:val="left" w:pos="3915"/>
        </w:tabs>
        <w:spacing w:line="276" w:lineRule="auto"/>
        <w:jc w:val="both"/>
        <w:rPr>
          <w:rFonts w:ascii="Arial" w:hAnsi="Arial" w:cs="Arial"/>
          <w:b/>
        </w:rPr>
      </w:pPr>
      <w:r>
        <w:rPr>
          <w:rFonts w:ascii="Arial" w:hAnsi="Arial" w:cs="Arial"/>
          <w:b/>
        </w:rPr>
        <w:t xml:space="preserve">HECTOR DAVID CHAPARRO </w:t>
      </w:r>
    </w:p>
    <w:p w14:paraId="085EA15A" w14:textId="77777777" w:rsidR="00921E3F" w:rsidRPr="008D46B7" w:rsidRDefault="00921E3F" w:rsidP="00921E3F">
      <w:pPr>
        <w:jc w:val="both"/>
        <w:rPr>
          <w:rFonts w:ascii="Arial" w:hAnsi="Arial" w:cs="Arial"/>
          <w:lang w:val="es-ES"/>
        </w:rPr>
      </w:pPr>
      <w:r w:rsidRPr="008D46B7">
        <w:rPr>
          <w:rFonts w:ascii="Arial" w:hAnsi="Arial" w:cs="Arial"/>
          <w:lang w:val="es-ES"/>
        </w:rPr>
        <w:t>Representante a la Cámara</w:t>
      </w:r>
      <w:r w:rsidRPr="008D46B7">
        <w:rPr>
          <w:rFonts w:ascii="Arial" w:hAnsi="Arial" w:cs="Arial"/>
          <w:lang w:val="es-ES"/>
        </w:rPr>
        <w:tab/>
      </w:r>
    </w:p>
    <w:p w14:paraId="31609D32" w14:textId="77777777" w:rsidR="00921E3F" w:rsidRPr="008D46B7" w:rsidRDefault="00921E3F" w:rsidP="00921E3F">
      <w:pPr>
        <w:rPr>
          <w:rFonts w:ascii="Arial" w:hAnsi="Arial" w:cs="Arial"/>
          <w:b/>
        </w:rPr>
      </w:pPr>
      <w:r w:rsidRPr="008D46B7">
        <w:rPr>
          <w:rFonts w:ascii="Arial" w:hAnsi="Arial" w:cs="Arial"/>
          <w:lang w:val="es-ES"/>
        </w:rPr>
        <w:t>Partido Liberal</w:t>
      </w:r>
      <w:r w:rsidRPr="008D46B7">
        <w:rPr>
          <w:rFonts w:ascii="Arial" w:hAnsi="Arial" w:cs="Arial"/>
          <w:lang w:val="es-ES"/>
        </w:rPr>
        <w:tab/>
      </w:r>
    </w:p>
    <w:p w14:paraId="04946EFF" w14:textId="49FF5364" w:rsidR="00921E3F" w:rsidRPr="008D46B7" w:rsidRDefault="00921E3F" w:rsidP="00664E04">
      <w:pPr>
        <w:rPr>
          <w:rFonts w:ascii="Arial" w:hAnsi="Arial" w:cs="Arial"/>
          <w:b/>
        </w:rPr>
      </w:pPr>
    </w:p>
    <w:p w14:paraId="4999BAE4" w14:textId="70DBA8A9" w:rsidR="00921E3F" w:rsidRDefault="00921E3F" w:rsidP="00664E04">
      <w:pPr>
        <w:rPr>
          <w:rFonts w:ascii="Arial" w:hAnsi="Arial" w:cs="Arial"/>
          <w:b/>
        </w:rPr>
      </w:pPr>
    </w:p>
    <w:p w14:paraId="35E256CD" w14:textId="4728D69B" w:rsidR="00015994" w:rsidRDefault="00015994" w:rsidP="00664E04">
      <w:pPr>
        <w:rPr>
          <w:rFonts w:ascii="Arial" w:hAnsi="Arial" w:cs="Arial"/>
          <w:b/>
        </w:rPr>
      </w:pPr>
    </w:p>
    <w:p w14:paraId="04BDD3E0" w14:textId="0175EA82" w:rsidR="00015994" w:rsidRDefault="00015994" w:rsidP="00664E04">
      <w:pPr>
        <w:rPr>
          <w:rFonts w:ascii="Arial" w:hAnsi="Arial" w:cs="Arial"/>
          <w:b/>
        </w:rPr>
      </w:pPr>
    </w:p>
    <w:p w14:paraId="23B21E32" w14:textId="033D3B03" w:rsidR="00015994" w:rsidRDefault="00015994" w:rsidP="00664E04">
      <w:pPr>
        <w:rPr>
          <w:rFonts w:ascii="Arial" w:hAnsi="Arial" w:cs="Arial"/>
          <w:b/>
        </w:rPr>
      </w:pPr>
    </w:p>
    <w:p w14:paraId="5F0D8EB5" w14:textId="2628A92F" w:rsidR="00015994" w:rsidRDefault="00015994" w:rsidP="00664E04">
      <w:pPr>
        <w:rPr>
          <w:rFonts w:ascii="Arial" w:hAnsi="Arial" w:cs="Arial"/>
          <w:b/>
        </w:rPr>
      </w:pPr>
    </w:p>
    <w:p w14:paraId="00EF46B2" w14:textId="7677CD3D" w:rsidR="00015994" w:rsidRDefault="00015994" w:rsidP="00664E04">
      <w:pPr>
        <w:rPr>
          <w:rFonts w:ascii="Arial" w:hAnsi="Arial" w:cs="Arial"/>
          <w:b/>
        </w:rPr>
      </w:pPr>
    </w:p>
    <w:p w14:paraId="6D098E4D" w14:textId="22A50FFE" w:rsidR="00015994" w:rsidRDefault="00015994" w:rsidP="00664E04">
      <w:pPr>
        <w:rPr>
          <w:rFonts w:ascii="Arial" w:hAnsi="Arial" w:cs="Arial"/>
          <w:b/>
        </w:rPr>
      </w:pPr>
    </w:p>
    <w:p w14:paraId="31634C08" w14:textId="496890B1" w:rsidR="00015994" w:rsidRDefault="00015994" w:rsidP="00664E04">
      <w:pPr>
        <w:rPr>
          <w:rFonts w:ascii="Arial" w:hAnsi="Arial" w:cs="Arial"/>
          <w:b/>
        </w:rPr>
      </w:pPr>
    </w:p>
    <w:p w14:paraId="4B83C292" w14:textId="18CC46F0" w:rsidR="00015994" w:rsidRDefault="00015994" w:rsidP="00664E04">
      <w:pPr>
        <w:rPr>
          <w:rFonts w:ascii="Arial" w:hAnsi="Arial" w:cs="Arial"/>
          <w:b/>
        </w:rPr>
      </w:pPr>
    </w:p>
    <w:p w14:paraId="6FCA2E3D" w14:textId="77777777" w:rsidR="00015994" w:rsidRPr="008D46B7" w:rsidRDefault="00015994" w:rsidP="00664E04">
      <w:pPr>
        <w:rPr>
          <w:rFonts w:ascii="Arial" w:hAnsi="Arial" w:cs="Arial"/>
          <w:b/>
        </w:rPr>
      </w:pPr>
    </w:p>
    <w:p w14:paraId="2AA45363" w14:textId="1735D58F" w:rsidR="00921E3F" w:rsidRPr="008D46B7" w:rsidRDefault="00921E3F" w:rsidP="00664E04">
      <w:pPr>
        <w:rPr>
          <w:rFonts w:ascii="Arial" w:hAnsi="Arial" w:cs="Arial"/>
          <w:b/>
        </w:rPr>
      </w:pPr>
    </w:p>
    <w:p w14:paraId="7D1FD38F" w14:textId="1AD395E9" w:rsidR="00921E3F" w:rsidRPr="008D46B7" w:rsidRDefault="00921E3F" w:rsidP="00921E3F">
      <w:pPr>
        <w:jc w:val="center"/>
        <w:rPr>
          <w:rFonts w:ascii="Arial" w:hAnsi="Arial" w:cs="Arial"/>
          <w:b/>
        </w:rPr>
      </w:pPr>
      <w:r w:rsidRPr="008D46B7">
        <w:rPr>
          <w:rFonts w:ascii="Arial" w:hAnsi="Arial" w:cs="Arial"/>
          <w:b/>
        </w:rPr>
        <w:t>PROYECTO DE LEY ESTATUTARIA No.________ DE 20</w:t>
      </w:r>
      <w:r w:rsidR="0084099D" w:rsidRPr="008D46B7">
        <w:rPr>
          <w:rFonts w:ascii="Arial" w:hAnsi="Arial" w:cs="Arial"/>
          <w:b/>
        </w:rPr>
        <w:t>22</w:t>
      </w:r>
      <w:r w:rsidRPr="008D46B7">
        <w:rPr>
          <w:rFonts w:ascii="Arial" w:hAnsi="Arial" w:cs="Arial"/>
          <w:b/>
        </w:rPr>
        <w:t xml:space="preserve"> CÁMARA</w:t>
      </w:r>
    </w:p>
    <w:p w14:paraId="49041C1F" w14:textId="77777777" w:rsidR="00921E3F" w:rsidRPr="008D46B7" w:rsidRDefault="00921E3F" w:rsidP="00921E3F">
      <w:pPr>
        <w:jc w:val="center"/>
        <w:rPr>
          <w:rFonts w:ascii="Arial" w:hAnsi="Arial" w:cs="Arial"/>
          <w:b/>
        </w:rPr>
      </w:pPr>
    </w:p>
    <w:p w14:paraId="3DB79ED0" w14:textId="78AF494C" w:rsidR="00921E3F" w:rsidRPr="008D46B7" w:rsidRDefault="00921E3F" w:rsidP="00921E3F">
      <w:pPr>
        <w:jc w:val="center"/>
        <w:rPr>
          <w:rFonts w:ascii="Arial" w:hAnsi="Arial" w:cs="Arial"/>
          <w:b/>
          <w:i/>
        </w:rPr>
      </w:pPr>
      <w:r w:rsidRPr="008D46B7">
        <w:rPr>
          <w:rFonts w:ascii="Arial" w:hAnsi="Arial" w:cs="Arial"/>
          <w:b/>
          <w:i/>
        </w:rPr>
        <w:t>“Por medio de la cual se modifica el Decreto – Ley 2591 de 1991, y se dictan otras disposiciones”</w:t>
      </w:r>
      <w:r w:rsidR="00F137F0">
        <w:rPr>
          <w:rFonts w:ascii="Arial" w:hAnsi="Arial" w:cs="Arial"/>
          <w:b/>
          <w:i/>
        </w:rPr>
        <w:t xml:space="preserve"> o</w:t>
      </w:r>
      <w:r w:rsidR="00D36BDA" w:rsidRPr="00D36BDA">
        <w:rPr>
          <w:rFonts w:ascii="Arial" w:hAnsi="Arial" w:cs="Arial"/>
          <w:b/>
          <w:i/>
        </w:rPr>
        <w:t xml:space="preserve"> </w:t>
      </w:r>
      <w:r w:rsidR="00D36BDA">
        <w:rPr>
          <w:rFonts w:ascii="Arial" w:hAnsi="Arial" w:cs="Arial"/>
          <w:b/>
          <w:i/>
        </w:rPr>
        <w:t>“Los derechos se respetan”</w:t>
      </w:r>
    </w:p>
    <w:p w14:paraId="48546B54" w14:textId="77777777" w:rsidR="00921E3F" w:rsidRPr="008D46B7" w:rsidRDefault="00921E3F" w:rsidP="00921E3F">
      <w:pPr>
        <w:jc w:val="center"/>
        <w:rPr>
          <w:rFonts w:ascii="Arial" w:hAnsi="Arial" w:cs="Arial"/>
          <w:b/>
        </w:rPr>
      </w:pPr>
    </w:p>
    <w:p w14:paraId="69A64038" w14:textId="77777777" w:rsidR="00921E3F" w:rsidRPr="008D46B7" w:rsidRDefault="00921E3F" w:rsidP="00921E3F">
      <w:pPr>
        <w:jc w:val="center"/>
        <w:rPr>
          <w:rFonts w:ascii="Arial" w:hAnsi="Arial" w:cs="Arial"/>
          <w:b/>
        </w:rPr>
      </w:pPr>
      <w:r w:rsidRPr="008D46B7">
        <w:rPr>
          <w:rFonts w:ascii="Arial" w:hAnsi="Arial" w:cs="Arial"/>
          <w:b/>
        </w:rPr>
        <w:t>EL CONGRESO DE COLOMBIA</w:t>
      </w:r>
    </w:p>
    <w:p w14:paraId="29FA81DB" w14:textId="77777777" w:rsidR="00921E3F" w:rsidRPr="008D46B7" w:rsidRDefault="00921E3F" w:rsidP="00921E3F">
      <w:pPr>
        <w:jc w:val="both"/>
        <w:rPr>
          <w:rFonts w:ascii="Arial" w:hAnsi="Arial" w:cs="Arial"/>
          <w:b/>
        </w:rPr>
      </w:pPr>
    </w:p>
    <w:p w14:paraId="0A547C6A" w14:textId="77777777" w:rsidR="00921E3F" w:rsidRPr="008D46B7" w:rsidRDefault="00921E3F" w:rsidP="00921E3F">
      <w:pPr>
        <w:jc w:val="center"/>
        <w:rPr>
          <w:rFonts w:ascii="Arial" w:hAnsi="Arial" w:cs="Arial"/>
          <w:b/>
        </w:rPr>
      </w:pPr>
      <w:r w:rsidRPr="008D46B7">
        <w:rPr>
          <w:rFonts w:ascii="Arial" w:hAnsi="Arial" w:cs="Arial"/>
          <w:b/>
        </w:rPr>
        <w:t>DECRETA</w:t>
      </w:r>
    </w:p>
    <w:p w14:paraId="6635976B" w14:textId="77777777" w:rsidR="00921E3F" w:rsidRPr="008D46B7" w:rsidRDefault="00921E3F" w:rsidP="00921E3F">
      <w:pPr>
        <w:pStyle w:val="Sinespaciado"/>
        <w:jc w:val="both"/>
        <w:rPr>
          <w:rFonts w:ascii="Arial" w:hAnsi="Arial" w:cs="Arial"/>
          <w:b/>
          <w:sz w:val="24"/>
          <w:szCs w:val="24"/>
        </w:rPr>
      </w:pPr>
    </w:p>
    <w:p w14:paraId="30FEC474" w14:textId="1C07AFD1" w:rsidR="00921E3F" w:rsidRPr="008D46B7" w:rsidRDefault="00921E3F" w:rsidP="00921E3F">
      <w:pPr>
        <w:jc w:val="both"/>
        <w:rPr>
          <w:rFonts w:ascii="Arial" w:hAnsi="Arial" w:cs="Arial"/>
        </w:rPr>
      </w:pPr>
      <w:r w:rsidRPr="008D46B7">
        <w:rPr>
          <w:rFonts w:ascii="Arial" w:hAnsi="Arial" w:cs="Arial"/>
        </w:rPr>
        <w:t>Artículo 1º. Objeto. Esta ley tiene por objeto dotar de herramientas al juez constitucional, con el fin de disuadir la reincidencia en la viol</w:t>
      </w:r>
      <w:r w:rsidR="00C26895">
        <w:rPr>
          <w:rFonts w:ascii="Arial" w:hAnsi="Arial" w:cs="Arial"/>
        </w:rPr>
        <w:t xml:space="preserve">ación de derechos fundamentales, garantizar el derecho de acceso a la justicia </w:t>
      </w:r>
      <w:r w:rsidRPr="008D46B7">
        <w:rPr>
          <w:rFonts w:ascii="Arial" w:hAnsi="Arial" w:cs="Arial"/>
        </w:rPr>
        <w:t xml:space="preserve">y robustecer la efectividad de su protección a través de los fallos de tutela. </w:t>
      </w:r>
    </w:p>
    <w:p w14:paraId="38C37527" w14:textId="77777777" w:rsidR="00921E3F" w:rsidRPr="008D46B7" w:rsidRDefault="00921E3F" w:rsidP="00921E3F">
      <w:pPr>
        <w:jc w:val="both"/>
        <w:rPr>
          <w:rFonts w:ascii="Arial" w:hAnsi="Arial" w:cs="Arial"/>
        </w:rPr>
      </w:pPr>
    </w:p>
    <w:p w14:paraId="3D7218EF" w14:textId="77777777" w:rsidR="00921E3F" w:rsidRPr="008D46B7" w:rsidRDefault="00921E3F" w:rsidP="00921E3F">
      <w:pPr>
        <w:jc w:val="both"/>
        <w:rPr>
          <w:rFonts w:ascii="Arial" w:hAnsi="Arial" w:cs="Arial"/>
        </w:rPr>
      </w:pPr>
      <w:r w:rsidRPr="008D46B7">
        <w:rPr>
          <w:rFonts w:ascii="Arial" w:hAnsi="Arial" w:cs="Arial"/>
        </w:rPr>
        <w:t>Artículo 2º. Modifíquese el artículo 29 del Decreto – ley 2591 de 1991, el cual quedará así:</w:t>
      </w:r>
    </w:p>
    <w:p w14:paraId="5D335267" w14:textId="77777777" w:rsidR="00921E3F" w:rsidRPr="008D46B7" w:rsidRDefault="00921E3F" w:rsidP="00921E3F">
      <w:pPr>
        <w:jc w:val="both"/>
        <w:rPr>
          <w:rFonts w:ascii="Arial" w:hAnsi="Arial" w:cs="Arial"/>
        </w:rPr>
      </w:pPr>
    </w:p>
    <w:p w14:paraId="14ED217F" w14:textId="77777777" w:rsidR="00921E3F" w:rsidRPr="008D46B7" w:rsidRDefault="00921E3F" w:rsidP="00921E3F">
      <w:pPr>
        <w:ind w:left="708"/>
        <w:jc w:val="both"/>
        <w:rPr>
          <w:rFonts w:ascii="Arial" w:hAnsi="Arial" w:cs="Arial"/>
        </w:rPr>
      </w:pPr>
      <w:r w:rsidRPr="008D46B7">
        <w:rPr>
          <w:rFonts w:ascii="Arial" w:hAnsi="Arial" w:cs="Arial"/>
        </w:rPr>
        <w:t>“Artículo 29. Contenido del fallo. Dentro de los diez días siguientes a la presentación de la solicitud el juez dictará fallo, el cual deberá contener:</w:t>
      </w:r>
    </w:p>
    <w:p w14:paraId="682AC413" w14:textId="77777777" w:rsidR="00921E3F" w:rsidRPr="008D46B7" w:rsidRDefault="00921E3F" w:rsidP="00921E3F">
      <w:pPr>
        <w:ind w:left="708"/>
        <w:jc w:val="both"/>
        <w:rPr>
          <w:rFonts w:ascii="Arial" w:hAnsi="Arial" w:cs="Arial"/>
        </w:rPr>
      </w:pPr>
    </w:p>
    <w:p w14:paraId="4BB0FCEB" w14:textId="77777777" w:rsidR="00921E3F" w:rsidRPr="008D46B7" w:rsidRDefault="00921E3F" w:rsidP="00921E3F">
      <w:pPr>
        <w:ind w:left="708"/>
        <w:jc w:val="both"/>
        <w:rPr>
          <w:rFonts w:ascii="Arial" w:hAnsi="Arial" w:cs="Arial"/>
        </w:rPr>
      </w:pPr>
      <w:r w:rsidRPr="008D46B7">
        <w:rPr>
          <w:rFonts w:ascii="Arial" w:hAnsi="Arial" w:cs="Arial"/>
        </w:rPr>
        <w:t>1. La identificación del solicitante.</w:t>
      </w:r>
    </w:p>
    <w:p w14:paraId="5FE3B26A" w14:textId="77777777" w:rsidR="00921E3F" w:rsidRPr="008D46B7" w:rsidRDefault="00921E3F" w:rsidP="00921E3F">
      <w:pPr>
        <w:ind w:left="708"/>
        <w:jc w:val="both"/>
        <w:rPr>
          <w:rFonts w:ascii="Arial" w:hAnsi="Arial" w:cs="Arial"/>
        </w:rPr>
      </w:pPr>
    </w:p>
    <w:p w14:paraId="3D406DB1" w14:textId="77777777" w:rsidR="00921E3F" w:rsidRPr="008D46B7" w:rsidRDefault="00921E3F" w:rsidP="00921E3F">
      <w:pPr>
        <w:ind w:left="708"/>
        <w:jc w:val="both"/>
        <w:rPr>
          <w:rFonts w:ascii="Arial" w:hAnsi="Arial" w:cs="Arial"/>
        </w:rPr>
      </w:pPr>
      <w:r w:rsidRPr="008D46B7">
        <w:rPr>
          <w:rFonts w:ascii="Arial" w:hAnsi="Arial" w:cs="Arial"/>
        </w:rPr>
        <w:t>2. La identificación del sujeto o sujetos de quien provenga la amenaza o vulneración.</w:t>
      </w:r>
    </w:p>
    <w:p w14:paraId="6BBCE954" w14:textId="77777777" w:rsidR="00921E3F" w:rsidRPr="008D46B7" w:rsidRDefault="00921E3F" w:rsidP="00921E3F">
      <w:pPr>
        <w:ind w:left="708"/>
        <w:jc w:val="both"/>
        <w:rPr>
          <w:rFonts w:ascii="Arial" w:hAnsi="Arial" w:cs="Arial"/>
        </w:rPr>
      </w:pPr>
    </w:p>
    <w:p w14:paraId="4950270A" w14:textId="77777777" w:rsidR="00921E3F" w:rsidRPr="008D46B7" w:rsidRDefault="00921E3F" w:rsidP="00921E3F">
      <w:pPr>
        <w:ind w:left="708"/>
        <w:jc w:val="both"/>
        <w:rPr>
          <w:rFonts w:ascii="Arial" w:hAnsi="Arial" w:cs="Arial"/>
        </w:rPr>
      </w:pPr>
      <w:r w:rsidRPr="008D46B7">
        <w:rPr>
          <w:rFonts w:ascii="Arial" w:hAnsi="Arial" w:cs="Arial"/>
        </w:rPr>
        <w:t>3. La determinación del derecho tutelado.</w:t>
      </w:r>
    </w:p>
    <w:p w14:paraId="22F67749" w14:textId="77777777" w:rsidR="00921E3F" w:rsidRPr="008D46B7" w:rsidRDefault="00921E3F" w:rsidP="00921E3F">
      <w:pPr>
        <w:ind w:left="708"/>
        <w:jc w:val="both"/>
        <w:rPr>
          <w:rFonts w:ascii="Arial" w:hAnsi="Arial" w:cs="Arial"/>
        </w:rPr>
      </w:pPr>
    </w:p>
    <w:p w14:paraId="644AFE63" w14:textId="77777777" w:rsidR="00921E3F" w:rsidRPr="008D46B7" w:rsidRDefault="00921E3F" w:rsidP="00921E3F">
      <w:pPr>
        <w:ind w:left="708"/>
        <w:jc w:val="both"/>
        <w:rPr>
          <w:rFonts w:ascii="Arial" w:hAnsi="Arial" w:cs="Arial"/>
        </w:rPr>
      </w:pPr>
      <w:r w:rsidRPr="008D46B7">
        <w:rPr>
          <w:rFonts w:ascii="Arial" w:hAnsi="Arial" w:cs="Arial"/>
        </w:rPr>
        <w:t>4. La orden y la definición precisa de la conducta a cumplir con el fin de hacer efectiva la tutela.</w:t>
      </w:r>
    </w:p>
    <w:p w14:paraId="2C0E181F" w14:textId="77777777" w:rsidR="00921E3F" w:rsidRPr="008D46B7" w:rsidRDefault="00921E3F" w:rsidP="00921E3F">
      <w:pPr>
        <w:ind w:left="708"/>
        <w:jc w:val="both"/>
        <w:rPr>
          <w:rFonts w:ascii="Arial" w:hAnsi="Arial" w:cs="Arial"/>
        </w:rPr>
      </w:pPr>
    </w:p>
    <w:p w14:paraId="33C03647" w14:textId="77777777" w:rsidR="00921E3F" w:rsidRPr="008D46B7" w:rsidRDefault="00921E3F" w:rsidP="00921E3F">
      <w:pPr>
        <w:ind w:left="708"/>
        <w:jc w:val="both"/>
        <w:rPr>
          <w:rFonts w:ascii="Arial" w:hAnsi="Arial" w:cs="Arial"/>
        </w:rPr>
      </w:pPr>
      <w:r w:rsidRPr="008D46B7">
        <w:rPr>
          <w:rFonts w:ascii="Arial" w:hAnsi="Arial" w:cs="Arial"/>
        </w:rPr>
        <w:t>5. El plazo perentorio para el cumplimiento de lo resuelto, que en ningún caso podrá exceder de 48 horas.</w:t>
      </w:r>
    </w:p>
    <w:p w14:paraId="6FEF138A" w14:textId="77777777" w:rsidR="00921E3F" w:rsidRPr="008D46B7" w:rsidRDefault="00921E3F" w:rsidP="00921E3F">
      <w:pPr>
        <w:ind w:left="708"/>
        <w:jc w:val="both"/>
        <w:rPr>
          <w:rFonts w:ascii="Arial" w:hAnsi="Arial" w:cs="Arial"/>
        </w:rPr>
      </w:pPr>
    </w:p>
    <w:p w14:paraId="41CD757E" w14:textId="77777777" w:rsidR="00921E3F" w:rsidRPr="008D46B7" w:rsidRDefault="00921E3F" w:rsidP="00921E3F">
      <w:pPr>
        <w:ind w:left="708"/>
        <w:jc w:val="both"/>
        <w:rPr>
          <w:rFonts w:ascii="Arial" w:hAnsi="Arial" w:cs="Arial"/>
        </w:rPr>
      </w:pPr>
      <w:r w:rsidRPr="008D46B7">
        <w:rPr>
          <w:rFonts w:ascii="Arial" w:hAnsi="Arial" w:cs="Arial"/>
        </w:rPr>
        <w:t>6. Cuando la violación o amenaza de violación derive de la aplicación de una norma incompatible con los derechos fundamentales, la providencia judicial que resuelva la acción interpuesta deberá además ordenar la inaplicación de la norma impugnada en el caso concreto.</w:t>
      </w:r>
    </w:p>
    <w:p w14:paraId="02212D08" w14:textId="77777777" w:rsidR="00921E3F" w:rsidRPr="008D46B7" w:rsidRDefault="00921E3F" w:rsidP="00921E3F">
      <w:pPr>
        <w:ind w:left="708"/>
        <w:jc w:val="both"/>
        <w:rPr>
          <w:rFonts w:ascii="Arial" w:hAnsi="Arial" w:cs="Arial"/>
        </w:rPr>
      </w:pPr>
    </w:p>
    <w:p w14:paraId="4DC93F9B" w14:textId="77777777" w:rsidR="00921E3F" w:rsidRPr="008D46B7" w:rsidRDefault="00921E3F" w:rsidP="00921E3F">
      <w:pPr>
        <w:ind w:left="708"/>
        <w:jc w:val="both"/>
        <w:rPr>
          <w:rFonts w:ascii="Arial" w:hAnsi="Arial" w:cs="Arial"/>
          <w:b/>
          <w:u w:val="single"/>
        </w:rPr>
      </w:pPr>
      <w:r w:rsidRPr="008D46B7">
        <w:rPr>
          <w:rFonts w:ascii="Arial" w:hAnsi="Arial" w:cs="Arial"/>
          <w:b/>
          <w:u w:val="single"/>
        </w:rPr>
        <w:t>7. La determinación de la multa a la que haya lugar, en el evento contemplado en el artículo 29. A.</w:t>
      </w:r>
    </w:p>
    <w:p w14:paraId="3C9A03E3" w14:textId="77777777" w:rsidR="00921E3F" w:rsidRPr="008D46B7" w:rsidRDefault="00921E3F" w:rsidP="00921E3F">
      <w:pPr>
        <w:ind w:left="708"/>
        <w:jc w:val="both"/>
        <w:rPr>
          <w:rFonts w:ascii="Arial" w:hAnsi="Arial" w:cs="Arial"/>
        </w:rPr>
      </w:pPr>
    </w:p>
    <w:p w14:paraId="7B93FF7E" w14:textId="77777777" w:rsidR="00921E3F" w:rsidRPr="008D46B7" w:rsidRDefault="00921E3F" w:rsidP="00921E3F">
      <w:pPr>
        <w:ind w:left="708"/>
        <w:jc w:val="both"/>
        <w:rPr>
          <w:rFonts w:ascii="Arial" w:hAnsi="Arial" w:cs="Arial"/>
        </w:rPr>
      </w:pPr>
      <w:r w:rsidRPr="008D46B7">
        <w:rPr>
          <w:rFonts w:ascii="Arial" w:hAnsi="Arial" w:cs="Arial"/>
        </w:rPr>
        <w:t>PARAGRAFO. El contenido del fallo no podrá ser inhibitorio.</w:t>
      </w:r>
    </w:p>
    <w:p w14:paraId="77BD716B" w14:textId="77777777" w:rsidR="00921E3F" w:rsidRPr="008D46B7" w:rsidRDefault="00921E3F" w:rsidP="00921E3F">
      <w:pPr>
        <w:jc w:val="both"/>
        <w:rPr>
          <w:rFonts w:ascii="Arial" w:hAnsi="Arial" w:cs="Arial"/>
        </w:rPr>
      </w:pPr>
    </w:p>
    <w:p w14:paraId="0E941337" w14:textId="77777777" w:rsidR="00921E3F" w:rsidRPr="008D46B7" w:rsidRDefault="00921E3F" w:rsidP="00921E3F">
      <w:pPr>
        <w:jc w:val="both"/>
        <w:rPr>
          <w:rFonts w:ascii="Arial" w:hAnsi="Arial" w:cs="Arial"/>
        </w:rPr>
      </w:pPr>
      <w:r w:rsidRPr="008D46B7">
        <w:rPr>
          <w:rFonts w:ascii="Arial" w:hAnsi="Arial" w:cs="Arial"/>
        </w:rPr>
        <w:t>Artículo 3º. El Decreto – ley 2591 de 1991 tendrá un nuevo artículo, el cual quedará así:</w:t>
      </w:r>
    </w:p>
    <w:p w14:paraId="61B1EBF0" w14:textId="77777777" w:rsidR="00921E3F" w:rsidRPr="008D46B7" w:rsidRDefault="00921E3F" w:rsidP="00921E3F">
      <w:pPr>
        <w:jc w:val="both"/>
        <w:rPr>
          <w:rFonts w:ascii="Arial" w:hAnsi="Arial" w:cs="Arial"/>
        </w:rPr>
      </w:pPr>
    </w:p>
    <w:p w14:paraId="01B5308E" w14:textId="5EEE5AE3" w:rsidR="00921E3F" w:rsidRPr="008D46B7" w:rsidRDefault="00921E3F" w:rsidP="00921E3F">
      <w:pPr>
        <w:ind w:left="708"/>
        <w:jc w:val="both"/>
        <w:rPr>
          <w:rFonts w:ascii="Arial" w:eastAsiaTheme="minorEastAsia" w:hAnsi="Arial" w:cs="Arial"/>
          <w:b/>
          <w:u w:val="single"/>
          <w:lang w:val="es-ES_tradnl"/>
        </w:rPr>
      </w:pPr>
      <w:r w:rsidRPr="008D46B7">
        <w:rPr>
          <w:rFonts w:ascii="Arial" w:eastAsiaTheme="minorEastAsia" w:hAnsi="Arial" w:cs="Arial"/>
          <w:b/>
          <w:u w:val="single"/>
          <w:lang w:val="es-ES_tradnl"/>
        </w:rPr>
        <w:t xml:space="preserve">“Artículo 29 A. Sanción por la reincidencia en la violación del mismo derecho fundamental. Siempre que en el trámite de la acción de tutela aparezca demostrada la reincidencia del demandado en la violación del derecho fundamental, </w:t>
      </w:r>
      <w:r w:rsidRPr="00015994">
        <w:rPr>
          <w:rFonts w:ascii="Arial" w:eastAsiaTheme="minorEastAsia" w:hAnsi="Arial" w:cs="Arial"/>
          <w:b/>
          <w:u w:val="single"/>
          <w:lang w:val="es-ES_tradnl"/>
        </w:rPr>
        <w:t xml:space="preserve">en el respectivo fallo el juez podrá imponer multa de entre veinte (20) y </w:t>
      </w:r>
      <w:r w:rsidR="002C77CD">
        <w:rPr>
          <w:rFonts w:ascii="Arial" w:eastAsiaTheme="minorEastAsia" w:hAnsi="Arial" w:cs="Arial"/>
          <w:b/>
          <w:u w:val="single"/>
          <w:lang w:val="es-ES_tradnl"/>
        </w:rPr>
        <w:t xml:space="preserve">doscientos </w:t>
      </w:r>
      <w:r w:rsidRPr="00015994">
        <w:rPr>
          <w:rFonts w:ascii="Arial" w:eastAsiaTheme="minorEastAsia" w:hAnsi="Arial" w:cs="Arial"/>
          <w:b/>
          <w:u w:val="single"/>
          <w:lang w:val="es-ES_tradnl"/>
        </w:rPr>
        <w:t>(</w:t>
      </w:r>
      <w:r w:rsidR="002C77CD">
        <w:rPr>
          <w:rFonts w:ascii="Arial" w:eastAsiaTheme="minorEastAsia" w:hAnsi="Arial" w:cs="Arial"/>
          <w:b/>
          <w:u w:val="single"/>
          <w:lang w:val="es-ES_tradnl"/>
        </w:rPr>
        <w:t>2</w:t>
      </w:r>
      <w:r w:rsidRPr="00015994">
        <w:rPr>
          <w:rFonts w:ascii="Arial" w:eastAsiaTheme="minorEastAsia" w:hAnsi="Arial" w:cs="Arial"/>
          <w:b/>
          <w:u w:val="single"/>
          <w:lang w:val="es-ES_tradnl"/>
        </w:rPr>
        <w:t>00) salarios mínimos legales</w:t>
      </w:r>
      <w:r w:rsidRPr="008D46B7">
        <w:rPr>
          <w:rFonts w:ascii="Arial" w:eastAsiaTheme="minorEastAsia" w:hAnsi="Arial" w:cs="Arial"/>
          <w:b/>
          <w:u w:val="single"/>
          <w:lang w:val="es-ES_tradnl"/>
        </w:rPr>
        <w:t xml:space="preserve"> mensuales vigentes, a favor del Consejo Superior de la Judicatura. </w:t>
      </w:r>
    </w:p>
    <w:p w14:paraId="1F146D50" w14:textId="77777777" w:rsidR="00921E3F" w:rsidRPr="008D46B7" w:rsidRDefault="00921E3F" w:rsidP="00921E3F">
      <w:pPr>
        <w:ind w:left="708"/>
        <w:jc w:val="both"/>
        <w:rPr>
          <w:rFonts w:ascii="Arial" w:eastAsiaTheme="minorEastAsia" w:hAnsi="Arial" w:cs="Arial"/>
          <w:b/>
          <w:u w:val="single"/>
          <w:lang w:val="es-ES_tradnl"/>
        </w:rPr>
      </w:pPr>
    </w:p>
    <w:p w14:paraId="6DB2529B" w14:textId="0B332A51" w:rsidR="00921E3F" w:rsidRPr="008D46B7" w:rsidRDefault="00921E3F" w:rsidP="00921E3F">
      <w:pPr>
        <w:ind w:left="708"/>
        <w:jc w:val="both"/>
        <w:rPr>
          <w:rFonts w:ascii="Arial" w:eastAsiaTheme="minorEastAsia" w:hAnsi="Arial" w:cs="Arial"/>
          <w:b/>
          <w:u w:val="single"/>
          <w:lang w:val="es-ES_tradnl"/>
        </w:rPr>
      </w:pPr>
      <w:r w:rsidRPr="008D46B7">
        <w:rPr>
          <w:rFonts w:ascii="Arial" w:eastAsiaTheme="minorEastAsia" w:hAnsi="Arial" w:cs="Arial"/>
          <w:b/>
          <w:u w:val="single"/>
          <w:lang w:val="es-ES_tradnl"/>
        </w:rPr>
        <w:t>Parágrafo 1°. Para los efectos de lo dispuesto en este artículo</w:t>
      </w:r>
      <w:r w:rsidR="000A00A4">
        <w:rPr>
          <w:rFonts w:ascii="Arial" w:eastAsiaTheme="minorEastAsia" w:hAnsi="Arial" w:cs="Arial"/>
          <w:b/>
          <w:u w:val="single"/>
          <w:lang w:val="es-ES_tradnl"/>
        </w:rPr>
        <w:t>,</w:t>
      </w:r>
      <w:r w:rsidRPr="008D46B7">
        <w:rPr>
          <w:rFonts w:ascii="Arial" w:eastAsiaTheme="minorEastAsia" w:hAnsi="Arial" w:cs="Arial"/>
          <w:b/>
          <w:u w:val="single"/>
          <w:lang w:val="es-ES_tradnl"/>
        </w:rPr>
        <w:t xml:space="preserve"> se entiende que hay reincidencia si en fallo de tutela ejecutoriado, dentro de</w:t>
      </w:r>
      <w:r w:rsidR="000A00A4">
        <w:rPr>
          <w:rFonts w:ascii="Arial" w:eastAsiaTheme="minorEastAsia" w:hAnsi="Arial" w:cs="Arial"/>
          <w:b/>
          <w:u w:val="single"/>
          <w:lang w:val="es-ES_tradnl"/>
        </w:rPr>
        <w:t xml:space="preserve"> </w:t>
      </w:r>
      <w:r w:rsidRPr="008D46B7">
        <w:rPr>
          <w:rFonts w:ascii="Arial" w:eastAsiaTheme="minorEastAsia" w:hAnsi="Arial" w:cs="Arial"/>
          <w:b/>
          <w:u w:val="single"/>
          <w:lang w:val="es-ES_tradnl"/>
        </w:rPr>
        <w:t>l</w:t>
      </w:r>
      <w:r w:rsidR="000A00A4">
        <w:rPr>
          <w:rFonts w:ascii="Arial" w:eastAsiaTheme="minorEastAsia" w:hAnsi="Arial" w:cs="Arial"/>
          <w:b/>
          <w:u w:val="single"/>
          <w:lang w:val="es-ES_tradnl"/>
        </w:rPr>
        <w:t>os dos años</w:t>
      </w:r>
      <w:r w:rsidRPr="008D46B7">
        <w:rPr>
          <w:rFonts w:ascii="Arial" w:eastAsiaTheme="minorEastAsia" w:hAnsi="Arial" w:cs="Arial"/>
          <w:b/>
          <w:u w:val="single"/>
          <w:lang w:val="es-ES_tradnl"/>
        </w:rPr>
        <w:t xml:space="preserve"> anterior</w:t>
      </w:r>
      <w:r w:rsidR="000A00A4">
        <w:rPr>
          <w:rFonts w:ascii="Arial" w:eastAsiaTheme="minorEastAsia" w:hAnsi="Arial" w:cs="Arial"/>
          <w:b/>
          <w:u w:val="single"/>
          <w:lang w:val="es-ES_tradnl"/>
        </w:rPr>
        <w:t>es</w:t>
      </w:r>
      <w:r w:rsidRPr="008D46B7">
        <w:rPr>
          <w:rFonts w:ascii="Arial" w:eastAsiaTheme="minorEastAsia" w:hAnsi="Arial" w:cs="Arial"/>
          <w:b/>
          <w:u w:val="single"/>
          <w:lang w:val="es-ES_tradnl"/>
        </w:rPr>
        <w:t xml:space="preserve"> a la ocurrencia de los nuevos hechos que se juzgan, se hubiere declarado la violación del derecho fundamental por la misma autoridad pública o particulares que señale este Decreto</w:t>
      </w:r>
      <w:r w:rsidRPr="008D46B7">
        <w:rPr>
          <w:rFonts w:ascii="Arial" w:hAnsi="Arial" w:cs="Arial"/>
          <w:b/>
          <w:color w:val="4B4949"/>
          <w:u w:val="single"/>
        </w:rPr>
        <w:t xml:space="preserve">, </w:t>
      </w:r>
      <w:r w:rsidRPr="008D46B7">
        <w:rPr>
          <w:rFonts w:ascii="Arial" w:eastAsiaTheme="minorEastAsia" w:hAnsi="Arial" w:cs="Arial"/>
          <w:b/>
          <w:u w:val="single"/>
          <w:lang w:val="es-ES_tradnl"/>
        </w:rPr>
        <w:t>en circunstancias de hecho de idénticas o similares características.</w:t>
      </w:r>
    </w:p>
    <w:p w14:paraId="6D17EC28" w14:textId="77777777" w:rsidR="00921E3F" w:rsidRPr="008D46B7" w:rsidRDefault="00921E3F" w:rsidP="00921E3F">
      <w:pPr>
        <w:ind w:left="708"/>
        <w:jc w:val="both"/>
        <w:rPr>
          <w:rFonts w:ascii="Arial" w:eastAsiaTheme="minorEastAsia" w:hAnsi="Arial" w:cs="Arial"/>
          <w:b/>
          <w:u w:val="single"/>
          <w:lang w:val="es-ES_tradnl"/>
        </w:rPr>
      </w:pPr>
    </w:p>
    <w:p w14:paraId="49CBB171" w14:textId="77777777" w:rsidR="00921E3F" w:rsidRPr="008D46B7" w:rsidRDefault="00921E3F" w:rsidP="00921E3F">
      <w:pPr>
        <w:ind w:left="708"/>
        <w:jc w:val="both"/>
        <w:rPr>
          <w:rFonts w:ascii="Arial" w:eastAsiaTheme="minorEastAsia" w:hAnsi="Arial" w:cs="Arial"/>
          <w:b/>
          <w:u w:val="single"/>
          <w:lang w:val="es-ES_tradnl"/>
        </w:rPr>
      </w:pPr>
      <w:r w:rsidRPr="008D46B7">
        <w:rPr>
          <w:rFonts w:ascii="Arial" w:eastAsiaTheme="minorEastAsia" w:hAnsi="Arial" w:cs="Arial"/>
          <w:b/>
          <w:u w:val="single"/>
          <w:lang w:val="es-ES_tradnl"/>
        </w:rPr>
        <w:t xml:space="preserve">Parágrafo 2°. A partir de la entrada en vigencia de la presente ley, el Gobierno Nacional tendrá dos (2) meses para su reglamentación e implementación, para lo cual deberá contemplar la forma de cuantificar la multa.  </w:t>
      </w:r>
    </w:p>
    <w:p w14:paraId="26632015" w14:textId="77777777" w:rsidR="00921E3F" w:rsidRPr="008D46B7" w:rsidRDefault="00921E3F" w:rsidP="00921E3F">
      <w:pPr>
        <w:ind w:left="708"/>
        <w:jc w:val="both"/>
        <w:rPr>
          <w:rFonts w:ascii="Arial" w:eastAsiaTheme="minorEastAsia" w:hAnsi="Arial" w:cs="Arial"/>
          <w:b/>
          <w:u w:val="single"/>
          <w:lang w:val="es-ES_tradnl"/>
        </w:rPr>
      </w:pPr>
    </w:p>
    <w:p w14:paraId="43D28BE9" w14:textId="77777777" w:rsidR="00921E3F" w:rsidRPr="008D46B7" w:rsidRDefault="00921E3F" w:rsidP="00921E3F">
      <w:pPr>
        <w:ind w:left="708"/>
        <w:jc w:val="both"/>
        <w:rPr>
          <w:rFonts w:ascii="Arial" w:eastAsiaTheme="minorEastAsia" w:hAnsi="Arial" w:cs="Arial"/>
          <w:b/>
          <w:u w:val="single"/>
          <w:lang w:val="es-ES_tradnl"/>
        </w:rPr>
      </w:pPr>
      <w:r w:rsidRPr="008D46B7">
        <w:rPr>
          <w:rFonts w:ascii="Arial" w:eastAsiaTheme="minorEastAsia" w:hAnsi="Arial" w:cs="Arial"/>
          <w:b/>
          <w:u w:val="single"/>
          <w:lang w:val="es-ES_tradnl"/>
        </w:rPr>
        <w:t xml:space="preserve">Parágrafo 3°. El Consejo Superior de la Judicatura en el informe que anualmente remite al Congreso de la República deberá incluir un acápite que dé cuenta de la implementación y los resultados de la aplicación de esta norma. </w:t>
      </w:r>
    </w:p>
    <w:p w14:paraId="16609CC2" w14:textId="5F2A36F2" w:rsidR="00921E3F" w:rsidRPr="008D46B7" w:rsidRDefault="00921E3F" w:rsidP="0007428D">
      <w:pPr>
        <w:jc w:val="both"/>
        <w:rPr>
          <w:rFonts w:ascii="Arial" w:eastAsiaTheme="minorEastAsia" w:hAnsi="Arial" w:cs="Arial"/>
          <w:b/>
          <w:u w:val="single"/>
          <w:lang w:val="es-ES_tradnl"/>
        </w:rPr>
      </w:pPr>
    </w:p>
    <w:p w14:paraId="136A8C8E" w14:textId="77777777" w:rsidR="00921E3F" w:rsidRPr="008D46B7" w:rsidRDefault="00921E3F" w:rsidP="00921E3F">
      <w:pPr>
        <w:jc w:val="both"/>
        <w:rPr>
          <w:rFonts w:ascii="Arial" w:hAnsi="Arial" w:cs="Arial"/>
        </w:rPr>
      </w:pPr>
    </w:p>
    <w:p w14:paraId="799EE166" w14:textId="77777777" w:rsidR="00921E3F" w:rsidRPr="008D46B7" w:rsidRDefault="00921E3F" w:rsidP="00921E3F">
      <w:pPr>
        <w:jc w:val="both"/>
        <w:rPr>
          <w:rFonts w:ascii="Arial" w:hAnsi="Arial" w:cs="Arial"/>
        </w:rPr>
      </w:pPr>
      <w:r w:rsidRPr="008D46B7">
        <w:rPr>
          <w:rFonts w:ascii="Arial" w:hAnsi="Arial" w:cs="Arial"/>
        </w:rPr>
        <w:t xml:space="preserve">Artículo 4º. Vigencia. La presente ley rige a partir de su publicación, y deroga todas aquellas que le sean contrarias. </w:t>
      </w:r>
    </w:p>
    <w:p w14:paraId="5F3A00A3" w14:textId="77777777" w:rsidR="00921E3F" w:rsidRPr="008D46B7" w:rsidRDefault="00921E3F" w:rsidP="00921E3F">
      <w:pPr>
        <w:jc w:val="both"/>
        <w:rPr>
          <w:rFonts w:ascii="Arial" w:hAnsi="Arial" w:cs="Arial"/>
        </w:rPr>
      </w:pPr>
    </w:p>
    <w:p w14:paraId="379FF8F5" w14:textId="77777777" w:rsidR="00F20A48" w:rsidRDefault="00F20A48" w:rsidP="00F20A48">
      <w:pPr>
        <w:tabs>
          <w:tab w:val="left" w:pos="3915"/>
        </w:tabs>
        <w:spacing w:line="276" w:lineRule="auto"/>
        <w:jc w:val="both"/>
        <w:rPr>
          <w:rFonts w:ascii="Arial" w:hAnsi="Arial" w:cs="Arial"/>
          <w:b/>
        </w:rPr>
      </w:pPr>
    </w:p>
    <w:p w14:paraId="251DE534" w14:textId="77777777" w:rsidR="00F20A48" w:rsidRDefault="00F20A48" w:rsidP="00F20A48">
      <w:pPr>
        <w:tabs>
          <w:tab w:val="left" w:pos="3915"/>
        </w:tabs>
        <w:spacing w:line="276" w:lineRule="auto"/>
        <w:jc w:val="both"/>
        <w:rPr>
          <w:rFonts w:ascii="Arial" w:hAnsi="Arial" w:cs="Arial"/>
          <w:b/>
        </w:rPr>
      </w:pPr>
    </w:p>
    <w:p w14:paraId="129BA358" w14:textId="77777777" w:rsidR="00F20A48" w:rsidRDefault="00F20A48" w:rsidP="00F20A48">
      <w:pPr>
        <w:tabs>
          <w:tab w:val="left" w:pos="3915"/>
        </w:tabs>
        <w:spacing w:line="276" w:lineRule="auto"/>
        <w:jc w:val="both"/>
        <w:rPr>
          <w:rFonts w:ascii="Arial" w:hAnsi="Arial" w:cs="Arial"/>
          <w:b/>
        </w:rPr>
      </w:pPr>
    </w:p>
    <w:p w14:paraId="6B347F6C" w14:textId="77777777" w:rsidR="00F20A48" w:rsidRDefault="00F20A48" w:rsidP="00F20A48">
      <w:pPr>
        <w:tabs>
          <w:tab w:val="left" w:pos="3915"/>
        </w:tabs>
        <w:spacing w:line="276" w:lineRule="auto"/>
        <w:jc w:val="both"/>
        <w:rPr>
          <w:rFonts w:ascii="Arial" w:hAnsi="Arial" w:cs="Arial"/>
          <w:b/>
        </w:rPr>
      </w:pPr>
    </w:p>
    <w:p w14:paraId="456EC22F" w14:textId="77D616C5" w:rsidR="00F20A48" w:rsidRPr="008D46B7" w:rsidRDefault="00F20A48" w:rsidP="00F20A48">
      <w:pPr>
        <w:tabs>
          <w:tab w:val="left" w:pos="3915"/>
        </w:tabs>
        <w:spacing w:line="276" w:lineRule="auto"/>
        <w:jc w:val="both"/>
        <w:rPr>
          <w:rFonts w:ascii="Arial" w:hAnsi="Arial" w:cs="Arial"/>
          <w:b/>
        </w:rPr>
      </w:pPr>
      <w:r>
        <w:rPr>
          <w:rFonts w:ascii="Arial" w:hAnsi="Arial" w:cs="Arial"/>
          <w:b/>
        </w:rPr>
        <w:t xml:space="preserve">HECTOR DAVID CHAPARRO </w:t>
      </w:r>
    </w:p>
    <w:p w14:paraId="451C5FE3" w14:textId="77777777" w:rsidR="00F20A48" w:rsidRPr="008D46B7" w:rsidRDefault="00F20A48" w:rsidP="00F20A48">
      <w:pPr>
        <w:jc w:val="both"/>
        <w:rPr>
          <w:rFonts w:ascii="Arial" w:hAnsi="Arial" w:cs="Arial"/>
          <w:lang w:val="es-ES"/>
        </w:rPr>
      </w:pPr>
      <w:r w:rsidRPr="008D46B7">
        <w:rPr>
          <w:rFonts w:ascii="Arial" w:hAnsi="Arial" w:cs="Arial"/>
          <w:lang w:val="es-ES"/>
        </w:rPr>
        <w:t>Representante a la Cámara</w:t>
      </w:r>
      <w:r w:rsidRPr="008D46B7">
        <w:rPr>
          <w:rFonts w:ascii="Arial" w:hAnsi="Arial" w:cs="Arial"/>
          <w:lang w:val="es-ES"/>
        </w:rPr>
        <w:tab/>
      </w:r>
    </w:p>
    <w:p w14:paraId="6C9766FF" w14:textId="77777777" w:rsidR="00F20A48" w:rsidRPr="008D46B7" w:rsidRDefault="00F20A48" w:rsidP="00F20A48">
      <w:pPr>
        <w:rPr>
          <w:rFonts w:ascii="Arial" w:hAnsi="Arial" w:cs="Arial"/>
          <w:b/>
        </w:rPr>
      </w:pPr>
      <w:r w:rsidRPr="008D46B7">
        <w:rPr>
          <w:rFonts w:ascii="Arial" w:hAnsi="Arial" w:cs="Arial"/>
          <w:lang w:val="es-ES"/>
        </w:rPr>
        <w:t>Partido Liberal</w:t>
      </w:r>
      <w:r w:rsidRPr="008D46B7">
        <w:rPr>
          <w:rFonts w:ascii="Arial" w:hAnsi="Arial" w:cs="Arial"/>
          <w:lang w:val="es-ES"/>
        </w:rPr>
        <w:tab/>
      </w:r>
    </w:p>
    <w:p w14:paraId="470965BD" w14:textId="77777777" w:rsidR="00921E3F" w:rsidRPr="008D46B7" w:rsidRDefault="00921E3F" w:rsidP="00921E3F">
      <w:pPr>
        <w:jc w:val="both"/>
        <w:rPr>
          <w:rFonts w:ascii="Arial" w:hAnsi="Arial" w:cs="Arial"/>
        </w:rPr>
      </w:pPr>
    </w:p>
    <w:p w14:paraId="5C0E7A2E" w14:textId="77777777" w:rsidR="00921E3F" w:rsidRPr="008D46B7" w:rsidRDefault="00921E3F" w:rsidP="00921E3F">
      <w:pPr>
        <w:jc w:val="center"/>
        <w:rPr>
          <w:rFonts w:ascii="Arial" w:hAnsi="Arial" w:cs="Arial"/>
        </w:rPr>
      </w:pPr>
      <w:r w:rsidRPr="008D46B7">
        <w:rPr>
          <w:rFonts w:ascii="Arial" w:hAnsi="Arial" w:cs="Arial"/>
          <w:b/>
        </w:rPr>
        <w:t>EXPOSICIÓN DE MOTIVOS</w:t>
      </w:r>
    </w:p>
    <w:p w14:paraId="32722DA0" w14:textId="77777777" w:rsidR="00921E3F" w:rsidRPr="008D46B7" w:rsidRDefault="00921E3F" w:rsidP="00921E3F">
      <w:pPr>
        <w:jc w:val="both"/>
        <w:rPr>
          <w:rFonts w:ascii="Arial" w:hAnsi="Arial" w:cs="Arial"/>
        </w:rPr>
      </w:pPr>
    </w:p>
    <w:p w14:paraId="614D10B7" w14:textId="77777777" w:rsidR="00921E3F" w:rsidRPr="008D46B7" w:rsidRDefault="00921E3F" w:rsidP="00921E3F">
      <w:pPr>
        <w:pStyle w:val="Prrafodelista"/>
        <w:numPr>
          <w:ilvl w:val="0"/>
          <w:numId w:val="8"/>
        </w:numPr>
        <w:jc w:val="both"/>
        <w:rPr>
          <w:rFonts w:ascii="Arial" w:hAnsi="Arial" w:cs="Arial"/>
          <w:b/>
        </w:rPr>
      </w:pPr>
      <w:r w:rsidRPr="008D46B7">
        <w:rPr>
          <w:rFonts w:ascii="Arial" w:hAnsi="Arial" w:cs="Arial"/>
          <w:b/>
        </w:rPr>
        <w:t>Objeto del proyecto de ley estatutaria</w:t>
      </w:r>
    </w:p>
    <w:p w14:paraId="64872228" w14:textId="77777777" w:rsidR="00921E3F" w:rsidRPr="008D46B7" w:rsidRDefault="00921E3F" w:rsidP="00921E3F">
      <w:pPr>
        <w:jc w:val="both"/>
        <w:rPr>
          <w:rFonts w:ascii="Arial" w:hAnsi="Arial" w:cs="Arial"/>
        </w:rPr>
      </w:pPr>
    </w:p>
    <w:p w14:paraId="2F364507" w14:textId="77777777" w:rsidR="00921E3F" w:rsidRPr="008D46B7" w:rsidRDefault="00921E3F" w:rsidP="00921E3F">
      <w:pPr>
        <w:jc w:val="both"/>
        <w:rPr>
          <w:rFonts w:ascii="Arial" w:hAnsi="Arial" w:cs="Arial"/>
        </w:rPr>
      </w:pPr>
      <w:r w:rsidRPr="008D46B7">
        <w:rPr>
          <w:rFonts w:ascii="Arial" w:hAnsi="Arial" w:cs="Arial"/>
        </w:rPr>
        <w:t xml:space="preserve">Este proyecto de ley estatutaria tiene por objeto dotar de herramientas al juez constitucional, con el fin de garantizar la efectividad de la protección de derechos fundamentales, y disuadir la persistente violación de los mismos, a través de los fallos de tutela. </w:t>
      </w:r>
    </w:p>
    <w:p w14:paraId="5002F7FB" w14:textId="580935D0" w:rsidR="00921E3F" w:rsidRDefault="00921E3F" w:rsidP="00921E3F">
      <w:pPr>
        <w:jc w:val="both"/>
        <w:rPr>
          <w:rFonts w:ascii="Arial" w:hAnsi="Arial" w:cs="Arial"/>
        </w:rPr>
      </w:pPr>
    </w:p>
    <w:p w14:paraId="471D71F2" w14:textId="77777777" w:rsidR="00921E3F" w:rsidRPr="008D46B7" w:rsidRDefault="00921E3F" w:rsidP="00921E3F">
      <w:pPr>
        <w:pStyle w:val="Ttulo1"/>
        <w:numPr>
          <w:ilvl w:val="0"/>
          <w:numId w:val="8"/>
        </w:numPr>
        <w:tabs>
          <w:tab w:val="left" w:pos="822"/>
          <w:tab w:val="left" w:pos="9214"/>
        </w:tabs>
      </w:pPr>
      <w:r w:rsidRPr="008D46B7">
        <w:t>Posibles conflictos de interés</w:t>
      </w:r>
    </w:p>
    <w:p w14:paraId="4FA92223" w14:textId="77777777" w:rsidR="00921E3F" w:rsidRPr="008D46B7" w:rsidRDefault="00921E3F" w:rsidP="00921E3F">
      <w:pPr>
        <w:pStyle w:val="Ttulo1"/>
        <w:tabs>
          <w:tab w:val="left" w:pos="822"/>
          <w:tab w:val="left" w:pos="9214"/>
        </w:tabs>
        <w:ind w:left="0"/>
        <w:jc w:val="both"/>
        <w:rPr>
          <w:b w:val="0"/>
        </w:rPr>
      </w:pPr>
      <w:r w:rsidRPr="008D46B7">
        <w:rPr>
          <w:b w:val="0"/>
        </w:rPr>
        <w:t xml:space="preserve">Con base en el artículo 3º de la Ley 2003 de 2019, según el cual </w:t>
      </w:r>
      <w:r w:rsidRPr="008D46B7">
        <w:rPr>
          <w:b w:val="0"/>
          <w:i/>
        </w:rPr>
        <w:t>“El autor del proyecto y el ponente presentarán en el cuerpo de la exposición de motivos un acápite que describa las circunstancias o eventos que podrían generar un conflicto de interés para la discusión y votación del proyecto, de acuerdo al artículo 286. Estos serán criterios guías para que los otros congresistas tomen una decisión en torno a si se encuentran en una causal de impedimento, no obstante, otras causales que el Congresista pueda encontrar”</w:t>
      </w:r>
      <w:r w:rsidRPr="008D46B7">
        <w:rPr>
          <w:b w:val="0"/>
        </w:rPr>
        <w:t xml:space="preserve">. </w:t>
      </w:r>
    </w:p>
    <w:p w14:paraId="268F6EA9" w14:textId="77777777" w:rsidR="00921E3F" w:rsidRPr="008D46B7" w:rsidRDefault="00921E3F" w:rsidP="00921E3F">
      <w:pPr>
        <w:pStyle w:val="Ttulo1"/>
        <w:tabs>
          <w:tab w:val="left" w:pos="822"/>
          <w:tab w:val="left" w:pos="9214"/>
        </w:tabs>
        <w:ind w:left="0"/>
        <w:jc w:val="both"/>
        <w:rPr>
          <w:b w:val="0"/>
        </w:rPr>
      </w:pPr>
      <w:r w:rsidRPr="008D46B7">
        <w:rPr>
          <w:b w:val="0"/>
        </w:rPr>
        <w:t xml:space="preserve">A continuación, se pondrán de presente los criterios que la Ley 2003 de 2019 contempla para hacer el análisis frente a los posibles impedimentos que se puedan presentar en razón a un conflicto de interés en el ejercicio de la función congresional, entre ellas la legislativa.  </w:t>
      </w:r>
    </w:p>
    <w:p w14:paraId="679509FB" w14:textId="77777777" w:rsidR="00921E3F" w:rsidRPr="008D46B7" w:rsidRDefault="00921E3F" w:rsidP="00921E3F">
      <w:pPr>
        <w:spacing w:before="280" w:after="280"/>
        <w:ind w:firstLine="720"/>
        <w:jc w:val="both"/>
        <w:rPr>
          <w:rFonts w:ascii="Arial" w:hAnsi="Arial" w:cs="Arial"/>
          <w:i/>
          <w:color w:val="000000"/>
        </w:rPr>
      </w:pPr>
      <w:r w:rsidRPr="008D46B7">
        <w:rPr>
          <w:rFonts w:ascii="Arial" w:hAnsi="Arial" w:cs="Arial"/>
          <w:color w:val="4B4949"/>
        </w:rPr>
        <w:t>“</w:t>
      </w:r>
      <w:r w:rsidRPr="008D46B7">
        <w:rPr>
          <w:rFonts w:ascii="Arial" w:hAnsi="Arial" w:cs="Arial"/>
          <w:i/>
          <w:color w:val="000000"/>
        </w:rPr>
        <w:t>Artículo 1º. El artículo </w:t>
      </w:r>
      <w:hyperlink r:id="rId8" w:anchor="286" w:history="1">
        <w:r w:rsidRPr="008D46B7">
          <w:rPr>
            <w:rStyle w:val="Hipervnculo"/>
            <w:rFonts w:ascii="Arial" w:eastAsiaTheme="majorEastAsia" w:hAnsi="Arial" w:cs="Arial"/>
            <w:i/>
            <w:color w:val="000000"/>
          </w:rPr>
          <w:t>286</w:t>
        </w:r>
      </w:hyperlink>
      <w:r w:rsidRPr="008D46B7">
        <w:rPr>
          <w:rFonts w:ascii="Arial" w:hAnsi="Arial" w:cs="Arial"/>
          <w:i/>
          <w:color w:val="000000"/>
        </w:rPr>
        <w:t> de la Ley 5 de 1992 quedará así:</w:t>
      </w:r>
    </w:p>
    <w:p w14:paraId="5BACD20D" w14:textId="77777777" w:rsidR="00921E3F" w:rsidRPr="008D46B7" w:rsidRDefault="00921E3F" w:rsidP="00921E3F">
      <w:pPr>
        <w:spacing w:before="280" w:after="280"/>
        <w:ind w:firstLine="720"/>
        <w:jc w:val="both"/>
        <w:rPr>
          <w:rFonts w:ascii="Arial" w:hAnsi="Arial" w:cs="Arial"/>
          <w:i/>
          <w:color w:val="000000"/>
        </w:rPr>
      </w:pPr>
      <w:r w:rsidRPr="008D46B7">
        <w:rPr>
          <w:rFonts w:ascii="Arial" w:hAnsi="Arial" w:cs="Arial"/>
          <w:i/>
          <w:color w:val="000000"/>
        </w:rPr>
        <w:t>(…)</w:t>
      </w:r>
    </w:p>
    <w:p w14:paraId="10031DD5" w14:textId="77777777" w:rsidR="00921E3F" w:rsidRPr="008D46B7" w:rsidRDefault="00921E3F" w:rsidP="00921E3F">
      <w:pPr>
        <w:spacing w:before="280" w:after="280"/>
        <w:ind w:left="720"/>
        <w:jc w:val="both"/>
        <w:rPr>
          <w:rFonts w:ascii="Arial" w:hAnsi="Arial" w:cs="Arial"/>
          <w:i/>
          <w:color w:val="000000"/>
        </w:rPr>
      </w:pPr>
      <w:r w:rsidRPr="008D46B7">
        <w:rPr>
          <w:rFonts w:ascii="Arial" w:hAnsi="Arial" w:cs="Arial"/>
          <w:i/>
          <w:color w:val="000000"/>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629C3770" w14:textId="77777777" w:rsidR="00921E3F" w:rsidRPr="008D46B7" w:rsidRDefault="00921E3F" w:rsidP="00921E3F">
      <w:pPr>
        <w:spacing w:before="280" w:after="280"/>
        <w:ind w:left="720"/>
        <w:jc w:val="both"/>
        <w:rPr>
          <w:rFonts w:ascii="Arial" w:hAnsi="Arial" w:cs="Arial"/>
          <w:i/>
          <w:color w:val="000000"/>
        </w:rPr>
      </w:pPr>
      <w:r w:rsidRPr="008D46B7">
        <w:rPr>
          <w:rFonts w:ascii="Arial" w:hAnsi="Arial" w:cs="Arial"/>
          <w:i/>
          <w:color w:val="000000"/>
        </w:rPr>
        <w:t>b) Beneficio actual: aquel que efectivamente se configura en las circunstancias presentes y existentes al momento en el que el congresista participa de la decisión.</w:t>
      </w:r>
    </w:p>
    <w:p w14:paraId="1E07B355" w14:textId="77777777" w:rsidR="00921E3F" w:rsidRPr="008D46B7" w:rsidRDefault="00921E3F" w:rsidP="00921E3F">
      <w:pPr>
        <w:spacing w:before="280" w:after="280"/>
        <w:ind w:left="720"/>
        <w:jc w:val="both"/>
        <w:rPr>
          <w:rFonts w:ascii="Arial" w:hAnsi="Arial" w:cs="Arial"/>
          <w:i/>
          <w:color w:val="000000"/>
        </w:rPr>
      </w:pPr>
      <w:r w:rsidRPr="008D46B7">
        <w:rPr>
          <w:rFonts w:ascii="Arial" w:hAnsi="Arial" w:cs="Arial"/>
          <w:i/>
          <w:color w:val="000000"/>
        </w:rPr>
        <w:t>c) Beneficio directo: aquel que se produzca de forma específica respecto del congresista, de su cónyuge, compañero o compañera permanente, o parientes dentro del segundo grado de consanguinidad, segundo de afinidad o primero civil.</w:t>
      </w:r>
    </w:p>
    <w:p w14:paraId="28779015" w14:textId="77777777" w:rsidR="00921E3F" w:rsidRPr="008D46B7" w:rsidRDefault="00921E3F" w:rsidP="00921E3F">
      <w:pPr>
        <w:spacing w:before="280" w:after="280"/>
        <w:ind w:left="720"/>
        <w:jc w:val="both"/>
        <w:rPr>
          <w:rFonts w:ascii="Arial" w:hAnsi="Arial" w:cs="Arial"/>
          <w:i/>
          <w:color w:val="000000"/>
        </w:rPr>
      </w:pPr>
      <w:r w:rsidRPr="008D46B7">
        <w:rPr>
          <w:rFonts w:ascii="Arial" w:hAnsi="Arial" w:cs="Arial"/>
          <w:i/>
          <w:color w:val="000000"/>
        </w:rPr>
        <w:lastRenderedPageBreak/>
        <w:t>Para todos los efectos se entiende que no hay conflicto de interés en las siguientes circunstancias:</w:t>
      </w:r>
    </w:p>
    <w:p w14:paraId="0DDF450E" w14:textId="77777777" w:rsidR="00921E3F" w:rsidRPr="008D46B7" w:rsidRDefault="00921E3F" w:rsidP="00921E3F">
      <w:pPr>
        <w:spacing w:before="280" w:after="280"/>
        <w:ind w:left="720"/>
        <w:jc w:val="both"/>
        <w:rPr>
          <w:rFonts w:ascii="Arial" w:hAnsi="Arial" w:cs="Arial"/>
          <w:b/>
          <w:i/>
          <w:color w:val="000000"/>
          <w:u w:val="single"/>
        </w:rPr>
      </w:pPr>
      <w:r w:rsidRPr="008D46B7">
        <w:rPr>
          <w:rFonts w:ascii="Arial" w:hAnsi="Arial" w:cs="Arial"/>
          <w:b/>
          <w:i/>
          <w:color w:val="000000"/>
          <w:u w:val="single"/>
        </w:rPr>
        <w:t>a) Cuando el congresista participe, discuta, vote un proyecto de ley o de acto legislativo que otorgue beneficios o cargos de carácter general, es decir cuando el interés del congresista coincide o se fusione con los intereses de los electores.</w:t>
      </w:r>
    </w:p>
    <w:p w14:paraId="4968F23E" w14:textId="77777777" w:rsidR="00921E3F" w:rsidRPr="008D46B7" w:rsidRDefault="00921E3F" w:rsidP="00921E3F">
      <w:pPr>
        <w:spacing w:before="280" w:after="280"/>
        <w:ind w:left="708" w:firstLine="12"/>
        <w:jc w:val="both"/>
        <w:rPr>
          <w:rFonts w:ascii="Arial" w:hAnsi="Arial" w:cs="Arial"/>
          <w:i/>
          <w:color w:val="000000"/>
        </w:rPr>
      </w:pPr>
      <w:r w:rsidRPr="008D46B7">
        <w:rPr>
          <w:rFonts w:ascii="Arial" w:hAnsi="Arial" w:cs="Arial"/>
          <w:i/>
          <w:color w:val="000000"/>
        </w:rPr>
        <w:t>b) Cuando el beneficio podría o no configurarse para el congresista en el futuro.</w:t>
      </w:r>
    </w:p>
    <w:p w14:paraId="5A220B4A" w14:textId="77777777" w:rsidR="00921E3F" w:rsidRPr="008D46B7" w:rsidRDefault="00921E3F" w:rsidP="00921E3F">
      <w:pPr>
        <w:spacing w:before="280" w:after="280"/>
        <w:ind w:left="720"/>
        <w:jc w:val="both"/>
        <w:rPr>
          <w:rFonts w:ascii="Arial" w:hAnsi="Arial" w:cs="Arial"/>
          <w:i/>
          <w:color w:val="000000"/>
        </w:rPr>
      </w:pPr>
      <w:r w:rsidRPr="008D46B7">
        <w:rPr>
          <w:rFonts w:ascii="Arial" w:hAnsi="Arial" w:cs="Arial"/>
          <w:i/>
          <w:color w:val="000000"/>
        </w:rPr>
        <w:t>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14:paraId="6717FCC2" w14:textId="77777777" w:rsidR="00921E3F" w:rsidRPr="008D46B7" w:rsidRDefault="00921E3F" w:rsidP="00921E3F">
      <w:pPr>
        <w:spacing w:before="280" w:after="280"/>
        <w:ind w:left="720"/>
        <w:jc w:val="both"/>
        <w:rPr>
          <w:rFonts w:ascii="Arial" w:hAnsi="Arial" w:cs="Arial"/>
          <w:i/>
          <w:color w:val="000000"/>
        </w:rPr>
      </w:pPr>
      <w:r w:rsidRPr="008D46B7">
        <w:rPr>
          <w:rFonts w:ascii="Arial" w:hAnsi="Arial" w:cs="Arial"/>
          <w:i/>
          <w:color w:val="000000"/>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1E488761" w14:textId="77777777" w:rsidR="00921E3F" w:rsidRPr="008D46B7" w:rsidRDefault="00921E3F" w:rsidP="00921E3F">
      <w:pPr>
        <w:spacing w:before="280" w:after="280"/>
        <w:ind w:left="720"/>
        <w:jc w:val="both"/>
        <w:rPr>
          <w:rFonts w:ascii="Arial" w:hAnsi="Arial" w:cs="Arial"/>
          <w:i/>
          <w:color w:val="000000"/>
        </w:rPr>
      </w:pPr>
      <w:r w:rsidRPr="008D46B7">
        <w:rPr>
          <w:rFonts w:ascii="Arial" w:hAnsi="Arial" w:cs="Arial"/>
          <w:i/>
          <w:color w:val="000000"/>
        </w:rPr>
        <w:t>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14:paraId="5F7E531A" w14:textId="77777777" w:rsidR="00921E3F" w:rsidRPr="008D46B7" w:rsidRDefault="00921E3F" w:rsidP="00921E3F">
      <w:pPr>
        <w:spacing w:before="280" w:after="280"/>
        <w:ind w:left="720"/>
        <w:jc w:val="both"/>
        <w:rPr>
          <w:rFonts w:ascii="Arial" w:hAnsi="Arial" w:cs="Arial"/>
          <w:i/>
          <w:color w:val="000000"/>
        </w:rPr>
      </w:pPr>
      <w:r w:rsidRPr="008D46B7">
        <w:rPr>
          <w:rFonts w:ascii="Arial" w:hAnsi="Arial" w:cs="Arial"/>
          <w:i/>
          <w:color w:val="000000"/>
        </w:rPr>
        <w:t xml:space="preserve">f) Cuando el congresista participa en la elección de otros servidores públicos mediante el voto secreto. Se exceptúan los casos en que se presenten inhabilidades referidas al parentesco con los candidatos (...)”. </w:t>
      </w:r>
      <w:r w:rsidRPr="008D46B7">
        <w:rPr>
          <w:rFonts w:ascii="Arial" w:hAnsi="Arial" w:cs="Arial"/>
          <w:color w:val="000000"/>
        </w:rPr>
        <w:t xml:space="preserve">(Subrayado y negrilla fuera de texto). </w:t>
      </w:r>
    </w:p>
    <w:p w14:paraId="0C46F580" w14:textId="50C2D12A" w:rsidR="00921E3F" w:rsidRPr="008D46B7" w:rsidRDefault="00921E3F" w:rsidP="00921E3F">
      <w:pPr>
        <w:jc w:val="both"/>
        <w:rPr>
          <w:rFonts w:ascii="Arial" w:hAnsi="Arial" w:cs="Arial"/>
          <w:i/>
          <w:color w:val="000000"/>
        </w:rPr>
      </w:pPr>
      <w:r w:rsidRPr="008D46B7">
        <w:rPr>
          <w:rFonts w:ascii="Arial" w:hAnsi="Arial" w:cs="Arial"/>
        </w:rPr>
        <w:t xml:space="preserve">De lo anterior, y de manera meramente orientativa, se considera que para la discusión y aprobación de este Proyecto de Ley pueden tener posible conflicto de interés quienes actualmente tengan en curso alguna acción de tutela, de lo contrario se considera que  no existen circunstancias que pudieran dar lugar a un eventual conflicto de interés por parte de los Honorables Representantes, pues es una iniciativa de carácter general, impersonal y abstracta, con lo cual no se materializa una situación concreta que permita enmarcar un beneficio particular, directo ni </w:t>
      </w:r>
      <w:r w:rsidRPr="008D46B7">
        <w:rPr>
          <w:rFonts w:ascii="Arial" w:hAnsi="Arial" w:cs="Arial"/>
        </w:rPr>
        <w:lastRenderedPageBreak/>
        <w:t xml:space="preserve">actual. Salvo la </w:t>
      </w:r>
      <w:r w:rsidR="0034166A" w:rsidRPr="008D46B7">
        <w:rPr>
          <w:rFonts w:ascii="Arial" w:hAnsi="Arial" w:cs="Arial"/>
        </w:rPr>
        <w:t>hipótesis</w:t>
      </w:r>
      <w:r w:rsidRPr="008D46B7">
        <w:rPr>
          <w:rFonts w:ascii="Arial" w:hAnsi="Arial" w:cs="Arial"/>
        </w:rPr>
        <w:t xml:space="preserve"> mencionada, se considera que este proyecto se enmarca en lo dispuesto por el literal a del artículo primero de la Ley 2003 de 2019 sobre las hipótesis de cuando se entiende que no hay conflicto de interés. En todo caso, es pertinente aclarar que los conflictos de interés son personales y corresponde a cada Congresista evaluarlos.</w:t>
      </w:r>
    </w:p>
    <w:p w14:paraId="1944D5F1" w14:textId="77777777" w:rsidR="00921E3F" w:rsidRPr="008D46B7" w:rsidRDefault="00921E3F" w:rsidP="00921E3F">
      <w:pPr>
        <w:jc w:val="both"/>
        <w:rPr>
          <w:rFonts w:ascii="Arial" w:hAnsi="Arial" w:cs="Arial"/>
        </w:rPr>
      </w:pPr>
    </w:p>
    <w:p w14:paraId="00D03900" w14:textId="77777777" w:rsidR="00921E3F" w:rsidRPr="008D46B7" w:rsidRDefault="00921E3F" w:rsidP="00921E3F">
      <w:pPr>
        <w:jc w:val="both"/>
        <w:rPr>
          <w:rFonts w:ascii="Arial" w:hAnsi="Arial" w:cs="Arial"/>
        </w:rPr>
      </w:pPr>
    </w:p>
    <w:p w14:paraId="2A7B8D89" w14:textId="77777777" w:rsidR="00914D2C" w:rsidRPr="00F20A48" w:rsidRDefault="00914D2C" w:rsidP="00914D2C">
      <w:pPr>
        <w:pStyle w:val="Prrafodelista"/>
        <w:numPr>
          <w:ilvl w:val="0"/>
          <w:numId w:val="8"/>
        </w:numPr>
        <w:jc w:val="both"/>
        <w:rPr>
          <w:rFonts w:ascii="Arial" w:hAnsi="Arial" w:cs="Arial"/>
          <w:b/>
        </w:rPr>
      </w:pPr>
      <w:r w:rsidRPr="00F20A48">
        <w:rPr>
          <w:rFonts w:ascii="Arial" w:hAnsi="Arial" w:cs="Arial"/>
          <w:b/>
        </w:rPr>
        <w:t>Antecedentes</w:t>
      </w:r>
    </w:p>
    <w:p w14:paraId="60F191EA" w14:textId="77777777" w:rsidR="00914D2C" w:rsidRDefault="00914D2C" w:rsidP="00914D2C">
      <w:pPr>
        <w:jc w:val="both"/>
        <w:rPr>
          <w:rFonts w:ascii="Arial" w:hAnsi="Arial" w:cs="Arial"/>
        </w:rPr>
      </w:pPr>
    </w:p>
    <w:p w14:paraId="2E77B359" w14:textId="77777777" w:rsidR="00914D2C" w:rsidRPr="00F20A48" w:rsidRDefault="00914D2C" w:rsidP="00914D2C">
      <w:pPr>
        <w:jc w:val="both"/>
        <w:rPr>
          <w:rFonts w:ascii="Arial" w:hAnsi="Arial" w:cs="Arial"/>
        </w:rPr>
      </w:pPr>
      <w:r>
        <w:rPr>
          <w:rFonts w:ascii="Arial" w:hAnsi="Arial" w:cs="Arial"/>
        </w:rPr>
        <w:t xml:space="preserve">Esta iniciativa tiene como antecedente el Proyecto de Ley 439 de 2022 Cámara, y que por tiempos resulto siendo archivado en la comisión Primera Constitucional de la Cámara de Representantes. Alcanzó a ser publicada ponencia para primer debate en la Gaceta 363 de 2022. </w:t>
      </w:r>
    </w:p>
    <w:p w14:paraId="055F0CD2" w14:textId="77777777" w:rsidR="00914D2C" w:rsidRDefault="00914D2C" w:rsidP="00914D2C">
      <w:pPr>
        <w:pStyle w:val="Prrafodelista"/>
        <w:ind w:left="360"/>
        <w:jc w:val="both"/>
        <w:rPr>
          <w:rFonts w:ascii="Arial" w:hAnsi="Arial" w:cs="Arial"/>
          <w:b/>
        </w:rPr>
      </w:pPr>
    </w:p>
    <w:p w14:paraId="4F275C30" w14:textId="1EDFA8E5" w:rsidR="00921E3F" w:rsidRPr="008D46B7" w:rsidRDefault="00921E3F" w:rsidP="00921E3F">
      <w:pPr>
        <w:pStyle w:val="Prrafodelista"/>
        <w:numPr>
          <w:ilvl w:val="0"/>
          <w:numId w:val="8"/>
        </w:numPr>
        <w:jc w:val="both"/>
        <w:rPr>
          <w:rFonts w:ascii="Arial" w:hAnsi="Arial" w:cs="Arial"/>
          <w:b/>
        </w:rPr>
      </w:pPr>
      <w:r w:rsidRPr="008D46B7">
        <w:rPr>
          <w:rFonts w:ascii="Arial" w:hAnsi="Arial" w:cs="Arial"/>
          <w:b/>
        </w:rPr>
        <w:t>Justificación del proyecto de ley estatutaria</w:t>
      </w:r>
    </w:p>
    <w:p w14:paraId="34087734" w14:textId="77777777" w:rsidR="00921E3F" w:rsidRPr="008D46B7" w:rsidRDefault="00921E3F" w:rsidP="00921E3F">
      <w:pPr>
        <w:pStyle w:val="Prrafodelista"/>
        <w:ind w:left="360"/>
        <w:jc w:val="both"/>
        <w:rPr>
          <w:rFonts w:ascii="Arial" w:hAnsi="Arial" w:cs="Arial"/>
          <w:b/>
        </w:rPr>
      </w:pPr>
    </w:p>
    <w:p w14:paraId="43D1DC0F" w14:textId="77777777" w:rsidR="00921E3F" w:rsidRPr="008D46B7" w:rsidRDefault="00921E3F" w:rsidP="00921E3F">
      <w:pPr>
        <w:pStyle w:val="Prrafodelista"/>
        <w:numPr>
          <w:ilvl w:val="1"/>
          <w:numId w:val="8"/>
        </w:numPr>
        <w:jc w:val="both"/>
        <w:rPr>
          <w:rFonts w:ascii="Arial" w:hAnsi="Arial" w:cs="Arial"/>
          <w:b/>
        </w:rPr>
      </w:pPr>
      <w:r w:rsidRPr="008D46B7">
        <w:rPr>
          <w:rFonts w:ascii="Arial" w:hAnsi="Arial" w:cs="Arial"/>
        </w:rPr>
        <w:t>La concepción de la acción de tutela según la Constituyente de 1991</w:t>
      </w:r>
    </w:p>
    <w:p w14:paraId="64F400F1" w14:textId="77777777" w:rsidR="00921E3F" w:rsidRPr="008D46B7" w:rsidRDefault="00921E3F" w:rsidP="00921E3F">
      <w:pPr>
        <w:jc w:val="both"/>
        <w:rPr>
          <w:rFonts w:ascii="Arial" w:hAnsi="Arial" w:cs="Arial"/>
        </w:rPr>
      </w:pPr>
    </w:p>
    <w:p w14:paraId="7FD5010D" w14:textId="77777777" w:rsidR="00921E3F" w:rsidRPr="008D46B7" w:rsidRDefault="00921E3F" w:rsidP="00921E3F">
      <w:pPr>
        <w:jc w:val="both"/>
        <w:rPr>
          <w:rFonts w:ascii="Arial" w:hAnsi="Arial" w:cs="Arial"/>
        </w:rPr>
      </w:pPr>
      <w:r w:rsidRPr="008D46B7">
        <w:rPr>
          <w:rFonts w:ascii="Arial" w:hAnsi="Arial" w:cs="Arial"/>
        </w:rPr>
        <w:t xml:space="preserve">La acción de tutela fue concebida por los constituyentes de 1991 como un mecanismo de todo un sistema de protección de derechos, quienes en su momento advirtieron: </w:t>
      </w:r>
    </w:p>
    <w:p w14:paraId="29965852" w14:textId="77777777" w:rsidR="00921E3F" w:rsidRPr="008D46B7" w:rsidRDefault="00921E3F" w:rsidP="00921E3F">
      <w:pPr>
        <w:widowControl w:val="0"/>
        <w:autoSpaceDE w:val="0"/>
        <w:autoSpaceDN w:val="0"/>
        <w:adjustRightInd w:val="0"/>
        <w:jc w:val="both"/>
        <w:rPr>
          <w:rFonts w:ascii="Arial" w:hAnsi="Arial" w:cs="Arial"/>
        </w:rPr>
      </w:pPr>
    </w:p>
    <w:p w14:paraId="07C6FA5D" w14:textId="77777777" w:rsidR="00921E3F" w:rsidRPr="008D46B7" w:rsidRDefault="00921E3F" w:rsidP="00921E3F">
      <w:pPr>
        <w:widowControl w:val="0"/>
        <w:autoSpaceDE w:val="0"/>
        <w:autoSpaceDN w:val="0"/>
        <w:adjustRightInd w:val="0"/>
        <w:ind w:left="708"/>
        <w:jc w:val="both"/>
        <w:rPr>
          <w:rFonts w:ascii="Arial" w:hAnsi="Arial" w:cs="Arial"/>
          <w:color w:val="232323"/>
          <w:lang w:val="es-ES"/>
        </w:rPr>
      </w:pPr>
      <w:r w:rsidRPr="008D46B7">
        <w:rPr>
          <w:rFonts w:ascii="Arial" w:hAnsi="Arial" w:cs="Arial"/>
        </w:rPr>
        <w:t>“</w:t>
      </w:r>
      <w:r w:rsidRPr="008D46B7">
        <w:rPr>
          <w:rFonts w:ascii="Arial" w:hAnsi="Arial" w:cs="Arial"/>
          <w:color w:val="040404"/>
          <w:lang w:val="es-ES"/>
        </w:rPr>
        <w:t xml:space="preserve">Entre </w:t>
      </w:r>
      <w:r w:rsidRPr="008D46B7">
        <w:rPr>
          <w:rFonts w:ascii="Arial" w:hAnsi="Arial" w:cs="Arial"/>
          <w:color w:val="141414"/>
          <w:lang w:val="es-ES"/>
        </w:rPr>
        <w:t xml:space="preserve">los </w:t>
      </w:r>
      <w:r w:rsidRPr="008D46B7">
        <w:rPr>
          <w:rFonts w:ascii="Arial" w:hAnsi="Arial" w:cs="Arial"/>
          <w:color w:val="040404"/>
          <w:lang w:val="es-ES"/>
        </w:rPr>
        <w:t>instrumento</w:t>
      </w:r>
      <w:r w:rsidRPr="008D46B7">
        <w:rPr>
          <w:rFonts w:ascii="Arial" w:hAnsi="Arial" w:cs="Arial"/>
          <w:color w:val="232323"/>
          <w:lang w:val="es-ES"/>
        </w:rPr>
        <w:t xml:space="preserve">s de </w:t>
      </w:r>
      <w:r w:rsidRPr="008D46B7">
        <w:rPr>
          <w:rFonts w:ascii="Arial" w:hAnsi="Arial" w:cs="Arial"/>
          <w:color w:val="040404"/>
          <w:lang w:val="es-ES"/>
        </w:rPr>
        <w:t>protecció</w:t>
      </w:r>
      <w:r w:rsidRPr="008D46B7">
        <w:rPr>
          <w:rFonts w:ascii="Arial" w:hAnsi="Arial" w:cs="Arial"/>
          <w:color w:val="363636"/>
          <w:lang w:val="es-ES"/>
        </w:rPr>
        <w:t xml:space="preserve">n </w:t>
      </w:r>
      <w:r w:rsidRPr="008D46B7">
        <w:rPr>
          <w:rFonts w:ascii="Arial" w:hAnsi="Arial" w:cs="Arial"/>
          <w:color w:val="040404"/>
          <w:lang w:val="es-ES"/>
        </w:rPr>
        <w:t>co</w:t>
      </w:r>
      <w:r w:rsidRPr="008D46B7">
        <w:rPr>
          <w:rFonts w:ascii="Arial" w:hAnsi="Arial" w:cs="Arial"/>
          <w:color w:val="232323"/>
          <w:lang w:val="es-ES"/>
        </w:rPr>
        <w:t xml:space="preserve">n </w:t>
      </w:r>
      <w:r w:rsidRPr="008D46B7">
        <w:rPr>
          <w:rFonts w:ascii="Arial" w:hAnsi="Arial" w:cs="Arial"/>
          <w:color w:val="141414"/>
          <w:lang w:val="es-ES"/>
        </w:rPr>
        <w:t xml:space="preserve">que </w:t>
      </w:r>
      <w:r w:rsidRPr="008D46B7">
        <w:rPr>
          <w:rFonts w:ascii="Arial" w:hAnsi="Arial" w:cs="Arial"/>
          <w:color w:val="040404"/>
          <w:lang w:val="es-ES"/>
        </w:rPr>
        <w:t xml:space="preserve">cuenta </w:t>
      </w:r>
      <w:r w:rsidRPr="008D46B7">
        <w:rPr>
          <w:rFonts w:ascii="Arial" w:hAnsi="Arial" w:cs="Arial"/>
          <w:color w:val="232323"/>
          <w:lang w:val="es-ES"/>
        </w:rPr>
        <w:t xml:space="preserve">el </w:t>
      </w:r>
      <w:r w:rsidRPr="008D46B7">
        <w:rPr>
          <w:rFonts w:ascii="Arial" w:hAnsi="Arial" w:cs="Arial"/>
          <w:color w:val="040404"/>
          <w:lang w:val="es-ES"/>
        </w:rPr>
        <w:t>ordena</w:t>
      </w:r>
      <w:r w:rsidRPr="008D46B7">
        <w:rPr>
          <w:rFonts w:ascii="Arial" w:hAnsi="Arial" w:cs="Arial"/>
          <w:color w:val="232323"/>
          <w:lang w:val="es-ES"/>
        </w:rPr>
        <w:t>mie</w:t>
      </w:r>
      <w:r w:rsidRPr="008D46B7">
        <w:rPr>
          <w:rFonts w:ascii="Arial" w:hAnsi="Arial" w:cs="Arial"/>
          <w:color w:val="040404"/>
          <w:lang w:val="es-ES"/>
        </w:rPr>
        <w:t>n</w:t>
      </w:r>
      <w:r w:rsidRPr="008D46B7">
        <w:rPr>
          <w:rFonts w:ascii="Arial" w:hAnsi="Arial" w:cs="Arial"/>
          <w:color w:val="232323"/>
          <w:lang w:val="es-ES"/>
        </w:rPr>
        <w:t xml:space="preserve">to </w:t>
      </w:r>
      <w:r w:rsidRPr="008D46B7">
        <w:rPr>
          <w:rFonts w:ascii="Arial" w:hAnsi="Arial" w:cs="Arial"/>
          <w:color w:val="040404"/>
          <w:lang w:val="es-ES"/>
        </w:rPr>
        <w:t xml:space="preserve">vigente pueden </w:t>
      </w:r>
      <w:r w:rsidRPr="008D46B7">
        <w:rPr>
          <w:rFonts w:ascii="Arial" w:hAnsi="Arial" w:cs="Arial"/>
          <w:color w:val="141414"/>
          <w:lang w:val="es-ES"/>
        </w:rPr>
        <w:t xml:space="preserve">citarse </w:t>
      </w:r>
      <w:r w:rsidRPr="008D46B7">
        <w:rPr>
          <w:rFonts w:ascii="Arial" w:hAnsi="Arial" w:cs="Arial"/>
          <w:color w:val="040404"/>
          <w:lang w:val="es-ES"/>
        </w:rPr>
        <w:t xml:space="preserve">la separación de las </w:t>
      </w:r>
      <w:r w:rsidRPr="008D46B7">
        <w:rPr>
          <w:rFonts w:ascii="Arial" w:hAnsi="Arial" w:cs="Arial"/>
          <w:color w:val="141414"/>
          <w:lang w:val="es-ES"/>
        </w:rPr>
        <w:t xml:space="preserve">ramas </w:t>
      </w:r>
      <w:r w:rsidRPr="008D46B7">
        <w:rPr>
          <w:rFonts w:ascii="Arial" w:hAnsi="Arial" w:cs="Arial"/>
          <w:color w:val="040404"/>
          <w:lang w:val="es-ES"/>
        </w:rPr>
        <w:t>del</w:t>
      </w:r>
      <w:r w:rsidRPr="008D46B7">
        <w:rPr>
          <w:rFonts w:ascii="Arial" w:hAnsi="Arial" w:cs="Arial"/>
          <w:color w:val="232323"/>
          <w:lang w:val="es-ES"/>
        </w:rPr>
        <w:t xml:space="preserve"> </w:t>
      </w:r>
      <w:r w:rsidRPr="008D46B7">
        <w:rPr>
          <w:rFonts w:ascii="Arial" w:hAnsi="Arial" w:cs="Arial"/>
          <w:color w:val="040404"/>
          <w:lang w:val="es-ES"/>
        </w:rPr>
        <w:t>po</w:t>
      </w:r>
      <w:r w:rsidRPr="008D46B7">
        <w:rPr>
          <w:rFonts w:ascii="Arial" w:hAnsi="Arial" w:cs="Arial"/>
          <w:color w:val="232323"/>
          <w:lang w:val="es-ES"/>
        </w:rPr>
        <w:t xml:space="preserve">der, </w:t>
      </w:r>
      <w:r w:rsidRPr="008D46B7">
        <w:rPr>
          <w:rFonts w:ascii="Arial" w:hAnsi="Arial" w:cs="Arial"/>
          <w:color w:val="040404"/>
          <w:lang w:val="es-ES"/>
        </w:rPr>
        <w:t xml:space="preserve">con </w:t>
      </w:r>
      <w:r w:rsidRPr="008D46B7">
        <w:rPr>
          <w:rFonts w:ascii="Arial" w:hAnsi="Arial" w:cs="Arial"/>
          <w:color w:val="141414"/>
          <w:lang w:val="es-ES"/>
        </w:rPr>
        <w:t xml:space="preserve">su </w:t>
      </w:r>
      <w:r w:rsidRPr="008D46B7">
        <w:rPr>
          <w:rFonts w:ascii="Arial" w:hAnsi="Arial" w:cs="Arial"/>
          <w:color w:val="040404"/>
          <w:lang w:val="es-ES"/>
        </w:rPr>
        <w:t>divisió</w:t>
      </w:r>
      <w:r w:rsidRPr="008D46B7">
        <w:rPr>
          <w:rFonts w:ascii="Arial" w:hAnsi="Arial" w:cs="Arial"/>
          <w:color w:val="232323"/>
          <w:lang w:val="es-ES"/>
        </w:rPr>
        <w:t xml:space="preserve">n </w:t>
      </w:r>
      <w:r w:rsidRPr="008D46B7">
        <w:rPr>
          <w:rFonts w:ascii="Arial" w:hAnsi="Arial" w:cs="Arial"/>
          <w:color w:val="363636"/>
          <w:lang w:val="es-ES"/>
        </w:rPr>
        <w:t>d</w:t>
      </w:r>
      <w:r w:rsidRPr="008D46B7">
        <w:rPr>
          <w:rFonts w:ascii="Arial" w:hAnsi="Arial" w:cs="Arial"/>
          <w:color w:val="141414"/>
          <w:lang w:val="es-ES"/>
        </w:rPr>
        <w:t xml:space="preserve">e </w:t>
      </w:r>
      <w:r w:rsidRPr="008D46B7">
        <w:rPr>
          <w:rFonts w:ascii="Arial" w:hAnsi="Arial" w:cs="Arial"/>
          <w:color w:val="040404"/>
          <w:lang w:val="es-ES"/>
        </w:rPr>
        <w:t xml:space="preserve">competencias </w:t>
      </w:r>
      <w:r w:rsidRPr="008D46B7">
        <w:rPr>
          <w:rFonts w:ascii="Arial" w:hAnsi="Arial" w:cs="Arial"/>
          <w:color w:val="232323"/>
          <w:lang w:val="es-ES"/>
        </w:rPr>
        <w:t xml:space="preserve">y un </w:t>
      </w:r>
      <w:r w:rsidRPr="008D46B7">
        <w:rPr>
          <w:rFonts w:ascii="Arial" w:hAnsi="Arial" w:cs="Arial"/>
          <w:color w:val="040404"/>
          <w:lang w:val="es-ES"/>
        </w:rPr>
        <w:t>saludable complejo de</w:t>
      </w:r>
      <w:r w:rsidRPr="008D46B7">
        <w:rPr>
          <w:rFonts w:ascii="Arial" w:hAnsi="Arial" w:cs="Arial"/>
          <w:color w:val="232323"/>
          <w:lang w:val="es-ES"/>
        </w:rPr>
        <w:t xml:space="preserve"> </w:t>
      </w:r>
      <w:r w:rsidRPr="008D46B7">
        <w:rPr>
          <w:rFonts w:ascii="Arial" w:hAnsi="Arial" w:cs="Arial"/>
          <w:color w:val="040404"/>
          <w:lang w:val="es-ES"/>
        </w:rPr>
        <w:t>co</w:t>
      </w:r>
      <w:r w:rsidRPr="008D46B7">
        <w:rPr>
          <w:rFonts w:ascii="Arial" w:hAnsi="Arial" w:cs="Arial"/>
          <w:color w:val="232323"/>
          <w:lang w:val="es-ES"/>
        </w:rPr>
        <w:t>nt</w:t>
      </w:r>
      <w:r w:rsidRPr="008D46B7">
        <w:rPr>
          <w:rFonts w:ascii="Arial" w:hAnsi="Arial" w:cs="Arial"/>
          <w:color w:val="040404"/>
          <w:lang w:val="es-ES"/>
        </w:rPr>
        <w:t>roles recíproco</w:t>
      </w:r>
      <w:r w:rsidRPr="008D46B7">
        <w:rPr>
          <w:rFonts w:ascii="Arial" w:hAnsi="Arial" w:cs="Arial"/>
          <w:color w:val="232323"/>
          <w:lang w:val="es-ES"/>
        </w:rPr>
        <w:t xml:space="preserve">s; </w:t>
      </w:r>
      <w:r w:rsidRPr="008D46B7">
        <w:rPr>
          <w:rFonts w:ascii="Arial" w:hAnsi="Arial" w:cs="Arial"/>
          <w:color w:val="141414"/>
          <w:lang w:val="es-ES"/>
        </w:rPr>
        <w:t xml:space="preserve">la </w:t>
      </w:r>
      <w:r w:rsidRPr="008D46B7">
        <w:rPr>
          <w:rFonts w:ascii="Arial" w:hAnsi="Arial" w:cs="Arial"/>
          <w:color w:val="040404"/>
          <w:lang w:val="es-ES"/>
        </w:rPr>
        <w:t>jurisdicció</w:t>
      </w:r>
      <w:r w:rsidRPr="008D46B7">
        <w:rPr>
          <w:rFonts w:ascii="Arial" w:hAnsi="Arial" w:cs="Arial"/>
          <w:color w:val="363636"/>
          <w:lang w:val="es-ES"/>
        </w:rPr>
        <w:t xml:space="preserve">n </w:t>
      </w:r>
      <w:r w:rsidRPr="008D46B7">
        <w:rPr>
          <w:rFonts w:ascii="Arial" w:hAnsi="Arial" w:cs="Arial"/>
          <w:color w:val="040404"/>
          <w:lang w:val="es-ES"/>
        </w:rPr>
        <w:t>const</w:t>
      </w:r>
      <w:r w:rsidRPr="008D46B7">
        <w:rPr>
          <w:rFonts w:ascii="Arial" w:hAnsi="Arial" w:cs="Arial"/>
          <w:color w:val="232323"/>
          <w:lang w:val="es-ES"/>
        </w:rPr>
        <w:t>i</w:t>
      </w:r>
      <w:r w:rsidRPr="008D46B7">
        <w:rPr>
          <w:rFonts w:ascii="Arial" w:hAnsi="Arial" w:cs="Arial"/>
          <w:color w:val="040404"/>
          <w:lang w:val="es-ES"/>
        </w:rPr>
        <w:t>tucional</w:t>
      </w:r>
      <w:r w:rsidRPr="008D46B7">
        <w:rPr>
          <w:rFonts w:ascii="Arial" w:hAnsi="Arial" w:cs="Arial"/>
          <w:color w:val="141414"/>
          <w:lang w:val="es-ES"/>
        </w:rPr>
        <w:t xml:space="preserve"> </w:t>
      </w:r>
      <w:r w:rsidRPr="008D46B7">
        <w:rPr>
          <w:rFonts w:ascii="Arial" w:hAnsi="Arial" w:cs="Arial"/>
          <w:color w:val="040404"/>
          <w:lang w:val="es-ES"/>
        </w:rPr>
        <w:t>que comprende</w:t>
      </w:r>
      <w:r w:rsidRPr="008D46B7">
        <w:rPr>
          <w:rFonts w:ascii="Arial" w:hAnsi="Arial" w:cs="Arial"/>
          <w:color w:val="232323"/>
          <w:lang w:val="es-ES"/>
        </w:rPr>
        <w:t xml:space="preserve"> </w:t>
      </w:r>
      <w:r w:rsidRPr="008D46B7">
        <w:rPr>
          <w:rFonts w:ascii="Arial" w:hAnsi="Arial" w:cs="Arial"/>
          <w:color w:val="141414"/>
          <w:lang w:val="es-ES"/>
        </w:rPr>
        <w:t xml:space="preserve">la </w:t>
      </w:r>
      <w:r w:rsidRPr="008D46B7">
        <w:rPr>
          <w:rFonts w:ascii="Arial" w:hAnsi="Arial" w:cs="Arial"/>
          <w:color w:val="040404"/>
          <w:lang w:val="es-ES"/>
        </w:rPr>
        <w:t>acció</w:t>
      </w:r>
      <w:r w:rsidRPr="008D46B7">
        <w:rPr>
          <w:rFonts w:ascii="Arial" w:hAnsi="Arial" w:cs="Arial"/>
          <w:color w:val="232323"/>
          <w:lang w:val="es-ES"/>
        </w:rPr>
        <w:t xml:space="preserve">n </w:t>
      </w:r>
      <w:r w:rsidRPr="008D46B7">
        <w:rPr>
          <w:rFonts w:ascii="Arial" w:hAnsi="Arial" w:cs="Arial"/>
          <w:color w:val="040404"/>
          <w:lang w:val="es-ES"/>
        </w:rPr>
        <w:t xml:space="preserve">pública </w:t>
      </w:r>
      <w:r w:rsidRPr="008D46B7">
        <w:rPr>
          <w:rFonts w:ascii="Arial" w:hAnsi="Arial" w:cs="Arial"/>
          <w:color w:val="141414"/>
          <w:lang w:val="es-ES"/>
        </w:rPr>
        <w:t xml:space="preserve">de </w:t>
      </w:r>
      <w:r w:rsidRPr="008D46B7">
        <w:rPr>
          <w:rFonts w:ascii="Arial" w:hAnsi="Arial" w:cs="Arial"/>
          <w:color w:val="040404"/>
          <w:lang w:val="es-ES"/>
        </w:rPr>
        <w:t xml:space="preserve">inconstitucionalidad, </w:t>
      </w:r>
      <w:r w:rsidRPr="008D46B7">
        <w:rPr>
          <w:rFonts w:ascii="Arial" w:hAnsi="Arial" w:cs="Arial"/>
          <w:color w:val="141414"/>
          <w:lang w:val="es-ES"/>
        </w:rPr>
        <w:t xml:space="preserve">los </w:t>
      </w:r>
      <w:r w:rsidRPr="008D46B7">
        <w:rPr>
          <w:rFonts w:ascii="Arial" w:hAnsi="Arial" w:cs="Arial"/>
          <w:color w:val="040404"/>
          <w:lang w:val="es-ES"/>
        </w:rPr>
        <w:t>controles</w:t>
      </w:r>
      <w:r w:rsidRPr="008D46B7">
        <w:rPr>
          <w:rFonts w:ascii="Arial" w:hAnsi="Arial" w:cs="Arial"/>
          <w:color w:val="232323"/>
          <w:lang w:val="es-ES"/>
        </w:rPr>
        <w:t xml:space="preserve"> </w:t>
      </w:r>
      <w:r w:rsidRPr="008D46B7">
        <w:rPr>
          <w:rFonts w:ascii="Arial" w:hAnsi="Arial" w:cs="Arial"/>
          <w:color w:val="040404"/>
          <w:lang w:val="es-ES"/>
        </w:rPr>
        <w:t>a</w:t>
      </w:r>
      <w:r w:rsidRPr="008D46B7">
        <w:rPr>
          <w:rFonts w:ascii="Arial" w:hAnsi="Arial" w:cs="Arial"/>
          <w:color w:val="232323"/>
          <w:lang w:val="es-ES"/>
        </w:rPr>
        <w:t>ut</w:t>
      </w:r>
      <w:r w:rsidRPr="008D46B7">
        <w:rPr>
          <w:rFonts w:ascii="Arial" w:hAnsi="Arial" w:cs="Arial"/>
          <w:color w:val="040404"/>
          <w:lang w:val="es-ES"/>
        </w:rPr>
        <w:t>omá</w:t>
      </w:r>
      <w:r w:rsidRPr="008D46B7">
        <w:rPr>
          <w:rFonts w:ascii="Arial" w:hAnsi="Arial" w:cs="Arial"/>
          <w:color w:val="232323"/>
          <w:lang w:val="es-ES"/>
        </w:rPr>
        <w:t>ti</w:t>
      </w:r>
      <w:r w:rsidRPr="008D46B7">
        <w:rPr>
          <w:rFonts w:ascii="Arial" w:hAnsi="Arial" w:cs="Arial"/>
          <w:color w:val="040404"/>
          <w:lang w:val="es-ES"/>
        </w:rPr>
        <w:t>co</w:t>
      </w:r>
      <w:r w:rsidRPr="008D46B7">
        <w:rPr>
          <w:rFonts w:ascii="Arial" w:hAnsi="Arial" w:cs="Arial"/>
          <w:color w:val="232323"/>
          <w:lang w:val="es-ES"/>
        </w:rPr>
        <w:t xml:space="preserve">s, la </w:t>
      </w:r>
      <w:r w:rsidRPr="008D46B7">
        <w:rPr>
          <w:rFonts w:ascii="Arial" w:hAnsi="Arial" w:cs="Arial"/>
          <w:color w:val="141414"/>
          <w:lang w:val="es-ES"/>
        </w:rPr>
        <w:t xml:space="preserve">acción pública de </w:t>
      </w:r>
      <w:r w:rsidRPr="008D46B7">
        <w:rPr>
          <w:rFonts w:ascii="Arial" w:hAnsi="Arial" w:cs="Arial"/>
          <w:color w:val="232323"/>
          <w:lang w:val="es-ES"/>
        </w:rPr>
        <w:t>n</w:t>
      </w:r>
      <w:r w:rsidRPr="008D46B7">
        <w:rPr>
          <w:rFonts w:ascii="Arial" w:hAnsi="Arial" w:cs="Arial"/>
          <w:color w:val="040404"/>
          <w:lang w:val="es-ES"/>
        </w:rPr>
        <w:t>ulida</w:t>
      </w:r>
      <w:r w:rsidRPr="008D46B7">
        <w:rPr>
          <w:rFonts w:ascii="Arial" w:hAnsi="Arial" w:cs="Arial"/>
          <w:color w:val="232323"/>
          <w:lang w:val="es-ES"/>
        </w:rPr>
        <w:t xml:space="preserve">d y </w:t>
      </w:r>
      <w:r w:rsidRPr="008D46B7">
        <w:rPr>
          <w:rFonts w:ascii="Arial" w:hAnsi="Arial" w:cs="Arial"/>
          <w:color w:val="141414"/>
          <w:lang w:val="es-ES"/>
        </w:rPr>
        <w:t xml:space="preserve">la </w:t>
      </w:r>
      <w:r w:rsidRPr="008D46B7">
        <w:rPr>
          <w:rFonts w:ascii="Arial" w:hAnsi="Arial" w:cs="Arial"/>
          <w:color w:val="040404"/>
          <w:lang w:val="es-ES"/>
        </w:rPr>
        <w:t>excepc</w:t>
      </w:r>
      <w:r w:rsidRPr="008D46B7">
        <w:rPr>
          <w:rFonts w:ascii="Arial" w:hAnsi="Arial" w:cs="Arial"/>
          <w:color w:val="232323"/>
          <w:lang w:val="es-ES"/>
        </w:rPr>
        <w:t>i</w:t>
      </w:r>
      <w:r w:rsidRPr="008D46B7">
        <w:rPr>
          <w:rFonts w:ascii="Arial" w:hAnsi="Arial" w:cs="Arial"/>
          <w:color w:val="040404"/>
          <w:lang w:val="es-ES"/>
        </w:rPr>
        <w:t>ó</w:t>
      </w:r>
      <w:r w:rsidRPr="008D46B7">
        <w:rPr>
          <w:rFonts w:ascii="Arial" w:hAnsi="Arial" w:cs="Arial"/>
          <w:color w:val="232323"/>
          <w:lang w:val="es-ES"/>
        </w:rPr>
        <w:t xml:space="preserve">n </w:t>
      </w:r>
      <w:r w:rsidRPr="008D46B7">
        <w:rPr>
          <w:rFonts w:ascii="Arial" w:hAnsi="Arial" w:cs="Arial"/>
          <w:color w:val="040404"/>
          <w:lang w:val="es-ES"/>
        </w:rPr>
        <w:t>de</w:t>
      </w:r>
      <w:r w:rsidRPr="008D46B7">
        <w:rPr>
          <w:rFonts w:ascii="Arial" w:hAnsi="Arial" w:cs="Arial"/>
          <w:color w:val="232323"/>
          <w:lang w:val="es-ES"/>
        </w:rPr>
        <w:t xml:space="preserve"> </w:t>
      </w:r>
      <w:r w:rsidRPr="008D46B7">
        <w:rPr>
          <w:rFonts w:ascii="Arial" w:hAnsi="Arial" w:cs="Arial"/>
          <w:color w:val="141414"/>
          <w:lang w:val="es-ES"/>
        </w:rPr>
        <w:t xml:space="preserve">inconstitucionalidad; los recursos </w:t>
      </w:r>
      <w:r w:rsidRPr="008D46B7">
        <w:rPr>
          <w:rFonts w:ascii="Arial" w:hAnsi="Arial" w:cs="Arial"/>
          <w:color w:val="040404"/>
          <w:lang w:val="es-ES"/>
        </w:rPr>
        <w:t xml:space="preserve">administrativos </w:t>
      </w:r>
      <w:r w:rsidRPr="008D46B7">
        <w:rPr>
          <w:rFonts w:ascii="Arial" w:hAnsi="Arial" w:cs="Arial"/>
          <w:color w:val="232323"/>
          <w:lang w:val="es-ES"/>
        </w:rPr>
        <w:t xml:space="preserve">y </w:t>
      </w:r>
      <w:r w:rsidRPr="008D46B7">
        <w:rPr>
          <w:rFonts w:ascii="Arial" w:hAnsi="Arial" w:cs="Arial"/>
          <w:color w:val="040404"/>
          <w:lang w:val="es-ES"/>
        </w:rPr>
        <w:t>las demás</w:t>
      </w:r>
      <w:r w:rsidRPr="008D46B7">
        <w:rPr>
          <w:rFonts w:ascii="Arial" w:hAnsi="Arial" w:cs="Arial"/>
          <w:color w:val="232323"/>
          <w:lang w:val="es-ES"/>
        </w:rPr>
        <w:t xml:space="preserve"> </w:t>
      </w:r>
      <w:r w:rsidRPr="008D46B7">
        <w:rPr>
          <w:rFonts w:ascii="Arial" w:hAnsi="Arial" w:cs="Arial"/>
          <w:color w:val="040404"/>
          <w:lang w:val="es-ES"/>
        </w:rPr>
        <w:t>acciones contencioso administrat</w:t>
      </w:r>
      <w:r w:rsidRPr="008D46B7">
        <w:rPr>
          <w:rFonts w:ascii="Arial" w:hAnsi="Arial" w:cs="Arial"/>
          <w:color w:val="232323"/>
          <w:lang w:val="es-ES"/>
        </w:rPr>
        <w:t>i</w:t>
      </w:r>
      <w:r w:rsidRPr="008D46B7">
        <w:rPr>
          <w:rFonts w:ascii="Arial" w:hAnsi="Arial" w:cs="Arial"/>
          <w:color w:val="040404"/>
          <w:lang w:val="es-ES"/>
        </w:rPr>
        <w:t>vas; el recurso de habeas corpus</w:t>
      </w:r>
      <w:r w:rsidRPr="008D46B7">
        <w:rPr>
          <w:rFonts w:ascii="Arial" w:hAnsi="Arial" w:cs="Arial"/>
          <w:color w:val="232323"/>
          <w:lang w:val="es-ES"/>
        </w:rPr>
        <w:t xml:space="preserve"> </w:t>
      </w:r>
      <w:r w:rsidRPr="008D46B7">
        <w:rPr>
          <w:rFonts w:ascii="Arial" w:hAnsi="Arial" w:cs="Arial"/>
          <w:color w:val="040404"/>
          <w:lang w:val="es-ES"/>
        </w:rPr>
        <w:t xml:space="preserve">y el derecho </w:t>
      </w:r>
      <w:r w:rsidRPr="008D46B7">
        <w:rPr>
          <w:rFonts w:ascii="Arial" w:hAnsi="Arial" w:cs="Arial"/>
          <w:color w:val="141414"/>
          <w:lang w:val="es-ES"/>
        </w:rPr>
        <w:t xml:space="preserve">al </w:t>
      </w:r>
      <w:r w:rsidRPr="008D46B7">
        <w:rPr>
          <w:rFonts w:ascii="Arial" w:hAnsi="Arial" w:cs="Arial"/>
          <w:color w:val="040404"/>
          <w:lang w:val="es-ES"/>
        </w:rPr>
        <w:t>debido proceso; la publicidad de las actuaciones</w:t>
      </w:r>
      <w:r w:rsidRPr="008D46B7">
        <w:rPr>
          <w:rFonts w:ascii="Arial" w:hAnsi="Arial" w:cs="Arial"/>
          <w:color w:val="232323"/>
          <w:lang w:val="es-ES"/>
        </w:rPr>
        <w:t xml:space="preserve"> </w:t>
      </w:r>
      <w:r w:rsidRPr="008D46B7">
        <w:rPr>
          <w:rFonts w:ascii="Arial" w:hAnsi="Arial" w:cs="Arial"/>
          <w:color w:val="040404"/>
          <w:lang w:val="es-ES"/>
        </w:rPr>
        <w:t xml:space="preserve">judiciales </w:t>
      </w:r>
      <w:r w:rsidRPr="008D46B7">
        <w:rPr>
          <w:rFonts w:ascii="Arial" w:hAnsi="Arial" w:cs="Arial"/>
          <w:color w:val="232323"/>
          <w:lang w:val="es-ES"/>
        </w:rPr>
        <w:t xml:space="preserve">y </w:t>
      </w:r>
      <w:r w:rsidRPr="008D46B7">
        <w:rPr>
          <w:rFonts w:ascii="Arial" w:hAnsi="Arial" w:cs="Arial"/>
          <w:color w:val="040404"/>
          <w:lang w:val="es-ES"/>
        </w:rPr>
        <w:t xml:space="preserve">administrativas; el principio de la doble instancia </w:t>
      </w:r>
      <w:r w:rsidRPr="008D46B7">
        <w:rPr>
          <w:rFonts w:ascii="Arial" w:hAnsi="Arial" w:cs="Arial"/>
          <w:color w:val="141414"/>
          <w:lang w:val="es-ES"/>
        </w:rPr>
        <w:t>etc.</w:t>
      </w:r>
    </w:p>
    <w:p w14:paraId="777F7A94" w14:textId="77777777" w:rsidR="00921E3F" w:rsidRPr="008D46B7" w:rsidRDefault="00921E3F" w:rsidP="00921E3F">
      <w:pPr>
        <w:widowControl w:val="0"/>
        <w:autoSpaceDE w:val="0"/>
        <w:autoSpaceDN w:val="0"/>
        <w:adjustRightInd w:val="0"/>
        <w:jc w:val="both"/>
        <w:rPr>
          <w:rFonts w:ascii="Arial" w:hAnsi="Arial" w:cs="Arial"/>
          <w:color w:val="040404"/>
          <w:lang w:val="es-ES"/>
        </w:rPr>
      </w:pPr>
    </w:p>
    <w:p w14:paraId="708E73D4" w14:textId="77777777" w:rsidR="00921E3F" w:rsidRPr="008D46B7" w:rsidRDefault="00921E3F" w:rsidP="00921E3F">
      <w:pPr>
        <w:widowControl w:val="0"/>
        <w:autoSpaceDE w:val="0"/>
        <w:autoSpaceDN w:val="0"/>
        <w:adjustRightInd w:val="0"/>
        <w:ind w:left="708"/>
        <w:jc w:val="both"/>
        <w:rPr>
          <w:rFonts w:ascii="Arial" w:hAnsi="Arial" w:cs="Arial"/>
          <w:color w:val="040404"/>
          <w:lang w:val="es-ES"/>
        </w:rPr>
      </w:pPr>
      <w:r w:rsidRPr="008D46B7">
        <w:rPr>
          <w:rFonts w:ascii="Arial" w:hAnsi="Arial" w:cs="Arial"/>
          <w:color w:val="040404"/>
          <w:lang w:val="es-ES"/>
        </w:rPr>
        <w:t>Co</w:t>
      </w:r>
      <w:r w:rsidRPr="008D46B7">
        <w:rPr>
          <w:rFonts w:ascii="Arial" w:hAnsi="Arial" w:cs="Arial"/>
          <w:color w:val="232323"/>
          <w:lang w:val="es-ES"/>
        </w:rPr>
        <w:t xml:space="preserve">n </w:t>
      </w:r>
      <w:r w:rsidRPr="008D46B7">
        <w:rPr>
          <w:rFonts w:ascii="Arial" w:hAnsi="Arial" w:cs="Arial"/>
          <w:color w:val="040404"/>
          <w:lang w:val="es-ES"/>
        </w:rPr>
        <w:t xml:space="preserve">todo, no obstante su amplia variedad y </w:t>
      </w:r>
      <w:r w:rsidRPr="008D46B7">
        <w:rPr>
          <w:rFonts w:ascii="Arial" w:hAnsi="Arial" w:cs="Arial"/>
          <w:color w:val="141414"/>
          <w:lang w:val="es-ES"/>
        </w:rPr>
        <w:t xml:space="preserve">que </w:t>
      </w:r>
      <w:r w:rsidRPr="008D46B7">
        <w:rPr>
          <w:rFonts w:ascii="Arial" w:hAnsi="Arial" w:cs="Arial"/>
          <w:color w:val="040404"/>
          <w:lang w:val="es-ES"/>
        </w:rPr>
        <w:t xml:space="preserve">muchos de ellos están ya consagrados a nivel constitucional de manera más o menos expresa a lo largo de la Carta, se ha considerado indispensable </w:t>
      </w:r>
      <w:r w:rsidRPr="008D46B7">
        <w:rPr>
          <w:rFonts w:ascii="Arial" w:hAnsi="Arial" w:cs="Arial"/>
          <w:color w:val="141414"/>
          <w:lang w:val="es-ES"/>
        </w:rPr>
        <w:t xml:space="preserve">la </w:t>
      </w:r>
      <w:r w:rsidRPr="008D46B7">
        <w:rPr>
          <w:rFonts w:ascii="Arial" w:hAnsi="Arial" w:cs="Arial"/>
          <w:color w:val="040404"/>
          <w:lang w:val="es-ES"/>
        </w:rPr>
        <w:t>creación de un sistema integrado de mecanismos que, a la vez que protejan la vigencia del orden jurídico, se conviertan en verdaderas</w:t>
      </w:r>
      <w:r w:rsidRPr="008D46B7">
        <w:rPr>
          <w:rFonts w:ascii="Arial" w:hAnsi="Arial" w:cs="Arial"/>
          <w:color w:val="818181"/>
          <w:lang w:val="es-ES"/>
        </w:rPr>
        <w:t xml:space="preserve"> </w:t>
      </w:r>
      <w:r w:rsidRPr="008D46B7">
        <w:rPr>
          <w:rFonts w:ascii="Arial" w:hAnsi="Arial" w:cs="Arial"/>
          <w:color w:val="040404"/>
          <w:lang w:val="es-ES"/>
        </w:rPr>
        <w:t xml:space="preserve">y eficaces herramientas de promoción y protección de los derechos de los asociados. Sin ellos, el vasto conjunto de los derechos individuales y colectivos y de los deberes sociales que se aspira a incorporar en la Constitución, corre el riesgo de tornarse en letra muerta, con gravísimas consecuencias sobre dos asuntos fundamentales -tanto más </w:t>
      </w:r>
      <w:r w:rsidRPr="008D46B7">
        <w:rPr>
          <w:rFonts w:ascii="Arial" w:hAnsi="Arial" w:cs="Arial"/>
          <w:color w:val="040404"/>
          <w:lang w:val="es-ES"/>
        </w:rPr>
        <w:lastRenderedPageBreak/>
        <w:t>en la difícil coyuntura actual del país-: el respeto por la norma y la credibilidad institucional.</w:t>
      </w:r>
    </w:p>
    <w:p w14:paraId="23FE73CB" w14:textId="77777777" w:rsidR="00921E3F" w:rsidRPr="008D46B7" w:rsidRDefault="00921E3F" w:rsidP="00921E3F">
      <w:pPr>
        <w:widowControl w:val="0"/>
        <w:autoSpaceDE w:val="0"/>
        <w:autoSpaceDN w:val="0"/>
        <w:adjustRightInd w:val="0"/>
        <w:jc w:val="both"/>
        <w:rPr>
          <w:rFonts w:ascii="Arial" w:hAnsi="Arial" w:cs="Arial"/>
          <w:color w:val="040404"/>
          <w:lang w:val="es-ES"/>
        </w:rPr>
      </w:pPr>
    </w:p>
    <w:p w14:paraId="73ACFC3F" w14:textId="77777777" w:rsidR="00921E3F" w:rsidRPr="008D46B7" w:rsidRDefault="00921E3F" w:rsidP="00921E3F">
      <w:pPr>
        <w:widowControl w:val="0"/>
        <w:autoSpaceDE w:val="0"/>
        <w:autoSpaceDN w:val="0"/>
        <w:adjustRightInd w:val="0"/>
        <w:ind w:left="708"/>
        <w:jc w:val="both"/>
        <w:rPr>
          <w:rFonts w:ascii="Arial" w:hAnsi="Arial" w:cs="Arial"/>
          <w:color w:val="040404"/>
          <w:lang w:val="es-ES"/>
        </w:rPr>
      </w:pPr>
      <w:r w:rsidRPr="008D46B7">
        <w:rPr>
          <w:rFonts w:ascii="Arial" w:hAnsi="Arial" w:cs="Arial"/>
          <w:color w:val="040404"/>
          <w:lang w:val="es-ES"/>
        </w:rPr>
        <w:t xml:space="preserve">El sistema que se propone estaría compuesto por las siguientes figuras: el principio de la buena fe y la consagración de su presunción por ministerio de la propia Constitución en relación al menos con determinado tipo de actuaciones de interés general; la aplicabilidad directa de los derechos reglamentados de modo general; la acción pública de inconstitucionalidad y el control automático de constitucionalidad; la aplicación preferencial de la Constitución y, en general de las normas de superior jerarquía; otras acciones judiciales, recursos administrativos y mecanismos adicionales; la suspensión provisional de los efectos de los actos administrativos; la responsabilidad de las autoridades públicas y del Estado; </w:t>
      </w:r>
      <w:r w:rsidRPr="008D46B7">
        <w:rPr>
          <w:rFonts w:ascii="Arial" w:hAnsi="Arial" w:cs="Arial"/>
          <w:color w:val="040404"/>
          <w:u w:val="single"/>
          <w:lang w:val="es-ES"/>
        </w:rPr>
        <w:t>la acción de tutela</w:t>
      </w:r>
      <w:r w:rsidRPr="008D46B7">
        <w:rPr>
          <w:rFonts w:ascii="Arial" w:hAnsi="Arial" w:cs="Arial"/>
          <w:color w:val="040404"/>
          <w:lang w:val="es-ES"/>
        </w:rPr>
        <w:t xml:space="preserve"> y la defensoría de los derechos humanos”</w:t>
      </w:r>
      <w:r w:rsidRPr="008D46B7">
        <w:rPr>
          <w:rStyle w:val="Refdenotaalpie"/>
          <w:rFonts w:ascii="Arial" w:hAnsi="Arial" w:cs="Arial"/>
          <w:color w:val="070707"/>
          <w:lang w:val="es-ES"/>
        </w:rPr>
        <w:t xml:space="preserve"> </w:t>
      </w:r>
      <w:r w:rsidRPr="008D46B7">
        <w:rPr>
          <w:rFonts w:ascii="Arial" w:hAnsi="Arial" w:cs="Arial"/>
          <w:color w:val="070707"/>
          <w:lang w:val="es-ES"/>
        </w:rPr>
        <w:t xml:space="preserve"> (subrayado por fuera del texto)</w:t>
      </w:r>
      <w:r w:rsidRPr="008D46B7">
        <w:rPr>
          <w:rStyle w:val="Refdenotaalpie"/>
          <w:rFonts w:ascii="Arial" w:hAnsi="Arial" w:cs="Arial"/>
          <w:color w:val="070707"/>
          <w:lang w:val="es-ES"/>
        </w:rPr>
        <w:footnoteReference w:id="1"/>
      </w:r>
      <w:r w:rsidRPr="008D46B7">
        <w:rPr>
          <w:rFonts w:ascii="Arial" w:hAnsi="Arial" w:cs="Arial"/>
          <w:color w:val="040404"/>
          <w:lang w:val="es-ES"/>
        </w:rPr>
        <w:t>.</w:t>
      </w:r>
    </w:p>
    <w:p w14:paraId="4E56045B" w14:textId="77777777" w:rsidR="00921E3F" w:rsidRPr="008D46B7" w:rsidRDefault="00921E3F" w:rsidP="00921E3F">
      <w:pPr>
        <w:widowControl w:val="0"/>
        <w:autoSpaceDE w:val="0"/>
        <w:autoSpaceDN w:val="0"/>
        <w:adjustRightInd w:val="0"/>
        <w:jc w:val="both"/>
        <w:rPr>
          <w:rFonts w:ascii="Arial" w:hAnsi="Arial" w:cs="Arial"/>
          <w:color w:val="040404"/>
          <w:lang w:val="es-ES"/>
        </w:rPr>
      </w:pPr>
    </w:p>
    <w:p w14:paraId="54F2007B" w14:textId="77777777" w:rsidR="00921E3F" w:rsidRPr="008D46B7" w:rsidRDefault="00921E3F" w:rsidP="00921E3F">
      <w:pPr>
        <w:widowControl w:val="0"/>
        <w:autoSpaceDE w:val="0"/>
        <w:autoSpaceDN w:val="0"/>
        <w:adjustRightInd w:val="0"/>
        <w:jc w:val="both"/>
        <w:rPr>
          <w:rFonts w:ascii="Arial" w:hAnsi="Arial" w:cs="Arial"/>
          <w:color w:val="040404"/>
          <w:lang w:val="es-ES"/>
        </w:rPr>
      </w:pPr>
      <w:r w:rsidRPr="008D46B7">
        <w:rPr>
          <w:rFonts w:ascii="Arial" w:hAnsi="Arial" w:cs="Arial"/>
        </w:rPr>
        <w:t>A su vez, la acción de tutela fue uno de los instrumentos constitucionales más innovadores de la Constitución Política de 1991. Así lo evidencian los registros de las Gacetas Constitucionales de la Asamblea Nacional Constituyente, entre las que se encuentra la ponencia en que se analizó este mecanismo de protección de derechos fundamentales, en los que se señala:</w:t>
      </w:r>
    </w:p>
    <w:p w14:paraId="63095E53" w14:textId="77777777" w:rsidR="00921E3F" w:rsidRPr="008D46B7" w:rsidRDefault="00921E3F" w:rsidP="00921E3F">
      <w:pPr>
        <w:widowControl w:val="0"/>
        <w:autoSpaceDE w:val="0"/>
        <w:autoSpaceDN w:val="0"/>
        <w:adjustRightInd w:val="0"/>
        <w:jc w:val="both"/>
        <w:rPr>
          <w:rFonts w:ascii="Arial" w:hAnsi="Arial" w:cs="Arial"/>
          <w:color w:val="040404"/>
          <w:lang w:val="es-ES"/>
        </w:rPr>
      </w:pPr>
    </w:p>
    <w:p w14:paraId="797488B7" w14:textId="77777777" w:rsidR="00921E3F" w:rsidRPr="008D46B7" w:rsidRDefault="00921E3F" w:rsidP="00921E3F">
      <w:pPr>
        <w:widowControl w:val="0"/>
        <w:autoSpaceDE w:val="0"/>
        <w:autoSpaceDN w:val="0"/>
        <w:adjustRightInd w:val="0"/>
        <w:ind w:left="708"/>
        <w:jc w:val="both"/>
        <w:rPr>
          <w:rFonts w:ascii="Arial" w:hAnsi="Arial" w:cs="Arial"/>
          <w:color w:val="070707"/>
          <w:lang w:val="es-ES"/>
        </w:rPr>
      </w:pPr>
      <w:r w:rsidRPr="008D46B7">
        <w:rPr>
          <w:rFonts w:ascii="Arial" w:hAnsi="Arial" w:cs="Arial"/>
          <w:color w:val="040404"/>
          <w:lang w:val="es-ES"/>
        </w:rPr>
        <w:t>“</w:t>
      </w:r>
      <w:r w:rsidRPr="008D46B7">
        <w:rPr>
          <w:rFonts w:ascii="Arial" w:hAnsi="Arial" w:cs="Arial"/>
          <w:color w:val="060606"/>
          <w:lang w:val="es-ES"/>
        </w:rPr>
        <w:t xml:space="preserve">Con el nombre de derecho o recurso de amparo, numerosos proyectos contemplan la creación de un nuevo mecanismo para la protección de los derechos constitucionales. Sin embargo, en derecho </w:t>
      </w:r>
      <w:r w:rsidRPr="008D46B7">
        <w:rPr>
          <w:rFonts w:ascii="Arial" w:hAnsi="Arial" w:cs="Arial"/>
          <w:color w:val="070707"/>
          <w:lang w:val="es-ES"/>
        </w:rPr>
        <w:t xml:space="preserve">comparado esa denominación es genérica y </w:t>
      </w:r>
      <w:r w:rsidRPr="008D46B7">
        <w:rPr>
          <w:rFonts w:ascii="Arial" w:hAnsi="Arial" w:cs="Arial"/>
          <w:color w:val="A9A9A9"/>
          <w:lang w:val="es-ES"/>
        </w:rPr>
        <w:t>.</w:t>
      </w:r>
      <w:r w:rsidRPr="008D46B7">
        <w:rPr>
          <w:rFonts w:ascii="Arial" w:hAnsi="Arial" w:cs="Arial"/>
          <w:color w:val="070707"/>
          <w:lang w:val="es-ES"/>
        </w:rPr>
        <w:t xml:space="preserve">se aplica a todos los mecanismos de protección de </w:t>
      </w:r>
      <w:r w:rsidRPr="008D46B7">
        <w:rPr>
          <w:rFonts w:ascii="Arial" w:hAnsi="Arial" w:cs="Arial"/>
          <w:color w:val="212121"/>
          <w:lang w:val="es-ES"/>
        </w:rPr>
        <w:t>l</w:t>
      </w:r>
      <w:r w:rsidRPr="008D46B7">
        <w:rPr>
          <w:rFonts w:ascii="Arial" w:hAnsi="Arial" w:cs="Arial"/>
          <w:color w:val="070707"/>
          <w:lang w:val="es-ES"/>
        </w:rPr>
        <w:t>os derechos constitucio</w:t>
      </w:r>
      <w:r w:rsidRPr="008D46B7">
        <w:rPr>
          <w:rFonts w:ascii="Arial" w:hAnsi="Arial" w:cs="Arial"/>
          <w:color w:val="212121"/>
          <w:lang w:val="es-ES"/>
        </w:rPr>
        <w:t>n</w:t>
      </w:r>
      <w:r w:rsidRPr="008D46B7">
        <w:rPr>
          <w:rFonts w:ascii="Arial" w:hAnsi="Arial" w:cs="Arial"/>
          <w:color w:val="070707"/>
          <w:lang w:val="es-ES"/>
        </w:rPr>
        <w:t>ales. Así, la</w:t>
      </w:r>
      <w:r w:rsidRPr="008D46B7">
        <w:rPr>
          <w:rFonts w:ascii="Arial" w:hAnsi="Arial" w:cs="Arial"/>
          <w:color w:val="212121"/>
          <w:lang w:val="es-ES"/>
        </w:rPr>
        <w:t xml:space="preserve"> </w:t>
      </w:r>
      <w:r w:rsidRPr="008D46B7">
        <w:rPr>
          <w:rFonts w:ascii="Arial" w:hAnsi="Arial" w:cs="Arial"/>
          <w:color w:val="070707"/>
          <w:lang w:val="es-ES"/>
        </w:rPr>
        <w:t>expresión cobija el recurso de habeas corpus</w:t>
      </w:r>
      <w:r w:rsidRPr="008D46B7">
        <w:rPr>
          <w:rFonts w:ascii="Arial" w:hAnsi="Arial" w:cs="Arial"/>
          <w:color w:val="212121"/>
          <w:lang w:val="es-ES"/>
        </w:rPr>
        <w:t xml:space="preserve">, </w:t>
      </w:r>
      <w:r w:rsidRPr="008D46B7">
        <w:rPr>
          <w:rFonts w:ascii="Arial" w:hAnsi="Arial" w:cs="Arial"/>
          <w:color w:val="070707"/>
          <w:lang w:val="es-ES"/>
        </w:rPr>
        <w:t>l</w:t>
      </w:r>
      <w:r w:rsidRPr="008D46B7">
        <w:rPr>
          <w:rFonts w:ascii="Arial" w:hAnsi="Arial" w:cs="Arial"/>
          <w:color w:val="212121"/>
          <w:lang w:val="es-ES"/>
        </w:rPr>
        <w:t xml:space="preserve">a </w:t>
      </w:r>
      <w:r w:rsidRPr="008D46B7">
        <w:rPr>
          <w:rFonts w:ascii="Arial" w:hAnsi="Arial" w:cs="Arial"/>
          <w:color w:val="070707"/>
          <w:lang w:val="es-ES"/>
        </w:rPr>
        <w:t xml:space="preserve">excepción de </w:t>
      </w:r>
      <w:r w:rsidRPr="008D46B7">
        <w:rPr>
          <w:rFonts w:ascii="Arial" w:hAnsi="Arial" w:cs="Arial"/>
          <w:color w:val="212121"/>
          <w:lang w:val="es-ES"/>
        </w:rPr>
        <w:t>i</w:t>
      </w:r>
      <w:r w:rsidRPr="008D46B7">
        <w:rPr>
          <w:rFonts w:ascii="Arial" w:hAnsi="Arial" w:cs="Arial"/>
          <w:color w:val="070707"/>
          <w:lang w:val="es-ES"/>
        </w:rPr>
        <w:t>ncon</w:t>
      </w:r>
      <w:r w:rsidRPr="008D46B7">
        <w:rPr>
          <w:rFonts w:ascii="Arial" w:hAnsi="Arial" w:cs="Arial"/>
          <w:color w:val="212121"/>
          <w:lang w:val="es-ES"/>
        </w:rPr>
        <w:t>s</w:t>
      </w:r>
      <w:r w:rsidRPr="008D46B7">
        <w:rPr>
          <w:rFonts w:ascii="Arial" w:hAnsi="Arial" w:cs="Arial"/>
          <w:color w:val="070707"/>
          <w:lang w:val="es-ES"/>
        </w:rPr>
        <w:t>tituc</w:t>
      </w:r>
      <w:r w:rsidRPr="008D46B7">
        <w:rPr>
          <w:rFonts w:ascii="Arial" w:hAnsi="Arial" w:cs="Arial"/>
          <w:color w:val="212121"/>
          <w:lang w:val="es-ES"/>
        </w:rPr>
        <w:t>i</w:t>
      </w:r>
      <w:r w:rsidRPr="008D46B7">
        <w:rPr>
          <w:rFonts w:ascii="Arial" w:hAnsi="Arial" w:cs="Arial"/>
          <w:color w:val="070707"/>
          <w:lang w:val="es-ES"/>
        </w:rPr>
        <w:t>onalidad, las acc</w:t>
      </w:r>
      <w:r w:rsidRPr="008D46B7">
        <w:rPr>
          <w:rFonts w:ascii="Arial" w:hAnsi="Arial" w:cs="Arial"/>
          <w:color w:val="212121"/>
          <w:lang w:val="es-ES"/>
        </w:rPr>
        <w:t>i</w:t>
      </w:r>
      <w:r w:rsidRPr="008D46B7">
        <w:rPr>
          <w:rFonts w:ascii="Arial" w:hAnsi="Arial" w:cs="Arial"/>
          <w:color w:val="070707"/>
          <w:lang w:val="es-ES"/>
        </w:rPr>
        <w:t>ones administrat</w:t>
      </w:r>
      <w:r w:rsidRPr="008D46B7">
        <w:rPr>
          <w:rFonts w:ascii="Arial" w:hAnsi="Arial" w:cs="Arial"/>
          <w:color w:val="212121"/>
          <w:lang w:val="es-ES"/>
        </w:rPr>
        <w:t>iv</w:t>
      </w:r>
      <w:r w:rsidRPr="008D46B7">
        <w:rPr>
          <w:rFonts w:ascii="Arial" w:hAnsi="Arial" w:cs="Arial"/>
          <w:color w:val="070707"/>
          <w:lang w:val="es-ES"/>
        </w:rPr>
        <w:t xml:space="preserve">as </w:t>
      </w:r>
      <w:r w:rsidRPr="008D46B7">
        <w:rPr>
          <w:rFonts w:ascii="Arial" w:hAnsi="Arial" w:cs="Arial"/>
          <w:color w:val="212121"/>
          <w:lang w:val="es-ES"/>
        </w:rPr>
        <w:t xml:space="preserve">de </w:t>
      </w:r>
      <w:r w:rsidRPr="008D46B7">
        <w:rPr>
          <w:rFonts w:ascii="Arial" w:hAnsi="Arial" w:cs="Arial"/>
          <w:color w:val="070707"/>
          <w:lang w:val="es-ES"/>
        </w:rPr>
        <w:t>nu</w:t>
      </w:r>
      <w:r w:rsidRPr="008D46B7">
        <w:rPr>
          <w:rFonts w:ascii="Arial" w:hAnsi="Arial" w:cs="Arial"/>
          <w:color w:val="212121"/>
          <w:lang w:val="es-ES"/>
        </w:rPr>
        <w:t>lid</w:t>
      </w:r>
      <w:r w:rsidRPr="008D46B7">
        <w:rPr>
          <w:rFonts w:ascii="Arial" w:hAnsi="Arial" w:cs="Arial"/>
          <w:color w:val="070707"/>
          <w:lang w:val="es-ES"/>
        </w:rPr>
        <w:t>a</w:t>
      </w:r>
      <w:r w:rsidRPr="008D46B7">
        <w:rPr>
          <w:rFonts w:ascii="Arial" w:hAnsi="Arial" w:cs="Arial"/>
          <w:color w:val="212121"/>
          <w:lang w:val="es-ES"/>
        </w:rPr>
        <w:t>d y</w:t>
      </w:r>
      <w:r w:rsidRPr="008D46B7">
        <w:rPr>
          <w:rFonts w:ascii="Arial" w:hAnsi="Arial" w:cs="Arial"/>
          <w:color w:val="070707"/>
          <w:lang w:val="es-ES"/>
        </w:rPr>
        <w:t xml:space="preserve"> </w:t>
      </w:r>
      <w:r w:rsidRPr="008D46B7">
        <w:rPr>
          <w:rFonts w:ascii="Arial" w:hAnsi="Arial" w:cs="Arial"/>
          <w:color w:val="212121"/>
          <w:lang w:val="es-ES"/>
        </w:rPr>
        <w:t>r</w:t>
      </w:r>
      <w:r w:rsidRPr="008D46B7">
        <w:rPr>
          <w:rFonts w:ascii="Arial" w:hAnsi="Arial" w:cs="Arial"/>
          <w:color w:val="070707"/>
          <w:lang w:val="es-ES"/>
        </w:rPr>
        <w:t>eparació</w:t>
      </w:r>
      <w:r w:rsidRPr="008D46B7">
        <w:rPr>
          <w:rFonts w:ascii="Arial" w:hAnsi="Arial" w:cs="Arial"/>
          <w:color w:val="212121"/>
          <w:lang w:val="es-ES"/>
        </w:rPr>
        <w:t>n</w:t>
      </w:r>
      <w:r w:rsidRPr="008D46B7">
        <w:rPr>
          <w:rFonts w:ascii="Arial" w:hAnsi="Arial" w:cs="Arial"/>
          <w:color w:val="070707"/>
          <w:lang w:val="es-ES"/>
        </w:rPr>
        <w:t xml:space="preserve">, etc. </w:t>
      </w:r>
    </w:p>
    <w:p w14:paraId="06ADCA46" w14:textId="77777777" w:rsidR="00921E3F" w:rsidRPr="008D46B7" w:rsidRDefault="00921E3F" w:rsidP="00921E3F">
      <w:pPr>
        <w:widowControl w:val="0"/>
        <w:autoSpaceDE w:val="0"/>
        <w:autoSpaceDN w:val="0"/>
        <w:adjustRightInd w:val="0"/>
        <w:jc w:val="both"/>
        <w:rPr>
          <w:rFonts w:ascii="Arial" w:hAnsi="Arial" w:cs="Arial"/>
          <w:color w:val="070707"/>
          <w:lang w:val="es-ES"/>
        </w:rPr>
      </w:pPr>
    </w:p>
    <w:p w14:paraId="54358139" w14:textId="77777777" w:rsidR="00921E3F" w:rsidRPr="008D46B7" w:rsidRDefault="00921E3F" w:rsidP="00921E3F">
      <w:pPr>
        <w:widowControl w:val="0"/>
        <w:autoSpaceDE w:val="0"/>
        <w:autoSpaceDN w:val="0"/>
        <w:adjustRightInd w:val="0"/>
        <w:ind w:left="708"/>
        <w:jc w:val="both"/>
        <w:rPr>
          <w:rFonts w:ascii="Arial" w:hAnsi="Arial" w:cs="Arial"/>
          <w:color w:val="070707"/>
          <w:lang w:val="es-ES"/>
        </w:rPr>
      </w:pPr>
      <w:r w:rsidRPr="008D46B7">
        <w:rPr>
          <w:rFonts w:ascii="Arial" w:hAnsi="Arial" w:cs="Arial"/>
          <w:color w:val="070707"/>
          <w:lang w:val="es-ES"/>
        </w:rPr>
        <w:t>Po</w:t>
      </w:r>
      <w:r w:rsidRPr="008D46B7">
        <w:rPr>
          <w:rFonts w:ascii="Arial" w:hAnsi="Arial" w:cs="Arial"/>
          <w:color w:val="212121"/>
          <w:lang w:val="es-ES"/>
        </w:rPr>
        <w:t xml:space="preserve">r </w:t>
      </w:r>
      <w:r w:rsidRPr="008D46B7">
        <w:rPr>
          <w:rFonts w:ascii="Arial" w:hAnsi="Arial" w:cs="Arial"/>
          <w:color w:val="070707"/>
          <w:lang w:val="es-ES"/>
        </w:rPr>
        <w:t xml:space="preserve">esta razón </w:t>
      </w:r>
      <w:r w:rsidRPr="008D46B7">
        <w:rPr>
          <w:rFonts w:ascii="Arial" w:hAnsi="Arial" w:cs="Arial"/>
          <w:color w:val="212121"/>
          <w:lang w:val="es-ES"/>
        </w:rPr>
        <w:t>h</w:t>
      </w:r>
      <w:r w:rsidRPr="008D46B7">
        <w:rPr>
          <w:rFonts w:ascii="Arial" w:hAnsi="Arial" w:cs="Arial"/>
          <w:color w:val="070707"/>
          <w:lang w:val="es-ES"/>
        </w:rPr>
        <w:t xml:space="preserve">e </w:t>
      </w:r>
      <w:r w:rsidRPr="008D46B7">
        <w:rPr>
          <w:rFonts w:ascii="Arial" w:hAnsi="Arial" w:cs="Arial"/>
          <w:color w:val="212121"/>
          <w:lang w:val="es-ES"/>
        </w:rPr>
        <w:t>pr</w:t>
      </w:r>
      <w:r w:rsidRPr="008D46B7">
        <w:rPr>
          <w:rFonts w:ascii="Arial" w:hAnsi="Arial" w:cs="Arial"/>
          <w:color w:val="070707"/>
          <w:lang w:val="es-ES"/>
        </w:rPr>
        <w:t>efer</w:t>
      </w:r>
      <w:r w:rsidRPr="008D46B7">
        <w:rPr>
          <w:rFonts w:ascii="Arial" w:hAnsi="Arial" w:cs="Arial"/>
          <w:color w:val="212121"/>
          <w:lang w:val="es-ES"/>
        </w:rPr>
        <w:t xml:space="preserve">ido </w:t>
      </w:r>
      <w:r w:rsidRPr="008D46B7">
        <w:rPr>
          <w:rFonts w:ascii="Arial" w:hAnsi="Arial" w:cs="Arial"/>
          <w:color w:val="070707"/>
          <w:lang w:val="es-ES"/>
        </w:rPr>
        <w:t>usar la expresió</w:t>
      </w:r>
      <w:r w:rsidRPr="008D46B7">
        <w:rPr>
          <w:rFonts w:ascii="Arial" w:hAnsi="Arial" w:cs="Arial"/>
          <w:color w:val="212121"/>
          <w:lang w:val="es-ES"/>
        </w:rPr>
        <w:t>n</w:t>
      </w:r>
      <w:r w:rsidRPr="008D46B7">
        <w:rPr>
          <w:rFonts w:ascii="Arial" w:hAnsi="Arial" w:cs="Arial"/>
          <w:color w:val="070707"/>
          <w:lang w:val="es-ES"/>
        </w:rPr>
        <w:t xml:space="preserve"> acción de t</w:t>
      </w:r>
      <w:r w:rsidRPr="008D46B7">
        <w:rPr>
          <w:rFonts w:ascii="Arial" w:hAnsi="Arial" w:cs="Arial"/>
          <w:color w:val="212121"/>
          <w:lang w:val="es-ES"/>
        </w:rPr>
        <w:t>ut</w:t>
      </w:r>
      <w:r w:rsidRPr="008D46B7">
        <w:rPr>
          <w:rFonts w:ascii="Arial" w:hAnsi="Arial" w:cs="Arial"/>
          <w:color w:val="070707"/>
          <w:lang w:val="es-ES"/>
        </w:rPr>
        <w:t>ela, pa</w:t>
      </w:r>
      <w:r w:rsidRPr="008D46B7">
        <w:rPr>
          <w:rFonts w:ascii="Arial" w:hAnsi="Arial" w:cs="Arial"/>
          <w:color w:val="353535"/>
          <w:lang w:val="es-ES"/>
        </w:rPr>
        <w:t>r</w:t>
      </w:r>
      <w:r w:rsidRPr="008D46B7">
        <w:rPr>
          <w:rFonts w:ascii="Arial" w:hAnsi="Arial" w:cs="Arial"/>
          <w:color w:val="070707"/>
          <w:lang w:val="es-ES"/>
        </w:rPr>
        <w:t>a present</w:t>
      </w:r>
      <w:r w:rsidRPr="008D46B7">
        <w:rPr>
          <w:rFonts w:ascii="Arial" w:hAnsi="Arial" w:cs="Arial"/>
          <w:color w:val="212121"/>
          <w:lang w:val="es-ES"/>
        </w:rPr>
        <w:t xml:space="preserve">ar una figura </w:t>
      </w:r>
      <w:r w:rsidRPr="008D46B7">
        <w:rPr>
          <w:rFonts w:ascii="Arial" w:hAnsi="Arial" w:cs="Arial"/>
          <w:color w:val="070707"/>
          <w:lang w:val="es-ES"/>
        </w:rPr>
        <w:t>espec</w:t>
      </w:r>
      <w:r w:rsidRPr="008D46B7">
        <w:rPr>
          <w:rFonts w:ascii="Arial" w:hAnsi="Arial" w:cs="Arial"/>
          <w:color w:val="212121"/>
          <w:lang w:val="es-ES"/>
        </w:rPr>
        <w:t>ífi</w:t>
      </w:r>
      <w:r w:rsidRPr="008D46B7">
        <w:rPr>
          <w:rFonts w:ascii="Arial" w:hAnsi="Arial" w:cs="Arial"/>
          <w:color w:val="070707"/>
          <w:lang w:val="es-ES"/>
        </w:rPr>
        <w:t>c</w:t>
      </w:r>
      <w:r w:rsidRPr="008D46B7">
        <w:rPr>
          <w:rFonts w:ascii="Arial" w:hAnsi="Arial" w:cs="Arial"/>
          <w:color w:val="212121"/>
          <w:lang w:val="es-ES"/>
        </w:rPr>
        <w:t>a para el</w:t>
      </w:r>
      <w:r w:rsidRPr="008D46B7">
        <w:rPr>
          <w:rFonts w:ascii="Arial" w:hAnsi="Arial" w:cs="Arial"/>
          <w:color w:val="070707"/>
          <w:lang w:val="es-ES"/>
        </w:rPr>
        <w:t xml:space="preserve"> </w:t>
      </w:r>
      <w:r w:rsidRPr="008D46B7">
        <w:rPr>
          <w:rFonts w:ascii="Arial" w:hAnsi="Arial" w:cs="Arial"/>
          <w:color w:val="212121"/>
          <w:lang w:val="es-ES"/>
        </w:rPr>
        <w:t>m</w:t>
      </w:r>
      <w:r w:rsidRPr="008D46B7">
        <w:rPr>
          <w:rFonts w:ascii="Arial" w:hAnsi="Arial" w:cs="Arial"/>
          <w:color w:val="070707"/>
          <w:lang w:val="es-ES"/>
        </w:rPr>
        <w:t>ode</w:t>
      </w:r>
      <w:r w:rsidRPr="008D46B7">
        <w:rPr>
          <w:rFonts w:ascii="Arial" w:hAnsi="Arial" w:cs="Arial"/>
          <w:color w:val="212121"/>
          <w:lang w:val="es-ES"/>
        </w:rPr>
        <w:t>l</w:t>
      </w:r>
      <w:r w:rsidRPr="008D46B7">
        <w:rPr>
          <w:rFonts w:ascii="Arial" w:hAnsi="Arial" w:cs="Arial"/>
          <w:color w:val="070707"/>
          <w:lang w:val="es-ES"/>
        </w:rPr>
        <w:t xml:space="preserve">o colombiano, que </w:t>
      </w:r>
      <w:r w:rsidRPr="008D46B7">
        <w:rPr>
          <w:rFonts w:ascii="Arial" w:hAnsi="Arial" w:cs="Arial"/>
          <w:color w:val="070707"/>
          <w:u w:val="single"/>
          <w:lang w:val="es-ES"/>
        </w:rPr>
        <w:t xml:space="preserve">actuando de </w:t>
      </w:r>
      <w:r w:rsidRPr="008D46B7">
        <w:rPr>
          <w:rFonts w:ascii="Arial" w:hAnsi="Arial" w:cs="Arial"/>
          <w:color w:val="212121"/>
          <w:u w:val="single"/>
          <w:lang w:val="es-ES"/>
        </w:rPr>
        <w:t>m</w:t>
      </w:r>
      <w:r w:rsidRPr="008D46B7">
        <w:rPr>
          <w:rFonts w:ascii="Arial" w:hAnsi="Arial" w:cs="Arial"/>
          <w:color w:val="070707"/>
          <w:u w:val="single"/>
          <w:lang w:val="es-ES"/>
        </w:rPr>
        <w:t>ane</w:t>
      </w:r>
      <w:r w:rsidRPr="008D46B7">
        <w:rPr>
          <w:rFonts w:ascii="Arial" w:hAnsi="Arial" w:cs="Arial"/>
          <w:color w:val="212121"/>
          <w:u w:val="single"/>
          <w:lang w:val="es-ES"/>
        </w:rPr>
        <w:t xml:space="preserve">ra </w:t>
      </w:r>
      <w:r w:rsidRPr="008D46B7">
        <w:rPr>
          <w:rFonts w:ascii="Arial" w:hAnsi="Arial" w:cs="Arial"/>
          <w:color w:val="070707"/>
          <w:u w:val="single"/>
          <w:lang w:val="es-ES"/>
        </w:rPr>
        <w:t>complementari</w:t>
      </w:r>
      <w:r w:rsidRPr="008D46B7">
        <w:rPr>
          <w:rFonts w:ascii="Arial" w:hAnsi="Arial" w:cs="Arial"/>
          <w:color w:val="212121"/>
          <w:u w:val="single"/>
          <w:lang w:val="es-ES"/>
        </w:rPr>
        <w:t xml:space="preserve">a </w:t>
      </w:r>
      <w:r w:rsidRPr="008D46B7">
        <w:rPr>
          <w:rFonts w:ascii="Arial" w:hAnsi="Arial" w:cs="Arial"/>
          <w:color w:val="070707"/>
          <w:u w:val="single"/>
          <w:lang w:val="es-ES"/>
        </w:rPr>
        <w:t xml:space="preserve">con </w:t>
      </w:r>
      <w:r w:rsidRPr="008D46B7">
        <w:rPr>
          <w:rFonts w:ascii="Arial" w:hAnsi="Arial" w:cs="Arial"/>
          <w:color w:val="212121"/>
          <w:u w:val="single"/>
          <w:lang w:val="es-ES"/>
        </w:rPr>
        <w:t>el</w:t>
      </w:r>
      <w:r w:rsidRPr="008D46B7">
        <w:rPr>
          <w:rFonts w:ascii="Arial" w:hAnsi="Arial" w:cs="Arial"/>
          <w:color w:val="070707"/>
          <w:u w:val="single"/>
          <w:lang w:val="es-ES"/>
        </w:rPr>
        <w:t xml:space="preserve"> sistema vigente de contro</w:t>
      </w:r>
      <w:r w:rsidRPr="008D46B7">
        <w:rPr>
          <w:rFonts w:ascii="Arial" w:hAnsi="Arial" w:cs="Arial"/>
          <w:color w:val="212121"/>
          <w:u w:val="single"/>
          <w:lang w:val="es-ES"/>
        </w:rPr>
        <w:t xml:space="preserve">l </w:t>
      </w:r>
      <w:r w:rsidRPr="008D46B7">
        <w:rPr>
          <w:rFonts w:ascii="Arial" w:hAnsi="Arial" w:cs="Arial"/>
          <w:color w:val="070707"/>
          <w:u w:val="single"/>
          <w:lang w:val="es-ES"/>
        </w:rPr>
        <w:t>de lega</w:t>
      </w:r>
      <w:r w:rsidRPr="008D46B7">
        <w:rPr>
          <w:rFonts w:ascii="Arial" w:hAnsi="Arial" w:cs="Arial"/>
          <w:color w:val="212121"/>
          <w:u w:val="single"/>
          <w:lang w:val="es-ES"/>
        </w:rPr>
        <w:t>l</w:t>
      </w:r>
      <w:r w:rsidRPr="008D46B7">
        <w:rPr>
          <w:rFonts w:ascii="Arial" w:hAnsi="Arial" w:cs="Arial"/>
          <w:color w:val="070707"/>
          <w:u w:val="single"/>
          <w:lang w:val="es-ES"/>
        </w:rPr>
        <w:t>ida</w:t>
      </w:r>
      <w:r w:rsidRPr="008D46B7">
        <w:rPr>
          <w:rFonts w:ascii="Arial" w:hAnsi="Arial" w:cs="Arial"/>
          <w:color w:val="212121"/>
          <w:u w:val="single"/>
          <w:lang w:val="es-ES"/>
        </w:rPr>
        <w:t xml:space="preserve">d y </w:t>
      </w:r>
      <w:r w:rsidRPr="008D46B7">
        <w:rPr>
          <w:rFonts w:ascii="Arial" w:hAnsi="Arial" w:cs="Arial"/>
          <w:color w:val="070707"/>
          <w:u w:val="single"/>
          <w:lang w:val="es-ES"/>
        </w:rPr>
        <w:t>constitucionalida</w:t>
      </w:r>
      <w:r w:rsidRPr="008D46B7">
        <w:rPr>
          <w:rFonts w:ascii="Arial" w:hAnsi="Arial" w:cs="Arial"/>
          <w:color w:val="212121"/>
          <w:u w:val="single"/>
          <w:lang w:val="es-ES"/>
        </w:rPr>
        <w:t>d</w:t>
      </w:r>
      <w:r w:rsidRPr="008D46B7">
        <w:rPr>
          <w:rFonts w:ascii="Arial" w:hAnsi="Arial" w:cs="Arial"/>
          <w:color w:val="212121"/>
          <w:lang w:val="es-ES"/>
        </w:rPr>
        <w:t xml:space="preserve">, </w:t>
      </w:r>
      <w:r w:rsidRPr="008D46B7">
        <w:rPr>
          <w:rFonts w:ascii="Arial" w:hAnsi="Arial" w:cs="Arial"/>
          <w:color w:val="070707"/>
          <w:lang w:val="es-ES"/>
        </w:rPr>
        <w:t>se encuadre dentr</w:t>
      </w:r>
      <w:r w:rsidRPr="008D46B7">
        <w:rPr>
          <w:rFonts w:ascii="Arial" w:hAnsi="Arial" w:cs="Arial"/>
          <w:color w:val="212121"/>
          <w:lang w:val="es-ES"/>
        </w:rPr>
        <w:t xml:space="preserve">o de </w:t>
      </w:r>
      <w:r w:rsidRPr="008D46B7">
        <w:rPr>
          <w:rFonts w:ascii="Arial" w:hAnsi="Arial" w:cs="Arial"/>
          <w:color w:val="070707"/>
          <w:lang w:val="es-ES"/>
        </w:rPr>
        <w:t>sus princ</w:t>
      </w:r>
      <w:r w:rsidRPr="008D46B7">
        <w:rPr>
          <w:rFonts w:ascii="Arial" w:hAnsi="Arial" w:cs="Arial"/>
          <w:color w:val="212121"/>
          <w:lang w:val="es-ES"/>
        </w:rPr>
        <w:t>i</w:t>
      </w:r>
      <w:r w:rsidRPr="008D46B7">
        <w:rPr>
          <w:rFonts w:ascii="Arial" w:hAnsi="Arial" w:cs="Arial"/>
          <w:color w:val="070707"/>
          <w:lang w:val="es-ES"/>
        </w:rPr>
        <w:t>pios generales</w:t>
      </w:r>
      <w:r w:rsidRPr="008D46B7">
        <w:rPr>
          <w:rFonts w:ascii="Arial" w:hAnsi="Arial" w:cs="Arial"/>
          <w:color w:val="212121"/>
          <w:lang w:val="es-ES"/>
        </w:rPr>
        <w:t xml:space="preserve">, </w:t>
      </w:r>
      <w:r w:rsidRPr="008D46B7">
        <w:rPr>
          <w:rFonts w:ascii="Arial" w:hAnsi="Arial" w:cs="Arial"/>
          <w:color w:val="070707"/>
          <w:lang w:val="es-ES"/>
        </w:rPr>
        <w:t>co</w:t>
      </w:r>
      <w:r w:rsidRPr="008D46B7">
        <w:rPr>
          <w:rFonts w:ascii="Arial" w:hAnsi="Arial" w:cs="Arial"/>
          <w:color w:val="212121"/>
          <w:lang w:val="es-ES"/>
        </w:rPr>
        <w:t>n un</w:t>
      </w:r>
      <w:r w:rsidRPr="008D46B7">
        <w:rPr>
          <w:rFonts w:ascii="Arial" w:hAnsi="Arial" w:cs="Arial"/>
          <w:color w:val="070707"/>
          <w:lang w:val="es-ES"/>
        </w:rPr>
        <w:t>a identidad clarament</w:t>
      </w:r>
      <w:r w:rsidRPr="008D46B7">
        <w:rPr>
          <w:rFonts w:ascii="Arial" w:hAnsi="Arial" w:cs="Arial"/>
          <w:color w:val="212121"/>
          <w:lang w:val="es-ES"/>
        </w:rPr>
        <w:t xml:space="preserve">e </w:t>
      </w:r>
      <w:r w:rsidRPr="008D46B7">
        <w:rPr>
          <w:rFonts w:ascii="Arial" w:hAnsi="Arial" w:cs="Arial"/>
          <w:color w:val="070707"/>
          <w:lang w:val="es-ES"/>
        </w:rPr>
        <w:t>definid</w:t>
      </w:r>
      <w:r w:rsidRPr="008D46B7">
        <w:rPr>
          <w:rFonts w:ascii="Arial" w:hAnsi="Arial" w:cs="Arial"/>
          <w:color w:val="212121"/>
          <w:lang w:val="es-ES"/>
        </w:rPr>
        <w:t xml:space="preserve">a y </w:t>
      </w:r>
      <w:r w:rsidRPr="008D46B7">
        <w:rPr>
          <w:rFonts w:ascii="Arial" w:hAnsi="Arial" w:cs="Arial"/>
          <w:color w:val="070707"/>
          <w:lang w:val="es-ES"/>
        </w:rPr>
        <w:t>un propós</w:t>
      </w:r>
      <w:r w:rsidRPr="008D46B7">
        <w:rPr>
          <w:rFonts w:ascii="Arial" w:hAnsi="Arial" w:cs="Arial"/>
          <w:color w:val="212121"/>
          <w:lang w:val="es-ES"/>
        </w:rPr>
        <w:t>i</w:t>
      </w:r>
      <w:r w:rsidRPr="008D46B7">
        <w:rPr>
          <w:rFonts w:ascii="Arial" w:hAnsi="Arial" w:cs="Arial"/>
          <w:color w:val="070707"/>
          <w:lang w:val="es-ES"/>
        </w:rPr>
        <w:t>t</w:t>
      </w:r>
      <w:r w:rsidRPr="008D46B7">
        <w:rPr>
          <w:rFonts w:ascii="Arial" w:hAnsi="Arial" w:cs="Arial"/>
          <w:color w:val="212121"/>
          <w:lang w:val="es-ES"/>
        </w:rPr>
        <w:t xml:space="preserve">o </w:t>
      </w:r>
      <w:r w:rsidRPr="008D46B7">
        <w:rPr>
          <w:rFonts w:ascii="Arial" w:hAnsi="Arial" w:cs="Arial"/>
          <w:color w:val="070707"/>
          <w:lang w:val="es-ES"/>
        </w:rPr>
        <w:t>per</w:t>
      </w:r>
      <w:r w:rsidRPr="008D46B7">
        <w:rPr>
          <w:rFonts w:ascii="Arial" w:hAnsi="Arial" w:cs="Arial"/>
          <w:color w:val="212121"/>
          <w:lang w:val="es-ES"/>
        </w:rPr>
        <w:t>f</w:t>
      </w:r>
      <w:r w:rsidRPr="008D46B7">
        <w:rPr>
          <w:rFonts w:ascii="Arial" w:hAnsi="Arial" w:cs="Arial"/>
          <w:color w:val="070707"/>
          <w:lang w:val="es-ES"/>
        </w:rPr>
        <w:t>ectamen</w:t>
      </w:r>
      <w:r w:rsidRPr="008D46B7">
        <w:rPr>
          <w:rFonts w:ascii="Arial" w:hAnsi="Arial" w:cs="Arial"/>
          <w:color w:val="212121"/>
          <w:lang w:val="es-ES"/>
        </w:rPr>
        <w:t>te d</w:t>
      </w:r>
      <w:r w:rsidRPr="008D46B7">
        <w:rPr>
          <w:rFonts w:ascii="Arial" w:hAnsi="Arial" w:cs="Arial"/>
          <w:color w:val="070707"/>
          <w:lang w:val="es-ES"/>
        </w:rPr>
        <w:t>i</w:t>
      </w:r>
      <w:r w:rsidRPr="008D46B7">
        <w:rPr>
          <w:rFonts w:ascii="Arial" w:hAnsi="Arial" w:cs="Arial"/>
          <w:color w:val="212121"/>
          <w:lang w:val="es-ES"/>
        </w:rPr>
        <w:t>fe</w:t>
      </w:r>
      <w:r w:rsidRPr="008D46B7">
        <w:rPr>
          <w:rFonts w:ascii="Arial" w:hAnsi="Arial" w:cs="Arial"/>
          <w:color w:val="070707"/>
          <w:lang w:val="es-ES"/>
        </w:rPr>
        <w:t>renciabl</w:t>
      </w:r>
      <w:r w:rsidRPr="008D46B7">
        <w:rPr>
          <w:rFonts w:ascii="Arial" w:hAnsi="Arial" w:cs="Arial"/>
          <w:color w:val="212121"/>
          <w:lang w:val="es-ES"/>
        </w:rPr>
        <w:t>e</w:t>
      </w:r>
      <w:r w:rsidRPr="008D46B7">
        <w:rPr>
          <w:rFonts w:ascii="Arial" w:hAnsi="Arial" w:cs="Arial"/>
          <w:color w:val="070707"/>
          <w:lang w:val="es-ES"/>
        </w:rPr>
        <w:t>.</w:t>
      </w:r>
    </w:p>
    <w:p w14:paraId="23AB3E7A" w14:textId="77777777" w:rsidR="00921E3F" w:rsidRPr="008D46B7" w:rsidRDefault="00921E3F" w:rsidP="00921E3F">
      <w:pPr>
        <w:widowControl w:val="0"/>
        <w:autoSpaceDE w:val="0"/>
        <w:autoSpaceDN w:val="0"/>
        <w:adjustRightInd w:val="0"/>
        <w:jc w:val="both"/>
        <w:rPr>
          <w:rFonts w:ascii="Arial" w:hAnsi="Arial" w:cs="Arial"/>
          <w:color w:val="070707"/>
          <w:lang w:val="es-ES"/>
        </w:rPr>
      </w:pPr>
    </w:p>
    <w:p w14:paraId="7B888ED5" w14:textId="77777777" w:rsidR="00921E3F" w:rsidRPr="008D46B7" w:rsidRDefault="00921E3F" w:rsidP="00921E3F">
      <w:pPr>
        <w:widowControl w:val="0"/>
        <w:autoSpaceDE w:val="0"/>
        <w:autoSpaceDN w:val="0"/>
        <w:adjustRightInd w:val="0"/>
        <w:ind w:left="708"/>
        <w:jc w:val="both"/>
        <w:rPr>
          <w:rFonts w:ascii="Arial" w:hAnsi="Arial" w:cs="Arial"/>
          <w:color w:val="353535"/>
          <w:lang w:val="es-ES"/>
        </w:rPr>
      </w:pPr>
      <w:r w:rsidRPr="008D46B7">
        <w:rPr>
          <w:rFonts w:ascii="Arial" w:hAnsi="Arial" w:cs="Arial"/>
          <w:color w:val="070707"/>
          <w:lang w:val="es-ES"/>
        </w:rPr>
        <w:t>Así conce</w:t>
      </w:r>
      <w:r w:rsidRPr="008D46B7">
        <w:rPr>
          <w:rFonts w:ascii="Arial" w:hAnsi="Arial" w:cs="Arial"/>
          <w:color w:val="212121"/>
          <w:lang w:val="es-ES"/>
        </w:rPr>
        <w:t>b</w:t>
      </w:r>
      <w:r w:rsidRPr="008D46B7">
        <w:rPr>
          <w:rFonts w:ascii="Arial" w:hAnsi="Arial" w:cs="Arial"/>
          <w:color w:val="070707"/>
          <w:lang w:val="es-ES"/>
        </w:rPr>
        <w:t>id</w:t>
      </w:r>
      <w:r w:rsidRPr="008D46B7">
        <w:rPr>
          <w:rFonts w:ascii="Arial" w:hAnsi="Arial" w:cs="Arial"/>
          <w:color w:val="212121"/>
          <w:lang w:val="es-ES"/>
        </w:rPr>
        <w:t xml:space="preserve">a, </w:t>
      </w:r>
      <w:r w:rsidRPr="008D46B7">
        <w:rPr>
          <w:rFonts w:ascii="Arial" w:hAnsi="Arial" w:cs="Arial"/>
          <w:color w:val="070707"/>
          <w:lang w:val="es-ES"/>
        </w:rPr>
        <w:t>l</w:t>
      </w:r>
      <w:r w:rsidRPr="008D46B7">
        <w:rPr>
          <w:rFonts w:ascii="Arial" w:hAnsi="Arial" w:cs="Arial"/>
          <w:color w:val="212121"/>
          <w:lang w:val="es-ES"/>
        </w:rPr>
        <w:t xml:space="preserve">a </w:t>
      </w:r>
      <w:r w:rsidRPr="008D46B7">
        <w:rPr>
          <w:rFonts w:ascii="Arial" w:hAnsi="Arial" w:cs="Arial"/>
          <w:color w:val="070707"/>
          <w:lang w:val="es-ES"/>
        </w:rPr>
        <w:t>tutela se prese</w:t>
      </w:r>
      <w:r w:rsidRPr="008D46B7">
        <w:rPr>
          <w:rFonts w:ascii="Arial" w:hAnsi="Arial" w:cs="Arial"/>
          <w:color w:val="212121"/>
          <w:lang w:val="es-ES"/>
        </w:rPr>
        <w:t xml:space="preserve">nta </w:t>
      </w:r>
      <w:r w:rsidRPr="008D46B7">
        <w:rPr>
          <w:rFonts w:ascii="Arial" w:hAnsi="Arial" w:cs="Arial"/>
          <w:color w:val="070707"/>
          <w:lang w:val="es-ES"/>
        </w:rPr>
        <w:t xml:space="preserve">como </w:t>
      </w:r>
      <w:r w:rsidRPr="008D46B7">
        <w:rPr>
          <w:rFonts w:ascii="Arial" w:hAnsi="Arial" w:cs="Arial"/>
          <w:color w:val="353535"/>
          <w:lang w:val="es-ES"/>
        </w:rPr>
        <w:t xml:space="preserve">un </w:t>
      </w:r>
      <w:r w:rsidRPr="008D46B7">
        <w:rPr>
          <w:rFonts w:ascii="Arial" w:hAnsi="Arial" w:cs="Arial"/>
          <w:color w:val="212121"/>
          <w:lang w:val="es-ES"/>
        </w:rPr>
        <w:t>m</w:t>
      </w:r>
      <w:r w:rsidRPr="008D46B7">
        <w:rPr>
          <w:rFonts w:ascii="Arial" w:hAnsi="Arial" w:cs="Arial"/>
          <w:color w:val="070707"/>
          <w:lang w:val="es-ES"/>
        </w:rPr>
        <w:t>eca</w:t>
      </w:r>
      <w:r w:rsidRPr="008D46B7">
        <w:rPr>
          <w:rFonts w:ascii="Arial" w:hAnsi="Arial" w:cs="Arial"/>
          <w:color w:val="212121"/>
          <w:lang w:val="es-ES"/>
        </w:rPr>
        <w:t>n</w:t>
      </w:r>
      <w:r w:rsidRPr="008D46B7">
        <w:rPr>
          <w:rFonts w:ascii="Arial" w:hAnsi="Arial" w:cs="Arial"/>
          <w:color w:val="070707"/>
          <w:lang w:val="es-ES"/>
        </w:rPr>
        <w:t>ism</w:t>
      </w:r>
      <w:r w:rsidRPr="008D46B7">
        <w:rPr>
          <w:rFonts w:ascii="Arial" w:hAnsi="Arial" w:cs="Arial"/>
          <w:color w:val="212121"/>
          <w:lang w:val="es-ES"/>
        </w:rPr>
        <w:t xml:space="preserve">o </w:t>
      </w:r>
      <w:r w:rsidRPr="008D46B7">
        <w:rPr>
          <w:rFonts w:ascii="Arial" w:hAnsi="Arial" w:cs="Arial"/>
          <w:color w:val="070707"/>
          <w:lang w:val="es-ES"/>
        </w:rPr>
        <w:t>ág</w:t>
      </w:r>
      <w:r w:rsidRPr="008D46B7">
        <w:rPr>
          <w:rFonts w:ascii="Arial" w:hAnsi="Arial" w:cs="Arial"/>
          <w:color w:val="212121"/>
          <w:lang w:val="es-ES"/>
        </w:rPr>
        <w:t xml:space="preserve">il </w:t>
      </w:r>
      <w:r w:rsidRPr="008D46B7">
        <w:rPr>
          <w:rFonts w:ascii="Arial" w:hAnsi="Arial" w:cs="Arial"/>
          <w:color w:val="353535"/>
          <w:lang w:val="es-ES"/>
        </w:rPr>
        <w:t xml:space="preserve">y </w:t>
      </w:r>
      <w:r w:rsidRPr="008D46B7">
        <w:rPr>
          <w:rFonts w:ascii="Arial" w:hAnsi="Arial" w:cs="Arial"/>
          <w:color w:val="070707"/>
          <w:lang w:val="es-ES"/>
        </w:rPr>
        <w:t>eficiente</w:t>
      </w:r>
      <w:r w:rsidRPr="008D46B7">
        <w:rPr>
          <w:rFonts w:ascii="Arial" w:hAnsi="Arial" w:cs="Arial"/>
          <w:color w:val="212121"/>
          <w:lang w:val="es-ES"/>
        </w:rPr>
        <w:t xml:space="preserve">, al </w:t>
      </w:r>
      <w:r w:rsidRPr="008D46B7">
        <w:rPr>
          <w:rFonts w:ascii="Arial" w:hAnsi="Arial" w:cs="Arial"/>
          <w:color w:val="070707"/>
          <w:lang w:val="es-ES"/>
        </w:rPr>
        <w:t>alcance de cualquie</w:t>
      </w:r>
      <w:r w:rsidRPr="008D46B7">
        <w:rPr>
          <w:rFonts w:ascii="Arial" w:hAnsi="Arial" w:cs="Arial"/>
          <w:color w:val="212121"/>
          <w:lang w:val="es-ES"/>
        </w:rPr>
        <w:t xml:space="preserve">r </w:t>
      </w:r>
      <w:r w:rsidRPr="008D46B7">
        <w:rPr>
          <w:rFonts w:ascii="Arial" w:hAnsi="Arial" w:cs="Arial"/>
          <w:color w:val="070707"/>
          <w:lang w:val="es-ES"/>
        </w:rPr>
        <w:t xml:space="preserve">persona, </w:t>
      </w:r>
      <w:r w:rsidRPr="008D46B7">
        <w:rPr>
          <w:rFonts w:ascii="Arial" w:hAnsi="Arial" w:cs="Arial"/>
          <w:color w:val="212121"/>
          <w:lang w:val="es-ES"/>
        </w:rPr>
        <w:t xml:space="preserve">en </w:t>
      </w:r>
      <w:r w:rsidRPr="008D46B7">
        <w:rPr>
          <w:rFonts w:ascii="Arial" w:hAnsi="Arial" w:cs="Arial"/>
          <w:color w:val="070707"/>
          <w:lang w:val="es-ES"/>
        </w:rPr>
        <w:t>to</w:t>
      </w:r>
      <w:r w:rsidRPr="008D46B7">
        <w:rPr>
          <w:rFonts w:ascii="Arial" w:hAnsi="Arial" w:cs="Arial"/>
          <w:color w:val="212121"/>
          <w:lang w:val="es-ES"/>
        </w:rPr>
        <w:t xml:space="preserve">do </w:t>
      </w:r>
      <w:r w:rsidRPr="008D46B7">
        <w:rPr>
          <w:rFonts w:ascii="Arial" w:hAnsi="Arial" w:cs="Arial"/>
          <w:color w:val="070707"/>
          <w:lang w:val="es-ES"/>
        </w:rPr>
        <w:t xml:space="preserve">momento </w:t>
      </w:r>
      <w:r w:rsidRPr="008D46B7">
        <w:rPr>
          <w:rFonts w:ascii="Arial" w:hAnsi="Arial" w:cs="Arial"/>
          <w:color w:val="353535"/>
          <w:lang w:val="es-ES"/>
        </w:rPr>
        <w:t xml:space="preserve">y </w:t>
      </w:r>
      <w:r w:rsidRPr="008D46B7">
        <w:rPr>
          <w:rFonts w:ascii="Arial" w:hAnsi="Arial" w:cs="Arial"/>
          <w:color w:val="070707"/>
          <w:lang w:val="es-ES"/>
        </w:rPr>
        <w:t>lug</w:t>
      </w:r>
      <w:r w:rsidRPr="008D46B7">
        <w:rPr>
          <w:rFonts w:ascii="Arial" w:hAnsi="Arial" w:cs="Arial"/>
          <w:color w:val="212121"/>
          <w:lang w:val="es-ES"/>
        </w:rPr>
        <w:t xml:space="preserve">ar, </w:t>
      </w:r>
      <w:r w:rsidRPr="008D46B7">
        <w:rPr>
          <w:rFonts w:ascii="Arial" w:hAnsi="Arial" w:cs="Arial"/>
          <w:color w:val="070707"/>
          <w:lang w:val="es-ES"/>
        </w:rPr>
        <w:t>pa</w:t>
      </w:r>
      <w:r w:rsidRPr="008D46B7">
        <w:rPr>
          <w:rFonts w:ascii="Arial" w:hAnsi="Arial" w:cs="Arial"/>
          <w:color w:val="212121"/>
          <w:lang w:val="es-ES"/>
        </w:rPr>
        <w:t xml:space="preserve">ra la </w:t>
      </w:r>
      <w:r w:rsidRPr="008D46B7">
        <w:rPr>
          <w:rFonts w:ascii="Arial" w:hAnsi="Arial" w:cs="Arial"/>
          <w:color w:val="070707"/>
          <w:lang w:val="es-ES"/>
        </w:rPr>
        <w:t>protecc</w:t>
      </w:r>
      <w:r w:rsidRPr="008D46B7">
        <w:rPr>
          <w:rFonts w:ascii="Arial" w:hAnsi="Arial" w:cs="Arial"/>
          <w:color w:val="212121"/>
          <w:lang w:val="es-ES"/>
        </w:rPr>
        <w:t>i</w:t>
      </w:r>
      <w:r w:rsidRPr="008D46B7">
        <w:rPr>
          <w:rFonts w:ascii="Arial" w:hAnsi="Arial" w:cs="Arial"/>
          <w:color w:val="070707"/>
          <w:lang w:val="es-ES"/>
        </w:rPr>
        <w:t>ó</w:t>
      </w:r>
      <w:r w:rsidRPr="008D46B7">
        <w:rPr>
          <w:rFonts w:ascii="Arial" w:hAnsi="Arial" w:cs="Arial"/>
          <w:color w:val="212121"/>
          <w:lang w:val="es-ES"/>
        </w:rPr>
        <w:t xml:space="preserve">n </w:t>
      </w:r>
      <w:r w:rsidRPr="008D46B7">
        <w:rPr>
          <w:rFonts w:ascii="Arial" w:hAnsi="Arial" w:cs="Arial"/>
          <w:color w:val="070707"/>
          <w:lang w:val="es-ES"/>
        </w:rPr>
        <w:t>inmedia</w:t>
      </w:r>
      <w:r w:rsidRPr="008D46B7">
        <w:rPr>
          <w:rFonts w:ascii="Arial" w:hAnsi="Arial" w:cs="Arial"/>
          <w:color w:val="212121"/>
          <w:lang w:val="es-ES"/>
        </w:rPr>
        <w:t>t</w:t>
      </w:r>
      <w:r w:rsidRPr="008D46B7">
        <w:rPr>
          <w:rFonts w:ascii="Arial" w:hAnsi="Arial" w:cs="Arial"/>
          <w:color w:val="070707"/>
          <w:lang w:val="es-ES"/>
        </w:rPr>
        <w:t xml:space="preserve">a </w:t>
      </w:r>
      <w:r w:rsidRPr="008D46B7">
        <w:rPr>
          <w:rFonts w:ascii="Arial" w:hAnsi="Arial" w:cs="Arial"/>
          <w:color w:val="212121"/>
          <w:lang w:val="es-ES"/>
        </w:rPr>
        <w:t>d</w:t>
      </w:r>
      <w:r w:rsidRPr="008D46B7">
        <w:rPr>
          <w:rFonts w:ascii="Arial" w:hAnsi="Arial" w:cs="Arial"/>
          <w:color w:val="070707"/>
          <w:lang w:val="es-ES"/>
        </w:rPr>
        <w:t xml:space="preserve">e sus </w:t>
      </w:r>
      <w:r w:rsidRPr="008D46B7">
        <w:rPr>
          <w:rFonts w:ascii="Arial" w:hAnsi="Arial" w:cs="Arial"/>
          <w:color w:val="353535"/>
          <w:lang w:val="es-ES"/>
        </w:rPr>
        <w:t>d</w:t>
      </w:r>
      <w:r w:rsidRPr="008D46B7">
        <w:rPr>
          <w:rFonts w:ascii="Arial" w:hAnsi="Arial" w:cs="Arial"/>
          <w:color w:val="070707"/>
          <w:lang w:val="es-ES"/>
        </w:rPr>
        <w:t>erecho</w:t>
      </w:r>
      <w:r w:rsidRPr="008D46B7">
        <w:rPr>
          <w:rFonts w:ascii="Arial" w:hAnsi="Arial" w:cs="Arial"/>
          <w:color w:val="212121"/>
          <w:lang w:val="es-ES"/>
        </w:rPr>
        <w:t xml:space="preserve">s </w:t>
      </w:r>
      <w:r w:rsidRPr="008D46B7">
        <w:rPr>
          <w:rFonts w:ascii="Arial" w:hAnsi="Arial" w:cs="Arial"/>
          <w:color w:val="070707"/>
          <w:lang w:val="es-ES"/>
        </w:rPr>
        <w:t>const</w:t>
      </w:r>
      <w:r w:rsidRPr="008D46B7">
        <w:rPr>
          <w:rFonts w:ascii="Arial" w:hAnsi="Arial" w:cs="Arial"/>
          <w:color w:val="212121"/>
          <w:lang w:val="es-ES"/>
        </w:rPr>
        <w:t>it</w:t>
      </w:r>
      <w:r w:rsidRPr="008D46B7">
        <w:rPr>
          <w:rFonts w:ascii="Arial" w:hAnsi="Arial" w:cs="Arial"/>
          <w:color w:val="070707"/>
          <w:lang w:val="es-ES"/>
        </w:rPr>
        <w:t>ucionales</w:t>
      </w:r>
      <w:r w:rsidRPr="008D46B7">
        <w:rPr>
          <w:rFonts w:ascii="Arial" w:hAnsi="Arial" w:cs="Arial"/>
          <w:color w:val="353535"/>
          <w:lang w:val="es-ES"/>
        </w:rPr>
        <w:t xml:space="preserve"> </w:t>
      </w:r>
      <w:r w:rsidRPr="008D46B7">
        <w:rPr>
          <w:rFonts w:ascii="Arial" w:hAnsi="Arial" w:cs="Arial"/>
          <w:color w:val="070707"/>
          <w:lang w:val="es-ES"/>
        </w:rPr>
        <w:t>cuan</w:t>
      </w:r>
      <w:r w:rsidRPr="008D46B7">
        <w:rPr>
          <w:rFonts w:ascii="Arial" w:hAnsi="Arial" w:cs="Arial"/>
          <w:color w:val="212121"/>
          <w:lang w:val="es-ES"/>
        </w:rPr>
        <w:t xml:space="preserve">do </w:t>
      </w:r>
      <w:r w:rsidRPr="008D46B7">
        <w:rPr>
          <w:rFonts w:ascii="Arial" w:hAnsi="Arial" w:cs="Arial"/>
          <w:color w:val="070707"/>
          <w:lang w:val="es-ES"/>
        </w:rPr>
        <w:t>e</w:t>
      </w:r>
      <w:r w:rsidRPr="008D46B7">
        <w:rPr>
          <w:rFonts w:ascii="Arial" w:hAnsi="Arial" w:cs="Arial"/>
          <w:color w:val="212121"/>
          <w:lang w:val="es-ES"/>
        </w:rPr>
        <w:t>l</w:t>
      </w:r>
      <w:r w:rsidRPr="008D46B7">
        <w:rPr>
          <w:rFonts w:ascii="Arial" w:hAnsi="Arial" w:cs="Arial"/>
          <w:color w:val="070707"/>
          <w:lang w:val="es-ES"/>
        </w:rPr>
        <w:t xml:space="preserve">los se vean vulnerados </w:t>
      </w:r>
      <w:r w:rsidRPr="008D46B7">
        <w:rPr>
          <w:rFonts w:ascii="Arial" w:hAnsi="Arial" w:cs="Arial"/>
          <w:color w:val="212121"/>
          <w:lang w:val="es-ES"/>
        </w:rPr>
        <w:lastRenderedPageBreak/>
        <w:t xml:space="preserve">o </w:t>
      </w:r>
      <w:r w:rsidRPr="008D46B7">
        <w:rPr>
          <w:rFonts w:ascii="Arial" w:hAnsi="Arial" w:cs="Arial"/>
          <w:color w:val="070707"/>
          <w:lang w:val="es-ES"/>
        </w:rPr>
        <w:t>amenazado</w:t>
      </w:r>
      <w:r w:rsidRPr="008D46B7">
        <w:rPr>
          <w:rFonts w:ascii="Arial" w:hAnsi="Arial" w:cs="Arial"/>
          <w:color w:val="212121"/>
          <w:lang w:val="es-ES"/>
        </w:rPr>
        <w:t xml:space="preserve">s </w:t>
      </w:r>
      <w:r w:rsidRPr="008D46B7">
        <w:rPr>
          <w:rFonts w:ascii="Arial" w:hAnsi="Arial" w:cs="Arial"/>
          <w:color w:val="070707"/>
          <w:lang w:val="es-ES"/>
        </w:rPr>
        <w:t>por cua</w:t>
      </w:r>
      <w:r w:rsidRPr="008D46B7">
        <w:rPr>
          <w:rFonts w:ascii="Arial" w:hAnsi="Arial" w:cs="Arial"/>
          <w:color w:val="212121"/>
          <w:lang w:val="es-ES"/>
        </w:rPr>
        <w:t>l</w:t>
      </w:r>
      <w:r w:rsidRPr="008D46B7">
        <w:rPr>
          <w:rFonts w:ascii="Arial" w:hAnsi="Arial" w:cs="Arial"/>
          <w:color w:val="070707"/>
          <w:lang w:val="es-ES"/>
        </w:rPr>
        <w:t>quier</w:t>
      </w:r>
      <w:r w:rsidRPr="008D46B7">
        <w:rPr>
          <w:rFonts w:ascii="Arial" w:hAnsi="Arial" w:cs="Arial"/>
          <w:color w:val="212121"/>
          <w:lang w:val="es-ES"/>
        </w:rPr>
        <w:t xml:space="preserve"> a</w:t>
      </w:r>
      <w:r w:rsidRPr="008D46B7">
        <w:rPr>
          <w:rFonts w:ascii="Arial" w:hAnsi="Arial" w:cs="Arial"/>
          <w:color w:val="070707"/>
          <w:lang w:val="es-ES"/>
        </w:rPr>
        <w:t>uto</w:t>
      </w:r>
      <w:r w:rsidRPr="008D46B7">
        <w:rPr>
          <w:rFonts w:ascii="Arial" w:hAnsi="Arial" w:cs="Arial"/>
          <w:color w:val="212121"/>
          <w:lang w:val="es-ES"/>
        </w:rPr>
        <w:t>r</w:t>
      </w:r>
      <w:r w:rsidRPr="008D46B7">
        <w:rPr>
          <w:rFonts w:ascii="Arial" w:hAnsi="Arial" w:cs="Arial"/>
          <w:color w:val="070707"/>
          <w:lang w:val="es-ES"/>
        </w:rPr>
        <w:t>ida</w:t>
      </w:r>
      <w:r w:rsidRPr="008D46B7">
        <w:rPr>
          <w:rFonts w:ascii="Arial" w:hAnsi="Arial" w:cs="Arial"/>
          <w:color w:val="212121"/>
          <w:lang w:val="es-ES"/>
        </w:rPr>
        <w:t>d públ</w:t>
      </w:r>
      <w:r w:rsidRPr="008D46B7">
        <w:rPr>
          <w:rFonts w:ascii="Arial" w:hAnsi="Arial" w:cs="Arial"/>
          <w:color w:val="070707"/>
          <w:lang w:val="es-ES"/>
        </w:rPr>
        <w:t xml:space="preserve">ica </w:t>
      </w:r>
      <w:r w:rsidRPr="008D46B7">
        <w:rPr>
          <w:rFonts w:ascii="Arial" w:hAnsi="Arial" w:cs="Arial"/>
          <w:color w:val="212121"/>
          <w:lang w:val="es-ES"/>
        </w:rPr>
        <w:t xml:space="preserve">o </w:t>
      </w:r>
      <w:r w:rsidRPr="008D46B7">
        <w:rPr>
          <w:rFonts w:ascii="Arial" w:hAnsi="Arial" w:cs="Arial"/>
          <w:color w:val="070707"/>
          <w:lang w:val="es-ES"/>
        </w:rPr>
        <w:t>por part</w:t>
      </w:r>
      <w:r w:rsidRPr="008D46B7">
        <w:rPr>
          <w:rFonts w:ascii="Arial" w:hAnsi="Arial" w:cs="Arial"/>
          <w:color w:val="212121"/>
          <w:lang w:val="es-ES"/>
        </w:rPr>
        <w:t>i</w:t>
      </w:r>
      <w:r w:rsidRPr="008D46B7">
        <w:rPr>
          <w:rFonts w:ascii="Arial" w:hAnsi="Arial" w:cs="Arial"/>
          <w:color w:val="070707"/>
          <w:lang w:val="es-ES"/>
        </w:rPr>
        <w:t>cu</w:t>
      </w:r>
      <w:r w:rsidRPr="008D46B7">
        <w:rPr>
          <w:rFonts w:ascii="Arial" w:hAnsi="Arial" w:cs="Arial"/>
          <w:color w:val="212121"/>
          <w:lang w:val="es-ES"/>
        </w:rPr>
        <w:t>l</w:t>
      </w:r>
      <w:r w:rsidRPr="008D46B7">
        <w:rPr>
          <w:rFonts w:ascii="Arial" w:hAnsi="Arial" w:cs="Arial"/>
          <w:color w:val="070707"/>
          <w:lang w:val="es-ES"/>
        </w:rPr>
        <w:t>ares e</w:t>
      </w:r>
      <w:r w:rsidRPr="008D46B7">
        <w:rPr>
          <w:rFonts w:ascii="Arial" w:hAnsi="Arial" w:cs="Arial"/>
          <w:color w:val="212121"/>
          <w:lang w:val="es-ES"/>
        </w:rPr>
        <w:t xml:space="preserve">n </w:t>
      </w:r>
      <w:r w:rsidRPr="008D46B7">
        <w:rPr>
          <w:rFonts w:ascii="Arial" w:hAnsi="Arial" w:cs="Arial"/>
          <w:color w:val="070707"/>
          <w:lang w:val="es-ES"/>
        </w:rPr>
        <w:t>cierta</w:t>
      </w:r>
      <w:r w:rsidRPr="008D46B7">
        <w:rPr>
          <w:rFonts w:ascii="Arial" w:hAnsi="Arial" w:cs="Arial"/>
          <w:color w:val="212121"/>
          <w:lang w:val="es-ES"/>
        </w:rPr>
        <w:t>s y d</w:t>
      </w:r>
      <w:r w:rsidRPr="008D46B7">
        <w:rPr>
          <w:rFonts w:ascii="Arial" w:hAnsi="Arial" w:cs="Arial"/>
          <w:color w:val="070707"/>
          <w:lang w:val="es-ES"/>
        </w:rPr>
        <w:t>eterm</w:t>
      </w:r>
      <w:r w:rsidRPr="008D46B7">
        <w:rPr>
          <w:rFonts w:ascii="Arial" w:hAnsi="Arial" w:cs="Arial"/>
          <w:color w:val="212121"/>
          <w:lang w:val="es-ES"/>
        </w:rPr>
        <w:t>in</w:t>
      </w:r>
      <w:r w:rsidRPr="008D46B7">
        <w:rPr>
          <w:rFonts w:ascii="Arial" w:hAnsi="Arial" w:cs="Arial"/>
          <w:color w:val="070707"/>
          <w:lang w:val="es-ES"/>
        </w:rPr>
        <w:t>adas</w:t>
      </w:r>
      <w:r w:rsidRPr="008D46B7">
        <w:rPr>
          <w:rFonts w:ascii="Arial" w:hAnsi="Arial" w:cs="Arial"/>
          <w:color w:val="353535"/>
          <w:lang w:val="es-ES"/>
        </w:rPr>
        <w:t xml:space="preserve"> </w:t>
      </w:r>
      <w:r w:rsidRPr="008D46B7">
        <w:rPr>
          <w:rFonts w:ascii="Arial" w:hAnsi="Arial" w:cs="Arial"/>
          <w:color w:val="070707"/>
          <w:lang w:val="es-ES"/>
        </w:rPr>
        <w:t>ci</w:t>
      </w:r>
      <w:r w:rsidRPr="008D46B7">
        <w:rPr>
          <w:rFonts w:ascii="Arial" w:hAnsi="Arial" w:cs="Arial"/>
          <w:color w:val="212121"/>
          <w:lang w:val="es-ES"/>
        </w:rPr>
        <w:t>r</w:t>
      </w:r>
      <w:r w:rsidRPr="008D46B7">
        <w:rPr>
          <w:rFonts w:ascii="Arial" w:hAnsi="Arial" w:cs="Arial"/>
          <w:color w:val="070707"/>
          <w:lang w:val="es-ES"/>
        </w:rPr>
        <w:t>cunstancia</w:t>
      </w:r>
      <w:r w:rsidRPr="008D46B7">
        <w:rPr>
          <w:rFonts w:ascii="Arial" w:hAnsi="Arial" w:cs="Arial"/>
          <w:color w:val="212121"/>
          <w:lang w:val="es-ES"/>
        </w:rPr>
        <w:t>s. E</w:t>
      </w:r>
      <w:r w:rsidRPr="008D46B7">
        <w:rPr>
          <w:rFonts w:ascii="Arial" w:hAnsi="Arial" w:cs="Arial"/>
          <w:color w:val="070707"/>
          <w:lang w:val="es-ES"/>
        </w:rPr>
        <w:t>nt</w:t>
      </w:r>
      <w:r w:rsidRPr="008D46B7">
        <w:rPr>
          <w:rFonts w:ascii="Arial" w:hAnsi="Arial" w:cs="Arial"/>
          <w:color w:val="212121"/>
          <w:lang w:val="es-ES"/>
        </w:rPr>
        <w:t>r</w:t>
      </w:r>
      <w:r w:rsidRPr="008D46B7">
        <w:rPr>
          <w:rFonts w:ascii="Arial" w:hAnsi="Arial" w:cs="Arial"/>
          <w:color w:val="070707"/>
          <w:lang w:val="es-ES"/>
        </w:rPr>
        <w:t>e l</w:t>
      </w:r>
      <w:r w:rsidRPr="008D46B7">
        <w:rPr>
          <w:rFonts w:ascii="Arial" w:hAnsi="Arial" w:cs="Arial"/>
          <w:color w:val="212121"/>
          <w:lang w:val="es-ES"/>
        </w:rPr>
        <w:t>a</w:t>
      </w:r>
      <w:r w:rsidRPr="008D46B7">
        <w:rPr>
          <w:rFonts w:ascii="Arial" w:hAnsi="Arial" w:cs="Arial"/>
          <w:color w:val="070707"/>
          <w:lang w:val="es-ES"/>
        </w:rPr>
        <w:t>s ca</w:t>
      </w:r>
      <w:r w:rsidRPr="008D46B7">
        <w:rPr>
          <w:rFonts w:ascii="Arial" w:hAnsi="Arial" w:cs="Arial"/>
          <w:color w:val="212121"/>
          <w:lang w:val="es-ES"/>
        </w:rPr>
        <w:t>ra</w:t>
      </w:r>
      <w:r w:rsidRPr="008D46B7">
        <w:rPr>
          <w:rFonts w:ascii="Arial" w:hAnsi="Arial" w:cs="Arial"/>
          <w:color w:val="070707"/>
          <w:lang w:val="es-ES"/>
        </w:rPr>
        <w:t xml:space="preserve">cterísticas </w:t>
      </w:r>
      <w:r w:rsidRPr="008D46B7">
        <w:rPr>
          <w:rFonts w:ascii="Arial" w:hAnsi="Arial" w:cs="Arial"/>
          <w:color w:val="212121"/>
          <w:lang w:val="es-ES"/>
        </w:rPr>
        <w:t>d</w:t>
      </w:r>
      <w:r w:rsidRPr="008D46B7">
        <w:rPr>
          <w:rFonts w:ascii="Arial" w:hAnsi="Arial" w:cs="Arial"/>
          <w:color w:val="070707"/>
          <w:lang w:val="es-ES"/>
        </w:rPr>
        <w:t>e esta figura podemos destaca</w:t>
      </w:r>
      <w:r w:rsidRPr="008D46B7">
        <w:rPr>
          <w:rFonts w:ascii="Arial" w:hAnsi="Arial" w:cs="Arial"/>
          <w:color w:val="212121"/>
          <w:lang w:val="es-ES"/>
        </w:rPr>
        <w:t>r</w:t>
      </w:r>
      <w:r w:rsidRPr="008D46B7">
        <w:rPr>
          <w:rFonts w:ascii="Arial" w:hAnsi="Arial" w:cs="Arial"/>
          <w:color w:val="070707"/>
          <w:lang w:val="es-ES"/>
        </w:rPr>
        <w:t xml:space="preserve">: </w:t>
      </w:r>
    </w:p>
    <w:p w14:paraId="40DC6A47" w14:textId="77777777" w:rsidR="00921E3F" w:rsidRPr="008D46B7" w:rsidRDefault="00921E3F" w:rsidP="00921E3F">
      <w:pPr>
        <w:widowControl w:val="0"/>
        <w:autoSpaceDE w:val="0"/>
        <w:autoSpaceDN w:val="0"/>
        <w:adjustRightInd w:val="0"/>
        <w:jc w:val="both"/>
        <w:rPr>
          <w:rFonts w:ascii="Arial" w:hAnsi="Arial" w:cs="Arial"/>
          <w:color w:val="070707"/>
          <w:lang w:val="es-ES"/>
        </w:rPr>
      </w:pPr>
    </w:p>
    <w:p w14:paraId="62E60B05" w14:textId="77777777" w:rsidR="00921E3F" w:rsidRPr="008D46B7" w:rsidRDefault="00921E3F" w:rsidP="00921E3F">
      <w:pPr>
        <w:widowControl w:val="0"/>
        <w:autoSpaceDE w:val="0"/>
        <w:autoSpaceDN w:val="0"/>
        <w:adjustRightInd w:val="0"/>
        <w:ind w:left="708"/>
        <w:jc w:val="both"/>
        <w:rPr>
          <w:rFonts w:ascii="Arial" w:hAnsi="Arial" w:cs="Arial"/>
          <w:color w:val="070707"/>
          <w:lang w:val="es-ES"/>
        </w:rPr>
      </w:pPr>
      <w:r w:rsidRPr="008D46B7">
        <w:rPr>
          <w:rFonts w:ascii="Arial" w:hAnsi="Arial" w:cs="Arial"/>
          <w:color w:val="070707"/>
          <w:lang w:val="es-ES"/>
        </w:rPr>
        <w:t>1. Se trat</w:t>
      </w:r>
      <w:r w:rsidRPr="008D46B7">
        <w:rPr>
          <w:rFonts w:ascii="Arial" w:hAnsi="Arial" w:cs="Arial"/>
          <w:color w:val="212121"/>
          <w:lang w:val="es-ES"/>
        </w:rPr>
        <w:t>a de</w:t>
      </w:r>
      <w:r w:rsidRPr="008D46B7">
        <w:rPr>
          <w:rFonts w:ascii="Arial" w:hAnsi="Arial" w:cs="Arial"/>
          <w:color w:val="070707"/>
          <w:lang w:val="es-ES"/>
        </w:rPr>
        <w:t xml:space="preserve"> un</w:t>
      </w:r>
      <w:r w:rsidRPr="008D46B7">
        <w:rPr>
          <w:rFonts w:ascii="Arial" w:hAnsi="Arial" w:cs="Arial"/>
          <w:color w:val="212121"/>
          <w:lang w:val="es-ES"/>
        </w:rPr>
        <w:t>a a</w:t>
      </w:r>
      <w:r w:rsidRPr="008D46B7">
        <w:rPr>
          <w:rFonts w:ascii="Arial" w:hAnsi="Arial" w:cs="Arial"/>
          <w:color w:val="070707"/>
          <w:lang w:val="es-ES"/>
        </w:rPr>
        <w:t>cció</w:t>
      </w:r>
      <w:r w:rsidRPr="008D46B7">
        <w:rPr>
          <w:rFonts w:ascii="Arial" w:hAnsi="Arial" w:cs="Arial"/>
          <w:color w:val="212121"/>
          <w:lang w:val="es-ES"/>
        </w:rPr>
        <w:t xml:space="preserve">n </w:t>
      </w:r>
      <w:r w:rsidRPr="008D46B7">
        <w:rPr>
          <w:rFonts w:ascii="Arial" w:hAnsi="Arial" w:cs="Arial"/>
          <w:color w:val="070707"/>
          <w:u w:val="single"/>
          <w:lang w:val="es-ES"/>
        </w:rPr>
        <w:t>subsid</w:t>
      </w:r>
      <w:r w:rsidRPr="008D46B7">
        <w:rPr>
          <w:rFonts w:ascii="Arial" w:hAnsi="Arial" w:cs="Arial"/>
          <w:color w:val="212121"/>
          <w:u w:val="single"/>
          <w:lang w:val="es-ES"/>
        </w:rPr>
        <w:t>i</w:t>
      </w:r>
      <w:r w:rsidRPr="008D46B7">
        <w:rPr>
          <w:rFonts w:ascii="Arial" w:hAnsi="Arial" w:cs="Arial"/>
          <w:color w:val="070707"/>
          <w:u w:val="single"/>
          <w:lang w:val="es-ES"/>
        </w:rPr>
        <w:t>ar</w:t>
      </w:r>
      <w:r w:rsidRPr="008D46B7">
        <w:rPr>
          <w:rFonts w:ascii="Arial" w:hAnsi="Arial" w:cs="Arial"/>
          <w:color w:val="212121"/>
          <w:u w:val="single"/>
          <w:lang w:val="es-ES"/>
        </w:rPr>
        <w:t xml:space="preserve">ia y de </w:t>
      </w:r>
      <w:r w:rsidRPr="008D46B7">
        <w:rPr>
          <w:rFonts w:ascii="Arial" w:hAnsi="Arial" w:cs="Arial"/>
          <w:color w:val="070707"/>
          <w:u w:val="single"/>
          <w:lang w:val="es-ES"/>
        </w:rPr>
        <w:t>naturalez</w:t>
      </w:r>
      <w:r w:rsidRPr="008D46B7">
        <w:rPr>
          <w:rFonts w:ascii="Arial" w:hAnsi="Arial" w:cs="Arial"/>
          <w:color w:val="212121"/>
          <w:u w:val="single"/>
          <w:lang w:val="es-ES"/>
        </w:rPr>
        <w:t xml:space="preserve">a </w:t>
      </w:r>
      <w:r w:rsidRPr="008D46B7">
        <w:rPr>
          <w:rFonts w:ascii="Arial" w:hAnsi="Arial" w:cs="Arial"/>
          <w:color w:val="070707"/>
          <w:u w:val="single"/>
          <w:lang w:val="es-ES"/>
        </w:rPr>
        <w:t>residual</w:t>
      </w:r>
      <w:r w:rsidRPr="008D46B7">
        <w:rPr>
          <w:rFonts w:ascii="Arial" w:hAnsi="Arial" w:cs="Arial"/>
          <w:color w:val="070707"/>
          <w:lang w:val="es-ES"/>
        </w:rPr>
        <w:t>. Só</w:t>
      </w:r>
      <w:r w:rsidRPr="008D46B7">
        <w:rPr>
          <w:rFonts w:ascii="Arial" w:hAnsi="Arial" w:cs="Arial"/>
          <w:color w:val="212121"/>
          <w:lang w:val="es-ES"/>
        </w:rPr>
        <w:t xml:space="preserve">lo </w:t>
      </w:r>
      <w:r w:rsidRPr="008D46B7">
        <w:rPr>
          <w:rFonts w:ascii="Arial" w:hAnsi="Arial" w:cs="Arial"/>
          <w:color w:val="070707"/>
          <w:lang w:val="es-ES"/>
        </w:rPr>
        <w:t>es admisible e</w:t>
      </w:r>
      <w:r w:rsidRPr="008D46B7">
        <w:rPr>
          <w:rFonts w:ascii="Arial" w:hAnsi="Arial" w:cs="Arial"/>
          <w:color w:val="212121"/>
          <w:lang w:val="es-ES"/>
        </w:rPr>
        <w:t xml:space="preserve">n </w:t>
      </w:r>
      <w:r w:rsidRPr="008D46B7">
        <w:rPr>
          <w:rFonts w:ascii="Arial" w:hAnsi="Arial" w:cs="Arial"/>
          <w:color w:val="070707"/>
          <w:lang w:val="es-ES"/>
        </w:rPr>
        <w:t xml:space="preserve">ausencia de otros medios </w:t>
      </w:r>
      <w:r w:rsidRPr="008D46B7">
        <w:rPr>
          <w:rFonts w:ascii="Arial" w:hAnsi="Arial" w:cs="Arial"/>
          <w:color w:val="212121"/>
          <w:lang w:val="es-ES"/>
        </w:rPr>
        <w:t>d</w:t>
      </w:r>
      <w:r w:rsidRPr="008D46B7">
        <w:rPr>
          <w:rFonts w:ascii="Arial" w:hAnsi="Arial" w:cs="Arial"/>
          <w:color w:val="070707"/>
          <w:lang w:val="es-ES"/>
        </w:rPr>
        <w:t>e defensa.</w:t>
      </w:r>
    </w:p>
    <w:p w14:paraId="2E41A7DE" w14:textId="77777777" w:rsidR="00921E3F" w:rsidRPr="008D46B7" w:rsidRDefault="00921E3F" w:rsidP="00921E3F">
      <w:pPr>
        <w:widowControl w:val="0"/>
        <w:autoSpaceDE w:val="0"/>
        <w:autoSpaceDN w:val="0"/>
        <w:adjustRightInd w:val="0"/>
        <w:ind w:left="708"/>
        <w:jc w:val="both"/>
        <w:rPr>
          <w:rFonts w:ascii="Arial" w:hAnsi="Arial" w:cs="Arial"/>
          <w:color w:val="070707"/>
          <w:lang w:val="es-ES"/>
        </w:rPr>
      </w:pPr>
      <w:r w:rsidRPr="008D46B7">
        <w:rPr>
          <w:rFonts w:ascii="Arial" w:hAnsi="Arial" w:cs="Arial"/>
          <w:color w:val="070707"/>
          <w:lang w:val="es-ES"/>
        </w:rPr>
        <w:t>Excepcionalmente se dispone que pod</w:t>
      </w:r>
      <w:r w:rsidRPr="008D46B7">
        <w:rPr>
          <w:rFonts w:ascii="Arial" w:hAnsi="Arial" w:cs="Arial"/>
          <w:color w:val="212121"/>
          <w:lang w:val="es-ES"/>
        </w:rPr>
        <w:t>r</w:t>
      </w:r>
      <w:r w:rsidRPr="008D46B7">
        <w:rPr>
          <w:rFonts w:ascii="Arial" w:hAnsi="Arial" w:cs="Arial"/>
          <w:color w:val="070707"/>
          <w:lang w:val="es-ES"/>
        </w:rPr>
        <w:t xml:space="preserve">ía </w:t>
      </w:r>
      <w:r w:rsidRPr="008D46B7">
        <w:rPr>
          <w:rFonts w:ascii="Arial" w:hAnsi="Arial" w:cs="Arial"/>
          <w:color w:val="212121"/>
          <w:lang w:val="es-ES"/>
        </w:rPr>
        <w:t>u</w:t>
      </w:r>
      <w:r w:rsidRPr="008D46B7">
        <w:rPr>
          <w:rFonts w:ascii="Arial" w:hAnsi="Arial" w:cs="Arial"/>
          <w:color w:val="070707"/>
          <w:lang w:val="es-ES"/>
        </w:rPr>
        <w:t>tilizarse como mecanismo transitorio</w:t>
      </w:r>
      <w:r w:rsidRPr="008D46B7">
        <w:rPr>
          <w:rFonts w:ascii="Arial" w:hAnsi="Arial" w:cs="Arial"/>
          <w:color w:val="212121"/>
          <w:lang w:val="es-ES"/>
        </w:rPr>
        <w:t xml:space="preserve">, </w:t>
      </w:r>
      <w:r w:rsidRPr="008D46B7">
        <w:rPr>
          <w:rFonts w:ascii="Arial" w:hAnsi="Arial" w:cs="Arial"/>
          <w:color w:val="070707"/>
          <w:lang w:val="es-ES"/>
        </w:rPr>
        <w:t>par</w:t>
      </w:r>
      <w:r w:rsidRPr="008D46B7">
        <w:rPr>
          <w:rFonts w:ascii="Arial" w:hAnsi="Arial" w:cs="Arial"/>
          <w:color w:val="212121"/>
          <w:lang w:val="es-ES"/>
        </w:rPr>
        <w:t xml:space="preserve">a </w:t>
      </w:r>
      <w:r w:rsidRPr="008D46B7">
        <w:rPr>
          <w:rFonts w:ascii="Arial" w:hAnsi="Arial" w:cs="Arial"/>
          <w:color w:val="070707"/>
          <w:lang w:val="es-ES"/>
        </w:rPr>
        <w:t xml:space="preserve">evitar </w:t>
      </w:r>
      <w:r w:rsidRPr="008D46B7">
        <w:rPr>
          <w:rFonts w:ascii="Arial" w:hAnsi="Arial" w:cs="Arial"/>
          <w:color w:val="212121"/>
          <w:lang w:val="es-ES"/>
        </w:rPr>
        <w:t xml:space="preserve">un </w:t>
      </w:r>
      <w:r w:rsidRPr="008D46B7">
        <w:rPr>
          <w:rFonts w:ascii="Arial" w:hAnsi="Arial" w:cs="Arial"/>
          <w:color w:val="070707"/>
          <w:lang w:val="es-ES"/>
        </w:rPr>
        <w:t>dañ</w:t>
      </w:r>
      <w:r w:rsidRPr="008D46B7">
        <w:rPr>
          <w:rFonts w:ascii="Arial" w:hAnsi="Arial" w:cs="Arial"/>
          <w:color w:val="212121"/>
          <w:lang w:val="es-ES"/>
        </w:rPr>
        <w:t>o i</w:t>
      </w:r>
      <w:r w:rsidRPr="008D46B7">
        <w:rPr>
          <w:rFonts w:ascii="Arial" w:hAnsi="Arial" w:cs="Arial"/>
          <w:color w:val="070707"/>
          <w:lang w:val="es-ES"/>
        </w:rPr>
        <w:t>rremediab</w:t>
      </w:r>
      <w:r w:rsidRPr="008D46B7">
        <w:rPr>
          <w:rFonts w:ascii="Arial" w:hAnsi="Arial" w:cs="Arial"/>
          <w:color w:val="212121"/>
          <w:lang w:val="es-ES"/>
        </w:rPr>
        <w:t xml:space="preserve">le </w:t>
      </w:r>
      <w:r w:rsidRPr="008D46B7">
        <w:rPr>
          <w:rFonts w:ascii="Arial" w:hAnsi="Arial" w:cs="Arial"/>
          <w:color w:val="070707"/>
          <w:lang w:val="es-ES"/>
        </w:rPr>
        <w:t>mientra</w:t>
      </w:r>
      <w:r w:rsidRPr="008D46B7">
        <w:rPr>
          <w:rFonts w:ascii="Arial" w:hAnsi="Arial" w:cs="Arial"/>
          <w:color w:val="212121"/>
          <w:lang w:val="es-ES"/>
        </w:rPr>
        <w:t xml:space="preserve">s </w:t>
      </w:r>
      <w:r w:rsidRPr="008D46B7">
        <w:rPr>
          <w:rFonts w:ascii="Arial" w:hAnsi="Arial" w:cs="Arial"/>
          <w:color w:val="070707"/>
          <w:lang w:val="es-ES"/>
        </w:rPr>
        <w:t xml:space="preserve">puede acudirse a </w:t>
      </w:r>
      <w:r w:rsidRPr="008D46B7">
        <w:rPr>
          <w:rFonts w:ascii="Arial" w:hAnsi="Arial" w:cs="Arial"/>
          <w:color w:val="212121"/>
          <w:lang w:val="es-ES"/>
        </w:rPr>
        <w:t xml:space="preserve">los </w:t>
      </w:r>
      <w:r w:rsidRPr="008D46B7">
        <w:rPr>
          <w:rFonts w:ascii="Arial" w:hAnsi="Arial" w:cs="Arial"/>
          <w:color w:val="070707"/>
          <w:lang w:val="es-ES"/>
        </w:rPr>
        <w:t xml:space="preserve">recursos </w:t>
      </w:r>
      <w:r w:rsidRPr="008D46B7">
        <w:rPr>
          <w:rFonts w:ascii="Arial" w:hAnsi="Arial" w:cs="Arial"/>
          <w:color w:val="212121"/>
          <w:lang w:val="es-ES"/>
        </w:rPr>
        <w:t xml:space="preserve">y </w:t>
      </w:r>
      <w:r w:rsidRPr="008D46B7">
        <w:rPr>
          <w:rFonts w:ascii="Arial" w:hAnsi="Arial" w:cs="Arial"/>
          <w:color w:val="070707"/>
          <w:lang w:val="es-ES"/>
        </w:rPr>
        <w:t>acciones ordinarios.</w:t>
      </w:r>
    </w:p>
    <w:p w14:paraId="27D1BC74" w14:textId="77777777" w:rsidR="00921E3F" w:rsidRPr="008D46B7" w:rsidRDefault="00921E3F" w:rsidP="00921E3F">
      <w:pPr>
        <w:widowControl w:val="0"/>
        <w:autoSpaceDE w:val="0"/>
        <w:autoSpaceDN w:val="0"/>
        <w:adjustRightInd w:val="0"/>
        <w:ind w:left="708"/>
        <w:jc w:val="both"/>
        <w:rPr>
          <w:rFonts w:ascii="Arial" w:hAnsi="Arial" w:cs="Arial"/>
          <w:color w:val="070707"/>
          <w:lang w:val="es-ES"/>
        </w:rPr>
      </w:pPr>
      <w:r w:rsidRPr="008D46B7">
        <w:rPr>
          <w:rFonts w:ascii="Arial" w:hAnsi="Arial" w:cs="Arial"/>
          <w:color w:val="070707"/>
          <w:lang w:val="es-ES"/>
        </w:rPr>
        <w:t>2. Se di</w:t>
      </w:r>
      <w:r w:rsidRPr="008D46B7">
        <w:rPr>
          <w:rFonts w:ascii="Arial" w:hAnsi="Arial" w:cs="Arial"/>
          <w:color w:val="212121"/>
          <w:lang w:val="es-ES"/>
        </w:rPr>
        <w:t>r</w:t>
      </w:r>
      <w:r w:rsidRPr="008D46B7">
        <w:rPr>
          <w:rFonts w:ascii="Arial" w:hAnsi="Arial" w:cs="Arial"/>
          <w:color w:val="070707"/>
          <w:lang w:val="es-ES"/>
        </w:rPr>
        <w:t>ige contra actos u omisiones concretos que producen una perturbación actual o inminente del derecho: contra actuaciones de carácter genera</w:t>
      </w:r>
      <w:r w:rsidRPr="008D46B7">
        <w:rPr>
          <w:rFonts w:ascii="Arial" w:hAnsi="Arial" w:cs="Arial"/>
          <w:color w:val="212121"/>
          <w:lang w:val="es-ES"/>
        </w:rPr>
        <w:t xml:space="preserve">l </w:t>
      </w:r>
      <w:r w:rsidRPr="008D46B7">
        <w:rPr>
          <w:rFonts w:ascii="Arial" w:hAnsi="Arial" w:cs="Arial"/>
          <w:color w:val="070707"/>
          <w:lang w:val="es-ES"/>
        </w:rPr>
        <w:t>caben las acciones de ilegalidad e inconstitucionalidad, o el recurso a la vía exceptiva.</w:t>
      </w:r>
    </w:p>
    <w:p w14:paraId="34376896" w14:textId="77777777" w:rsidR="00921E3F" w:rsidRPr="008D46B7" w:rsidRDefault="00921E3F" w:rsidP="00921E3F">
      <w:pPr>
        <w:widowControl w:val="0"/>
        <w:autoSpaceDE w:val="0"/>
        <w:autoSpaceDN w:val="0"/>
        <w:adjustRightInd w:val="0"/>
        <w:ind w:firstLine="708"/>
        <w:jc w:val="both"/>
        <w:rPr>
          <w:rFonts w:ascii="Arial" w:hAnsi="Arial" w:cs="Arial"/>
          <w:color w:val="070707"/>
          <w:lang w:val="es-ES"/>
        </w:rPr>
      </w:pPr>
      <w:r w:rsidRPr="008D46B7">
        <w:rPr>
          <w:rFonts w:ascii="Arial" w:hAnsi="Arial" w:cs="Arial"/>
          <w:color w:val="070707"/>
          <w:lang w:val="es-ES"/>
        </w:rPr>
        <w:t>3. El procedimiento debe ser preferencial, breve y sumario.</w:t>
      </w:r>
    </w:p>
    <w:p w14:paraId="4CB4100B" w14:textId="77777777" w:rsidR="00921E3F" w:rsidRPr="008D46B7" w:rsidRDefault="00921E3F" w:rsidP="00921E3F">
      <w:pPr>
        <w:widowControl w:val="0"/>
        <w:autoSpaceDE w:val="0"/>
        <w:autoSpaceDN w:val="0"/>
        <w:adjustRightInd w:val="0"/>
        <w:ind w:left="708"/>
        <w:jc w:val="both"/>
        <w:rPr>
          <w:rFonts w:ascii="Arial" w:hAnsi="Arial" w:cs="Arial"/>
          <w:color w:val="070707"/>
          <w:lang w:val="es-ES"/>
        </w:rPr>
      </w:pPr>
      <w:r w:rsidRPr="008D46B7">
        <w:rPr>
          <w:rFonts w:ascii="Arial" w:hAnsi="Arial" w:cs="Arial"/>
          <w:color w:val="070707"/>
          <w:lang w:val="es-ES"/>
        </w:rPr>
        <w:t>4. E</w:t>
      </w:r>
      <w:r w:rsidRPr="008D46B7">
        <w:rPr>
          <w:rFonts w:ascii="Arial" w:hAnsi="Arial" w:cs="Arial"/>
          <w:color w:val="212121"/>
          <w:lang w:val="es-ES"/>
        </w:rPr>
        <w:t xml:space="preserve">l </w:t>
      </w:r>
      <w:r w:rsidRPr="008D46B7">
        <w:rPr>
          <w:rFonts w:ascii="Arial" w:hAnsi="Arial" w:cs="Arial"/>
          <w:color w:val="070707"/>
          <w:lang w:val="es-ES"/>
        </w:rPr>
        <w:t>juez debe tener la potestad para otorgar una efectiva protección de</w:t>
      </w:r>
      <w:r w:rsidRPr="008D46B7">
        <w:rPr>
          <w:rFonts w:ascii="Arial" w:hAnsi="Arial" w:cs="Arial"/>
          <w:color w:val="212121"/>
          <w:lang w:val="es-ES"/>
        </w:rPr>
        <w:t xml:space="preserve">l </w:t>
      </w:r>
      <w:r w:rsidRPr="008D46B7">
        <w:rPr>
          <w:rFonts w:ascii="Arial" w:hAnsi="Arial" w:cs="Arial"/>
          <w:color w:val="070707"/>
          <w:lang w:val="es-ES"/>
        </w:rPr>
        <w:t>derecho, mediante órdenes para que aquél frente a quien se solicita la tutela sea constreñido a actuar o a abstenerse de hacerlo.</w:t>
      </w:r>
    </w:p>
    <w:p w14:paraId="32D84FC3" w14:textId="77777777" w:rsidR="00921E3F" w:rsidRPr="008D46B7" w:rsidRDefault="00921E3F" w:rsidP="00921E3F">
      <w:pPr>
        <w:widowControl w:val="0"/>
        <w:autoSpaceDE w:val="0"/>
        <w:autoSpaceDN w:val="0"/>
        <w:adjustRightInd w:val="0"/>
        <w:ind w:left="708"/>
        <w:jc w:val="both"/>
        <w:rPr>
          <w:rFonts w:ascii="Arial" w:hAnsi="Arial" w:cs="Arial"/>
          <w:color w:val="070707"/>
          <w:lang w:val="es-ES"/>
        </w:rPr>
      </w:pPr>
    </w:p>
    <w:p w14:paraId="2F78B68B" w14:textId="77777777" w:rsidR="00921E3F" w:rsidRPr="008D46B7" w:rsidRDefault="00921E3F" w:rsidP="00921E3F">
      <w:pPr>
        <w:widowControl w:val="0"/>
        <w:autoSpaceDE w:val="0"/>
        <w:autoSpaceDN w:val="0"/>
        <w:adjustRightInd w:val="0"/>
        <w:ind w:left="708"/>
        <w:jc w:val="both"/>
        <w:rPr>
          <w:rFonts w:ascii="Arial" w:hAnsi="Arial" w:cs="Arial"/>
          <w:color w:val="070707"/>
          <w:lang w:val="es-ES"/>
        </w:rPr>
      </w:pPr>
      <w:r w:rsidRPr="008D46B7">
        <w:rPr>
          <w:rFonts w:ascii="Arial" w:hAnsi="Arial" w:cs="Arial"/>
          <w:color w:val="070707"/>
          <w:lang w:val="es-ES"/>
        </w:rPr>
        <w:t>5. No procede contra las situaciones consumadas e irreversibles: tales casos es evidente que ya no es posible la protección inmediata del derecho, y el agraviado tiene la posibilidad de acudir a las acciones de reparación ordinarias” (subrayado por fuera del texto)</w:t>
      </w:r>
      <w:r w:rsidRPr="008D46B7">
        <w:rPr>
          <w:rStyle w:val="Refdenotaalpie"/>
          <w:rFonts w:ascii="Arial" w:hAnsi="Arial" w:cs="Arial"/>
          <w:color w:val="070707"/>
          <w:lang w:val="es-ES"/>
        </w:rPr>
        <w:footnoteReference w:id="2"/>
      </w:r>
      <w:r w:rsidRPr="008D46B7">
        <w:rPr>
          <w:rFonts w:ascii="Arial" w:hAnsi="Arial" w:cs="Arial"/>
          <w:color w:val="070707"/>
          <w:lang w:val="es-ES"/>
        </w:rPr>
        <w:t>.</w:t>
      </w:r>
    </w:p>
    <w:p w14:paraId="44FFD002" w14:textId="77777777" w:rsidR="00921E3F" w:rsidRPr="008D46B7" w:rsidRDefault="00921E3F" w:rsidP="00921E3F">
      <w:pPr>
        <w:jc w:val="both"/>
        <w:rPr>
          <w:rFonts w:ascii="Arial" w:hAnsi="Arial" w:cs="Arial"/>
        </w:rPr>
      </w:pPr>
    </w:p>
    <w:p w14:paraId="24DBAA94" w14:textId="77777777" w:rsidR="00921E3F" w:rsidRPr="008D46B7" w:rsidRDefault="00921E3F" w:rsidP="00921E3F">
      <w:pPr>
        <w:jc w:val="both"/>
        <w:rPr>
          <w:rFonts w:ascii="Arial" w:hAnsi="Arial" w:cs="Arial"/>
        </w:rPr>
      </w:pPr>
      <w:r w:rsidRPr="008D46B7">
        <w:rPr>
          <w:rFonts w:ascii="Arial" w:hAnsi="Arial" w:cs="Arial"/>
        </w:rPr>
        <w:t>Las citas precedentes permiten observar que, desde su origen, la acción de tutela fue pensada como una de las herramientas de todo el sistema instituido para asegurar la efectividad de los derechos fundamentales. Al respecto, Esguerra fue muy claro en su ponencia, al señalar que la acción de tutela: (i) era complementaria al sistema vigente de legalidad y constitucionalidad, y (ii) su característica principal (nótese que fue la primera característica descrita por el constituyente en la ponencia) es la de ser una acción subsidiaria y de naturaleza residual.</w:t>
      </w:r>
    </w:p>
    <w:p w14:paraId="1A2BBF0B" w14:textId="77777777" w:rsidR="00921E3F" w:rsidRPr="008D46B7" w:rsidRDefault="00921E3F" w:rsidP="00921E3F">
      <w:pPr>
        <w:jc w:val="both"/>
        <w:rPr>
          <w:rFonts w:ascii="Arial" w:hAnsi="Arial" w:cs="Arial"/>
        </w:rPr>
      </w:pPr>
    </w:p>
    <w:p w14:paraId="1B4CC338" w14:textId="77777777" w:rsidR="00921E3F" w:rsidRPr="008D46B7" w:rsidRDefault="00921E3F" w:rsidP="00921E3F">
      <w:pPr>
        <w:pStyle w:val="Prrafodelista"/>
        <w:numPr>
          <w:ilvl w:val="1"/>
          <w:numId w:val="8"/>
        </w:numPr>
        <w:jc w:val="both"/>
        <w:rPr>
          <w:rFonts w:ascii="Arial" w:hAnsi="Arial" w:cs="Arial"/>
        </w:rPr>
      </w:pPr>
      <w:r w:rsidRPr="008D46B7">
        <w:rPr>
          <w:rFonts w:ascii="Arial" w:hAnsi="Arial" w:cs="Arial"/>
        </w:rPr>
        <w:t>La desnaturalización de la acción de tutela en Colombia</w:t>
      </w:r>
    </w:p>
    <w:p w14:paraId="6AE9F3FD" w14:textId="77777777" w:rsidR="00921E3F" w:rsidRPr="008D46B7" w:rsidRDefault="00921E3F" w:rsidP="00921E3F">
      <w:pPr>
        <w:pStyle w:val="Prrafodelista"/>
        <w:ind w:left="1224"/>
        <w:jc w:val="both"/>
        <w:rPr>
          <w:rFonts w:ascii="Arial" w:hAnsi="Arial" w:cs="Arial"/>
        </w:rPr>
      </w:pPr>
    </w:p>
    <w:p w14:paraId="2C42170A" w14:textId="77777777" w:rsidR="00921E3F" w:rsidRPr="008D46B7" w:rsidRDefault="00921E3F" w:rsidP="00921E3F">
      <w:pPr>
        <w:jc w:val="both"/>
        <w:rPr>
          <w:rFonts w:ascii="Arial" w:hAnsi="Arial" w:cs="Arial"/>
        </w:rPr>
      </w:pPr>
      <w:r w:rsidRPr="008D46B7">
        <w:rPr>
          <w:rFonts w:ascii="Arial" w:hAnsi="Arial" w:cs="Arial"/>
        </w:rPr>
        <w:t>La implementación del modelo de la acción de tutela, sin lugar a dudas, generó un cambio sustancial tanto en el sistema judicial colombiano, como en la protección de derechos fundamentales de los ciudadanos. Así lo reconoce el Informe de la Defensoría del Pueblo sobre el tema, publicado en 2017:</w:t>
      </w:r>
    </w:p>
    <w:p w14:paraId="7E7AA449" w14:textId="77777777" w:rsidR="00921E3F" w:rsidRPr="008D46B7" w:rsidRDefault="00921E3F" w:rsidP="00921E3F">
      <w:pPr>
        <w:jc w:val="both"/>
        <w:rPr>
          <w:rFonts w:ascii="Arial" w:hAnsi="Arial" w:cs="Arial"/>
        </w:rPr>
      </w:pPr>
    </w:p>
    <w:p w14:paraId="41FD7390" w14:textId="77777777" w:rsidR="00921E3F" w:rsidRPr="008D46B7" w:rsidRDefault="00921E3F" w:rsidP="00921E3F">
      <w:pPr>
        <w:ind w:left="708"/>
        <w:jc w:val="both"/>
        <w:rPr>
          <w:rFonts w:ascii="Arial" w:hAnsi="Arial" w:cs="Arial"/>
        </w:rPr>
      </w:pPr>
      <w:r w:rsidRPr="008D46B7">
        <w:rPr>
          <w:rFonts w:ascii="Arial" w:hAnsi="Arial" w:cs="Arial"/>
        </w:rPr>
        <w:lastRenderedPageBreak/>
        <w:t xml:space="preserve">“La apropiación de los ciudadanos de esta acción y el hecho de que la jurisprudencia de la HCC sea liberal e idealista, ha generado la modernización del Estado colombiano. Tal como lo ha dicho el Exmagistrado de la Corte, Dr. Manuel José Cepeda </w:t>
      </w:r>
      <w:r w:rsidRPr="008D46B7">
        <w:rPr>
          <w:rFonts w:ascii="Arial" w:hAnsi="Arial" w:cs="Arial"/>
          <w:i/>
        </w:rPr>
        <w:t>“la tutela se convirtió en un puente entre la realidad y la Constitución que va más allá de un mecanismo jurídico, para convertirse en una fuente material de goce efectivo de derechos”</w:t>
      </w:r>
    </w:p>
    <w:p w14:paraId="33473CA5" w14:textId="77777777" w:rsidR="00921E3F" w:rsidRPr="008D46B7" w:rsidRDefault="00921E3F" w:rsidP="00921E3F">
      <w:pPr>
        <w:jc w:val="both"/>
        <w:rPr>
          <w:rFonts w:ascii="Arial" w:hAnsi="Arial" w:cs="Arial"/>
        </w:rPr>
      </w:pPr>
    </w:p>
    <w:p w14:paraId="4EEE5DE8" w14:textId="77777777" w:rsidR="00921E3F" w:rsidRPr="008D46B7" w:rsidRDefault="00921E3F" w:rsidP="00921E3F">
      <w:pPr>
        <w:ind w:left="708"/>
        <w:jc w:val="both"/>
        <w:rPr>
          <w:rFonts w:ascii="Arial" w:hAnsi="Arial" w:cs="Arial"/>
        </w:rPr>
      </w:pPr>
      <w:r w:rsidRPr="008D46B7">
        <w:rPr>
          <w:rFonts w:ascii="Arial" w:hAnsi="Arial" w:cs="Arial"/>
        </w:rPr>
        <w:t>Todo esto permite que los ciudadanos entiendan sobre las bondades de este instrumento, apoderándose de tal forma que hoy en día es la acción preferida, con un crecimiento, desde su inicio del 5.650 por ciento”</w:t>
      </w:r>
      <w:r w:rsidRPr="008D46B7">
        <w:rPr>
          <w:rStyle w:val="Refdenotaalpie"/>
          <w:rFonts w:ascii="Arial" w:hAnsi="Arial" w:cs="Arial"/>
        </w:rPr>
        <w:t xml:space="preserve"> </w:t>
      </w:r>
      <w:r w:rsidRPr="008D46B7">
        <w:rPr>
          <w:rStyle w:val="Refdenotaalpie"/>
          <w:rFonts w:ascii="Arial" w:hAnsi="Arial" w:cs="Arial"/>
        </w:rPr>
        <w:footnoteReference w:id="3"/>
      </w:r>
      <w:r w:rsidRPr="008D46B7">
        <w:rPr>
          <w:rFonts w:ascii="Arial" w:hAnsi="Arial" w:cs="Arial"/>
        </w:rPr>
        <w:t>.</w:t>
      </w:r>
    </w:p>
    <w:p w14:paraId="29957090" w14:textId="77777777" w:rsidR="00921E3F" w:rsidRPr="008D46B7" w:rsidRDefault="00921E3F" w:rsidP="00921E3F">
      <w:pPr>
        <w:ind w:left="708"/>
        <w:jc w:val="both"/>
        <w:rPr>
          <w:rFonts w:ascii="Arial" w:hAnsi="Arial" w:cs="Arial"/>
        </w:rPr>
      </w:pPr>
    </w:p>
    <w:p w14:paraId="650C11A3" w14:textId="77777777" w:rsidR="00921E3F" w:rsidRPr="008D46B7" w:rsidRDefault="00921E3F" w:rsidP="00921E3F">
      <w:pPr>
        <w:jc w:val="both"/>
        <w:rPr>
          <w:rFonts w:ascii="Arial" w:hAnsi="Arial" w:cs="Arial"/>
        </w:rPr>
      </w:pPr>
      <w:r w:rsidRPr="008D46B7">
        <w:rPr>
          <w:rFonts w:ascii="Arial" w:hAnsi="Arial" w:cs="Arial"/>
        </w:rPr>
        <w:t xml:space="preserve">Con el paso del tiempo, el número de acciones se fue incrementando escandalosamente, hasta el punto de erosionar la eficacia del sistema judicial en las áreas ordinarias. Esto teniendo en cuenta que en Colombia todos los jueces son competentes para resolver tutelas y, por tratarse de una garantía para la protección de derechos fundamentales, disponen de un corto término para decidir. Así las cosas, los jueces se han visto desbordados con el número de procesos que tutela que reciben, lo que les impide adelantar a tiempo los procesos comunes a su cargo. </w:t>
      </w:r>
    </w:p>
    <w:p w14:paraId="1B0D8571" w14:textId="77777777" w:rsidR="00921E3F" w:rsidRPr="008D46B7" w:rsidRDefault="00921E3F" w:rsidP="00921E3F">
      <w:pPr>
        <w:jc w:val="both"/>
        <w:rPr>
          <w:rFonts w:ascii="Arial" w:hAnsi="Arial" w:cs="Arial"/>
        </w:rPr>
      </w:pPr>
    </w:p>
    <w:p w14:paraId="70C4F0C0" w14:textId="77777777" w:rsidR="00921E3F" w:rsidRPr="008D46B7" w:rsidRDefault="00921E3F" w:rsidP="00921E3F">
      <w:pPr>
        <w:jc w:val="both"/>
        <w:rPr>
          <w:rFonts w:ascii="Arial" w:hAnsi="Arial" w:cs="Arial"/>
        </w:rPr>
      </w:pPr>
      <w:r w:rsidRPr="008D46B7">
        <w:rPr>
          <w:rFonts w:ascii="Arial" w:hAnsi="Arial" w:cs="Arial"/>
        </w:rPr>
        <w:t xml:space="preserve">Las cifras son verdaderamente alarmantes. Según un reciente informe del Consejo Superior de la Judicatura para el Congreso de la República de 2018, </w:t>
      </w:r>
      <w:r w:rsidRPr="008D46B7">
        <w:rPr>
          <w:rFonts w:ascii="Arial" w:hAnsi="Arial" w:cs="Arial"/>
          <w:i/>
        </w:rPr>
        <w:t>“en el año 2018, se presentaron 757.983 acciones de tutela en el país, volumen 18 veces mayor al ingreso de tutelas que en 1997 fue de 42.452 acciones”</w:t>
      </w:r>
      <w:r w:rsidRPr="008D46B7">
        <w:rPr>
          <w:rStyle w:val="Refdenotaalpie"/>
          <w:rFonts w:ascii="Arial" w:hAnsi="Arial" w:cs="Arial"/>
          <w:i/>
        </w:rPr>
        <w:footnoteReference w:id="4"/>
      </w:r>
      <w:r w:rsidRPr="008D46B7">
        <w:rPr>
          <w:rFonts w:ascii="Arial" w:hAnsi="Arial" w:cs="Arial"/>
        </w:rPr>
        <w:t xml:space="preserve">. </w:t>
      </w:r>
    </w:p>
    <w:p w14:paraId="4E54F880" w14:textId="77777777" w:rsidR="00921E3F" w:rsidRPr="008D46B7" w:rsidRDefault="00921E3F" w:rsidP="00921E3F">
      <w:pPr>
        <w:jc w:val="both"/>
        <w:rPr>
          <w:rFonts w:ascii="Arial" w:hAnsi="Arial" w:cs="Arial"/>
        </w:rPr>
      </w:pPr>
    </w:p>
    <w:p w14:paraId="2CCE1EFE" w14:textId="77777777" w:rsidR="00921E3F" w:rsidRPr="008D46B7" w:rsidRDefault="00921E3F" w:rsidP="00921E3F">
      <w:pPr>
        <w:jc w:val="both"/>
        <w:rPr>
          <w:rFonts w:ascii="Arial" w:hAnsi="Arial" w:cs="Arial"/>
        </w:rPr>
      </w:pPr>
      <w:r w:rsidRPr="008D46B7">
        <w:rPr>
          <w:rFonts w:ascii="Arial" w:hAnsi="Arial" w:cs="Arial"/>
        </w:rPr>
        <w:t>Por su parte, de acuerdo con los dos últimos informes que ha presentado la Defensoría del Pueblo en materia de salud. Se afirma en el último informe que para 2018 se registraron 607.308 acciones por presuntas violaciones a un derecho fundamental, es decir que cada 52 segundos se interpuso una acción de tutela en Colombia</w:t>
      </w:r>
      <w:r w:rsidRPr="008D46B7">
        <w:rPr>
          <w:rStyle w:val="Refdenotaalpie"/>
          <w:rFonts w:ascii="Arial" w:hAnsi="Arial" w:cs="Arial"/>
        </w:rPr>
        <w:footnoteReference w:id="5"/>
      </w:r>
      <w:r w:rsidRPr="008D46B7">
        <w:rPr>
          <w:rFonts w:ascii="Arial" w:hAnsi="Arial" w:cs="Arial"/>
        </w:rPr>
        <w:t>. Las cifras presentadas en este último informe son muy similares al del anterior, según el cual:</w:t>
      </w:r>
    </w:p>
    <w:p w14:paraId="7A87BD9A" w14:textId="77777777" w:rsidR="00921E3F" w:rsidRPr="008D46B7" w:rsidRDefault="00921E3F" w:rsidP="00921E3F">
      <w:pPr>
        <w:jc w:val="both"/>
        <w:rPr>
          <w:rFonts w:ascii="Arial" w:hAnsi="Arial" w:cs="Arial"/>
        </w:rPr>
      </w:pPr>
    </w:p>
    <w:p w14:paraId="4481BA27" w14:textId="77777777" w:rsidR="00921E3F" w:rsidRPr="008D46B7" w:rsidRDefault="00921E3F" w:rsidP="00921E3F">
      <w:pPr>
        <w:ind w:left="708"/>
        <w:jc w:val="both"/>
        <w:rPr>
          <w:rFonts w:ascii="Arial" w:hAnsi="Arial" w:cs="Arial"/>
        </w:rPr>
      </w:pPr>
      <w:r w:rsidRPr="008D46B7">
        <w:rPr>
          <w:rFonts w:ascii="Arial" w:hAnsi="Arial" w:cs="Arial"/>
        </w:rPr>
        <w:t xml:space="preserve">“La interposición de tutelas en Colombia, continúa su ritmo creciente, alcanzando la cifra de 617.071 acciones en el último año [2016], emitidas en todos los juzgados del territorio nacional, </w:t>
      </w:r>
      <w:r w:rsidRPr="008D46B7">
        <w:rPr>
          <w:rFonts w:ascii="Arial" w:hAnsi="Arial" w:cs="Arial"/>
          <w:u w:val="single"/>
        </w:rPr>
        <w:t xml:space="preserve">lo que indica que cada 51 segundos, un ciudadano interpone una tutela por la presunta vulneración de un derecho fundamental; sin embargo, si solo se toman los 254 días hábiles laborales por 8 horas diarias se concluiría que cada 12 segundos se interpone una </w:t>
      </w:r>
      <w:r w:rsidRPr="008D46B7">
        <w:rPr>
          <w:rFonts w:ascii="Arial" w:hAnsi="Arial" w:cs="Arial"/>
          <w:u w:val="single"/>
        </w:rPr>
        <w:lastRenderedPageBreak/>
        <w:t>acción</w:t>
      </w:r>
      <w:r w:rsidRPr="008D46B7">
        <w:rPr>
          <w:rFonts w:ascii="Arial" w:hAnsi="Arial" w:cs="Arial"/>
        </w:rPr>
        <w:t>. Este crecimiento es más evidente cuando se calcula el indicador de número de tutelas por cada 10.000 habitantes, el cual en 2016 se ubicó en 127 acciones, cifra similar a la de 2015” (subrayado por fuera del texto)</w:t>
      </w:r>
      <w:r w:rsidRPr="008D46B7">
        <w:rPr>
          <w:rStyle w:val="Refdenotaalpie"/>
          <w:rFonts w:ascii="Arial" w:hAnsi="Arial" w:cs="Arial"/>
        </w:rPr>
        <w:t xml:space="preserve"> </w:t>
      </w:r>
      <w:r w:rsidRPr="008D46B7">
        <w:rPr>
          <w:rStyle w:val="Refdenotaalpie"/>
          <w:rFonts w:ascii="Arial" w:hAnsi="Arial" w:cs="Arial"/>
        </w:rPr>
        <w:footnoteReference w:id="6"/>
      </w:r>
      <w:r w:rsidRPr="008D46B7">
        <w:rPr>
          <w:rFonts w:ascii="Arial" w:hAnsi="Arial" w:cs="Arial"/>
        </w:rPr>
        <w:t>.</w:t>
      </w:r>
    </w:p>
    <w:p w14:paraId="3FCF31BA" w14:textId="77777777" w:rsidR="00921E3F" w:rsidRPr="008D46B7" w:rsidRDefault="00921E3F" w:rsidP="00921E3F">
      <w:pPr>
        <w:jc w:val="both"/>
        <w:rPr>
          <w:rFonts w:ascii="Arial" w:hAnsi="Arial" w:cs="Arial"/>
        </w:rPr>
      </w:pPr>
    </w:p>
    <w:p w14:paraId="0AB371F5" w14:textId="77777777" w:rsidR="00921E3F" w:rsidRPr="008D46B7" w:rsidRDefault="00921E3F" w:rsidP="00921E3F">
      <w:pPr>
        <w:jc w:val="both"/>
        <w:rPr>
          <w:rFonts w:ascii="Arial" w:hAnsi="Arial" w:cs="Arial"/>
        </w:rPr>
      </w:pPr>
      <w:r w:rsidRPr="008D46B7">
        <w:rPr>
          <w:rFonts w:ascii="Arial" w:hAnsi="Arial" w:cs="Arial"/>
        </w:rPr>
        <w:t>A su vez, para finales de septiembre de 2018, la Unidad de Tutela de la Corte Constitucional advirtió que había radicado la tutela número siete millones. Esta avalancha de tutelas que se ha presentado en en país desde su existencia, se ha visto reflejada en la labor de la Corte Constitucional. Esto teniendo en cuenta que, de conformidad con lo dispuesto en el artículo 86 de la Constitución Política, a la Corte Constitucional llegan todos los fallos de tutela que se profieren en el país, la cual selecciona y revisa discrecionalmente aquellos que considera que debe estudiar.</w:t>
      </w:r>
    </w:p>
    <w:p w14:paraId="21277F20" w14:textId="77777777" w:rsidR="00921E3F" w:rsidRPr="008D46B7" w:rsidRDefault="00921E3F" w:rsidP="00921E3F">
      <w:pPr>
        <w:jc w:val="both"/>
        <w:rPr>
          <w:rFonts w:ascii="Arial" w:hAnsi="Arial" w:cs="Arial"/>
        </w:rPr>
      </w:pPr>
    </w:p>
    <w:p w14:paraId="0344AE2B" w14:textId="77777777" w:rsidR="00921E3F" w:rsidRPr="008D46B7" w:rsidRDefault="00921E3F" w:rsidP="00921E3F">
      <w:pPr>
        <w:jc w:val="center"/>
        <w:rPr>
          <w:rFonts w:ascii="Arial" w:hAnsi="Arial" w:cs="Arial"/>
        </w:rPr>
      </w:pPr>
      <w:r w:rsidRPr="008D46B7">
        <w:rPr>
          <w:rFonts w:ascii="Arial" w:hAnsi="Arial" w:cs="Arial"/>
          <w:noProof/>
          <w:lang w:eastAsia="es-CO"/>
        </w:rPr>
        <w:drawing>
          <wp:inline distT="0" distB="0" distL="0" distR="0" wp14:anchorId="16D68A0A" wp14:editId="3F7A6DE9">
            <wp:extent cx="4019550" cy="251563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476" t="27940" r="24629" b="14295"/>
                    <a:stretch/>
                  </pic:blipFill>
                  <pic:spPr bwMode="auto">
                    <a:xfrm>
                      <a:off x="0" y="0"/>
                      <a:ext cx="4023697" cy="2518232"/>
                    </a:xfrm>
                    <a:prstGeom prst="rect">
                      <a:avLst/>
                    </a:prstGeom>
                    <a:ln>
                      <a:noFill/>
                    </a:ln>
                    <a:extLst>
                      <a:ext uri="{53640926-AAD7-44D8-BBD7-CCE9431645EC}">
                        <a14:shadowObscured xmlns:a14="http://schemas.microsoft.com/office/drawing/2010/main"/>
                      </a:ext>
                    </a:extLst>
                  </pic:spPr>
                </pic:pic>
              </a:graphicData>
            </a:graphic>
          </wp:inline>
        </w:drawing>
      </w:r>
    </w:p>
    <w:p w14:paraId="7CDA5C4B" w14:textId="77777777" w:rsidR="00921E3F" w:rsidRPr="008D46B7" w:rsidRDefault="00921E3F" w:rsidP="00921E3F">
      <w:pPr>
        <w:jc w:val="center"/>
        <w:rPr>
          <w:rFonts w:ascii="Arial" w:hAnsi="Arial" w:cs="Arial"/>
        </w:rPr>
      </w:pPr>
      <w:r w:rsidRPr="008D46B7">
        <w:rPr>
          <w:rFonts w:ascii="Arial" w:hAnsi="Arial" w:cs="Arial"/>
        </w:rPr>
        <w:t>Fuente: BOLETÍN DE ESTADÍSTICAS DE LA CORTE CONSTITUCIONAL ENERO-MAYO DE 2019</w:t>
      </w:r>
    </w:p>
    <w:p w14:paraId="60139DAF" w14:textId="77777777" w:rsidR="00921E3F" w:rsidRPr="008D46B7" w:rsidRDefault="00921E3F" w:rsidP="00921E3F">
      <w:pPr>
        <w:jc w:val="both"/>
        <w:rPr>
          <w:rFonts w:ascii="Arial" w:hAnsi="Arial" w:cs="Arial"/>
        </w:rPr>
      </w:pPr>
    </w:p>
    <w:p w14:paraId="6B953DD4" w14:textId="77777777" w:rsidR="00921E3F" w:rsidRPr="008D46B7" w:rsidRDefault="00921E3F" w:rsidP="00921E3F">
      <w:pPr>
        <w:jc w:val="both"/>
        <w:rPr>
          <w:rFonts w:ascii="Arial" w:hAnsi="Arial" w:cs="Arial"/>
        </w:rPr>
      </w:pPr>
      <w:r w:rsidRPr="008D46B7">
        <w:rPr>
          <w:rFonts w:ascii="Arial" w:hAnsi="Arial" w:cs="Arial"/>
        </w:rPr>
        <w:t>Según las cifras de la Relatoría de la Corte Constitucional, desde la entrada en funcionamiento de la Corte en 1992, hasta el 28 de febrero de 2019 se habían radicado un total de 25.548 providencias en dicha dependencia de la Corte. De estas, el 75% (19.133) fueron sentencias dentro de procesos de tutela y el 25% (6.415) fueron fallos en el curso de procesos de control de constitucionalidad. Las cifras revelan que el número desbordado de procesos de tutela también está atestando a la Corte Constitucional</w:t>
      </w:r>
      <w:r w:rsidRPr="008D46B7">
        <w:rPr>
          <w:rStyle w:val="Refdenotaalpie"/>
          <w:rFonts w:ascii="Arial" w:hAnsi="Arial" w:cs="Arial"/>
        </w:rPr>
        <w:footnoteReference w:id="7"/>
      </w:r>
      <w:r w:rsidRPr="008D46B7">
        <w:rPr>
          <w:rFonts w:ascii="Arial" w:hAnsi="Arial" w:cs="Arial"/>
        </w:rPr>
        <w:t>.</w:t>
      </w:r>
    </w:p>
    <w:p w14:paraId="5771E680" w14:textId="77777777" w:rsidR="00921E3F" w:rsidRPr="008D46B7" w:rsidRDefault="00921E3F" w:rsidP="00921E3F">
      <w:pPr>
        <w:jc w:val="both"/>
        <w:rPr>
          <w:rFonts w:ascii="Arial" w:hAnsi="Arial" w:cs="Arial"/>
        </w:rPr>
      </w:pPr>
    </w:p>
    <w:p w14:paraId="47A49956" w14:textId="77777777" w:rsidR="00921E3F" w:rsidRPr="008D46B7" w:rsidRDefault="00921E3F" w:rsidP="00921E3F">
      <w:pPr>
        <w:jc w:val="both"/>
        <w:rPr>
          <w:rFonts w:ascii="Arial" w:hAnsi="Arial" w:cs="Arial"/>
          <w:b/>
        </w:rPr>
      </w:pPr>
      <w:r w:rsidRPr="008D46B7">
        <w:rPr>
          <w:rFonts w:ascii="Arial" w:hAnsi="Arial" w:cs="Arial"/>
        </w:rPr>
        <w:lastRenderedPageBreak/>
        <w:t>Ahora bien, las estadísticas sobre procesos de tutela, tanto del Consejo Superior de la Judicatura, la Corte Constitucional y la Defensoría del Pueblo, dejan en evidencia que un elevado porcentaje de los hechos denunciados exhiben el mismo patrón de conducta violatoria de derechos fundamentales, que en numerosas demandas el agente infractor es el mismo sujeto, y que el derecho fundamental ofendido también coincide en multitud de casos.</w:t>
      </w:r>
    </w:p>
    <w:p w14:paraId="109B541C" w14:textId="77777777" w:rsidR="00921E3F" w:rsidRPr="008D46B7" w:rsidRDefault="00921E3F" w:rsidP="00921E3F">
      <w:pPr>
        <w:jc w:val="both"/>
        <w:rPr>
          <w:rFonts w:ascii="Arial" w:hAnsi="Arial" w:cs="Arial"/>
        </w:rPr>
      </w:pPr>
    </w:p>
    <w:p w14:paraId="31F65DCF" w14:textId="77777777" w:rsidR="00921E3F" w:rsidRPr="008D46B7" w:rsidRDefault="00921E3F" w:rsidP="00921E3F">
      <w:pPr>
        <w:jc w:val="both"/>
        <w:rPr>
          <w:rFonts w:ascii="Arial" w:hAnsi="Arial" w:cs="Arial"/>
        </w:rPr>
      </w:pPr>
      <w:r w:rsidRPr="008D46B7">
        <w:rPr>
          <w:rFonts w:ascii="Arial" w:hAnsi="Arial" w:cs="Arial"/>
        </w:rPr>
        <w:t>Tales estadísticas obligan a concluir que en la práctica la tutela se ha convertido en un trámite necesario para acceder a servicios esenciales cuya prestación es responsabilidad de instituciones plenamente identificadas que suelen rehusar el cumplimiento de sus obligaciones frente al ciudadano hasta tanto se lo ordene en concreto un fallo de tutela. En otras palabras, la caprichosa renuencia de los obligados a la satisfacción de derechos fundamentales ha impuesto como requisito para el acceso a servicios esenciales el agotamiento de la acción de tutela.</w:t>
      </w:r>
    </w:p>
    <w:p w14:paraId="5379AB69" w14:textId="77777777" w:rsidR="00921E3F" w:rsidRPr="008D46B7" w:rsidRDefault="00921E3F" w:rsidP="00921E3F">
      <w:pPr>
        <w:jc w:val="both"/>
        <w:rPr>
          <w:rFonts w:ascii="Arial" w:hAnsi="Arial" w:cs="Arial"/>
        </w:rPr>
      </w:pPr>
    </w:p>
    <w:p w14:paraId="7DB1B37B" w14:textId="77777777" w:rsidR="00921E3F" w:rsidRPr="008D46B7" w:rsidRDefault="00921E3F" w:rsidP="00921E3F">
      <w:pPr>
        <w:jc w:val="both"/>
        <w:rPr>
          <w:rFonts w:ascii="Arial" w:eastAsiaTheme="minorEastAsia" w:hAnsi="Arial" w:cs="Arial"/>
          <w:color w:val="000000"/>
          <w:bdr w:val="none" w:sz="0" w:space="0" w:color="auto" w:frame="1"/>
          <w:lang w:val="es-ES_tradnl"/>
        </w:rPr>
      </w:pPr>
      <w:r w:rsidRPr="008D46B7">
        <w:rPr>
          <w:rFonts w:ascii="Arial" w:hAnsi="Arial" w:cs="Arial"/>
        </w:rPr>
        <w:t>Según datos del Informe del Consejo Superior de la Judicatura de 2018, tomados de la Oficina de Sistemas de la Corte Constitucional, l</w:t>
      </w:r>
      <w:r w:rsidRPr="008D46B7">
        <w:rPr>
          <w:rFonts w:ascii="Arial" w:eastAsiaTheme="minorEastAsia" w:hAnsi="Arial" w:cs="Arial"/>
          <w:color w:val="000000"/>
          <w:bdr w:val="none" w:sz="0" w:space="0" w:color="auto" w:frame="1"/>
          <w:lang w:val="es-ES_tradnl"/>
        </w:rPr>
        <w:t>as entidades contra las cuales se promovió la mayor cantidad de acciones de tutela durante el año 2018 fueron las siguientes:</w:t>
      </w:r>
    </w:p>
    <w:p w14:paraId="253F7BCF" w14:textId="77777777" w:rsidR="00921E3F" w:rsidRPr="008D46B7" w:rsidRDefault="00921E3F" w:rsidP="00921E3F">
      <w:pPr>
        <w:widowControl w:val="0"/>
        <w:autoSpaceDE w:val="0"/>
        <w:autoSpaceDN w:val="0"/>
        <w:adjustRightInd w:val="0"/>
        <w:rPr>
          <w:rFonts w:ascii="Arial" w:eastAsiaTheme="minorEastAsia" w:hAnsi="Arial" w:cs="Arial"/>
          <w:color w:val="FFFFFF"/>
          <w:lang w:val="es-ES"/>
        </w:rPr>
      </w:pPr>
      <w:r w:rsidRPr="008D46B7">
        <w:rPr>
          <w:rFonts w:ascii="Arial" w:eastAsiaTheme="minorEastAsia" w:hAnsi="Arial" w:cs="Arial"/>
          <w:color w:val="FFFFFF"/>
          <w:lang w:val="es-ES"/>
        </w:rPr>
        <w:t>Tabla 11. Entidades más demandadas 2018</w:t>
      </w:r>
    </w:p>
    <w:p w14:paraId="0F7D6D13" w14:textId="77777777" w:rsidR="00921E3F" w:rsidRPr="008D46B7" w:rsidRDefault="00921E3F" w:rsidP="00921E3F">
      <w:pPr>
        <w:jc w:val="center"/>
        <w:rPr>
          <w:rFonts w:ascii="Arial" w:eastAsiaTheme="minorEastAsia" w:hAnsi="Arial" w:cs="Arial"/>
          <w:b/>
          <w:color w:val="000000"/>
          <w:bdr w:val="none" w:sz="0" w:space="0" w:color="auto" w:frame="1"/>
          <w:lang w:val="es-ES_tradnl"/>
        </w:rPr>
      </w:pPr>
      <w:r w:rsidRPr="008D46B7">
        <w:rPr>
          <w:rFonts w:ascii="Arial" w:eastAsiaTheme="minorEastAsia" w:hAnsi="Arial" w:cs="Arial"/>
          <w:b/>
          <w:color w:val="000000"/>
          <w:bdr w:val="none" w:sz="0" w:space="0" w:color="auto" w:frame="1"/>
          <w:lang w:val="es-ES_tradnl"/>
        </w:rPr>
        <w:t>Tabla 1: Entidades contra las cuales se promovió el mayor número de tutelas en 2018</w:t>
      </w:r>
    </w:p>
    <w:p w14:paraId="59CE2035" w14:textId="77777777" w:rsidR="00921E3F" w:rsidRPr="008D46B7" w:rsidRDefault="00921E3F" w:rsidP="00921E3F">
      <w:pPr>
        <w:widowControl w:val="0"/>
        <w:autoSpaceDE w:val="0"/>
        <w:autoSpaceDN w:val="0"/>
        <w:adjustRightInd w:val="0"/>
        <w:rPr>
          <w:rFonts w:ascii="Arial" w:eastAsiaTheme="minorEastAsia" w:hAnsi="Arial" w:cs="Arial"/>
          <w:color w:val="3C3927"/>
          <w:lang w:val="es-ES"/>
        </w:rPr>
      </w:pPr>
    </w:p>
    <w:tbl>
      <w:tblPr>
        <w:tblStyle w:val="Tablaconcuadrcula"/>
        <w:tblW w:w="0" w:type="auto"/>
        <w:jc w:val="center"/>
        <w:tblLook w:val="04A0" w:firstRow="1" w:lastRow="0" w:firstColumn="1" w:lastColumn="0" w:noHBand="0" w:noVBand="1"/>
      </w:tblPr>
      <w:tblGrid>
        <w:gridCol w:w="4587"/>
        <w:gridCol w:w="1223"/>
      </w:tblGrid>
      <w:tr w:rsidR="00921E3F" w:rsidRPr="008D46B7" w14:paraId="1BC92082" w14:textId="77777777" w:rsidTr="008A6D10">
        <w:trPr>
          <w:jc w:val="center"/>
        </w:trPr>
        <w:tc>
          <w:tcPr>
            <w:tcW w:w="4587" w:type="dxa"/>
            <w:shd w:val="clear" w:color="auto" w:fill="A6A6A6" w:themeFill="background1" w:themeFillShade="A6"/>
          </w:tcPr>
          <w:p w14:paraId="53B674D5" w14:textId="77777777" w:rsidR="00921E3F" w:rsidRPr="008D46B7" w:rsidRDefault="00921E3F" w:rsidP="008A6D10">
            <w:pPr>
              <w:widowControl w:val="0"/>
              <w:autoSpaceDE w:val="0"/>
              <w:autoSpaceDN w:val="0"/>
              <w:adjustRightInd w:val="0"/>
              <w:jc w:val="center"/>
              <w:rPr>
                <w:rFonts w:ascii="Arial" w:eastAsiaTheme="minorEastAsia" w:hAnsi="Arial" w:cs="Arial"/>
                <w:lang w:val="es-ES"/>
              </w:rPr>
            </w:pPr>
            <w:r w:rsidRPr="008D46B7">
              <w:rPr>
                <w:rFonts w:ascii="Arial" w:eastAsiaTheme="minorEastAsia" w:hAnsi="Arial" w:cs="Arial"/>
                <w:lang w:val="es-ES"/>
              </w:rPr>
              <w:t>Entidad o parte demandada</w:t>
            </w:r>
          </w:p>
        </w:tc>
        <w:tc>
          <w:tcPr>
            <w:tcW w:w="1223" w:type="dxa"/>
            <w:shd w:val="clear" w:color="auto" w:fill="A6A6A6" w:themeFill="background1" w:themeFillShade="A6"/>
          </w:tcPr>
          <w:p w14:paraId="19ACF895" w14:textId="77777777" w:rsidR="00921E3F" w:rsidRPr="008D46B7" w:rsidRDefault="00921E3F" w:rsidP="008A6D10">
            <w:pPr>
              <w:widowControl w:val="0"/>
              <w:autoSpaceDE w:val="0"/>
              <w:autoSpaceDN w:val="0"/>
              <w:adjustRightInd w:val="0"/>
              <w:jc w:val="center"/>
              <w:rPr>
                <w:rFonts w:ascii="Arial" w:eastAsiaTheme="minorEastAsia" w:hAnsi="Arial" w:cs="Arial"/>
                <w:lang w:val="es-ES"/>
              </w:rPr>
            </w:pPr>
            <w:r w:rsidRPr="008D46B7">
              <w:rPr>
                <w:rFonts w:ascii="Arial" w:eastAsiaTheme="minorEastAsia" w:hAnsi="Arial" w:cs="Arial"/>
                <w:lang w:val="es-ES"/>
              </w:rPr>
              <w:t>No. Tutelas</w:t>
            </w:r>
          </w:p>
        </w:tc>
      </w:tr>
      <w:tr w:rsidR="00921E3F" w:rsidRPr="008D46B7" w14:paraId="7A20B40F" w14:textId="77777777" w:rsidTr="008A6D10">
        <w:trPr>
          <w:jc w:val="center"/>
        </w:trPr>
        <w:tc>
          <w:tcPr>
            <w:tcW w:w="4587" w:type="dxa"/>
          </w:tcPr>
          <w:p w14:paraId="0DF0CD6F"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Unidad para la Atención y Reparación Integral de las Víctimas (UARIV)</w:t>
            </w:r>
          </w:p>
        </w:tc>
        <w:tc>
          <w:tcPr>
            <w:tcW w:w="1223" w:type="dxa"/>
          </w:tcPr>
          <w:p w14:paraId="6A05C342"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58.226</w:t>
            </w:r>
          </w:p>
        </w:tc>
      </w:tr>
      <w:tr w:rsidR="00921E3F" w:rsidRPr="008D46B7" w14:paraId="00A7F01C" w14:textId="77777777" w:rsidTr="008A6D10">
        <w:trPr>
          <w:jc w:val="center"/>
        </w:trPr>
        <w:tc>
          <w:tcPr>
            <w:tcW w:w="4587" w:type="dxa"/>
          </w:tcPr>
          <w:p w14:paraId="53A891AB"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 xml:space="preserve">Coomeva </w:t>
            </w:r>
          </w:p>
        </w:tc>
        <w:tc>
          <w:tcPr>
            <w:tcW w:w="1223" w:type="dxa"/>
          </w:tcPr>
          <w:p w14:paraId="04E92E75"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31.384</w:t>
            </w:r>
          </w:p>
        </w:tc>
      </w:tr>
      <w:tr w:rsidR="00921E3F" w:rsidRPr="008D46B7" w14:paraId="71EE43E5" w14:textId="77777777" w:rsidTr="008A6D10">
        <w:trPr>
          <w:jc w:val="center"/>
        </w:trPr>
        <w:tc>
          <w:tcPr>
            <w:tcW w:w="4587" w:type="dxa"/>
          </w:tcPr>
          <w:p w14:paraId="45B31F17"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 xml:space="preserve">Medimas </w:t>
            </w:r>
          </w:p>
        </w:tc>
        <w:tc>
          <w:tcPr>
            <w:tcW w:w="1223" w:type="dxa"/>
          </w:tcPr>
          <w:p w14:paraId="03BC82B0"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27.907</w:t>
            </w:r>
          </w:p>
        </w:tc>
      </w:tr>
      <w:tr w:rsidR="00921E3F" w:rsidRPr="008D46B7" w14:paraId="5FD4A4CA" w14:textId="77777777" w:rsidTr="008A6D10">
        <w:trPr>
          <w:jc w:val="center"/>
        </w:trPr>
        <w:tc>
          <w:tcPr>
            <w:tcW w:w="4587" w:type="dxa"/>
          </w:tcPr>
          <w:p w14:paraId="5CAF9D9A"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 xml:space="preserve">Nueva EPS </w:t>
            </w:r>
          </w:p>
        </w:tc>
        <w:tc>
          <w:tcPr>
            <w:tcW w:w="1223" w:type="dxa"/>
          </w:tcPr>
          <w:p w14:paraId="583E0F0F"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26.304</w:t>
            </w:r>
          </w:p>
        </w:tc>
      </w:tr>
      <w:tr w:rsidR="00921E3F" w:rsidRPr="008D46B7" w14:paraId="12663B5A" w14:textId="77777777" w:rsidTr="008A6D10">
        <w:trPr>
          <w:jc w:val="center"/>
        </w:trPr>
        <w:tc>
          <w:tcPr>
            <w:tcW w:w="4587" w:type="dxa"/>
          </w:tcPr>
          <w:p w14:paraId="7BC2BA43"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 xml:space="preserve">Colpensiones </w:t>
            </w:r>
          </w:p>
        </w:tc>
        <w:tc>
          <w:tcPr>
            <w:tcW w:w="1223" w:type="dxa"/>
          </w:tcPr>
          <w:p w14:paraId="78709738"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21.223</w:t>
            </w:r>
          </w:p>
        </w:tc>
      </w:tr>
      <w:tr w:rsidR="00921E3F" w:rsidRPr="008D46B7" w14:paraId="39CAB805" w14:textId="77777777" w:rsidTr="008A6D10">
        <w:trPr>
          <w:jc w:val="center"/>
        </w:trPr>
        <w:tc>
          <w:tcPr>
            <w:tcW w:w="4587" w:type="dxa"/>
          </w:tcPr>
          <w:p w14:paraId="76FFB6D8"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 xml:space="preserve">Savia Salud </w:t>
            </w:r>
          </w:p>
        </w:tc>
        <w:tc>
          <w:tcPr>
            <w:tcW w:w="1223" w:type="dxa"/>
          </w:tcPr>
          <w:p w14:paraId="4B1683CA"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17.111</w:t>
            </w:r>
          </w:p>
        </w:tc>
      </w:tr>
      <w:tr w:rsidR="00921E3F" w:rsidRPr="008D46B7" w14:paraId="01A1D795" w14:textId="77777777" w:rsidTr="008A6D10">
        <w:trPr>
          <w:jc w:val="center"/>
        </w:trPr>
        <w:tc>
          <w:tcPr>
            <w:tcW w:w="4587" w:type="dxa"/>
          </w:tcPr>
          <w:p w14:paraId="31027747"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 xml:space="preserve">Salud Total </w:t>
            </w:r>
          </w:p>
        </w:tc>
        <w:tc>
          <w:tcPr>
            <w:tcW w:w="1223" w:type="dxa"/>
          </w:tcPr>
          <w:p w14:paraId="46A6A201"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16.139</w:t>
            </w:r>
          </w:p>
        </w:tc>
      </w:tr>
      <w:tr w:rsidR="00921E3F" w:rsidRPr="008D46B7" w14:paraId="263C32FC" w14:textId="77777777" w:rsidTr="008A6D10">
        <w:trPr>
          <w:jc w:val="center"/>
        </w:trPr>
        <w:tc>
          <w:tcPr>
            <w:tcW w:w="4587" w:type="dxa"/>
          </w:tcPr>
          <w:p w14:paraId="38D83317"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 xml:space="preserve">Tránsito y Transporte </w:t>
            </w:r>
          </w:p>
        </w:tc>
        <w:tc>
          <w:tcPr>
            <w:tcW w:w="1223" w:type="dxa"/>
          </w:tcPr>
          <w:p w14:paraId="592CC987"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12.662</w:t>
            </w:r>
          </w:p>
        </w:tc>
      </w:tr>
      <w:tr w:rsidR="00921E3F" w:rsidRPr="008D46B7" w14:paraId="47B540F1" w14:textId="77777777" w:rsidTr="008A6D10">
        <w:trPr>
          <w:jc w:val="center"/>
        </w:trPr>
        <w:tc>
          <w:tcPr>
            <w:tcW w:w="4587" w:type="dxa"/>
          </w:tcPr>
          <w:p w14:paraId="6E7CB972"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 xml:space="preserve">Servicio Occidental de Salud EPS </w:t>
            </w:r>
          </w:p>
        </w:tc>
        <w:tc>
          <w:tcPr>
            <w:tcW w:w="1223" w:type="dxa"/>
          </w:tcPr>
          <w:p w14:paraId="41E34AB1"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8.103</w:t>
            </w:r>
          </w:p>
        </w:tc>
      </w:tr>
      <w:tr w:rsidR="00921E3F" w:rsidRPr="008D46B7" w14:paraId="574AA30F" w14:textId="77777777" w:rsidTr="008A6D10">
        <w:trPr>
          <w:jc w:val="center"/>
        </w:trPr>
        <w:tc>
          <w:tcPr>
            <w:tcW w:w="4587" w:type="dxa"/>
          </w:tcPr>
          <w:p w14:paraId="0F8932D3"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 xml:space="preserve">Comparta </w:t>
            </w:r>
          </w:p>
        </w:tc>
        <w:tc>
          <w:tcPr>
            <w:tcW w:w="1223" w:type="dxa"/>
          </w:tcPr>
          <w:p w14:paraId="1D6F70E4"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7.886</w:t>
            </w:r>
          </w:p>
        </w:tc>
      </w:tr>
    </w:tbl>
    <w:p w14:paraId="655E542F" w14:textId="77777777" w:rsidR="00921E3F" w:rsidRPr="008D46B7" w:rsidRDefault="00921E3F" w:rsidP="00921E3F">
      <w:pPr>
        <w:shd w:val="clear" w:color="auto" w:fill="FFFFFF"/>
        <w:spacing w:line="235" w:lineRule="atLeast"/>
        <w:jc w:val="center"/>
        <w:textAlignment w:val="baseline"/>
        <w:rPr>
          <w:rFonts w:ascii="Arial" w:eastAsiaTheme="minorEastAsia" w:hAnsi="Arial" w:cs="Arial"/>
          <w:color w:val="000000"/>
          <w:bdr w:val="none" w:sz="0" w:space="0" w:color="auto" w:frame="1"/>
          <w:lang w:val="es-ES_tradnl"/>
        </w:rPr>
      </w:pPr>
      <w:r w:rsidRPr="008D46B7">
        <w:rPr>
          <w:rFonts w:ascii="Arial" w:eastAsiaTheme="minorEastAsia" w:hAnsi="Arial" w:cs="Arial"/>
          <w:color w:val="000000"/>
          <w:lang w:val="es-ES"/>
        </w:rPr>
        <w:t xml:space="preserve">Fuente: Oficina de Sistemas de la Corte Constitucional, enero 2019. Tomado de </w:t>
      </w:r>
      <w:r w:rsidRPr="008D46B7">
        <w:rPr>
          <w:rFonts w:ascii="Arial" w:eastAsiaTheme="minorEastAsia" w:hAnsi="Arial" w:cs="Arial"/>
          <w:color w:val="000000"/>
          <w:bdr w:val="none" w:sz="0" w:space="0" w:color="auto" w:frame="1"/>
          <w:lang w:val="es-ES_tradnl"/>
        </w:rPr>
        <w:t>Consejo Superior de la Judicatura - Informe al Congreso de la República 2018</w:t>
      </w:r>
    </w:p>
    <w:p w14:paraId="6ED071D4" w14:textId="77777777" w:rsidR="00921E3F" w:rsidRPr="008D46B7" w:rsidRDefault="00921E3F" w:rsidP="00921E3F">
      <w:pPr>
        <w:shd w:val="clear" w:color="auto" w:fill="FFFFFF"/>
        <w:spacing w:line="235" w:lineRule="atLeast"/>
        <w:jc w:val="center"/>
        <w:textAlignment w:val="baseline"/>
        <w:rPr>
          <w:rFonts w:ascii="Arial" w:eastAsiaTheme="minorEastAsia" w:hAnsi="Arial" w:cs="Arial"/>
          <w:color w:val="000000"/>
          <w:bdr w:val="none" w:sz="0" w:space="0" w:color="auto" w:frame="1"/>
          <w:lang w:val="es-ES_tradnl"/>
        </w:rPr>
      </w:pPr>
    </w:p>
    <w:p w14:paraId="4DABBB4A" w14:textId="77777777" w:rsidR="00921E3F" w:rsidRPr="008D46B7" w:rsidRDefault="00921E3F" w:rsidP="00921E3F">
      <w:pPr>
        <w:shd w:val="clear" w:color="auto" w:fill="FFFFFF"/>
        <w:spacing w:line="235" w:lineRule="atLeast"/>
        <w:jc w:val="both"/>
        <w:textAlignment w:val="baseline"/>
        <w:rPr>
          <w:rFonts w:ascii="Arial" w:eastAsiaTheme="minorEastAsia" w:hAnsi="Arial" w:cs="Arial"/>
          <w:color w:val="000000"/>
          <w:bdr w:val="none" w:sz="0" w:space="0" w:color="auto" w:frame="1"/>
          <w:lang w:val="es-ES_tradnl"/>
        </w:rPr>
      </w:pPr>
      <w:r w:rsidRPr="008D46B7">
        <w:rPr>
          <w:rFonts w:ascii="Arial" w:eastAsiaTheme="minorEastAsia" w:hAnsi="Arial" w:cs="Arial"/>
          <w:color w:val="000000"/>
          <w:bdr w:val="none" w:sz="0" w:space="0" w:color="auto" w:frame="1"/>
          <w:lang w:val="es-ES_tradnl"/>
        </w:rPr>
        <w:t>A su vez, de acuerdo con el mismo informe, los derechos más invocados en 2018 fueron:</w:t>
      </w:r>
    </w:p>
    <w:p w14:paraId="503CE7AA" w14:textId="77777777" w:rsidR="00921E3F" w:rsidRPr="008D46B7" w:rsidRDefault="00921E3F" w:rsidP="00921E3F">
      <w:pPr>
        <w:shd w:val="clear" w:color="auto" w:fill="FFFFFF"/>
        <w:spacing w:line="235" w:lineRule="atLeast"/>
        <w:jc w:val="center"/>
        <w:textAlignment w:val="baseline"/>
        <w:rPr>
          <w:rFonts w:ascii="Arial" w:eastAsiaTheme="minorEastAsia" w:hAnsi="Arial" w:cs="Arial"/>
          <w:lang w:val="es-ES"/>
        </w:rPr>
      </w:pPr>
    </w:p>
    <w:p w14:paraId="4B90402C" w14:textId="77777777" w:rsidR="00921E3F" w:rsidRPr="008D46B7" w:rsidRDefault="00921E3F" w:rsidP="00921E3F">
      <w:pPr>
        <w:shd w:val="clear" w:color="auto" w:fill="FFFFFF"/>
        <w:spacing w:line="235" w:lineRule="atLeast"/>
        <w:jc w:val="center"/>
        <w:textAlignment w:val="baseline"/>
        <w:rPr>
          <w:rFonts w:ascii="Arial" w:eastAsiaTheme="minorEastAsia" w:hAnsi="Arial" w:cs="Arial"/>
          <w:b/>
          <w:color w:val="000000"/>
          <w:bdr w:val="none" w:sz="0" w:space="0" w:color="auto" w:frame="1"/>
          <w:lang w:val="es-ES_tradnl"/>
        </w:rPr>
      </w:pPr>
      <w:r w:rsidRPr="008D46B7">
        <w:rPr>
          <w:rFonts w:ascii="Arial" w:eastAsiaTheme="minorEastAsia" w:hAnsi="Arial" w:cs="Arial"/>
          <w:b/>
          <w:color w:val="000000"/>
          <w:bdr w:val="none" w:sz="0" w:space="0" w:color="auto" w:frame="1"/>
          <w:lang w:val="es-ES_tradnl"/>
        </w:rPr>
        <w:t>Tabla 2: Derechos cuya protección se invocó en 2018</w:t>
      </w:r>
    </w:p>
    <w:p w14:paraId="77FAA289" w14:textId="77777777" w:rsidR="00921E3F" w:rsidRPr="008D46B7" w:rsidRDefault="00921E3F" w:rsidP="00921E3F">
      <w:pPr>
        <w:shd w:val="clear" w:color="auto" w:fill="FFFFFF"/>
        <w:spacing w:line="235" w:lineRule="atLeast"/>
        <w:jc w:val="center"/>
        <w:textAlignment w:val="baseline"/>
        <w:rPr>
          <w:rFonts w:ascii="Arial" w:eastAsiaTheme="minorEastAsia" w:hAnsi="Arial" w:cs="Arial"/>
          <w:b/>
          <w:color w:val="000000"/>
          <w:bdr w:val="none" w:sz="0" w:space="0" w:color="auto" w:frame="1"/>
          <w:lang w:val="es-ES_tradnl"/>
        </w:rPr>
      </w:pPr>
    </w:p>
    <w:tbl>
      <w:tblPr>
        <w:tblW w:w="0" w:type="auto"/>
        <w:jc w:val="center"/>
        <w:shd w:val="clear" w:color="auto" w:fill="FFFFFF"/>
        <w:tblCellMar>
          <w:left w:w="0" w:type="dxa"/>
          <w:right w:w="0" w:type="dxa"/>
        </w:tblCellMar>
        <w:tblLook w:val="04A0" w:firstRow="1" w:lastRow="0" w:firstColumn="1" w:lastColumn="0" w:noHBand="0" w:noVBand="1"/>
      </w:tblPr>
      <w:tblGrid>
        <w:gridCol w:w="3085"/>
        <w:gridCol w:w="1364"/>
      </w:tblGrid>
      <w:tr w:rsidR="00921E3F" w:rsidRPr="008D46B7" w14:paraId="5D1E6319" w14:textId="77777777" w:rsidTr="008A6D10">
        <w:trPr>
          <w:jc w:val="center"/>
        </w:trPr>
        <w:tc>
          <w:tcPr>
            <w:tcW w:w="0" w:type="auto"/>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bottom"/>
            <w:hideMark/>
          </w:tcPr>
          <w:p w14:paraId="653A57B4" w14:textId="77777777" w:rsidR="00921E3F" w:rsidRPr="008D46B7" w:rsidRDefault="00921E3F" w:rsidP="008A6D10">
            <w:pPr>
              <w:jc w:val="center"/>
              <w:textAlignment w:val="baseline"/>
              <w:rPr>
                <w:rFonts w:ascii="Arial" w:eastAsiaTheme="minorEastAsia" w:hAnsi="Arial" w:cs="Arial"/>
                <w:lang w:val="es-ES_tradnl"/>
              </w:rPr>
            </w:pPr>
            <w:r w:rsidRPr="008D46B7">
              <w:rPr>
                <w:rFonts w:ascii="Arial" w:eastAsiaTheme="minorEastAsia" w:hAnsi="Arial" w:cs="Arial"/>
                <w:lang w:val="es-ES_tradnl"/>
              </w:rPr>
              <w:t>Tipo de derecho vulnerado</w:t>
            </w:r>
          </w:p>
        </w:tc>
        <w:tc>
          <w:tcPr>
            <w:tcW w:w="0" w:type="auto"/>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bottom"/>
            <w:hideMark/>
          </w:tcPr>
          <w:p w14:paraId="0A439100" w14:textId="77777777" w:rsidR="00921E3F" w:rsidRPr="008D46B7" w:rsidRDefault="00921E3F" w:rsidP="008A6D10">
            <w:pPr>
              <w:jc w:val="center"/>
              <w:textAlignment w:val="baseline"/>
              <w:rPr>
                <w:rFonts w:ascii="Arial" w:eastAsiaTheme="minorEastAsia" w:hAnsi="Arial" w:cs="Arial"/>
                <w:color w:val="555555"/>
                <w:lang w:val="es-ES_tradnl"/>
              </w:rPr>
            </w:pPr>
            <w:r w:rsidRPr="008D46B7">
              <w:rPr>
                <w:rFonts w:ascii="Arial" w:eastAsiaTheme="minorEastAsia" w:hAnsi="Arial" w:cs="Arial"/>
                <w:bCs/>
                <w:color w:val="000000"/>
                <w:bdr w:val="none" w:sz="0" w:space="0" w:color="auto" w:frame="1"/>
                <w:lang w:val="es-ES_tradnl"/>
              </w:rPr>
              <w:t>Porcentaje</w:t>
            </w:r>
          </w:p>
        </w:tc>
      </w:tr>
      <w:tr w:rsidR="00921E3F" w:rsidRPr="008D46B7" w14:paraId="13216515" w14:textId="77777777" w:rsidTr="008A6D10">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14:paraId="71CC9577" w14:textId="77777777" w:rsidR="00921E3F" w:rsidRPr="008D46B7" w:rsidRDefault="00921E3F" w:rsidP="008A6D10">
            <w:pPr>
              <w:jc w:val="center"/>
              <w:textAlignment w:val="baseline"/>
              <w:rPr>
                <w:rFonts w:ascii="Arial" w:eastAsiaTheme="minorEastAsia" w:hAnsi="Arial" w:cs="Arial"/>
                <w:color w:val="555555"/>
                <w:lang w:val="es-ES_tradnl"/>
              </w:rPr>
            </w:pPr>
            <w:r w:rsidRPr="008D46B7">
              <w:rPr>
                <w:rFonts w:ascii="Arial" w:eastAsiaTheme="minorEastAsia" w:hAnsi="Arial" w:cs="Arial"/>
                <w:color w:val="000000"/>
                <w:bdr w:val="none" w:sz="0" w:space="0" w:color="auto" w:frame="1"/>
                <w:lang w:val="es-ES_tradnl"/>
              </w:rPr>
              <w:t>Derecho de petición</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508ED8D6" w14:textId="77777777" w:rsidR="00921E3F" w:rsidRPr="008D46B7" w:rsidRDefault="00921E3F" w:rsidP="008A6D10">
            <w:pPr>
              <w:jc w:val="center"/>
              <w:textAlignment w:val="baseline"/>
              <w:rPr>
                <w:rFonts w:ascii="Arial" w:eastAsiaTheme="minorEastAsia" w:hAnsi="Arial" w:cs="Arial"/>
                <w:color w:val="555555"/>
                <w:lang w:val="es-ES_tradnl"/>
              </w:rPr>
            </w:pPr>
            <w:r w:rsidRPr="008D46B7">
              <w:rPr>
                <w:rFonts w:ascii="Arial" w:eastAsiaTheme="minorEastAsia" w:hAnsi="Arial" w:cs="Arial"/>
                <w:color w:val="000000"/>
                <w:bdr w:val="none" w:sz="0" w:space="0" w:color="auto" w:frame="1"/>
                <w:lang w:val="es-ES_tradnl"/>
              </w:rPr>
              <w:t>34.9%</w:t>
            </w:r>
          </w:p>
        </w:tc>
      </w:tr>
      <w:tr w:rsidR="00921E3F" w:rsidRPr="008D46B7" w14:paraId="1D65D992" w14:textId="77777777" w:rsidTr="008A6D10">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14:paraId="032F9A38" w14:textId="77777777" w:rsidR="00921E3F" w:rsidRPr="008D46B7" w:rsidRDefault="00921E3F" w:rsidP="008A6D10">
            <w:pPr>
              <w:jc w:val="center"/>
              <w:textAlignment w:val="baseline"/>
              <w:rPr>
                <w:rFonts w:ascii="Arial" w:eastAsiaTheme="minorEastAsia" w:hAnsi="Arial" w:cs="Arial"/>
                <w:color w:val="555555"/>
                <w:lang w:val="es-ES_tradnl"/>
              </w:rPr>
            </w:pPr>
            <w:r w:rsidRPr="008D46B7">
              <w:rPr>
                <w:rFonts w:ascii="Arial" w:eastAsiaTheme="minorEastAsia" w:hAnsi="Arial" w:cs="Arial"/>
                <w:color w:val="000000"/>
                <w:bdr w:val="none" w:sz="0" w:space="0" w:color="auto" w:frame="1"/>
                <w:lang w:val="es-ES_tradnl"/>
              </w:rPr>
              <w:t>Derecho a la salud</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543C03AD" w14:textId="77777777" w:rsidR="00921E3F" w:rsidRPr="008D46B7" w:rsidRDefault="00921E3F" w:rsidP="008A6D10">
            <w:pPr>
              <w:jc w:val="center"/>
              <w:textAlignment w:val="baseline"/>
              <w:rPr>
                <w:rFonts w:ascii="Arial" w:eastAsiaTheme="minorEastAsia" w:hAnsi="Arial" w:cs="Arial"/>
                <w:color w:val="555555"/>
                <w:lang w:val="es-ES_tradnl"/>
              </w:rPr>
            </w:pPr>
            <w:r w:rsidRPr="008D46B7">
              <w:rPr>
                <w:rFonts w:ascii="Arial" w:eastAsiaTheme="minorEastAsia" w:hAnsi="Arial" w:cs="Arial"/>
                <w:color w:val="000000"/>
                <w:bdr w:val="none" w:sz="0" w:space="0" w:color="auto" w:frame="1"/>
                <w:lang w:val="es-ES_tradnl"/>
              </w:rPr>
              <w:t>33.2%</w:t>
            </w:r>
          </w:p>
        </w:tc>
      </w:tr>
      <w:tr w:rsidR="00921E3F" w:rsidRPr="008D46B7" w14:paraId="7F77D151" w14:textId="77777777" w:rsidTr="008A6D10">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14:paraId="675878B9" w14:textId="77777777" w:rsidR="00921E3F" w:rsidRPr="008D46B7" w:rsidRDefault="00921E3F" w:rsidP="008A6D10">
            <w:pPr>
              <w:jc w:val="center"/>
              <w:textAlignment w:val="baseline"/>
              <w:rPr>
                <w:rFonts w:ascii="Arial" w:eastAsiaTheme="minorEastAsia" w:hAnsi="Arial" w:cs="Arial"/>
                <w:color w:val="555555"/>
                <w:lang w:val="es-ES_tradnl"/>
              </w:rPr>
            </w:pPr>
            <w:r w:rsidRPr="008D46B7">
              <w:rPr>
                <w:rFonts w:ascii="Arial" w:eastAsiaTheme="minorEastAsia" w:hAnsi="Arial" w:cs="Arial"/>
                <w:color w:val="000000"/>
                <w:bdr w:val="none" w:sz="0" w:space="0" w:color="auto" w:frame="1"/>
                <w:lang w:val="es-ES_tradnl"/>
              </w:rPr>
              <w:t>Derecho al debido proceso</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481C445F" w14:textId="77777777" w:rsidR="00921E3F" w:rsidRPr="008D46B7" w:rsidRDefault="00921E3F" w:rsidP="008A6D10">
            <w:pPr>
              <w:jc w:val="center"/>
              <w:textAlignment w:val="baseline"/>
              <w:rPr>
                <w:rFonts w:ascii="Arial" w:eastAsiaTheme="minorEastAsia" w:hAnsi="Arial" w:cs="Arial"/>
                <w:color w:val="555555"/>
                <w:lang w:val="es-ES_tradnl"/>
              </w:rPr>
            </w:pPr>
            <w:r w:rsidRPr="008D46B7">
              <w:rPr>
                <w:rFonts w:ascii="Arial" w:eastAsiaTheme="minorEastAsia" w:hAnsi="Arial" w:cs="Arial"/>
                <w:color w:val="000000"/>
                <w:bdr w:val="none" w:sz="0" w:space="0" w:color="auto" w:frame="1"/>
                <w:lang w:val="es-ES_tradnl"/>
              </w:rPr>
              <w:t>12.7%</w:t>
            </w:r>
          </w:p>
        </w:tc>
      </w:tr>
      <w:tr w:rsidR="00921E3F" w:rsidRPr="008D46B7" w14:paraId="1C848217" w14:textId="77777777" w:rsidTr="008A6D10">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14:paraId="32A60457" w14:textId="77777777" w:rsidR="00921E3F" w:rsidRPr="008D46B7" w:rsidRDefault="00921E3F" w:rsidP="008A6D10">
            <w:pPr>
              <w:jc w:val="center"/>
              <w:textAlignment w:val="baseline"/>
              <w:rPr>
                <w:rFonts w:ascii="Arial" w:eastAsiaTheme="minorEastAsia" w:hAnsi="Arial" w:cs="Arial"/>
                <w:color w:val="555555"/>
                <w:lang w:val="es-ES_tradnl"/>
              </w:rPr>
            </w:pPr>
            <w:r w:rsidRPr="008D46B7">
              <w:rPr>
                <w:rFonts w:ascii="Arial" w:eastAsiaTheme="minorEastAsia" w:hAnsi="Arial" w:cs="Arial"/>
                <w:color w:val="000000"/>
                <w:bdr w:val="none" w:sz="0" w:space="0" w:color="auto" w:frame="1"/>
                <w:lang w:val="es-ES_tradnl"/>
              </w:rPr>
              <w:t>Derecho al mínimo vital</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26015772" w14:textId="77777777" w:rsidR="00921E3F" w:rsidRPr="008D46B7" w:rsidRDefault="00921E3F" w:rsidP="008A6D10">
            <w:pPr>
              <w:jc w:val="center"/>
              <w:textAlignment w:val="baseline"/>
              <w:rPr>
                <w:rFonts w:ascii="Arial" w:eastAsiaTheme="minorEastAsia" w:hAnsi="Arial" w:cs="Arial"/>
                <w:color w:val="555555"/>
                <w:lang w:val="es-ES_tradnl"/>
              </w:rPr>
            </w:pPr>
            <w:r w:rsidRPr="008D46B7">
              <w:rPr>
                <w:rFonts w:ascii="Arial" w:eastAsiaTheme="minorEastAsia" w:hAnsi="Arial" w:cs="Arial"/>
                <w:color w:val="000000"/>
                <w:bdr w:val="none" w:sz="0" w:space="0" w:color="auto" w:frame="1"/>
                <w:lang w:val="es-ES_tradnl"/>
              </w:rPr>
              <w:t>6.2%</w:t>
            </w:r>
          </w:p>
        </w:tc>
      </w:tr>
    </w:tbl>
    <w:p w14:paraId="227F5F62" w14:textId="77777777" w:rsidR="00921E3F" w:rsidRPr="008D46B7" w:rsidRDefault="00921E3F" w:rsidP="00921E3F">
      <w:pPr>
        <w:shd w:val="clear" w:color="auto" w:fill="FFFFFF"/>
        <w:spacing w:line="235" w:lineRule="atLeast"/>
        <w:jc w:val="center"/>
        <w:textAlignment w:val="baseline"/>
        <w:rPr>
          <w:rFonts w:ascii="Arial" w:eastAsiaTheme="minorEastAsia" w:hAnsi="Arial" w:cs="Arial"/>
          <w:color w:val="000000"/>
          <w:bdr w:val="none" w:sz="0" w:space="0" w:color="auto" w:frame="1"/>
          <w:lang w:val="es-ES_tradnl"/>
        </w:rPr>
      </w:pPr>
      <w:r w:rsidRPr="008D46B7">
        <w:rPr>
          <w:rFonts w:ascii="Arial" w:eastAsiaTheme="minorEastAsia" w:hAnsi="Arial" w:cs="Arial"/>
          <w:color w:val="000000"/>
          <w:bdr w:val="none" w:sz="0" w:space="0" w:color="auto" w:frame="1"/>
          <w:lang w:val="es-ES_tradnl"/>
        </w:rPr>
        <w:t>Fuente: Consejo Superior de la Judicatura - Informe al Congreso de la República 2018</w:t>
      </w:r>
    </w:p>
    <w:p w14:paraId="0B7B00D5" w14:textId="77777777" w:rsidR="00921E3F" w:rsidRPr="008D46B7" w:rsidRDefault="00921E3F" w:rsidP="00921E3F">
      <w:pPr>
        <w:shd w:val="clear" w:color="auto" w:fill="FFFFFF"/>
        <w:spacing w:line="235" w:lineRule="atLeast"/>
        <w:jc w:val="center"/>
        <w:textAlignment w:val="baseline"/>
        <w:rPr>
          <w:rFonts w:ascii="Arial" w:eastAsiaTheme="minorEastAsia" w:hAnsi="Arial" w:cs="Arial"/>
          <w:color w:val="555555"/>
          <w:lang w:val="es-ES_tradnl"/>
        </w:rPr>
      </w:pPr>
    </w:p>
    <w:p w14:paraId="08DB90C6" w14:textId="77777777" w:rsidR="00921E3F" w:rsidRPr="008D46B7" w:rsidRDefault="00921E3F" w:rsidP="00921E3F">
      <w:pPr>
        <w:shd w:val="clear" w:color="auto" w:fill="FFFFFF"/>
        <w:spacing w:line="235" w:lineRule="atLeast"/>
        <w:jc w:val="both"/>
        <w:textAlignment w:val="baseline"/>
        <w:rPr>
          <w:rFonts w:ascii="Arial" w:eastAsiaTheme="minorEastAsia" w:hAnsi="Arial" w:cs="Arial"/>
          <w:color w:val="000000"/>
          <w:bdr w:val="none" w:sz="0" w:space="0" w:color="auto" w:frame="1"/>
          <w:lang w:val="es-ES_tradnl"/>
        </w:rPr>
      </w:pPr>
      <w:r w:rsidRPr="008D46B7">
        <w:rPr>
          <w:rFonts w:ascii="Arial" w:eastAsiaTheme="minorEastAsia" w:hAnsi="Arial" w:cs="Arial"/>
          <w:color w:val="000000"/>
          <w:bdr w:val="none" w:sz="0" w:space="0" w:color="auto" w:frame="1"/>
          <w:lang w:val="es-ES_tradnl"/>
        </w:rPr>
        <w:t>De igual manera, según el informe de la Defensoría del Pueblo, en 2018, los principales derechos cuya protección se invocó fueron, en su orden: (i) el derecho de petición; (ii) el derecho a la salud; (iii) el derecho al debido proceso; (iv) el derecho al mínimo vital, y (v) el derecho a la ayuda humanitaria</w:t>
      </w:r>
      <w:r w:rsidRPr="008D46B7">
        <w:rPr>
          <w:rStyle w:val="Refdenotaalpie"/>
          <w:rFonts w:ascii="Arial" w:eastAsiaTheme="minorEastAsia" w:hAnsi="Arial" w:cs="Arial"/>
          <w:color w:val="000000"/>
          <w:bdr w:val="none" w:sz="0" w:space="0" w:color="auto" w:frame="1"/>
          <w:lang w:val="es-ES_tradnl"/>
        </w:rPr>
        <w:footnoteReference w:id="8"/>
      </w:r>
      <w:r w:rsidRPr="008D46B7">
        <w:rPr>
          <w:rFonts w:ascii="Arial" w:eastAsiaTheme="minorEastAsia" w:hAnsi="Arial" w:cs="Arial"/>
          <w:color w:val="000000"/>
          <w:bdr w:val="none" w:sz="0" w:space="0" w:color="auto" w:frame="1"/>
          <w:lang w:val="es-ES_tradnl"/>
        </w:rPr>
        <w:t xml:space="preserve">. </w:t>
      </w:r>
    </w:p>
    <w:p w14:paraId="6A4DA18B" w14:textId="77777777" w:rsidR="00921E3F" w:rsidRPr="008D46B7" w:rsidRDefault="00921E3F" w:rsidP="00921E3F">
      <w:pPr>
        <w:shd w:val="clear" w:color="auto" w:fill="FFFFFF"/>
        <w:spacing w:line="235" w:lineRule="atLeast"/>
        <w:jc w:val="both"/>
        <w:textAlignment w:val="baseline"/>
        <w:rPr>
          <w:rFonts w:ascii="Arial" w:eastAsiaTheme="minorEastAsia" w:hAnsi="Arial" w:cs="Arial"/>
          <w:color w:val="000000"/>
          <w:bdr w:val="none" w:sz="0" w:space="0" w:color="auto" w:frame="1"/>
          <w:lang w:val="es-ES_tradnl"/>
        </w:rPr>
      </w:pPr>
    </w:p>
    <w:p w14:paraId="3F3B3261" w14:textId="77777777" w:rsidR="00921E3F" w:rsidRPr="008D46B7" w:rsidRDefault="00921E3F" w:rsidP="00921E3F">
      <w:pPr>
        <w:shd w:val="clear" w:color="auto" w:fill="FFFFFF"/>
        <w:spacing w:line="235" w:lineRule="atLeast"/>
        <w:jc w:val="both"/>
        <w:textAlignment w:val="baseline"/>
        <w:rPr>
          <w:rFonts w:ascii="Arial" w:eastAsiaTheme="minorEastAsia" w:hAnsi="Arial" w:cs="Arial"/>
          <w:color w:val="000000"/>
          <w:bdr w:val="none" w:sz="0" w:space="0" w:color="auto" w:frame="1"/>
          <w:lang w:val="es-ES_tradnl"/>
        </w:rPr>
      </w:pPr>
      <w:r w:rsidRPr="008D46B7">
        <w:rPr>
          <w:rFonts w:ascii="Arial" w:eastAsiaTheme="minorEastAsia" w:hAnsi="Arial" w:cs="Arial"/>
          <w:color w:val="000000"/>
          <w:bdr w:val="none" w:sz="0" w:space="0" w:color="auto" w:frame="1"/>
          <w:lang w:val="es-ES_tradnl"/>
        </w:rPr>
        <w:t xml:space="preserve">A su vez, en el informe presentado en 2017, la Defensoría señaló: </w:t>
      </w:r>
    </w:p>
    <w:p w14:paraId="5D0887C2" w14:textId="77777777" w:rsidR="00921E3F" w:rsidRPr="008D46B7" w:rsidRDefault="00921E3F" w:rsidP="00921E3F">
      <w:pPr>
        <w:widowControl w:val="0"/>
        <w:autoSpaceDE w:val="0"/>
        <w:autoSpaceDN w:val="0"/>
        <w:adjustRightInd w:val="0"/>
        <w:jc w:val="both"/>
        <w:rPr>
          <w:rFonts w:ascii="Arial" w:eastAsiaTheme="minorEastAsia" w:hAnsi="Arial" w:cs="Arial"/>
          <w:color w:val="000000"/>
          <w:bdr w:val="none" w:sz="0" w:space="0" w:color="auto" w:frame="1"/>
          <w:lang w:val="es-ES_tradnl"/>
        </w:rPr>
      </w:pPr>
    </w:p>
    <w:p w14:paraId="2B4CF31F" w14:textId="77777777" w:rsidR="00921E3F" w:rsidRPr="008D46B7" w:rsidRDefault="00921E3F" w:rsidP="00921E3F">
      <w:pPr>
        <w:widowControl w:val="0"/>
        <w:autoSpaceDE w:val="0"/>
        <w:autoSpaceDN w:val="0"/>
        <w:adjustRightInd w:val="0"/>
        <w:ind w:left="708"/>
        <w:jc w:val="both"/>
        <w:rPr>
          <w:rFonts w:ascii="Arial" w:hAnsi="Arial" w:cs="Arial"/>
          <w:lang w:val="es-ES"/>
        </w:rPr>
      </w:pPr>
      <w:r w:rsidRPr="008D46B7">
        <w:rPr>
          <w:rFonts w:ascii="Arial" w:eastAsiaTheme="minorEastAsia" w:hAnsi="Arial" w:cs="Arial"/>
          <w:color w:val="000000"/>
          <w:bdr w:val="none" w:sz="0" w:space="0" w:color="auto" w:frame="1"/>
          <w:lang w:val="es-ES_tradnl"/>
        </w:rPr>
        <w:t>“</w:t>
      </w:r>
      <w:r w:rsidRPr="008D46B7">
        <w:rPr>
          <w:rFonts w:ascii="Arial" w:hAnsi="Arial" w:cs="Arial"/>
          <w:lang w:val="es-ES"/>
        </w:rPr>
        <w:t>Cuando se interpusieron las primeras tutelas en 1992, los temas en las mismas eran muy disímiles y su interposición solo hacía referencia a aquellos derechos denotados como fundamentales, en la medida en que el tiempo pasó y por la evolución de los derechos, la Corte Constitucional empezó a expedir jurisprudencia en el que se involucraban derechos considerados como de segunda generación.</w:t>
      </w:r>
    </w:p>
    <w:p w14:paraId="4217B757" w14:textId="77777777" w:rsidR="00921E3F" w:rsidRPr="008D46B7" w:rsidRDefault="00921E3F" w:rsidP="00921E3F">
      <w:pPr>
        <w:widowControl w:val="0"/>
        <w:autoSpaceDE w:val="0"/>
        <w:autoSpaceDN w:val="0"/>
        <w:adjustRightInd w:val="0"/>
        <w:jc w:val="both"/>
        <w:rPr>
          <w:rFonts w:ascii="Arial" w:hAnsi="Arial" w:cs="Arial"/>
          <w:lang w:val="es-ES"/>
        </w:rPr>
      </w:pPr>
    </w:p>
    <w:p w14:paraId="22E15E99" w14:textId="77777777" w:rsidR="00921E3F" w:rsidRPr="008D46B7" w:rsidRDefault="00921E3F" w:rsidP="00921E3F">
      <w:pPr>
        <w:widowControl w:val="0"/>
        <w:autoSpaceDE w:val="0"/>
        <w:autoSpaceDN w:val="0"/>
        <w:adjustRightInd w:val="0"/>
        <w:ind w:left="708"/>
        <w:jc w:val="both"/>
        <w:rPr>
          <w:rFonts w:ascii="Arial" w:hAnsi="Arial" w:cs="Arial"/>
          <w:lang w:val="es-ES"/>
        </w:rPr>
      </w:pPr>
      <w:r w:rsidRPr="008D46B7">
        <w:rPr>
          <w:rFonts w:ascii="Arial" w:hAnsi="Arial" w:cs="Arial"/>
          <w:lang w:val="es-ES"/>
        </w:rPr>
        <w:t>El ejemplo más claro de ello, es el derecho a la salud que en los años 2007 y 2008 se constituyó como el más invocado en las tutelas, motivo por el cual dicha corporación intervino y emitió una serie de decisiones que involucraron a los principales actores del sistema. Sin embargo, esas medidas solo surtieron efecto durante dos años, período en el que las tutelas en salud disminuyeron, aunque seguía siendo el segundo derecho más invocado en las mismas.</w:t>
      </w:r>
    </w:p>
    <w:p w14:paraId="3AF6CCD4" w14:textId="77777777" w:rsidR="00921E3F" w:rsidRPr="008D46B7" w:rsidRDefault="00921E3F" w:rsidP="00921E3F">
      <w:pPr>
        <w:widowControl w:val="0"/>
        <w:autoSpaceDE w:val="0"/>
        <w:autoSpaceDN w:val="0"/>
        <w:adjustRightInd w:val="0"/>
        <w:jc w:val="both"/>
        <w:rPr>
          <w:rFonts w:ascii="Arial" w:hAnsi="Arial" w:cs="Arial"/>
          <w:lang w:val="es-ES"/>
        </w:rPr>
      </w:pPr>
    </w:p>
    <w:p w14:paraId="291CB22A" w14:textId="77777777" w:rsidR="00921E3F" w:rsidRPr="008D46B7" w:rsidRDefault="00921E3F" w:rsidP="00921E3F">
      <w:pPr>
        <w:widowControl w:val="0"/>
        <w:autoSpaceDE w:val="0"/>
        <w:autoSpaceDN w:val="0"/>
        <w:adjustRightInd w:val="0"/>
        <w:ind w:left="708"/>
        <w:jc w:val="both"/>
        <w:rPr>
          <w:rFonts w:ascii="Arial" w:hAnsi="Arial" w:cs="Arial"/>
          <w:lang w:val="es-ES"/>
        </w:rPr>
      </w:pPr>
      <w:r w:rsidRPr="008D46B7">
        <w:rPr>
          <w:rFonts w:ascii="Arial" w:hAnsi="Arial" w:cs="Arial"/>
          <w:lang w:val="es-ES"/>
        </w:rPr>
        <w:t>A partir de 2010, el derecho de petición se ubica como el derecho más invocado en Colombia (…) En 2016, el derecho de petición fue invocado en el 45,77 por ciento de las tutelas, presentando una pequeña disminución de 1,86 por ciento con relación a 2015.</w:t>
      </w:r>
    </w:p>
    <w:p w14:paraId="4CEBC43B" w14:textId="77777777" w:rsidR="00921E3F" w:rsidRPr="008D46B7" w:rsidRDefault="00921E3F" w:rsidP="00921E3F">
      <w:pPr>
        <w:widowControl w:val="0"/>
        <w:autoSpaceDE w:val="0"/>
        <w:autoSpaceDN w:val="0"/>
        <w:adjustRightInd w:val="0"/>
        <w:jc w:val="both"/>
        <w:rPr>
          <w:rFonts w:ascii="Arial" w:hAnsi="Arial" w:cs="Arial"/>
          <w:lang w:val="es-ES"/>
        </w:rPr>
      </w:pPr>
    </w:p>
    <w:p w14:paraId="0BD3F682" w14:textId="77777777" w:rsidR="00921E3F" w:rsidRPr="008D46B7" w:rsidRDefault="00921E3F" w:rsidP="00921E3F">
      <w:pPr>
        <w:widowControl w:val="0"/>
        <w:autoSpaceDE w:val="0"/>
        <w:autoSpaceDN w:val="0"/>
        <w:adjustRightInd w:val="0"/>
        <w:ind w:left="708"/>
        <w:jc w:val="both"/>
        <w:rPr>
          <w:rFonts w:ascii="Arial" w:hAnsi="Arial" w:cs="Arial"/>
          <w:lang w:val="es-ES"/>
        </w:rPr>
      </w:pPr>
      <w:r w:rsidRPr="008D46B7">
        <w:rPr>
          <w:rFonts w:ascii="Arial" w:hAnsi="Arial" w:cs="Arial"/>
          <w:lang w:val="es-ES"/>
        </w:rPr>
        <w:t xml:space="preserve">Por su parte el derecho a la salud, desde el año 2011 se ubica como el </w:t>
      </w:r>
      <w:r w:rsidRPr="008D46B7">
        <w:rPr>
          <w:rFonts w:ascii="Arial" w:hAnsi="Arial" w:cs="Arial"/>
          <w:lang w:val="es-ES"/>
        </w:rPr>
        <w:lastRenderedPageBreak/>
        <w:t>segundo derecho con mayor presencia en las tutelas. En 2016 fue invocado en 163.977 acciones, un 8,44 por ciento más alto que en 2015; su participación en total fue de 26,57 por ciento de las mismas, lo que representa un aumento de 2 puntos porcentuales.</w:t>
      </w:r>
    </w:p>
    <w:p w14:paraId="5DA4A25B" w14:textId="77777777" w:rsidR="00921E3F" w:rsidRPr="008D46B7" w:rsidRDefault="00921E3F" w:rsidP="00921E3F">
      <w:pPr>
        <w:widowControl w:val="0"/>
        <w:autoSpaceDE w:val="0"/>
        <w:autoSpaceDN w:val="0"/>
        <w:adjustRightInd w:val="0"/>
        <w:jc w:val="both"/>
        <w:rPr>
          <w:rFonts w:ascii="Arial" w:hAnsi="Arial" w:cs="Arial"/>
          <w:lang w:val="es-ES"/>
        </w:rPr>
      </w:pPr>
    </w:p>
    <w:p w14:paraId="0FF561B1" w14:textId="77777777" w:rsidR="00921E3F" w:rsidRPr="008D46B7" w:rsidRDefault="00921E3F" w:rsidP="00921E3F">
      <w:pPr>
        <w:widowControl w:val="0"/>
        <w:autoSpaceDE w:val="0"/>
        <w:autoSpaceDN w:val="0"/>
        <w:adjustRightInd w:val="0"/>
        <w:ind w:left="708"/>
        <w:jc w:val="both"/>
        <w:rPr>
          <w:rFonts w:ascii="Arial" w:hAnsi="Arial" w:cs="Arial"/>
          <w:lang w:val="es-ES"/>
        </w:rPr>
      </w:pPr>
      <w:r w:rsidRPr="008D46B7">
        <w:rPr>
          <w:rFonts w:ascii="Arial" w:hAnsi="Arial" w:cs="Arial"/>
          <w:lang w:val="es-ES"/>
        </w:rPr>
        <w:t>En tercer lugar, está la solicitud de protección a otros Derechos Económicos, Sociales y Culturales (DESC) entre los que se incluyen: violaciones al mínimo vital, vivienda digna, recreación, propiedad privada, unidad familiar y ayuda humanitaria. Durante 2016, estos derechos fueron invocados en el 25,53 por ciento de las tutelas (156.911), un 22,8 por ciento superior al observado en el período anterior (…).</w:t>
      </w:r>
    </w:p>
    <w:p w14:paraId="53B1749A" w14:textId="77777777" w:rsidR="00921E3F" w:rsidRPr="008D46B7" w:rsidRDefault="00921E3F" w:rsidP="00921E3F">
      <w:pPr>
        <w:widowControl w:val="0"/>
        <w:autoSpaceDE w:val="0"/>
        <w:autoSpaceDN w:val="0"/>
        <w:adjustRightInd w:val="0"/>
        <w:jc w:val="both"/>
        <w:rPr>
          <w:rFonts w:ascii="Arial" w:hAnsi="Arial" w:cs="Arial"/>
          <w:lang w:val="es-ES"/>
        </w:rPr>
      </w:pPr>
    </w:p>
    <w:p w14:paraId="59D325B7" w14:textId="77777777" w:rsidR="00921E3F" w:rsidRPr="008D46B7" w:rsidRDefault="00921E3F" w:rsidP="00921E3F">
      <w:pPr>
        <w:widowControl w:val="0"/>
        <w:autoSpaceDE w:val="0"/>
        <w:autoSpaceDN w:val="0"/>
        <w:adjustRightInd w:val="0"/>
        <w:ind w:left="708"/>
        <w:jc w:val="both"/>
        <w:rPr>
          <w:rFonts w:ascii="Arial" w:hAnsi="Arial" w:cs="Arial"/>
          <w:lang w:val="es-ES"/>
        </w:rPr>
      </w:pPr>
      <w:r w:rsidRPr="008D46B7">
        <w:rPr>
          <w:rFonts w:ascii="Arial" w:hAnsi="Arial" w:cs="Arial"/>
          <w:lang w:val="es-ES"/>
        </w:rPr>
        <w:t>El derecho al debido proceso y defensa, al igual que en años anteriores, aparece en cuarto lugar y su amparo es solicitado en el 10,4 por ciento de las acciones, con un crecimiento del 2,42 por ciento respecto del año anterior.</w:t>
      </w:r>
    </w:p>
    <w:p w14:paraId="145ABB4B" w14:textId="77777777" w:rsidR="00921E3F" w:rsidRPr="008D46B7" w:rsidRDefault="00921E3F" w:rsidP="00921E3F">
      <w:pPr>
        <w:widowControl w:val="0"/>
        <w:autoSpaceDE w:val="0"/>
        <w:autoSpaceDN w:val="0"/>
        <w:adjustRightInd w:val="0"/>
        <w:jc w:val="both"/>
        <w:rPr>
          <w:rFonts w:ascii="Arial" w:hAnsi="Arial" w:cs="Arial"/>
          <w:lang w:val="es-ES"/>
        </w:rPr>
      </w:pPr>
    </w:p>
    <w:p w14:paraId="77CFEF9B" w14:textId="77777777" w:rsidR="00921E3F" w:rsidRPr="008D46B7" w:rsidRDefault="00921E3F" w:rsidP="00921E3F">
      <w:pPr>
        <w:widowControl w:val="0"/>
        <w:autoSpaceDE w:val="0"/>
        <w:autoSpaceDN w:val="0"/>
        <w:adjustRightInd w:val="0"/>
        <w:ind w:left="708"/>
        <w:jc w:val="both"/>
        <w:rPr>
          <w:rFonts w:ascii="Arial" w:hAnsi="Arial" w:cs="Arial"/>
          <w:lang w:val="es-ES"/>
        </w:rPr>
      </w:pPr>
      <w:r w:rsidRPr="008D46B7">
        <w:rPr>
          <w:rFonts w:ascii="Arial" w:hAnsi="Arial" w:cs="Arial"/>
          <w:lang w:val="es-ES"/>
        </w:rPr>
        <w:t>En quinto lugar se ubica la solicitud de protección a la seguridad social, la cual disminuyó significativamente, debido a que las acciones adelantadas contra ISS/Colpensiones y contra las EPS del régimen contributivo, por prestaciones económicas se redujeron considerablemente”</w:t>
      </w:r>
      <w:r w:rsidRPr="008D46B7">
        <w:rPr>
          <w:rStyle w:val="Refdenotaalpie"/>
          <w:rFonts w:ascii="Arial" w:hAnsi="Arial" w:cs="Arial"/>
          <w:lang w:val="es-ES"/>
        </w:rPr>
        <w:footnoteReference w:id="9"/>
      </w:r>
      <w:r w:rsidRPr="008D46B7">
        <w:rPr>
          <w:rFonts w:ascii="Arial" w:hAnsi="Arial" w:cs="Arial"/>
          <w:lang w:val="es-ES"/>
        </w:rPr>
        <w:t>.</w:t>
      </w:r>
    </w:p>
    <w:p w14:paraId="7F27F275" w14:textId="77777777" w:rsidR="00921E3F" w:rsidRPr="008D46B7" w:rsidRDefault="00921E3F" w:rsidP="00921E3F">
      <w:pPr>
        <w:widowControl w:val="0"/>
        <w:autoSpaceDE w:val="0"/>
        <w:autoSpaceDN w:val="0"/>
        <w:adjustRightInd w:val="0"/>
        <w:jc w:val="both"/>
        <w:rPr>
          <w:rFonts w:ascii="Arial" w:hAnsi="Arial" w:cs="Arial"/>
          <w:lang w:val="es-ES"/>
        </w:rPr>
      </w:pPr>
    </w:p>
    <w:p w14:paraId="3A8D7B19" w14:textId="77777777" w:rsidR="00921E3F" w:rsidRPr="008D46B7" w:rsidRDefault="00921E3F" w:rsidP="00921E3F">
      <w:pPr>
        <w:widowControl w:val="0"/>
        <w:autoSpaceDE w:val="0"/>
        <w:autoSpaceDN w:val="0"/>
        <w:adjustRightInd w:val="0"/>
        <w:jc w:val="both"/>
        <w:rPr>
          <w:rFonts w:ascii="Arial" w:hAnsi="Arial" w:cs="Arial"/>
          <w:lang w:val="es-ES"/>
        </w:rPr>
      </w:pPr>
      <w:r w:rsidRPr="008D46B7">
        <w:rPr>
          <w:rFonts w:ascii="Arial" w:hAnsi="Arial" w:cs="Arial"/>
          <w:lang w:val="es-ES"/>
        </w:rPr>
        <w:t>Más recientemente en el Informe de la Rama Judicial presentado al Congreso de la República (2019), se afirma que la acción de tutela representa el 27% del total de demandas presentadas por los colombianos. Ese mismo informe señala que entre 1997 y 2019, los ciudadanos presentaron 10.232.166 acciones de tutela en todo el territorio nacional. Cada juez pasó de gestionar 11 tutelas en el año 1997 a 141 en el año 2019. Se agrega, qué en los últimos 4 años, los derechos más tutelados fueron el derecho de petición y el derecho a la salud, manteniendo las cifras mencionadas previamente frente al año 2018.</w:t>
      </w:r>
    </w:p>
    <w:p w14:paraId="60B84D04" w14:textId="77777777" w:rsidR="00921E3F" w:rsidRPr="008D46B7" w:rsidRDefault="00921E3F" w:rsidP="00921E3F">
      <w:pPr>
        <w:widowControl w:val="0"/>
        <w:autoSpaceDE w:val="0"/>
        <w:autoSpaceDN w:val="0"/>
        <w:adjustRightInd w:val="0"/>
        <w:jc w:val="both"/>
        <w:rPr>
          <w:rFonts w:ascii="Arial" w:hAnsi="Arial" w:cs="Arial"/>
          <w:lang w:val="es-ES"/>
        </w:rPr>
      </w:pPr>
    </w:p>
    <w:p w14:paraId="196F719D" w14:textId="77777777" w:rsidR="00921E3F" w:rsidRPr="008D46B7" w:rsidRDefault="00921E3F" w:rsidP="00921E3F">
      <w:pPr>
        <w:widowControl w:val="0"/>
        <w:autoSpaceDE w:val="0"/>
        <w:autoSpaceDN w:val="0"/>
        <w:adjustRightInd w:val="0"/>
        <w:jc w:val="center"/>
        <w:rPr>
          <w:rFonts w:ascii="Arial" w:hAnsi="Arial" w:cs="Arial"/>
          <w:lang w:val="es-ES"/>
        </w:rPr>
      </w:pPr>
      <w:r w:rsidRPr="008D46B7">
        <w:rPr>
          <w:rFonts w:ascii="Arial" w:hAnsi="Arial" w:cs="Arial"/>
          <w:noProof/>
          <w:lang w:eastAsia="es-CO"/>
        </w:rPr>
        <w:lastRenderedPageBreak/>
        <w:drawing>
          <wp:inline distT="0" distB="0" distL="0" distR="0" wp14:anchorId="56D75A09" wp14:editId="1EA5F5AC">
            <wp:extent cx="3891664" cy="2705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127" t="25429" r="47929" b="21481"/>
                    <a:stretch/>
                  </pic:blipFill>
                  <pic:spPr bwMode="auto">
                    <a:xfrm>
                      <a:off x="0" y="0"/>
                      <a:ext cx="3908615" cy="2716882"/>
                    </a:xfrm>
                    <a:prstGeom prst="rect">
                      <a:avLst/>
                    </a:prstGeom>
                    <a:ln>
                      <a:noFill/>
                    </a:ln>
                    <a:extLst>
                      <a:ext uri="{53640926-AAD7-44D8-BBD7-CCE9431645EC}">
                        <a14:shadowObscured xmlns:a14="http://schemas.microsoft.com/office/drawing/2010/main"/>
                      </a:ext>
                    </a:extLst>
                  </pic:spPr>
                </pic:pic>
              </a:graphicData>
            </a:graphic>
          </wp:inline>
        </w:drawing>
      </w:r>
    </w:p>
    <w:p w14:paraId="636661BC" w14:textId="77777777" w:rsidR="00921E3F" w:rsidRPr="008D46B7" w:rsidRDefault="00921E3F" w:rsidP="00921E3F">
      <w:pPr>
        <w:widowControl w:val="0"/>
        <w:autoSpaceDE w:val="0"/>
        <w:autoSpaceDN w:val="0"/>
        <w:adjustRightInd w:val="0"/>
        <w:jc w:val="both"/>
        <w:rPr>
          <w:rFonts w:ascii="Arial" w:hAnsi="Arial" w:cs="Arial"/>
          <w:lang w:val="es-ES"/>
        </w:rPr>
      </w:pPr>
    </w:p>
    <w:p w14:paraId="69C050FF" w14:textId="77777777" w:rsidR="00921E3F" w:rsidRPr="008D46B7" w:rsidRDefault="00921E3F" w:rsidP="00921E3F">
      <w:pPr>
        <w:widowControl w:val="0"/>
        <w:autoSpaceDE w:val="0"/>
        <w:autoSpaceDN w:val="0"/>
        <w:adjustRightInd w:val="0"/>
        <w:jc w:val="both"/>
        <w:rPr>
          <w:rFonts w:ascii="Arial" w:hAnsi="Arial" w:cs="Arial"/>
          <w:lang w:val="es-ES"/>
        </w:rPr>
      </w:pPr>
      <w:r w:rsidRPr="008D46B7">
        <w:rPr>
          <w:rFonts w:ascii="Arial" w:hAnsi="Arial" w:cs="Arial"/>
          <w:lang w:val="es-ES"/>
        </w:rPr>
        <w:t xml:space="preserve">En cuanto a las cifras del sentido de la decisión, estas dejan ver, por ejemplo, que frente al derecho a la salud, uno de los más vulnerados, se concedió el amparo en el 68% de los casos, lo que muestra la inmensa vulneración de este derecho en Colombia.  </w:t>
      </w:r>
    </w:p>
    <w:p w14:paraId="11F02F77" w14:textId="77777777" w:rsidR="00921E3F" w:rsidRPr="008D46B7" w:rsidRDefault="00921E3F" w:rsidP="00921E3F">
      <w:pPr>
        <w:widowControl w:val="0"/>
        <w:autoSpaceDE w:val="0"/>
        <w:autoSpaceDN w:val="0"/>
        <w:adjustRightInd w:val="0"/>
        <w:jc w:val="both"/>
        <w:rPr>
          <w:rFonts w:ascii="Arial" w:hAnsi="Arial" w:cs="Arial"/>
        </w:rPr>
      </w:pPr>
    </w:p>
    <w:p w14:paraId="4659A020" w14:textId="77777777" w:rsidR="00921E3F" w:rsidRPr="008D46B7" w:rsidRDefault="00921E3F" w:rsidP="00921E3F">
      <w:pPr>
        <w:widowControl w:val="0"/>
        <w:autoSpaceDE w:val="0"/>
        <w:autoSpaceDN w:val="0"/>
        <w:adjustRightInd w:val="0"/>
        <w:jc w:val="center"/>
        <w:rPr>
          <w:rFonts w:ascii="Arial" w:hAnsi="Arial" w:cs="Arial"/>
          <w:lang w:val="es-ES"/>
        </w:rPr>
      </w:pPr>
      <w:r w:rsidRPr="008D46B7">
        <w:rPr>
          <w:rFonts w:ascii="Arial" w:hAnsi="Arial" w:cs="Arial"/>
          <w:noProof/>
          <w:lang w:eastAsia="es-CO"/>
        </w:rPr>
        <w:drawing>
          <wp:inline distT="0" distB="0" distL="0" distR="0" wp14:anchorId="5FCE7843" wp14:editId="0EE885B3">
            <wp:extent cx="4752975" cy="31646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708" t="15383" r="28607" b="8016"/>
                    <a:stretch/>
                  </pic:blipFill>
                  <pic:spPr bwMode="auto">
                    <a:xfrm>
                      <a:off x="0" y="0"/>
                      <a:ext cx="4765820" cy="3173167"/>
                    </a:xfrm>
                    <a:prstGeom prst="rect">
                      <a:avLst/>
                    </a:prstGeom>
                    <a:ln>
                      <a:noFill/>
                    </a:ln>
                    <a:extLst>
                      <a:ext uri="{53640926-AAD7-44D8-BBD7-CCE9431645EC}">
                        <a14:shadowObscured xmlns:a14="http://schemas.microsoft.com/office/drawing/2010/main"/>
                      </a:ext>
                    </a:extLst>
                  </pic:spPr>
                </pic:pic>
              </a:graphicData>
            </a:graphic>
          </wp:inline>
        </w:drawing>
      </w:r>
    </w:p>
    <w:p w14:paraId="7760D8CB" w14:textId="77777777" w:rsidR="00921E3F" w:rsidRPr="008D46B7" w:rsidRDefault="00921E3F" w:rsidP="00921E3F">
      <w:pPr>
        <w:widowControl w:val="0"/>
        <w:autoSpaceDE w:val="0"/>
        <w:autoSpaceDN w:val="0"/>
        <w:adjustRightInd w:val="0"/>
        <w:rPr>
          <w:rFonts w:ascii="Arial" w:hAnsi="Arial" w:cs="Arial"/>
          <w:lang w:val="es-ES"/>
        </w:rPr>
      </w:pPr>
    </w:p>
    <w:p w14:paraId="5969D689" w14:textId="77777777" w:rsidR="00921E3F" w:rsidRPr="008D46B7" w:rsidRDefault="00921E3F" w:rsidP="00921E3F">
      <w:pPr>
        <w:widowControl w:val="0"/>
        <w:autoSpaceDE w:val="0"/>
        <w:autoSpaceDN w:val="0"/>
        <w:adjustRightInd w:val="0"/>
        <w:jc w:val="both"/>
        <w:rPr>
          <w:rFonts w:ascii="Arial" w:hAnsi="Arial" w:cs="Arial"/>
          <w:lang w:val="es-ES"/>
        </w:rPr>
      </w:pPr>
      <w:r w:rsidRPr="008D46B7">
        <w:rPr>
          <w:rFonts w:ascii="Arial" w:hAnsi="Arial" w:cs="Arial"/>
          <w:lang w:val="es-ES"/>
        </w:rPr>
        <w:lastRenderedPageBreak/>
        <w:t>Adicionalmente según cifras de la Corte Constitucional</w:t>
      </w:r>
      <w:r w:rsidRPr="008D46B7">
        <w:rPr>
          <w:rStyle w:val="Refdenotaalpie"/>
          <w:rFonts w:ascii="Arial" w:hAnsi="Arial" w:cs="Arial"/>
          <w:lang w:val="es-ES"/>
        </w:rPr>
        <w:footnoteReference w:id="10"/>
      </w:r>
      <w:r w:rsidRPr="008D46B7">
        <w:rPr>
          <w:rFonts w:ascii="Arial" w:hAnsi="Arial" w:cs="Arial"/>
          <w:lang w:val="es-ES"/>
        </w:rPr>
        <w:t>, de las 280.159 tutelas recibidas por la Corte Constitucional en los primeros cinco meses del año 2019, el 55,5% (155.490) fueron concedidas en primera instancia, el 2,4% (6.710) fueron concedidas parcialmente, el 38,6% fueron negadas y el 3,5% rechazadas. Esto significa que cerca de 6 de cada 10 tutelas fueron concedidas en primera instancia.</w:t>
      </w:r>
    </w:p>
    <w:p w14:paraId="4C582A19" w14:textId="77777777" w:rsidR="00921E3F" w:rsidRPr="008D46B7" w:rsidRDefault="00921E3F" w:rsidP="00921E3F">
      <w:pPr>
        <w:widowControl w:val="0"/>
        <w:autoSpaceDE w:val="0"/>
        <w:autoSpaceDN w:val="0"/>
        <w:adjustRightInd w:val="0"/>
        <w:jc w:val="both"/>
        <w:rPr>
          <w:rFonts w:ascii="Arial" w:hAnsi="Arial" w:cs="Arial"/>
          <w:lang w:val="es-ES"/>
        </w:rPr>
      </w:pPr>
    </w:p>
    <w:p w14:paraId="6D53E33C" w14:textId="77777777" w:rsidR="00921E3F" w:rsidRPr="008D46B7" w:rsidRDefault="00921E3F" w:rsidP="00921E3F">
      <w:pPr>
        <w:widowControl w:val="0"/>
        <w:autoSpaceDE w:val="0"/>
        <w:autoSpaceDN w:val="0"/>
        <w:adjustRightInd w:val="0"/>
        <w:jc w:val="both"/>
        <w:rPr>
          <w:rFonts w:ascii="Arial" w:hAnsi="Arial" w:cs="Arial"/>
          <w:lang w:val="es-ES"/>
        </w:rPr>
      </w:pPr>
      <w:r w:rsidRPr="008D46B7">
        <w:rPr>
          <w:rFonts w:ascii="Arial" w:hAnsi="Arial" w:cs="Arial"/>
          <w:lang w:val="es-ES"/>
        </w:rPr>
        <w:t>En ese mismo periodo, se determinó que los 10 derechos más demandados, que abarcan casi el 95% del total de reclamaciones, son: el derecho de petición (34,1%), el derecho a la salud (29,9%), al debido proceso (11,1%), al mínimo vital (5,8%), a la ayuda humanitaria (3,9%), a la seguridad social (3,2%), a la vida (2,3%), a la estabilidad laboral reforzada (1,6%), al trabajo (1,3%) y a la reparación a población víctima de desplazamiento (1,1%)</w:t>
      </w:r>
    </w:p>
    <w:p w14:paraId="4641730D" w14:textId="77777777" w:rsidR="00921E3F" w:rsidRPr="008D46B7" w:rsidRDefault="00921E3F" w:rsidP="00921E3F">
      <w:pPr>
        <w:widowControl w:val="0"/>
        <w:autoSpaceDE w:val="0"/>
        <w:autoSpaceDN w:val="0"/>
        <w:adjustRightInd w:val="0"/>
        <w:jc w:val="both"/>
        <w:rPr>
          <w:rFonts w:ascii="Arial" w:hAnsi="Arial" w:cs="Arial"/>
          <w:lang w:val="es-ES"/>
        </w:rPr>
      </w:pPr>
    </w:p>
    <w:p w14:paraId="57E7961C" w14:textId="77777777" w:rsidR="00921E3F" w:rsidRPr="008D46B7" w:rsidRDefault="00921E3F" w:rsidP="00921E3F">
      <w:pPr>
        <w:widowControl w:val="0"/>
        <w:autoSpaceDE w:val="0"/>
        <w:autoSpaceDN w:val="0"/>
        <w:adjustRightInd w:val="0"/>
        <w:jc w:val="both"/>
        <w:rPr>
          <w:rFonts w:ascii="Arial" w:hAnsi="Arial" w:cs="Arial"/>
          <w:lang w:val="es-ES"/>
        </w:rPr>
      </w:pPr>
      <w:r w:rsidRPr="008D46B7">
        <w:rPr>
          <w:rFonts w:ascii="Arial" w:hAnsi="Arial" w:cs="Arial"/>
          <w:lang w:val="es-ES"/>
        </w:rPr>
        <w:t>De todas las cifras que entregó el Consejo Superior de la Judicatura y la Corte Constitucional, se puede inferir de manera razonable que la ciudadanía ve en la acción de tutela el mecanismo por excelencia para la protección y amparo de sus derechos.</w:t>
      </w:r>
    </w:p>
    <w:p w14:paraId="6A768896" w14:textId="77777777" w:rsidR="00921E3F" w:rsidRPr="008D46B7" w:rsidRDefault="00921E3F" w:rsidP="00921E3F">
      <w:pPr>
        <w:widowControl w:val="0"/>
        <w:autoSpaceDE w:val="0"/>
        <w:autoSpaceDN w:val="0"/>
        <w:adjustRightInd w:val="0"/>
        <w:jc w:val="both"/>
        <w:rPr>
          <w:rFonts w:ascii="Arial" w:hAnsi="Arial" w:cs="Arial"/>
          <w:lang w:val="es-ES"/>
        </w:rPr>
      </w:pPr>
    </w:p>
    <w:p w14:paraId="6062C938" w14:textId="77777777" w:rsidR="00921E3F" w:rsidRPr="008D46B7" w:rsidRDefault="00921E3F" w:rsidP="00921E3F">
      <w:pPr>
        <w:jc w:val="both"/>
        <w:rPr>
          <w:rFonts w:ascii="Arial" w:hAnsi="Arial" w:cs="Arial"/>
        </w:rPr>
      </w:pPr>
      <w:r w:rsidRPr="008D46B7">
        <w:rPr>
          <w:rFonts w:ascii="Arial" w:hAnsi="Arial" w:cs="Arial"/>
        </w:rPr>
        <w:t>Los datos anteriores permiten concluir que la acción de tutela se ha desnaturalizado porque (i) en lugar de ser complementaria del sistema vigente de legalidad y constitucionalidad, ha sido aprovechada por ciertos actores sociales (p. ej. EPSs o Aseguradoras de Pensiones) para abstenerse de cumplir sus obligaciones mientras no se lo ordene en concreto un fallo de tutela; (ii) por lo anterior, la acción ya no es subsidiaria y residual, sino que se ha convertido en la única opción del ciudadano para conseguir la realización de sus derechos fundamentales, y (iii) la renuencia sistemática de las entidades a cumplir con sus obligaciones ha inducido a los ciudadanos a emplear insistentemente la tutela para hacer valer sus derechos.</w:t>
      </w:r>
    </w:p>
    <w:p w14:paraId="48CE444E" w14:textId="77777777" w:rsidR="00921E3F" w:rsidRPr="008D46B7" w:rsidRDefault="00921E3F" w:rsidP="00921E3F">
      <w:pPr>
        <w:jc w:val="both"/>
        <w:rPr>
          <w:rFonts w:ascii="Arial" w:hAnsi="Arial" w:cs="Arial"/>
        </w:rPr>
      </w:pPr>
    </w:p>
    <w:p w14:paraId="2C1F51CF" w14:textId="77777777" w:rsidR="00921E3F" w:rsidRPr="008D46B7" w:rsidRDefault="00921E3F" w:rsidP="00921E3F">
      <w:pPr>
        <w:jc w:val="both"/>
        <w:rPr>
          <w:rFonts w:ascii="Arial" w:hAnsi="Arial" w:cs="Arial"/>
        </w:rPr>
      </w:pPr>
      <w:r w:rsidRPr="008D46B7">
        <w:rPr>
          <w:rFonts w:ascii="Arial" w:hAnsi="Arial" w:cs="Arial"/>
        </w:rPr>
        <w:t>En la práctica, el régimen de la acción de tutela mantiene una rendija que ha garantizado el éxito de una perversa estrategia, en virtud de la cual algunas entidades deciden conculcar masiva y reiteradamente los derechos fundamentales, a sabiendas de que solo un escaso porcentaje de los afectados acuden a la acción de tutela y los demás se resignan a la insatisfacción de sus derechos. Con dicha maniobra los infractores aseguran una buena dosis de impunidad por su conducta violatoria de los derechos fundamentales. En otras palabras, gracias a que la ley omitió contemplar una sanción por la reincidencia en la violación de derechos fundamentales, se ha generado un ambiente de real impunidad que mueve a los infractores a repetir la transgresión con la seguridad de obtener provecho de su conducta ilícita.</w:t>
      </w:r>
    </w:p>
    <w:p w14:paraId="48923423" w14:textId="77777777" w:rsidR="00921E3F" w:rsidRPr="008D46B7" w:rsidRDefault="00921E3F" w:rsidP="00921E3F">
      <w:pPr>
        <w:jc w:val="both"/>
        <w:rPr>
          <w:rFonts w:ascii="Arial" w:hAnsi="Arial" w:cs="Arial"/>
        </w:rPr>
      </w:pPr>
    </w:p>
    <w:p w14:paraId="2BE6F690" w14:textId="77777777" w:rsidR="00921E3F" w:rsidRPr="008D46B7" w:rsidRDefault="00921E3F" w:rsidP="00921E3F">
      <w:pPr>
        <w:jc w:val="both"/>
        <w:rPr>
          <w:rFonts w:ascii="Arial" w:hAnsi="Arial" w:cs="Arial"/>
        </w:rPr>
      </w:pPr>
      <w:r w:rsidRPr="008D46B7">
        <w:rPr>
          <w:rFonts w:ascii="Arial" w:hAnsi="Arial" w:cs="Arial"/>
        </w:rPr>
        <w:t>Lo anterior es fácilmente constatable, con las cifras expuestas en párrafos anteriores. Por ejemplo, según los datos presentados por el Consejo Superior de la Judicatura, de las diez entidades más demandadas en procesos de tutela, siete fueron Empresas Promotoras de Salud. A su vez, de una muestra de casos de tutela presentados en el año 2018, en contra de las diez entidades más demandadas, 134.834, esto es, el 59%, eran contra EPS. Por si fuera poco, el derecho a la salud se llevó el podio del derecho más invocado por dos años consecutivos (2007 y 2008), y desde 2010 es el segundo derecho cuya protección se solicita con más frecuencia. Esto permite concluir que, sin importar el número de fallos de tutela en su contra, las EPS han persistido en la infracción del derecho a la salud de las personas, y lo mismo han hecho otras entidades.</w:t>
      </w:r>
    </w:p>
    <w:p w14:paraId="568DAF9A" w14:textId="77777777" w:rsidR="00921E3F" w:rsidRPr="008D46B7" w:rsidRDefault="00921E3F" w:rsidP="00921E3F">
      <w:pPr>
        <w:jc w:val="both"/>
        <w:rPr>
          <w:rFonts w:ascii="Arial" w:hAnsi="Arial" w:cs="Arial"/>
        </w:rPr>
      </w:pPr>
    </w:p>
    <w:p w14:paraId="1496971E" w14:textId="77777777" w:rsidR="00921E3F" w:rsidRPr="008D46B7" w:rsidRDefault="00921E3F" w:rsidP="00921E3F">
      <w:pPr>
        <w:widowControl w:val="0"/>
        <w:autoSpaceDE w:val="0"/>
        <w:autoSpaceDN w:val="0"/>
        <w:adjustRightInd w:val="0"/>
        <w:jc w:val="both"/>
        <w:rPr>
          <w:rFonts w:ascii="Arial" w:hAnsi="Arial" w:cs="Arial"/>
          <w:color w:val="000000"/>
          <w:lang w:val="es-ES"/>
        </w:rPr>
      </w:pPr>
      <w:r w:rsidRPr="008D46B7">
        <w:rPr>
          <w:rFonts w:ascii="Arial" w:hAnsi="Arial" w:cs="Arial"/>
          <w:color w:val="000000"/>
          <w:lang w:val="es-ES"/>
        </w:rPr>
        <w:t>Esto es aún más grave si se tiene en cuenta que, según el último informe de la Defensoría sobre tutelas en salud, el porcentaje de favorabilidad en los fallos de tutela en Colombia en primera instancia es del 59.11%. Según el mencionado informe:</w:t>
      </w:r>
    </w:p>
    <w:p w14:paraId="70300A26" w14:textId="77777777" w:rsidR="00921E3F" w:rsidRPr="008D46B7" w:rsidRDefault="00921E3F" w:rsidP="00921E3F">
      <w:pPr>
        <w:widowControl w:val="0"/>
        <w:autoSpaceDE w:val="0"/>
        <w:autoSpaceDN w:val="0"/>
        <w:adjustRightInd w:val="0"/>
        <w:jc w:val="both"/>
        <w:rPr>
          <w:rFonts w:ascii="Arial" w:hAnsi="Arial" w:cs="Arial"/>
          <w:color w:val="000000"/>
          <w:lang w:val="es-ES"/>
        </w:rPr>
      </w:pPr>
    </w:p>
    <w:p w14:paraId="7E02531B" w14:textId="77777777" w:rsidR="00921E3F" w:rsidRPr="008D46B7" w:rsidRDefault="00921E3F" w:rsidP="00921E3F">
      <w:pPr>
        <w:widowControl w:val="0"/>
        <w:autoSpaceDE w:val="0"/>
        <w:autoSpaceDN w:val="0"/>
        <w:adjustRightInd w:val="0"/>
        <w:ind w:left="708"/>
        <w:jc w:val="both"/>
        <w:rPr>
          <w:rFonts w:ascii="Arial" w:hAnsi="Arial" w:cs="Arial"/>
          <w:lang w:val="es-ES"/>
        </w:rPr>
      </w:pPr>
      <w:r w:rsidRPr="008D46B7">
        <w:rPr>
          <w:rFonts w:ascii="Arial" w:hAnsi="Arial" w:cs="Arial"/>
          <w:color w:val="000000"/>
          <w:lang w:val="es-ES"/>
        </w:rPr>
        <w:t>“</w:t>
      </w:r>
      <w:r w:rsidRPr="008D46B7">
        <w:rPr>
          <w:rFonts w:ascii="Arial" w:hAnsi="Arial" w:cs="Arial"/>
          <w:lang w:val="es-ES"/>
        </w:rPr>
        <w:t>En el 2018, el porcentaje de favorecimiento a los ciudadanos en primera instancia fue de 59,11 por ciento, cifra inferior en 4,65 puntos porcentuales a la observada en 2017. En los juzgados promiscuos municipales (67,05 por ciento), juzgados de pequeñas causas (63,63 por ciento), juzgados civiles municipales (61,62 por ciento) y juzgados penales para adolescentes (60,03 por ciento) se decidieron el mayor número de tutelas a favor de los accionantes. Los porcentajes más bajos de favorecimiento se observaron en las tutelas tramitadas ante la Corte Suprema de Justicia (8,22 por ciento), el Consejo de Estado (17,03 por ciento), los Tribunales Superiores (27,48 por ciento) y los Consejos Seccionales de la Judicatura (31,76 por ciento)”</w:t>
      </w:r>
      <w:r w:rsidRPr="008D46B7">
        <w:rPr>
          <w:rStyle w:val="Refdenotaalpie"/>
          <w:rFonts w:ascii="Arial" w:hAnsi="Arial" w:cs="Arial"/>
          <w:lang w:val="es-ES"/>
        </w:rPr>
        <w:footnoteReference w:id="11"/>
      </w:r>
      <w:r w:rsidRPr="008D46B7">
        <w:rPr>
          <w:rFonts w:ascii="Arial" w:hAnsi="Arial" w:cs="Arial"/>
          <w:lang w:val="es-ES"/>
        </w:rPr>
        <w:t>.</w:t>
      </w:r>
    </w:p>
    <w:p w14:paraId="3A3B2407" w14:textId="77777777" w:rsidR="00921E3F" w:rsidRPr="008D46B7" w:rsidRDefault="00921E3F" w:rsidP="00921E3F">
      <w:pPr>
        <w:widowControl w:val="0"/>
        <w:autoSpaceDE w:val="0"/>
        <w:autoSpaceDN w:val="0"/>
        <w:adjustRightInd w:val="0"/>
        <w:jc w:val="both"/>
        <w:rPr>
          <w:rFonts w:ascii="Arial" w:hAnsi="Arial" w:cs="Arial"/>
          <w:lang w:val="es-ES"/>
        </w:rPr>
      </w:pPr>
    </w:p>
    <w:p w14:paraId="09E1E5B5" w14:textId="77777777" w:rsidR="00921E3F" w:rsidRPr="008D46B7" w:rsidRDefault="00921E3F" w:rsidP="00921E3F">
      <w:pPr>
        <w:widowControl w:val="0"/>
        <w:autoSpaceDE w:val="0"/>
        <w:autoSpaceDN w:val="0"/>
        <w:adjustRightInd w:val="0"/>
        <w:jc w:val="both"/>
        <w:rPr>
          <w:rFonts w:ascii="Arial" w:hAnsi="Arial" w:cs="Arial"/>
          <w:lang w:val="es-ES"/>
        </w:rPr>
      </w:pPr>
      <w:r w:rsidRPr="008D46B7">
        <w:rPr>
          <w:rFonts w:ascii="Arial" w:hAnsi="Arial" w:cs="Arial"/>
          <w:lang w:val="es-ES"/>
        </w:rPr>
        <w:t>En lo que tiene que ver específicamente con el sentido del fallo en casos de derecho a la salud, según el informe del Consejo Superior de la Judicatura, el derecho a la salud es el que en mayor proporción se concede, con una tasa del 82,%</w:t>
      </w:r>
      <w:r w:rsidRPr="008D46B7">
        <w:rPr>
          <w:rStyle w:val="Refdenotaalpie"/>
          <w:rFonts w:ascii="Arial" w:hAnsi="Arial" w:cs="Arial"/>
          <w:lang w:val="es-ES"/>
        </w:rPr>
        <w:footnoteReference w:id="12"/>
      </w:r>
      <w:r w:rsidRPr="008D46B7">
        <w:rPr>
          <w:rFonts w:ascii="Arial" w:hAnsi="Arial" w:cs="Arial"/>
          <w:lang w:val="es-ES"/>
        </w:rPr>
        <w:t>. En el mismo sentido, la Defensoría explica en su informe:</w:t>
      </w:r>
    </w:p>
    <w:p w14:paraId="3A35F6F8" w14:textId="77777777" w:rsidR="00921E3F" w:rsidRPr="008D46B7" w:rsidRDefault="00921E3F" w:rsidP="00921E3F">
      <w:pPr>
        <w:widowControl w:val="0"/>
        <w:autoSpaceDE w:val="0"/>
        <w:autoSpaceDN w:val="0"/>
        <w:adjustRightInd w:val="0"/>
        <w:jc w:val="both"/>
        <w:rPr>
          <w:rFonts w:ascii="Arial" w:hAnsi="Arial" w:cs="Arial"/>
          <w:lang w:val="es-ES"/>
        </w:rPr>
      </w:pPr>
    </w:p>
    <w:p w14:paraId="435053FF" w14:textId="77777777" w:rsidR="00921E3F" w:rsidRPr="008D46B7" w:rsidRDefault="00921E3F" w:rsidP="00921E3F">
      <w:pPr>
        <w:widowControl w:val="0"/>
        <w:autoSpaceDE w:val="0"/>
        <w:autoSpaceDN w:val="0"/>
        <w:adjustRightInd w:val="0"/>
        <w:ind w:left="708"/>
        <w:jc w:val="both"/>
        <w:rPr>
          <w:rFonts w:ascii="Arial" w:hAnsi="Arial" w:cs="Arial"/>
          <w:lang w:val="es-ES"/>
        </w:rPr>
      </w:pPr>
      <w:r w:rsidRPr="008D46B7">
        <w:rPr>
          <w:rFonts w:ascii="Arial" w:hAnsi="Arial" w:cs="Arial"/>
          <w:lang w:val="es-ES"/>
        </w:rPr>
        <w:t xml:space="preserve">“Las tutelas con mayor favorecimiento en primera instancia fueron las que invocaron el derecho a la salud (82,2 por ciento), seguidas por las que incluyeron el derecho a la vida (78,8 por ciento) y el mínimo vital (64 por ciento). El derecho menos favorecido en primera instancia fue el debido </w:t>
      </w:r>
      <w:r w:rsidRPr="008D46B7">
        <w:rPr>
          <w:rFonts w:ascii="Arial" w:hAnsi="Arial" w:cs="Arial"/>
          <w:lang w:val="es-ES"/>
        </w:rPr>
        <w:lastRenderedPageBreak/>
        <w:t>proceso, que alcanzó el 17,8 por ciento”</w:t>
      </w:r>
      <w:r w:rsidRPr="008D46B7">
        <w:rPr>
          <w:rStyle w:val="Refdenotaalpie"/>
          <w:rFonts w:ascii="Arial" w:hAnsi="Arial" w:cs="Arial"/>
          <w:lang w:val="es-ES"/>
        </w:rPr>
        <w:footnoteReference w:id="13"/>
      </w:r>
      <w:r w:rsidRPr="008D46B7">
        <w:rPr>
          <w:rFonts w:ascii="Arial" w:hAnsi="Arial" w:cs="Arial"/>
          <w:color w:val="000000"/>
          <w:lang w:val="es-ES"/>
        </w:rPr>
        <w:t>.</w:t>
      </w:r>
    </w:p>
    <w:p w14:paraId="7BB3378C" w14:textId="77777777" w:rsidR="00921E3F" w:rsidRPr="008D46B7" w:rsidRDefault="00921E3F" w:rsidP="00921E3F">
      <w:pPr>
        <w:widowControl w:val="0"/>
        <w:autoSpaceDE w:val="0"/>
        <w:autoSpaceDN w:val="0"/>
        <w:adjustRightInd w:val="0"/>
        <w:ind w:left="708"/>
        <w:jc w:val="both"/>
        <w:rPr>
          <w:rFonts w:ascii="Arial" w:hAnsi="Arial" w:cs="Arial"/>
          <w:lang w:val="es-ES"/>
        </w:rPr>
      </w:pPr>
    </w:p>
    <w:p w14:paraId="2566F4DD" w14:textId="77777777" w:rsidR="00921E3F" w:rsidRPr="008D46B7" w:rsidRDefault="00921E3F" w:rsidP="00921E3F">
      <w:pPr>
        <w:widowControl w:val="0"/>
        <w:autoSpaceDE w:val="0"/>
        <w:autoSpaceDN w:val="0"/>
        <w:adjustRightInd w:val="0"/>
        <w:jc w:val="both"/>
        <w:rPr>
          <w:rFonts w:ascii="Arial" w:hAnsi="Arial" w:cs="Arial"/>
          <w:color w:val="000000"/>
          <w:lang w:val="es-ES"/>
        </w:rPr>
      </w:pPr>
      <w:r w:rsidRPr="008D46B7">
        <w:rPr>
          <w:rFonts w:ascii="Arial" w:hAnsi="Arial" w:cs="Arial"/>
          <w:color w:val="000000"/>
          <w:lang w:val="es-ES"/>
        </w:rPr>
        <w:t>Por si fuera poco, los accionantes se ven obligados a iniciar un incidente de desacato, pues existe una renuencia generalizada por parte de los demandados a cumplir las órdenes de los jueces. Como lo afirma el último informe de la Defensoría del Pueblo:</w:t>
      </w:r>
    </w:p>
    <w:p w14:paraId="79CC97A0" w14:textId="77777777" w:rsidR="00921E3F" w:rsidRPr="008D46B7" w:rsidRDefault="00921E3F" w:rsidP="00921E3F">
      <w:pPr>
        <w:widowControl w:val="0"/>
        <w:autoSpaceDE w:val="0"/>
        <w:autoSpaceDN w:val="0"/>
        <w:adjustRightInd w:val="0"/>
        <w:jc w:val="both"/>
        <w:rPr>
          <w:rFonts w:ascii="Arial" w:hAnsi="Arial" w:cs="Arial"/>
          <w:color w:val="000000"/>
          <w:lang w:val="es-ES"/>
        </w:rPr>
      </w:pPr>
    </w:p>
    <w:p w14:paraId="38E1D10F" w14:textId="77777777" w:rsidR="00921E3F" w:rsidRPr="008D46B7" w:rsidRDefault="00921E3F" w:rsidP="00921E3F">
      <w:pPr>
        <w:widowControl w:val="0"/>
        <w:autoSpaceDE w:val="0"/>
        <w:autoSpaceDN w:val="0"/>
        <w:adjustRightInd w:val="0"/>
        <w:ind w:left="708"/>
        <w:jc w:val="both"/>
        <w:rPr>
          <w:rFonts w:ascii="Arial" w:hAnsi="Arial" w:cs="Arial"/>
          <w:color w:val="000000"/>
          <w:lang w:val="es-ES"/>
        </w:rPr>
      </w:pPr>
      <w:r w:rsidRPr="008D46B7">
        <w:rPr>
          <w:rFonts w:ascii="Arial" w:hAnsi="Arial" w:cs="Arial"/>
          <w:color w:val="000000"/>
          <w:lang w:val="es-ES"/>
        </w:rPr>
        <w:t>“A pesar del alto grado de favorecimiento a los ciudadanos, en el 45 por ciento de los casos se debe iniciar incidente de desacato por incumplimiento a las órdenes judiciales, y el derecho a la salud es el que presenta el mayor número de ellos. Para el cumplimiento, de cada 100 decisiones judiciales, se inician 59 incidentes de desacato, donde el 34 por ciento se sanciona y el 66 por ciento se archiva, aunque para el derecho a la salud el nivel de sanción se eleva al 41 por ciento.”</w:t>
      </w:r>
      <w:r w:rsidRPr="008D46B7">
        <w:rPr>
          <w:rStyle w:val="Refdenotaalpie"/>
          <w:rFonts w:ascii="Arial" w:hAnsi="Arial" w:cs="Arial"/>
          <w:color w:val="000000"/>
          <w:lang w:val="es-ES"/>
        </w:rPr>
        <w:footnoteReference w:id="14"/>
      </w:r>
      <w:r w:rsidRPr="008D46B7">
        <w:rPr>
          <w:rFonts w:ascii="Arial" w:hAnsi="Arial" w:cs="Arial"/>
          <w:color w:val="000000"/>
          <w:lang w:val="es-ES"/>
        </w:rPr>
        <w:t>.</w:t>
      </w:r>
    </w:p>
    <w:p w14:paraId="4A1DF0B5" w14:textId="77777777" w:rsidR="00921E3F" w:rsidRPr="008D46B7" w:rsidRDefault="00921E3F" w:rsidP="00921E3F">
      <w:pPr>
        <w:widowControl w:val="0"/>
        <w:autoSpaceDE w:val="0"/>
        <w:autoSpaceDN w:val="0"/>
        <w:adjustRightInd w:val="0"/>
        <w:jc w:val="both"/>
        <w:rPr>
          <w:rFonts w:ascii="Arial" w:hAnsi="Arial" w:cs="Arial"/>
          <w:color w:val="000000"/>
          <w:lang w:val="es-ES"/>
        </w:rPr>
      </w:pPr>
    </w:p>
    <w:p w14:paraId="79A83BCC" w14:textId="77777777" w:rsidR="00921E3F" w:rsidRPr="008D46B7" w:rsidRDefault="00921E3F" w:rsidP="00921E3F">
      <w:pPr>
        <w:widowControl w:val="0"/>
        <w:autoSpaceDE w:val="0"/>
        <w:autoSpaceDN w:val="0"/>
        <w:adjustRightInd w:val="0"/>
        <w:jc w:val="both"/>
        <w:rPr>
          <w:rFonts w:ascii="Arial" w:hAnsi="Arial" w:cs="Arial"/>
          <w:color w:val="000000"/>
          <w:lang w:val="es-ES"/>
        </w:rPr>
      </w:pPr>
      <w:r w:rsidRPr="008D46B7">
        <w:rPr>
          <w:rFonts w:ascii="Arial" w:hAnsi="Arial" w:cs="Arial"/>
          <w:color w:val="000000"/>
          <w:lang w:val="es-ES"/>
        </w:rPr>
        <w:t>Las cifras evidencian no sólo que en la mayoría de los procesos de tutela los accionantes estaban viendo amenazados sus derechos fundamentales, sino que el derecho a la salud está siendo altamente violentado y entidades como las EPS se llevan el galardón de las accionadas con más fallos en su contra. En efecto, del porcentaje de tutelas favorables en primera instancia, el 82,2% se basan en la protección del derecho a la salud y del “top 5” de las entidades con mayor fallos en contra, todas fueron EPS</w:t>
      </w:r>
      <w:r w:rsidRPr="008D46B7">
        <w:rPr>
          <w:rStyle w:val="Refdenotaalpie"/>
          <w:rFonts w:ascii="Arial" w:hAnsi="Arial" w:cs="Arial"/>
          <w:color w:val="000000"/>
          <w:lang w:val="es-ES"/>
        </w:rPr>
        <w:footnoteReference w:id="15"/>
      </w:r>
      <w:r w:rsidRPr="008D46B7">
        <w:rPr>
          <w:rFonts w:ascii="Arial" w:hAnsi="Arial" w:cs="Arial"/>
          <w:color w:val="000000"/>
          <w:lang w:val="es-ES"/>
        </w:rPr>
        <w:t>. Lo peor de esto es que, como lo advierte la misma Defensoría del Pueblo en el informe citado en esta exposición de motivos, las entidades accionadas se resisten a cumplir las órdenes de los jueces, y el incidente de desacato de nada sirve para inducirlas a hacerlo.</w:t>
      </w:r>
    </w:p>
    <w:p w14:paraId="460AFE77" w14:textId="77777777" w:rsidR="00921E3F" w:rsidRPr="008D46B7" w:rsidRDefault="00921E3F" w:rsidP="00921E3F">
      <w:pPr>
        <w:widowControl w:val="0"/>
        <w:autoSpaceDE w:val="0"/>
        <w:autoSpaceDN w:val="0"/>
        <w:adjustRightInd w:val="0"/>
        <w:jc w:val="both"/>
        <w:rPr>
          <w:rFonts w:ascii="Arial" w:hAnsi="Arial" w:cs="Arial"/>
          <w:color w:val="000000"/>
          <w:lang w:val="es-ES"/>
        </w:rPr>
      </w:pPr>
    </w:p>
    <w:p w14:paraId="2ED0F0BA" w14:textId="77777777" w:rsidR="00921E3F" w:rsidRPr="008D46B7" w:rsidRDefault="00921E3F" w:rsidP="00921E3F">
      <w:pPr>
        <w:jc w:val="both"/>
        <w:rPr>
          <w:rFonts w:ascii="Arial" w:eastAsia="Arial" w:hAnsi="Arial" w:cs="Arial"/>
        </w:rPr>
      </w:pPr>
      <w:r w:rsidRPr="008D46B7">
        <w:rPr>
          <w:rFonts w:ascii="Arial" w:eastAsia="Arial" w:hAnsi="Arial" w:cs="Arial"/>
        </w:rPr>
        <w:t>Igualmente, según el Informe de la Rama Judicial al congreso de la Republica (2019-2020) deja ver que en segunda instancia la tasa de impugnación durante 2019 fue del 23%, es decir, que de cada 100 decisiones de tutela 23 fueron impugnadas.</w:t>
      </w:r>
    </w:p>
    <w:p w14:paraId="20AFCCB7" w14:textId="77777777" w:rsidR="00921E3F" w:rsidRPr="008D46B7" w:rsidRDefault="00921E3F" w:rsidP="00921E3F">
      <w:pPr>
        <w:jc w:val="both"/>
        <w:rPr>
          <w:rFonts w:ascii="Arial" w:eastAsia="Arial" w:hAnsi="Arial" w:cs="Arial"/>
        </w:rPr>
      </w:pPr>
    </w:p>
    <w:p w14:paraId="134D445A" w14:textId="77777777" w:rsidR="00921E3F" w:rsidRPr="008D46B7" w:rsidRDefault="00921E3F" w:rsidP="00921E3F">
      <w:pPr>
        <w:jc w:val="both"/>
        <w:rPr>
          <w:rFonts w:ascii="Arial" w:eastAsia="Arial" w:hAnsi="Arial" w:cs="Arial"/>
        </w:rPr>
      </w:pPr>
      <w:r w:rsidRPr="008D46B7">
        <w:rPr>
          <w:rFonts w:ascii="Arial" w:eastAsia="Arial" w:hAnsi="Arial" w:cs="Arial"/>
        </w:rPr>
        <w:t xml:space="preserve">Por su parte la mayor tasa de incidentes de desacato en 2019 se presentó con el derecho a la salud, de cada 100 decisiones que protegieron ese derecho, en 94 se iniciaron incidentes de desacato (94% de los casos), lo que implica un preocupante </w:t>
      </w:r>
      <w:r w:rsidRPr="008D46B7">
        <w:rPr>
          <w:rFonts w:ascii="Arial" w:eastAsia="Arial" w:hAnsi="Arial" w:cs="Arial"/>
        </w:rPr>
        <w:lastRenderedPageBreak/>
        <w:t xml:space="preserve">crecimiento respecto de 201 que tenía una tasa del 59%. En el 25% de los incidentes de desacato presentados (54.336) se sancionó y el derecho por el que más se sancionó fue el de la salud con un 28% de los casos sancionados. </w:t>
      </w:r>
    </w:p>
    <w:p w14:paraId="1643E932" w14:textId="77777777" w:rsidR="00921E3F" w:rsidRPr="008D46B7" w:rsidRDefault="00921E3F" w:rsidP="00921E3F">
      <w:pPr>
        <w:jc w:val="both"/>
        <w:rPr>
          <w:rFonts w:ascii="Arial" w:eastAsia="Arial" w:hAnsi="Arial" w:cs="Arial"/>
        </w:rPr>
      </w:pPr>
    </w:p>
    <w:p w14:paraId="4655D4FE" w14:textId="77777777" w:rsidR="00921E3F" w:rsidRPr="008D46B7" w:rsidRDefault="00921E3F" w:rsidP="00921E3F">
      <w:pPr>
        <w:jc w:val="both"/>
        <w:rPr>
          <w:rFonts w:ascii="Arial" w:eastAsia="Arial" w:hAnsi="Arial" w:cs="Arial"/>
        </w:rPr>
      </w:pPr>
      <w:r w:rsidRPr="008D46B7">
        <w:rPr>
          <w:rFonts w:ascii="Arial" w:eastAsia="Arial" w:hAnsi="Arial" w:cs="Arial"/>
        </w:rPr>
        <w:t>La tendencia a acudir al incidente desacato por la no atención oportuna de la orden de tutela dictada por el juez es creciente. En 2019, el 66% de los casos en los que el juez concedió el derecho, se inició un incidente de desacato, frente al 45% en 2018 y el 55% en 2016.</w:t>
      </w:r>
    </w:p>
    <w:p w14:paraId="65D8E618" w14:textId="77777777" w:rsidR="00921E3F" w:rsidRPr="008D46B7" w:rsidRDefault="00921E3F" w:rsidP="00921E3F">
      <w:pPr>
        <w:jc w:val="both"/>
        <w:rPr>
          <w:rFonts w:ascii="Arial" w:eastAsia="Arial" w:hAnsi="Arial" w:cs="Arial"/>
        </w:rPr>
      </w:pPr>
    </w:p>
    <w:p w14:paraId="4D000E0B" w14:textId="77777777" w:rsidR="00921E3F" w:rsidRPr="008D46B7" w:rsidRDefault="00921E3F" w:rsidP="00921E3F">
      <w:pPr>
        <w:widowControl w:val="0"/>
        <w:autoSpaceDE w:val="0"/>
        <w:autoSpaceDN w:val="0"/>
        <w:adjustRightInd w:val="0"/>
        <w:jc w:val="both"/>
        <w:rPr>
          <w:rFonts w:ascii="Arial" w:eastAsia="Arial" w:hAnsi="Arial" w:cs="Arial"/>
        </w:rPr>
      </w:pPr>
      <w:r w:rsidRPr="008D46B7">
        <w:rPr>
          <w:rFonts w:ascii="Arial" w:eastAsia="Arial" w:hAnsi="Arial" w:cs="Arial"/>
        </w:rPr>
        <w:t xml:space="preserve">Del total de consultas recibidas por decisiones de sanción de incidentes de desacato en 2019, el 59% se confirmó, el 5% se modificó y el 17% se revocó. La mayor confirmación de las sanciones impuestas por el incumplimiento de las órdenes del juez de tutela se dio con relación a los derechos a la salud (62%), a la vida (59%) y al mínimo vital (55%). </w:t>
      </w:r>
    </w:p>
    <w:p w14:paraId="1627A858" w14:textId="77777777" w:rsidR="00921E3F" w:rsidRPr="008D46B7" w:rsidRDefault="00921E3F" w:rsidP="00921E3F">
      <w:pPr>
        <w:widowControl w:val="0"/>
        <w:autoSpaceDE w:val="0"/>
        <w:autoSpaceDN w:val="0"/>
        <w:adjustRightInd w:val="0"/>
        <w:jc w:val="both"/>
        <w:rPr>
          <w:rFonts w:ascii="Arial" w:eastAsia="Arial" w:hAnsi="Arial" w:cs="Arial"/>
        </w:rPr>
      </w:pPr>
    </w:p>
    <w:p w14:paraId="0A720479" w14:textId="77777777" w:rsidR="00921E3F" w:rsidRPr="008D46B7" w:rsidRDefault="00921E3F" w:rsidP="00921E3F">
      <w:pPr>
        <w:widowControl w:val="0"/>
        <w:autoSpaceDE w:val="0"/>
        <w:autoSpaceDN w:val="0"/>
        <w:adjustRightInd w:val="0"/>
        <w:jc w:val="both"/>
        <w:rPr>
          <w:rFonts w:ascii="Arial" w:eastAsia="Arial" w:hAnsi="Arial" w:cs="Arial"/>
        </w:rPr>
      </w:pPr>
      <w:r w:rsidRPr="008D46B7">
        <w:rPr>
          <w:rFonts w:ascii="Arial" w:eastAsia="Arial" w:hAnsi="Arial" w:cs="Arial"/>
        </w:rPr>
        <w:t xml:space="preserve">Asimismo, el último informe del Rama Judicial da cuenta que durante la pandemia y con el uso de estrategias de modernización e innovación tecnológica, se radicaron 49.638 Tutelas a través de la Web. </w:t>
      </w:r>
    </w:p>
    <w:p w14:paraId="53225AE4" w14:textId="77777777" w:rsidR="00921E3F" w:rsidRPr="008D46B7" w:rsidRDefault="00921E3F" w:rsidP="00921E3F">
      <w:pPr>
        <w:widowControl w:val="0"/>
        <w:autoSpaceDE w:val="0"/>
        <w:autoSpaceDN w:val="0"/>
        <w:adjustRightInd w:val="0"/>
        <w:jc w:val="both"/>
        <w:rPr>
          <w:rFonts w:ascii="Arial" w:eastAsia="Arial" w:hAnsi="Arial" w:cs="Arial"/>
        </w:rPr>
      </w:pPr>
    </w:p>
    <w:p w14:paraId="6805BADC" w14:textId="77777777" w:rsidR="00921E3F" w:rsidRPr="008D46B7" w:rsidRDefault="00921E3F" w:rsidP="00921E3F">
      <w:pPr>
        <w:widowControl w:val="0"/>
        <w:autoSpaceDE w:val="0"/>
        <w:autoSpaceDN w:val="0"/>
        <w:adjustRightInd w:val="0"/>
        <w:jc w:val="both"/>
        <w:rPr>
          <w:rFonts w:ascii="Arial" w:eastAsia="Arial" w:hAnsi="Arial" w:cs="Arial"/>
        </w:rPr>
      </w:pPr>
      <w:r w:rsidRPr="008D46B7">
        <w:rPr>
          <w:rFonts w:ascii="Arial" w:eastAsia="Arial" w:hAnsi="Arial" w:cs="Arial"/>
        </w:rPr>
        <w:t xml:space="preserve">Se radicaron un total de 463.071 tutelas (24% del número total de procesos iniciados). Si bien, con respecto al año 2019 las tutelas invocando la protección del derecho a la salud se redujo de una participación del 32% de tutelas por salud en a una tasa de participación de 23%, lo cierto es, que es sigue siendo el segundo derecho por el cual se presentan más acciones de tutela. </w:t>
      </w:r>
    </w:p>
    <w:p w14:paraId="3EDE888D" w14:textId="77777777" w:rsidR="00921E3F" w:rsidRPr="008D46B7" w:rsidRDefault="00921E3F" w:rsidP="00921E3F">
      <w:pPr>
        <w:widowControl w:val="0"/>
        <w:autoSpaceDE w:val="0"/>
        <w:autoSpaceDN w:val="0"/>
        <w:adjustRightInd w:val="0"/>
        <w:jc w:val="both"/>
        <w:rPr>
          <w:rFonts w:ascii="Arial" w:eastAsia="Arial" w:hAnsi="Arial" w:cs="Arial"/>
        </w:rPr>
      </w:pPr>
      <w:r w:rsidRPr="008D46B7">
        <w:rPr>
          <w:rFonts w:ascii="Arial" w:hAnsi="Arial" w:cs="Arial"/>
          <w:noProof/>
          <w:lang w:eastAsia="es-CO"/>
        </w:rPr>
        <w:drawing>
          <wp:inline distT="0" distB="0" distL="0" distR="0" wp14:anchorId="095DD1F6" wp14:editId="6F4C8B1A">
            <wp:extent cx="5305340" cy="18383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241" t="23859" r="11743" b="34073"/>
                    <a:stretch/>
                  </pic:blipFill>
                  <pic:spPr bwMode="auto">
                    <a:xfrm>
                      <a:off x="0" y="0"/>
                      <a:ext cx="5342004" cy="1851029"/>
                    </a:xfrm>
                    <a:prstGeom prst="rect">
                      <a:avLst/>
                    </a:prstGeom>
                    <a:ln>
                      <a:noFill/>
                    </a:ln>
                    <a:extLst>
                      <a:ext uri="{53640926-AAD7-44D8-BBD7-CCE9431645EC}">
                        <a14:shadowObscured xmlns:a14="http://schemas.microsoft.com/office/drawing/2010/main"/>
                      </a:ext>
                    </a:extLst>
                  </pic:spPr>
                </pic:pic>
              </a:graphicData>
            </a:graphic>
          </wp:inline>
        </w:drawing>
      </w:r>
    </w:p>
    <w:p w14:paraId="7A296202" w14:textId="77777777" w:rsidR="00921E3F" w:rsidRPr="008D46B7" w:rsidRDefault="00921E3F" w:rsidP="00921E3F">
      <w:pPr>
        <w:widowControl w:val="0"/>
        <w:autoSpaceDE w:val="0"/>
        <w:autoSpaceDN w:val="0"/>
        <w:adjustRightInd w:val="0"/>
        <w:jc w:val="both"/>
        <w:rPr>
          <w:rFonts w:ascii="Arial" w:eastAsia="Arial" w:hAnsi="Arial" w:cs="Arial"/>
        </w:rPr>
      </w:pPr>
      <w:r w:rsidRPr="008D46B7">
        <w:rPr>
          <w:rFonts w:ascii="Arial" w:eastAsia="Arial" w:hAnsi="Arial" w:cs="Arial"/>
        </w:rPr>
        <w:t>(Resumen ejecutivo Informe Rama Judicial al Congreso de la República 2020.)</w:t>
      </w:r>
    </w:p>
    <w:p w14:paraId="20A1F04C" w14:textId="77777777" w:rsidR="00921E3F" w:rsidRPr="008D46B7" w:rsidRDefault="00921E3F" w:rsidP="00921E3F">
      <w:pPr>
        <w:widowControl w:val="0"/>
        <w:autoSpaceDE w:val="0"/>
        <w:autoSpaceDN w:val="0"/>
        <w:adjustRightInd w:val="0"/>
        <w:jc w:val="both"/>
        <w:rPr>
          <w:rFonts w:ascii="Arial" w:eastAsia="Arial" w:hAnsi="Arial" w:cs="Arial"/>
        </w:rPr>
      </w:pPr>
    </w:p>
    <w:p w14:paraId="7F8C59F7" w14:textId="77777777" w:rsidR="00921E3F" w:rsidRPr="008D46B7" w:rsidRDefault="00921E3F" w:rsidP="00921E3F">
      <w:pPr>
        <w:widowControl w:val="0"/>
        <w:autoSpaceDE w:val="0"/>
        <w:autoSpaceDN w:val="0"/>
        <w:adjustRightInd w:val="0"/>
        <w:jc w:val="both"/>
        <w:rPr>
          <w:rFonts w:ascii="Arial" w:eastAsia="Arial" w:hAnsi="Arial" w:cs="Arial"/>
        </w:rPr>
      </w:pPr>
      <w:r w:rsidRPr="008D46B7">
        <w:rPr>
          <w:rFonts w:ascii="Arial" w:eastAsia="Arial" w:hAnsi="Arial" w:cs="Arial"/>
        </w:rPr>
        <w:t>Al comparar la participación de las acciones de tutela sobre la demanda total, se evidencia que para el año 2019 tuvo una participación del 22% y para el año 2020 correspondió al 24%.</w:t>
      </w:r>
    </w:p>
    <w:p w14:paraId="46644813" w14:textId="77777777" w:rsidR="00921E3F" w:rsidRPr="008D46B7" w:rsidRDefault="00921E3F" w:rsidP="00921E3F">
      <w:pPr>
        <w:widowControl w:val="0"/>
        <w:autoSpaceDE w:val="0"/>
        <w:autoSpaceDN w:val="0"/>
        <w:adjustRightInd w:val="0"/>
        <w:jc w:val="both"/>
        <w:rPr>
          <w:rFonts w:ascii="Arial" w:eastAsia="Arial" w:hAnsi="Arial" w:cs="Arial"/>
        </w:rPr>
      </w:pPr>
      <w:r w:rsidRPr="008D46B7">
        <w:rPr>
          <w:rFonts w:ascii="Arial" w:hAnsi="Arial" w:cs="Arial"/>
          <w:noProof/>
          <w:lang w:eastAsia="es-CO"/>
        </w:rPr>
        <w:lastRenderedPageBreak/>
        <w:drawing>
          <wp:inline distT="0" distB="0" distL="0" distR="0" wp14:anchorId="6681623F" wp14:editId="0CA30A31">
            <wp:extent cx="5181600" cy="2870288"/>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007" t="28255" r="5307" b="8016"/>
                    <a:stretch/>
                  </pic:blipFill>
                  <pic:spPr bwMode="auto">
                    <a:xfrm>
                      <a:off x="0" y="0"/>
                      <a:ext cx="5186287" cy="2872884"/>
                    </a:xfrm>
                    <a:prstGeom prst="rect">
                      <a:avLst/>
                    </a:prstGeom>
                    <a:ln>
                      <a:noFill/>
                    </a:ln>
                    <a:extLst>
                      <a:ext uri="{53640926-AAD7-44D8-BBD7-CCE9431645EC}">
                        <a14:shadowObscured xmlns:a14="http://schemas.microsoft.com/office/drawing/2010/main"/>
                      </a:ext>
                    </a:extLst>
                  </pic:spPr>
                </pic:pic>
              </a:graphicData>
            </a:graphic>
          </wp:inline>
        </w:drawing>
      </w:r>
    </w:p>
    <w:p w14:paraId="102DD7BF" w14:textId="77777777" w:rsidR="00921E3F" w:rsidRPr="008D46B7" w:rsidRDefault="00921E3F" w:rsidP="00921E3F">
      <w:pPr>
        <w:widowControl w:val="0"/>
        <w:autoSpaceDE w:val="0"/>
        <w:autoSpaceDN w:val="0"/>
        <w:adjustRightInd w:val="0"/>
        <w:jc w:val="both"/>
        <w:rPr>
          <w:rFonts w:ascii="Arial" w:eastAsia="Arial" w:hAnsi="Arial" w:cs="Arial"/>
        </w:rPr>
      </w:pPr>
      <w:r w:rsidRPr="008D46B7">
        <w:rPr>
          <w:rFonts w:ascii="Arial" w:eastAsia="Arial" w:hAnsi="Arial" w:cs="Arial"/>
        </w:rPr>
        <w:t xml:space="preserve">El mismo informe revela que para el caso de las tutelas por el derecho a la Salud (76%), la Seguridad Social y la vida, en más del 50% de los casos, los jueces constitucionales conceden el amparo. </w:t>
      </w:r>
    </w:p>
    <w:p w14:paraId="49BA81DE" w14:textId="77777777" w:rsidR="00921E3F" w:rsidRPr="008D46B7" w:rsidRDefault="00921E3F" w:rsidP="00921E3F">
      <w:pPr>
        <w:widowControl w:val="0"/>
        <w:autoSpaceDE w:val="0"/>
        <w:autoSpaceDN w:val="0"/>
        <w:adjustRightInd w:val="0"/>
        <w:jc w:val="both"/>
        <w:rPr>
          <w:rFonts w:ascii="Arial" w:eastAsia="Arial" w:hAnsi="Arial" w:cs="Arial"/>
        </w:rPr>
      </w:pPr>
    </w:p>
    <w:p w14:paraId="1315066E" w14:textId="77777777" w:rsidR="00921E3F" w:rsidRPr="008D46B7" w:rsidRDefault="00921E3F" w:rsidP="00921E3F">
      <w:pPr>
        <w:widowControl w:val="0"/>
        <w:autoSpaceDE w:val="0"/>
        <w:autoSpaceDN w:val="0"/>
        <w:adjustRightInd w:val="0"/>
        <w:jc w:val="both"/>
        <w:rPr>
          <w:rFonts w:ascii="Arial" w:eastAsia="Arial" w:hAnsi="Arial" w:cs="Arial"/>
        </w:rPr>
      </w:pPr>
      <w:r w:rsidRPr="008D46B7">
        <w:rPr>
          <w:rFonts w:ascii="Arial" w:eastAsia="Arial" w:hAnsi="Arial" w:cs="Arial"/>
        </w:rPr>
        <w:t>Por su parte, frente al trámite de incidentes de desacato el informe resalta que, del total de los incidentes de desacatos presentados, el 29% (25.814) han sido sancionados y el 72% (65.588) se archivó. El derecho por el que más se sancionó fue el de la salud (34%), le sigue el mínimo vital con el 28%, la vida por su parte con el 25% y la seguridad social con el 23%, en porcentajes menores al 19% se encuentran los demás derechos. Igualmente señala que, la tasa de iniciación de incidentes de desacato fue del 44%.</w:t>
      </w:r>
    </w:p>
    <w:p w14:paraId="28A46934" w14:textId="4C54B708" w:rsidR="00921E3F" w:rsidRPr="008D46B7" w:rsidRDefault="00921E3F" w:rsidP="00921E3F">
      <w:pPr>
        <w:widowControl w:val="0"/>
        <w:autoSpaceDE w:val="0"/>
        <w:autoSpaceDN w:val="0"/>
        <w:adjustRightInd w:val="0"/>
        <w:jc w:val="both"/>
        <w:rPr>
          <w:rFonts w:ascii="Arial" w:eastAsia="Arial" w:hAnsi="Arial" w:cs="Arial"/>
        </w:rPr>
      </w:pPr>
    </w:p>
    <w:p w14:paraId="68FE8D4A" w14:textId="087F327E" w:rsidR="0084099D" w:rsidRPr="008D46B7" w:rsidRDefault="0084099D" w:rsidP="00921E3F">
      <w:pPr>
        <w:widowControl w:val="0"/>
        <w:autoSpaceDE w:val="0"/>
        <w:autoSpaceDN w:val="0"/>
        <w:adjustRightInd w:val="0"/>
        <w:jc w:val="both"/>
        <w:rPr>
          <w:rFonts w:ascii="Arial" w:eastAsia="Arial" w:hAnsi="Arial" w:cs="Arial"/>
          <w:b/>
        </w:rPr>
      </w:pPr>
    </w:p>
    <w:p w14:paraId="6A9D3BEF" w14:textId="58E3C46F" w:rsidR="0084099D" w:rsidRPr="008D46B7" w:rsidRDefault="0084099D" w:rsidP="00921E3F">
      <w:pPr>
        <w:widowControl w:val="0"/>
        <w:autoSpaceDE w:val="0"/>
        <w:autoSpaceDN w:val="0"/>
        <w:adjustRightInd w:val="0"/>
        <w:jc w:val="both"/>
        <w:rPr>
          <w:rFonts w:ascii="Arial" w:eastAsia="Arial" w:hAnsi="Arial" w:cs="Arial"/>
          <w:b/>
        </w:rPr>
      </w:pPr>
      <w:r w:rsidRPr="008D46B7">
        <w:rPr>
          <w:rFonts w:ascii="Arial" w:eastAsia="Arial" w:hAnsi="Arial" w:cs="Arial"/>
          <w:b/>
        </w:rPr>
        <w:t xml:space="preserve">CIFRAS MÁS RECIENTES (2021) DE LA CORTE CONSTITUCIONAL </w:t>
      </w:r>
    </w:p>
    <w:p w14:paraId="34F3C4FF" w14:textId="06D928FB" w:rsidR="0084099D" w:rsidRPr="008D46B7" w:rsidRDefault="0084099D" w:rsidP="00921E3F">
      <w:pPr>
        <w:widowControl w:val="0"/>
        <w:autoSpaceDE w:val="0"/>
        <w:autoSpaceDN w:val="0"/>
        <w:adjustRightInd w:val="0"/>
        <w:jc w:val="both"/>
        <w:rPr>
          <w:rFonts w:ascii="Arial" w:eastAsia="Arial" w:hAnsi="Arial" w:cs="Arial"/>
          <w:b/>
        </w:rPr>
      </w:pPr>
    </w:p>
    <w:p w14:paraId="4B918370" w14:textId="33912679" w:rsidR="0084099D" w:rsidRPr="008D46B7" w:rsidRDefault="0084099D" w:rsidP="00921E3F">
      <w:pPr>
        <w:widowControl w:val="0"/>
        <w:autoSpaceDE w:val="0"/>
        <w:autoSpaceDN w:val="0"/>
        <w:adjustRightInd w:val="0"/>
        <w:jc w:val="both"/>
        <w:rPr>
          <w:rFonts w:ascii="Arial" w:eastAsia="Arial" w:hAnsi="Arial" w:cs="Arial"/>
        </w:rPr>
      </w:pPr>
      <w:r w:rsidRPr="008D46B7">
        <w:rPr>
          <w:rFonts w:ascii="Arial" w:eastAsia="Arial" w:hAnsi="Arial" w:cs="Arial"/>
        </w:rPr>
        <w:t xml:space="preserve">Muestra de la continuidad de la crisis que atraviesa la acción de tutela y la vulneración de derechos fundamentales, tal y como lo se ha venido describiendo, son las cifras más recientes que la Corte Constitucional publica en su página web en el enlace de estadísticas: </w:t>
      </w:r>
    </w:p>
    <w:p w14:paraId="627DB6C3" w14:textId="0BD949A2" w:rsidR="0084099D" w:rsidRPr="008D46B7" w:rsidRDefault="0084099D" w:rsidP="00921E3F">
      <w:pPr>
        <w:widowControl w:val="0"/>
        <w:autoSpaceDE w:val="0"/>
        <w:autoSpaceDN w:val="0"/>
        <w:adjustRightInd w:val="0"/>
        <w:jc w:val="both"/>
        <w:rPr>
          <w:rFonts w:ascii="Arial" w:eastAsia="Arial" w:hAnsi="Arial" w:cs="Arial"/>
        </w:rPr>
      </w:pPr>
    </w:p>
    <w:p w14:paraId="29EA89D2" w14:textId="7A5321E1" w:rsidR="0084099D" w:rsidRPr="008D46B7" w:rsidRDefault="0084099D" w:rsidP="00921E3F">
      <w:pPr>
        <w:widowControl w:val="0"/>
        <w:autoSpaceDE w:val="0"/>
        <w:autoSpaceDN w:val="0"/>
        <w:adjustRightInd w:val="0"/>
        <w:jc w:val="both"/>
        <w:rPr>
          <w:rFonts w:ascii="Arial" w:eastAsia="Arial" w:hAnsi="Arial" w:cs="Arial"/>
        </w:rPr>
      </w:pPr>
      <w:r w:rsidRPr="008D46B7">
        <w:rPr>
          <w:rFonts w:ascii="Arial" w:eastAsia="Arial" w:hAnsi="Arial" w:cs="Arial"/>
        </w:rPr>
        <w:t xml:space="preserve">Donde se reporta que entre el año 1992 y el </w:t>
      </w:r>
      <w:r w:rsidR="008C5F39" w:rsidRPr="008D46B7">
        <w:rPr>
          <w:rFonts w:ascii="Arial" w:eastAsia="Arial" w:hAnsi="Arial" w:cs="Arial"/>
        </w:rPr>
        <w:t xml:space="preserve">2021 (29 años) se han presentado 8.500.248 acciones de tutelas, siendo el año 2019 el de mayor registro con un total de 620.242 tutelas. De las cifras vemos como la pandemia también freno esta tendencia creciente de presentación de tutelas, pues para el año 2020, la cifra cayó a tan solo 290.533 tutelas (es decir un 53% aproximadamente), para luego en el </w:t>
      </w:r>
      <w:r w:rsidR="008C5F39" w:rsidRPr="008D46B7">
        <w:rPr>
          <w:rFonts w:ascii="Arial" w:eastAsia="Arial" w:hAnsi="Arial" w:cs="Arial"/>
        </w:rPr>
        <w:lastRenderedPageBreak/>
        <w:t xml:space="preserve">2021 incrementar nuevamente a 436.031, esto es un crecimiento del 50% respecto al año 2020. </w:t>
      </w:r>
    </w:p>
    <w:p w14:paraId="6247B384" w14:textId="73BEB5AD" w:rsidR="008C5F39" w:rsidRPr="008D46B7" w:rsidRDefault="008C5F39" w:rsidP="00921E3F">
      <w:pPr>
        <w:widowControl w:val="0"/>
        <w:autoSpaceDE w:val="0"/>
        <w:autoSpaceDN w:val="0"/>
        <w:adjustRightInd w:val="0"/>
        <w:jc w:val="both"/>
        <w:rPr>
          <w:rFonts w:ascii="Arial" w:eastAsia="Arial" w:hAnsi="Arial" w:cs="Arial"/>
        </w:rPr>
      </w:pPr>
    </w:p>
    <w:p w14:paraId="43EB07CB" w14:textId="77777777" w:rsidR="008C5F39" w:rsidRPr="008D46B7" w:rsidRDefault="008C5F39" w:rsidP="00921E3F">
      <w:pPr>
        <w:widowControl w:val="0"/>
        <w:autoSpaceDE w:val="0"/>
        <w:autoSpaceDN w:val="0"/>
        <w:adjustRightInd w:val="0"/>
        <w:jc w:val="both"/>
        <w:rPr>
          <w:rFonts w:ascii="Arial" w:hAnsi="Arial" w:cs="Arial"/>
          <w:noProof/>
          <w:lang w:eastAsia="es-CO"/>
        </w:rPr>
      </w:pPr>
    </w:p>
    <w:p w14:paraId="764CAF2C" w14:textId="3B5150D7" w:rsidR="008C5F39" w:rsidRPr="008D46B7" w:rsidRDefault="008C5F39" w:rsidP="00921E3F">
      <w:pPr>
        <w:widowControl w:val="0"/>
        <w:autoSpaceDE w:val="0"/>
        <w:autoSpaceDN w:val="0"/>
        <w:adjustRightInd w:val="0"/>
        <w:jc w:val="both"/>
        <w:rPr>
          <w:rFonts w:ascii="Arial" w:eastAsia="Arial" w:hAnsi="Arial" w:cs="Arial"/>
        </w:rPr>
      </w:pPr>
      <w:r w:rsidRPr="008D46B7">
        <w:rPr>
          <w:rFonts w:ascii="Arial" w:hAnsi="Arial" w:cs="Arial"/>
          <w:noProof/>
          <w:lang w:eastAsia="es-CO"/>
        </w:rPr>
        <w:drawing>
          <wp:inline distT="0" distB="0" distL="0" distR="0" wp14:anchorId="09CBDE35" wp14:editId="0378AF99">
            <wp:extent cx="5238355" cy="238125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183" t="20226" r="10047" b="7023"/>
                    <a:stretch/>
                  </pic:blipFill>
                  <pic:spPr bwMode="auto">
                    <a:xfrm>
                      <a:off x="0" y="0"/>
                      <a:ext cx="5254177" cy="2388442"/>
                    </a:xfrm>
                    <a:prstGeom prst="rect">
                      <a:avLst/>
                    </a:prstGeom>
                    <a:ln>
                      <a:noFill/>
                    </a:ln>
                    <a:extLst>
                      <a:ext uri="{53640926-AAD7-44D8-BBD7-CCE9431645EC}">
                        <a14:shadowObscured xmlns:a14="http://schemas.microsoft.com/office/drawing/2010/main"/>
                      </a:ext>
                    </a:extLst>
                  </pic:spPr>
                </pic:pic>
              </a:graphicData>
            </a:graphic>
          </wp:inline>
        </w:drawing>
      </w:r>
    </w:p>
    <w:p w14:paraId="399718F4" w14:textId="314F252B" w:rsidR="008C5F39" w:rsidRPr="008D46B7" w:rsidRDefault="008C5F39" w:rsidP="00921E3F">
      <w:pPr>
        <w:widowControl w:val="0"/>
        <w:autoSpaceDE w:val="0"/>
        <w:autoSpaceDN w:val="0"/>
        <w:adjustRightInd w:val="0"/>
        <w:jc w:val="both"/>
        <w:rPr>
          <w:rFonts w:ascii="Arial" w:eastAsia="Arial" w:hAnsi="Arial" w:cs="Arial"/>
        </w:rPr>
      </w:pPr>
      <w:r w:rsidRPr="008D46B7">
        <w:rPr>
          <w:rFonts w:ascii="Arial" w:eastAsia="Arial" w:hAnsi="Arial" w:cs="Arial"/>
        </w:rPr>
        <w:t>(Estadísticas: Corte Constitucional)</w:t>
      </w:r>
    </w:p>
    <w:p w14:paraId="5405DD74" w14:textId="4451A9E1" w:rsidR="0084099D" w:rsidRPr="008D46B7" w:rsidRDefault="0084099D" w:rsidP="00921E3F">
      <w:pPr>
        <w:widowControl w:val="0"/>
        <w:autoSpaceDE w:val="0"/>
        <w:autoSpaceDN w:val="0"/>
        <w:adjustRightInd w:val="0"/>
        <w:jc w:val="both"/>
        <w:rPr>
          <w:rFonts w:ascii="Arial" w:eastAsia="Arial" w:hAnsi="Arial" w:cs="Arial"/>
        </w:rPr>
      </w:pPr>
      <w:r w:rsidRPr="008D46B7">
        <w:rPr>
          <w:rFonts w:ascii="Arial" w:eastAsia="Arial" w:hAnsi="Arial" w:cs="Arial"/>
        </w:rPr>
        <w:t xml:space="preserve"> </w:t>
      </w:r>
    </w:p>
    <w:p w14:paraId="3256679F" w14:textId="55E1C78D" w:rsidR="008C5F39" w:rsidRPr="008D46B7" w:rsidRDefault="008C5F39" w:rsidP="00921E3F">
      <w:pPr>
        <w:widowControl w:val="0"/>
        <w:autoSpaceDE w:val="0"/>
        <w:autoSpaceDN w:val="0"/>
        <w:adjustRightInd w:val="0"/>
        <w:jc w:val="both"/>
        <w:rPr>
          <w:rFonts w:ascii="Arial" w:eastAsia="Arial" w:hAnsi="Arial" w:cs="Arial"/>
        </w:rPr>
      </w:pPr>
      <w:r w:rsidRPr="008D46B7">
        <w:rPr>
          <w:rFonts w:ascii="Arial" w:eastAsia="Arial" w:hAnsi="Arial" w:cs="Arial"/>
        </w:rPr>
        <w:t>Para el 2021, Bogotá fue la ciudad donde más tutelas fueron radicadas, con una cifra de 97.974 tutelas, seguida por el Medellín y Cali. Tunja ocupa el puesto 17 con un to</w:t>
      </w:r>
      <w:r w:rsidR="00743EFB" w:rsidRPr="008D46B7">
        <w:rPr>
          <w:rFonts w:ascii="Arial" w:eastAsia="Arial" w:hAnsi="Arial" w:cs="Arial"/>
        </w:rPr>
        <w:t xml:space="preserve">tal de 5.222 tutelas radicadas. En cuanto a departamentos, Bogotá D.C, Antioquia y Valle del Cauca igualmente lideran, y Boyacá ocupa el puesto 13 con 9.493 tutelas. </w:t>
      </w:r>
    </w:p>
    <w:p w14:paraId="51B14623" w14:textId="18DC855C" w:rsidR="00743EFB" w:rsidRPr="008D46B7" w:rsidRDefault="00743EFB" w:rsidP="00921E3F">
      <w:pPr>
        <w:widowControl w:val="0"/>
        <w:autoSpaceDE w:val="0"/>
        <w:autoSpaceDN w:val="0"/>
        <w:adjustRightInd w:val="0"/>
        <w:jc w:val="both"/>
        <w:rPr>
          <w:rFonts w:ascii="Arial" w:eastAsia="Arial" w:hAnsi="Arial" w:cs="Arial"/>
        </w:rPr>
      </w:pPr>
    </w:p>
    <w:p w14:paraId="5EF4C953" w14:textId="5F73124F" w:rsidR="00743EFB" w:rsidRPr="008D46B7" w:rsidRDefault="00743EFB" w:rsidP="00921E3F">
      <w:pPr>
        <w:widowControl w:val="0"/>
        <w:autoSpaceDE w:val="0"/>
        <w:autoSpaceDN w:val="0"/>
        <w:adjustRightInd w:val="0"/>
        <w:jc w:val="both"/>
        <w:rPr>
          <w:rFonts w:ascii="Arial" w:eastAsia="Arial" w:hAnsi="Arial" w:cs="Arial"/>
        </w:rPr>
      </w:pPr>
      <w:r w:rsidRPr="008D46B7">
        <w:rPr>
          <w:rFonts w:ascii="Arial" w:hAnsi="Arial" w:cs="Arial"/>
          <w:noProof/>
          <w:lang w:eastAsia="es-CO"/>
        </w:rPr>
        <w:drawing>
          <wp:inline distT="0" distB="0" distL="0" distR="0" wp14:anchorId="2935EAD6" wp14:editId="3D7BA2EC">
            <wp:extent cx="3581400" cy="257479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976" t="20829" r="34657" b="5816"/>
                    <a:stretch/>
                  </pic:blipFill>
                  <pic:spPr bwMode="auto">
                    <a:xfrm>
                      <a:off x="0" y="0"/>
                      <a:ext cx="3590660" cy="2581450"/>
                    </a:xfrm>
                    <a:prstGeom prst="rect">
                      <a:avLst/>
                    </a:prstGeom>
                    <a:ln>
                      <a:noFill/>
                    </a:ln>
                    <a:extLst>
                      <a:ext uri="{53640926-AAD7-44D8-BBD7-CCE9431645EC}">
                        <a14:shadowObscured xmlns:a14="http://schemas.microsoft.com/office/drawing/2010/main"/>
                      </a:ext>
                    </a:extLst>
                  </pic:spPr>
                </pic:pic>
              </a:graphicData>
            </a:graphic>
          </wp:inline>
        </w:drawing>
      </w:r>
    </w:p>
    <w:p w14:paraId="7F772AB8" w14:textId="77777777" w:rsidR="00743EFB" w:rsidRPr="008D46B7" w:rsidRDefault="00743EFB" w:rsidP="00743EFB">
      <w:pPr>
        <w:widowControl w:val="0"/>
        <w:autoSpaceDE w:val="0"/>
        <w:autoSpaceDN w:val="0"/>
        <w:adjustRightInd w:val="0"/>
        <w:jc w:val="both"/>
        <w:rPr>
          <w:rFonts w:ascii="Arial" w:eastAsia="Arial" w:hAnsi="Arial" w:cs="Arial"/>
        </w:rPr>
      </w:pPr>
      <w:r w:rsidRPr="008D46B7">
        <w:rPr>
          <w:rFonts w:ascii="Arial" w:eastAsia="Arial" w:hAnsi="Arial" w:cs="Arial"/>
        </w:rPr>
        <w:t>(Estadísticas: Corte Constitucional)</w:t>
      </w:r>
    </w:p>
    <w:p w14:paraId="5C924A46" w14:textId="0702FF3F" w:rsidR="00743EFB" w:rsidRPr="008D46B7" w:rsidRDefault="00743EFB" w:rsidP="00921E3F">
      <w:pPr>
        <w:widowControl w:val="0"/>
        <w:autoSpaceDE w:val="0"/>
        <w:autoSpaceDN w:val="0"/>
        <w:adjustRightInd w:val="0"/>
        <w:jc w:val="both"/>
        <w:rPr>
          <w:rFonts w:ascii="Arial" w:eastAsia="Arial" w:hAnsi="Arial" w:cs="Arial"/>
        </w:rPr>
      </w:pPr>
      <w:r w:rsidRPr="008D46B7">
        <w:rPr>
          <w:rFonts w:ascii="Arial" w:eastAsia="Arial" w:hAnsi="Arial" w:cs="Arial"/>
        </w:rPr>
        <w:lastRenderedPageBreak/>
        <w:t xml:space="preserve">Para ese mismo año 2021, en cuanto a sentidos del fallo en primera instancia, vemos que el 37.7% de los casos es resuelto a favor del demandante (164.796 casos de primera instancia donde se concede el amparo del derecho), el 26.3% niegan el amparo (115.097 casos de primera instancia donde se niega el amparo), y el restante 35.9% fue resuelto por hecho superado, improcedente, concede parcial o rechaza. La misma tendencia se sigue en los casos que fueron impugnados y resueltos en segunda instancia. </w:t>
      </w:r>
    </w:p>
    <w:p w14:paraId="46B4F8AC" w14:textId="2E61FBCE" w:rsidR="00743EFB" w:rsidRPr="008D46B7" w:rsidRDefault="00743EFB" w:rsidP="00921E3F">
      <w:pPr>
        <w:widowControl w:val="0"/>
        <w:autoSpaceDE w:val="0"/>
        <w:autoSpaceDN w:val="0"/>
        <w:adjustRightInd w:val="0"/>
        <w:jc w:val="both"/>
        <w:rPr>
          <w:rFonts w:ascii="Arial" w:eastAsia="Arial" w:hAnsi="Arial" w:cs="Arial"/>
        </w:rPr>
      </w:pPr>
    </w:p>
    <w:p w14:paraId="36689D47" w14:textId="77777777" w:rsidR="001E795D" w:rsidRPr="008D46B7" w:rsidRDefault="001E795D" w:rsidP="00921E3F">
      <w:pPr>
        <w:widowControl w:val="0"/>
        <w:autoSpaceDE w:val="0"/>
        <w:autoSpaceDN w:val="0"/>
        <w:adjustRightInd w:val="0"/>
        <w:jc w:val="both"/>
        <w:rPr>
          <w:rFonts w:ascii="Arial" w:hAnsi="Arial" w:cs="Arial"/>
          <w:noProof/>
          <w:lang w:eastAsia="es-CO"/>
        </w:rPr>
      </w:pPr>
    </w:p>
    <w:p w14:paraId="0005CE81" w14:textId="724E06D2" w:rsidR="001E795D" w:rsidRPr="008D46B7" w:rsidRDefault="001E795D" w:rsidP="00921E3F">
      <w:pPr>
        <w:widowControl w:val="0"/>
        <w:autoSpaceDE w:val="0"/>
        <w:autoSpaceDN w:val="0"/>
        <w:adjustRightInd w:val="0"/>
        <w:jc w:val="both"/>
        <w:rPr>
          <w:rFonts w:ascii="Arial" w:eastAsia="Arial" w:hAnsi="Arial" w:cs="Arial"/>
        </w:rPr>
      </w:pPr>
      <w:r w:rsidRPr="008D46B7">
        <w:rPr>
          <w:rFonts w:ascii="Arial" w:hAnsi="Arial" w:cs="Arial"/>
          <w:noProof/>
          <w:lang w:eastAsia="es-CO"/>
        </w:rPr>
        <w:drawing>
          <wp:inline distT="0" distB="0" distL="0" distR="0" wp14:anchorId="4F40A8FC" wp14:editId="56086EA7">
            <wp:extent cx="3986530" cy="268769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729" t="23848" r="34657" b="13061"/>
                    <a:stretch/>
                  </pic:blipFill>
                  <pic:spPr bwMode="auto">
                    <a:xfrm>
                      <a:off x="0" y="0"/>
                      <a:ext cx="3987270" cy="2688192"/>
                    </a:xfrm>
                    <a:prstGeom prst="rect">
                      <a:avLst/>
                    </a:prstGeom>
                    <a:ln>
                      <a:noFill/>
                    </a:ln>
                    <a:extLst>
                      <a:ext uri="{53640926-AAD7-44D8-BBD7-CCE9431645EC}">
                        <a14:shadowObscured xmlns:a14="http://schemas.microsoft.com/office/drawing/2010/main"/>
                      </a:ext>
                    </a:extLst>
                  </pic:spPr>
                </pic:pic>
              </a:graphicData>
            </a:graphic>
          </wp:inline>
        </w:drawing>
      </w:r>
    </w:p>
    <w:p w14:paraId="6EE99B08" w14:textId="77777777" w:rsidR="001E795D" w:rsidRPr="008D46B7" w:rsidRDefault="001E795D" w:rsidP="001E795D">
      <w:pPr>
        <w:widowControl w:val="0"/>
        <w:autoSpaceDE w:val="0"/>
        <w:autoSpaceDN w:val="0"/>
        <w:adjustRightInd w:val="0"/>
        <w:jc w:val="both"/>
        <w:rPr>
          <w:rFonts w:ascii="Arial" w:eastAsia="Arial" w:hAnsi="Arial" w:cs="Arial"/>
        </w:rPr>
      </w:pPr>
      <w:r w:rsidRPr="008D46B7">
        <w:rPr>
          <w:rFonts w:ascii="Arial" w:eastAsia="Arial" w:hAnsi="Arial" w:cs="Arial"/>
        </w:rPr>
        <w:t>(Estadísticas: Corte Constitucional)</w:t>
      </w:r>
    </w:p>
    <w:p w14:paraId="69AFE22A" w14:textId="14BB02A0" w:rsidR="0084099D" w:rsidRPr="008D46B7" w:rsidRDefault="0084099D" w:rsidP="00921E3F">
      <w:pPr>
        <w:widowControl w:val="0"/>
        <w:autoSpaceDE w:val="0"/>
        <w:autoSpaceDN w:val="0"/>
        <w:adjustRightInd w:val="0"/>
        <w:jc w:val="both"/>
        <w:rPr>
          <w:rFonts w:ascii="Arial" w:eastAsia="Arial" w:hAnsi="Arial" w:cs="Arial"/>
        </w:rPr>
      </w:pPr>
    </w:p>
    <w:p w14:paraId="656067C0" w14:textId="3E79105C" w:rsidR="001E795D" w:rsidRPr="008D46B7" w:rsidRDefault="001E795D" w:rsidP="00921E3F">
      <w:pPr>
        <w:widowControl w:val="0"/>
        <w:autoSpaceDE w:val="0"/>
        <w:autoSpaceDN w:val="0"/>
        <w:adjustRightInd w:val="0"/>
        <w:jc w:val="both"/>
        <w:rPr>
          <w:rFonts w:ascii="Arial" w:eastAsia="Arial" w:hAnsi="Arial" w:cs="Arial"/>
        </w:rPr>
      </w:pPr>
    </w:p>
    <w:p w14:paraId="0732A871" w14:textId="62CBA103" w:rsidR="001E795D" w:rsidRPr="008D46B7" w:rsidRDefault="00E072E0" w:rsidP="00921E3F">
      <w:pPr>
        <w:widowControl w:val="0"/>
        <w:autoSpaceDE w:val="0"/>
        <w:autoSpaceDN w:val="0"/>
        <w:adjustRightInd w:val="0"/>
        <w:jc w:val="both"/>
        <w:rPr>
          <w:rFonts w:ascii="Arial" w:hAnsi="Arial" w:cs="Arial"/>
          <w:noProof/>
          <w:lang w:eastAsia="es-CO"/>
        </w:rPr>
      </w:pPr>
      <w:r w:rsidRPr="008D46B7">
        <w:rPr>
          <w:rFonts w:ascii="Arial" w:hAnsi="Arial" w:cs="Arial"/>
          <w:noProof/>
          <w:lang w:eastAsia="es-CO"/>
        </w:rPr>
        <w:t xml:space="preserve">Al igual que otros años, para el 2021 el derecho más invocado por lo colombianos fue el de petición (217.025 acciones de tutela), seguido por el derecho a la salud (88.133) de los cuales 28.377 fueron solicitando autorización o practica oportuna de procedimientos medicos, debido proceso (72.984), minimo vital (36.317), vida (27.705). </w:t>
      </w:r>
    </w:p>
    <w:p w14:paraId="4475DB11" w14:textId="437107A6" w:rsidR="00E072E0" w:rsidRPr="008D46B7" w:rsidRDefault="001E795D" w:rsidP="00921E3F">
      <w:pPr>
        <w:widowControl w:val="0"/>
        <w:autoSpaceDE w:val="0"/>
        <w:autoSpaceDN w:val="0"/>
        <w:adjustRightInd w:val="0"/>
        <w:jc w:val="both"/>
        <w:rPr>
          <w:rFonts w:ascii="Arial" w:hAnsi="Arial" w:cs="Arial"/>
          <w:noProof/>
          <w:lang w:eastAsia="es-CO"/>
        </w:rPr>
      </w:pPr>
      <w:r w:rsidRPr="008D46B7">
        <w:rPr>
          <w:rFonts w:ascii="Arial" w:hAnsi="Arial" w:cs="Arial"/>
          <w:noProof/>
          <w:lang w:eastAsia="es-CO"/>
        </w:rPr>
        <w:lastRenderedPageBreak/>
        <w:drawing>
          <wp:inline distT="0" distB="0" distL="0" distR="0" wp14:anchorId="54B62722" wp14:editId="189F7326">
            <wp:extent cx="3124200" cy="18383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183" t="23546" r="34148" b="18193"/>
                    <a:stretch/>
                  </pic:blipFill>
                  <pic:spPr bwMode="auto">
                    <a:xfrm>
                      <a:off x="0" y="0"/>
                      <a:ext cx="3124200" cy="1838325"/>
                    </a:xfrm>
                    <a:prstGeom prst="rect">
                      <a:avLst/>
                    </a:prstGeom>
                    <a:ln>
                      <a:noFill/>
                    </a:ln>
                    <a:extLst>
                      <a:ext uri="{53640926-AAD7-44D8-BBD7-CCE9431645EC}">
                        <a14:shadowObscured xmlns:a14="http://schemas.microsoft.com/office/drawing/2010/main"/>
                      </a:ext>
                    </a:extLst>
                  </pic:spPr>
                </pic:pic>
              </a:graphicData>
            </a:graphic>
          </wp:inline>
        </w:drawing>
      </w:r>
    </w:p>
    <w:p w14:paraId="623F4AE9" w14:textId="784E6C50" w:rsidR="00E072E0" w:rsidRPr="008D46B7" w:rsidRDefault="00E072E0" w:rsidP="00921E3F">
      <w:pPr>
        <w:widowControl w:val="0"/>
        <w:autoSpaceDE w:val="0"/>
        <w:autoSpaceDN w:val="0"/>
        <w:adjustRightInd w:val="0"/>
        <w:jc w:val="both"/>
        <w:rPr>
          <w:rFonts w:ascii="Arial" w:hAnsi="Arial" w:cs="Arial"/>
          <w:noProof/>
          <w:lang w:eastAsia="es-CO"/>
        </w:rPr>
      </w:pPr>
    </w:p>
    <w:p w14:paraId="19A5A4D4" w14:textId="6EE0C9CA" w:rsidR="00E072E0" w:rsidRPr="008D46B7" w:rsidRDefault="00E072E0" w:rsidP="00E072E0">
      <w:pPr>
        <w:widowControl w:val="0"/>
        <w:autoSpaceDE w:val="0"/>
        <w:autoSpaceDN w:val="0"/>
        <w:adjustRightInd w:val="0"/>
        <w:jc w:val="both"/>
        <w:rPr>
          <w:rFonts w:ascii="Arial" w:hAnsi="Arial" w:cs="Arial"/>
          <w:noProof/>
          <w:lang w:eastAsia="es-CO"/>
        </w:rPr>
      </w:pPr>
      <w:r w:rsidRPr="008D46B7">
        <w:rPr>
          <w:rFonts w:ascii="Arial" w:hAnsi="Arial" w:cs="Arial"/>
          <w:noProof/>
          <w:lang w:eastAsia="es-CO"/>
        </w:rPr>
        <w:t xml:space="preserve">Ese mismo orden se siguió en el departamento de Boyacá, donde por temas de salud se presentaron durante el año 2021 cerca de 1.987 tutelas. Más de 600 personas solicitaron la realización oportuna de procedimientos medicos. </w:t>
      </w:r>
    </w:p>
    <w:p w14:paraId="4E619486" w14:textId="77777777" w:rsidR="00E072E0" w:rsidRPr="008D46B7" w:rsidRDefault="00E072E0" w:rsidP="00E072E0">
      <w:pPr>
        <w:widowControl w:val="0"/>
        <w:autoSpaceDE w:val="0"/>
        <w:autoSpaceDN w:val="0"/>
        <w:adjustRightInd w:val="0"/>
        <w:jc w:val="both"/>
        <w:rPr>
          <w:rFonts w:ascii="Arial" w:hAnsi="Arial" w:cs="Arial"/>
          <w:noProof/>
          <w:lang w:eastAsia="es-CO"/>
        </w:rPr>
      </w:pPr>
    </w:p>
    <w:p w14:paraId="45756A92" w14:textId="0BC94C04" w:rsidR="001E795D" w:rsidRPr="008D46B7" w:rsidRDefault="00E072E0" w:rsidP="00921E3F">
      <w:pPr>
        <w:widowControl w:val="0"/>
        <w:autoSpaceDE w:val="0"/>
        <w:autoSpaceDN w:val="0"/>
        <w:adjustRightInd w:val="0"/>
        <w:jc w:val="both"/>
        <w:rPr>
          <w:rFonts w:ascii="Arial" w:eastAsia="Arial" w:hAnsi="Arial" w:cs="Arial"/>
        </w:rPr>
      </w:pPr>
      <w:r w:rsidRPr="008D46B7">
        <w:rPr>
          <w:rFonts w:ascii="Arial" w:hAnsi="Arial" w:cs="Arial"/>
          <w:noProof/>
          <w:lang w:eastAsia="es-CO"/>
        </w:rPr>
        <w:drawing>
          <wp:inline distT="0" distB="0" distL="0" distR="0" wp14:anchorId="2C52E2D0" wp14:editId="3F21B92A">
            <wp:extent cx="3028492" cy="2150669"/>
            <wp:effectExtent l="0" t="0" r="635"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339" t="19938" r="34692" b="11895"/>
                    <a:stretch/>
                  </pic:blipFill>
                  <pic:spPr bwMode="auto">
                    <a:xfrm>
                      <a:off x="0" y="0"/>
                      <a:ext cx="3028786" cy="2150878"/>
                    </a:xfrm>
                    <a:prstGeom prst="rect">
                      <a:avLst/>
                    </a:prstGeom>
                    <a:ln>
                      <a:noFill/>
                    </a:ln>
                    <a:extLst>
                      <a:ext uri="{53640926-AAD7-44D8-BBD7-CCE9431645EC}">
                        <a14:shadowObscured xmlns:a14="http://schemas.microsoft.com/office/drawing/2010/main"/>
                      </a:ext>
                    </a:extLst>
                  </pic:spPr>
                </pic:pic>
              </a:graphicData>
            </a:graphic>
          </wp:inline>
        </w:drawing>
      </w:r>
    </w:p>
    <w:p w14:paraId="50EE8A64" w14:textId="77777777" w:rsidR="001E795D" w:rsidRPr="008D46B7" w:rsidRDefault="001E795D" w:rsidP="001E795D">
      <w:pPr>
        <w:widowControl w:val="0"/>
        <w:autoSpaceDE w:val="0"/>
        <w:autoSpaceDN w:val="0"/>
        <w:adjustRightInd w:val="0"/>
        <w:jc w:val="both"/>
        <w:rPr>
          <w:rFonts w:ascii="Arial" w:eastAsia="Arial" w:hAnsi="Arial" w:cs="Arial"/>
        </w:rPr>
      </w:pPr>
      <w:r w:rsidRPr="008D46B7">
        <w:rPr>
          <w:rFonts w:ascii="Arial" w:eastAsia="Arial" w:hAnsi="Arial" w:cs="Arial"/>
        </w:rPr>
        <w:t>(Estadísticas: Corte Constitucional)</w:t>
      </w:r>
    </w:p>
    <w:p w14:paraId="3BD92707" w14:textId="77777777" w:rsidR="001E795D" w:rsidRPr="008D46B7" w:rsidRDefault="001E795D" w:rsidP="00921E3F">
      <w:pPr>
        <w:widowControl w:val="0"/>
        <w:autoSpaceDE w:val="0"/>
        <w:autoSpaceDN w:val="0"/>
        <w:adjustRightInd w:val="0"/>
        <w:jc w:val="both"/>
        <w:rPr>
          <w:rFonts w:ascii="Arial" w:eastAsia="Arial" w:hAnsi="Arial" w:cs="Arial"/>
        </w:rPr>
      </w:pPr>
    </w:p>
    <w:p w14:paraId="4664AF0E" w14:textId="77777777" w:rsidR="00921E3F" w:rsidRPr="008D46B7" w:rsidRDefault="00921E3F" w:rsidP="00921E3F">
      <w:pPr>
        <w:pStyle w:val="Prrafodelista"/>
        <w:numPr>
          <w:ilvl w:val="1"/>
          <w:numId w:val="8"/>
        </w:numPr>
        <w:jc w:val="both"/>
        <w:rPr>
          <w:rFonts w:ascii="Arial" w:eastAsia="Arial" w:hAnsi="Arial" w:cs="Arial"/>
        </w:rPr>
      </w:pPr>
      <w:r w:rsidRPr="008D46B7">
        <w:rPr>
          <w:rFonts w:ascii="Arial" w:eastAsia="Arial" w:hAnsi="Arial" w:cs="Arial"/>
        </w:rPr>
        <w:t>La necesidad de sancionar la reincidencia para que el régimen de la acción de tutela pueda cumplir su función de dirigir la conducta de sus destinatarios</w:t>
      </w:r>
    </w:p>
    <w:p w14:paraId="1F9C8AA6" w14:textId="77777777" w:rsidR="00921E3F" w:rsidRPr="008D46B7" w:rsidRDefault="00921E3F" w:rsidP="00921E3F">
      <w:pPr>
        <w:jc w:val="both"/>
        <w:rPr>
          <w:rFonts w:ascii="Arial" w:hAnsi="Arial" w:cs="Arial"/>
        </w:rPr>
      </w:pPr>
    </w:p>
    <w:p w14:paraId="537FBE9F" w14:textId="77777777" w:rsidR="00921E3F" w:rsidRPr="008D46B7" w:rsidRDefault="00921E3F" w:rsidP="00921E3F">
      <w:pPr>
        <w:jc w:val="both"/>
        <w:rPr>
          <w:rFonts w:ascii="Arial" w:hAnsi="Arial" w:cs="Arial"/>
        </w:rPr>
      </w:pPr>
      <w:r w:rsidRPr="008D46B7">
        <w:rPr>
          <w:rFonts w:ascii="Arial" w:hAnsi="Arial" w:cs="Arial"/>
        </w:rPr>
        <w:t>Con base en lo señalado en el punto anterior, la acción de tutela ha sufrido una desnaturalización y requiere un ajuste, principalmente porque: (i) está generándose una situación perversa, pues se ha convertido en el método cotidiano para acceder a derechos básicos como el suministro de medicamentos, tratamientos de salud o pensiones, y (ii) ello ha redundado en perjuicio de la eficiencia del sistema judicial en los pleitos comunes, pues los jueces tienen que dedicar buena parte de su tiempo a resolver múltiples demandas de tutela fundadas en hechos de caracteres idénticos en los que generalmente está comprometido el mismo accionado.</w:t>
      </w:r>
    </w:p>
    <w:p w14:paraId="66C0BC11" w14:textId="77777777" w:rsidR="00921E3F" w:rsidRPr="008D46B7" w:rsidRDefault="00921E3F" w:rsidP="00921E3F">
      <w:pPr>
        <w:jc w:val="both"/>
        <w:rPr>
          <w:rFonts w:ascii="Arial" w:hAnsi="Arial" w:cs="Arial"/>
        </w:rPr>
      </w:pPr>
    </w:p>
    <w:p w14:paraId="0AFBBE02" w14:textId="77777777" w:rsidR="00921E3F" w:rsidRPr="008D46B7" w:rsidRDefault="00921E3F" w:rsidP="00921E3F">
      <w:pPr>
        <w:jc w:val="both"/>
        <w:rPr>
          <w:rFonts w:ascii="Arial" w:hAnsi="Arial" w:cs="Arial"/>
        </w:rPr>
      </w:pPr>
      <w:r w:rsidRPr="008D46B7">
        <w:rPr>
          <w:rFonts w:ascii="Arial" w:hAnsi="Arial" w:cs="Arial"/>
        </w:rPr>
        <w:lastRenderedPageBreak/>
        <w:t>Por lo tanto, este proyecto de ley estatutaria propone generar una consecuencia jurídica rigurosa a quienes, aprovechándose del sistema, reincidan en la vulneración de los derechos fundamentales de los ciudadanos. Para eso, se propone abrir la puerta al juez constitucional para que en el fallo de tutela pueda castigar al accionado que, burlando el sistema, reincida en la violación del mismo derecho fundamental mediante actos idénticos.</w:t>
      </w:r>
    </w:p>
    <w:p w14:paraId="76B5006E" w14:textId="77777777" w:rsidR="00921E3F" w:rsidRPr="008D46B7" w:rsidRDefault="00921E3F" w:rsidP="00921E3F">
      <w:pPr>
        <w:jc w:val="both"/>
        <w:rPr>
          <w:rFonts w:ascii="Arial" w:hAnsi="Arial" w:cs="Arial"/>
        </w:rPr>
      </w:pPr>
    </w:p>
    <w:p w14:paraId="18DE7486" w14:textId="77777777" w:rsidR="00921E3F" w:rsidRPr="008D46B7" w:rsidRDefault="00921E3F" w:rsidP="00921E3F">
      <w:pPr>
        <w:jc w:val="both"/>
        <w:rPr>
          <w:rFonts w:ascii="Arial" w:hAnsi="Arial" w:cs="Arial"/>
        </w:rPr>
      </w:pPr>
      <w:r w:rsidRPr="008D46B7">
        <w:rPr>
          <w:rFonts w:ascii="Arial" w:hAnsi="Arial" w:cs="Arial"/>
        </w:rPr>
        <w:t>La medida que se propone arranca de la consideración de que, para dirigir la conducta de sus destinatarios, el derecho debe contemplar medidas sancionatorias disuasivas.  Como lo advierte el profesor Jordi Ferrer Beltrán:</w:t>
      </w:r>
    </w:p>
    <w:p w14:paraId="2928F633" w14:textId="77777777" w:rsidR="00921E3F" w:rsidRPr="008D46B7" w:rsidRDefault="00921E3F" w:rsidP="00921E3F">
      <w:pPr>
        <w:jc w:val="both"/>
        <w:rPr>
          <w:rFonts w:ascii="Arial" w:hAnsi="Arial" w:cs="Arial"/>
        </w:rPr>
      </w:pPr>
    </w:p>
    <w:p w14:paraId="2379BAE0" w14:textId="77777777" w:rsidR="00921E3F" w:rsidRPr="008D46B7" w:rsidRDefault="00921E3F" w:rsidP="00921E3F">
      <w:pPr>
        <w:ind w:left="360"/>
        <w:jc w:val="both"/>
        <w:rPr>
          <w:rFonts w:ascii="Arial" w:hAnsi="Arial" w:cs="Arial"/>
        </w:rPr>
      </w:pPr>
      <w:r w:rsidRPr="008D46B7">
        <w:rPr>
          <w:rFonts w:ascii="Arial" w:hAnsi="Arial" w:cs="Arial"/>
        </w:rPr>
        <w:t xml:space="preserve">“Si se asume que una de las funciones principales del derecho es dirigir la conducta de sus destinatarios, se da por supuesto que lo que pretende el legislador al dictar normas jurídicas prescriptivas es que sus destinatarios realicen o se abstengan de realizar determinadas conductas (por ejemplo, pagar impuestos, no robar, etcétera). Para conseguir motivar la conducta, el legislador suele añadir la amenaza de una sanción para quien no cumpla con la conducta prescrita. Pero para que ello resulte efectivo, los sistemas jurídicos desarrollados prevén la existencia de órganos específicos (jueces y tribunales), cuya función principal es la determinación de la ocurrencia de estos hechos a los que el derecho vincula consecuencias jurídicas y la imposición de esas consecuencias a los sujetos previstos por el propio derecho. </w:t>
      </w:r>
    </w:p>
    <w:p w14:paraId="1002EDA2" w14:textId="77777777" w:rsidR="00921E3F" w:rsidRPr="008D46B7" w:rsidRDefault="00921E3F" w:rsidP="00921E3F">
      <w:pPr>
        <w:jc w:val="both"/>
        <w:rPr>
          <w:rFonts w:ascii="Arial" w:hAnsi="Arial" w:cs="Arial"/>
        </w:rPr>
      </w:pPr>
    </w:p>
    <w:p w14:paraId="5B63138D" w14:textId="77777777" w:rsidR="00921E3F" w:rsidRPr="008D46B7" w:rsidRDefault="00921E3F" w:rsidP="00921E3F">
      <w:pPr>
        <w:ind w:left="360"/>
        <w:jc w:val="both"/>
        <w:rPr>
          <w:rFonts w:ascii="Arial" w:hAnsi="Arial" w:cs="Arial"/>
        </w:rPr>
      </w:pPr>
      <w:r w:rsidRPr="008D46B7">
        <w:rPr>
          <w:rFonts w:ascii="Arial" w:hAnsi="Arial" w:cs="Arial"/>
        </w:rPr>
        <w:t>Siendo así, resulta claro que, “prima facie, son las descripciones de aquellos hechos las que se deben incorporar al razonamiento judicial a los efectos de la aplicación de las normas. Y, por tanto, esas descripciones y esas normas son las que deben constituir las premisas del razonamiento, a partir de las que se obtenga la resolución o el fallo de la sentencia (…) Sólo si el proceso judicial tiene el objetivo de determinar la verdad de las proposiciones referidas a los hechos probados y en él se utilizan para resolver los casos las normas generales previamente establecidas, el derecho podrá tener éxito como mecanismo pensado para dirigir la conducta de sus destinatarios. El derecho sólo podrá influir en la conducta de los hombres y mujeres para que no se maten si, efectivamente, el proceso cumple la función de averiguar quién mató y le impone la sanción prevista por el derecho”</w:t>
      </w:r>
      <w:r w:rsidRPr="008D46B7">
        <w:rPr>
          <w:rStyle w:val="Refdenotaalpie"/>
          <w:rFonts w:ascii="Arial" w:hAnsi="Arial" w:cs="Arial"/>
        </w:rPr>
        <w:footnoteReference w:id="16"/>
      </w:r>
      <w:r w:rsidRPr="008D46B7">
        <w:rPr>
          <w:rFonts w:ascii="Arial" w:hAnsi="Arial" w:cs="Arial"/>
        </w:rPr>
        <w:t xml:space="preserve">. </w:t>
      </w:r>
    </w:p>
    <w:p w14:paraId="02F1EECE" w14:textId="77777777" w:rsidR="00921E3F" w:rsidRPr="008D46B7" w:rsidRDefault="00921E3F" w:rsidP="00921E3F">
      <w:pPr>
        <w:jc w:val="both"/>
        <w:rPr>
          <w:rFonts w:ascii="Arial" w:hAnsi="Arial" w:cs="Arial"/>
        </w:rPr>
      </w:pPr>
    </w:p>
    <w:p w14:paraId="1662FB80" w14:textId="77777777" w:rsidR="00921E3F" w:rsidRPr="008D46B7" w:rsidRDefault="00921E3F" w:rsidP="00921E3F">
      <w:pPr>
        <w:jc w:val="both"/>
        <w:rPr>
          <w:rFonts w:ascii="Arial" w:hAnsi="Arial" w:cs="Arial"/>
        </w:rPr>
      </w:pPr>
      <w:r w:rsidRPr="008D46B7">
        <w:rPr>
          <w:rFonts w:ascii="Arial" w:hAnsi="Arial" w:cs="Arial"/>
        </w:rPr>
        <w:t>En la misma dirección el profesor Rojas Gómez expone:</w:t>
      </w:r>
    </w:p>
    <w:p w14:paraId="6E572CD9" w14:textId="77777777" w:rsidR="00921E3F" w:rsidRPr="008D46B7" w:rsidRDefault="00921E3F" w:rsidP="00921E3F">
      <w:pPr>
        <w:jc w:val="both"/>
        <w:rPr>
          <w:rFonts w:ascii="Arial" w:hAnsi="Arial" w:cs="Arial"/>
        </w:rPr>
      </w:pPr>
    </w:p>
    <w:p w14:paraId="21607F63" w14:textId="77777777" w:rsidR="00921E3F" w:rsidRPr="008D46B7" w:rsidRDefault="00921E3F" w:rsidP="00921E3F">
      <w:pPr>
        <w:suppressAutoHyphens/>
        <w:autoSpaceDE w:val="0"/>
        <w:autoSpaceDN w:val="0"/>
        <w:adjustRightInd w:val="0"/>
        <w:ind w:left="567"/>
        <w:jc w:val="both"/>
        <w:textAlignment w:val="center"/>
        <w:rPr>
          <w:rFonts w:ascii="Arial" w:hAnsi="Arial" w:cs="Arial"/>
          <w:color w:val="000000"/>
          <w:lang w:val="es-ES_tradnl"/>
        </w:rPr>
      </w:pPr>
      <w:r w:rsidRPr="008D46B7">
        <w:rPr>
          <w:rFonts w:ascii="Arial" w:hAnsi="Arial" w:cs="Arial"/>
          <w:color w:val="000000"/>
          <w:lang w:val="es-ES_tradnl"/>
        </w:rPr>
        <w:t>“Lo problemático ahora es establecer de qué depende la obediencia del sistema normativo.  A dicho propósito es bueno reconocer ante todo que las personas acaso tengan menos motivos para infringir las normas cuando las perciben compatibles con sus ideales que cuando las perciben contrarias a estos. En otras palabras, que los asociados acepten el imperio de las normas jurídicas sin cuestionarlas quizás dependa en alguna medida de que ellas se revelen como una interpretación adecuada de los ideales colectivos, es decir, de que luzcan intrínsecamente justas. Por lo tanto, acaso sea más fácil obtener la obediencia espontánea del régimen cuando las normas se muestran intrínsecamente justas que cuando lucen contrarias a los ideales sociales.</w:t>
      </w:r>
    </w:p>
    <w:p w14:paraId="0E03CADD" w14:textId="77777777" w:rsidR="00921E3F" w:rsidRPr="008D46B7" w:rsidRDefault="00921E3F" w:rsidP="00921E3F">
      <w:pPr>
        <w:suppressAutoHyphens/>
        <w:autoSpaceDE w:val="0"/>
        <w:autoSpaceDN w:val="0"/>
        <w:adjustRightInd w:val="0"/>
        <w:ind w:left="567"/>
        <w:jc w:val="both"/>
        <w:textAlignment w:val="center"/>
        <w:rPr>
          <w:rFonts w:ascii="Arial" w:hAnsi="Arial" w:cs="Arial"/>
          <w:color w:val="000000"/>
          <w:lang w:val="es-ES_tradnl"/>
        </w:rPr>
      </w:pPr>
    </w:p>
    <w:p w14:paraId="428A4837" w14:textId="77777777" w:rsidR="00921E3F" w:rsidRPr="008D46B7" w:rsidRDefault="00921E3F" w:rsidP="00921E3F">
      <w:pPr>
        <w:suppressAutoHyphens/>
        <w:autoSpaceDE w:val="0"/>
        <w:autoSpaceDN w:val="0"/>
        <w:adjustRightInd w:val="0"/>
        <w:ind w:left="567"/>
        <w:jc w:val="both"/>
        <w:textAlignment w:val="center"/>
        <w:rPr>
          <w:rFonts w:ascii="Arial" w:hAnsi="Arial" w:cs="Arial"/>
          <w:color w:val="000000"/>
          <w:lang w:val="es-ES_tradnl"/>
        </w:rPr>
      </w:pPr>
      <w:r w:rsidRPr="008D46B7">
        <w:rPr>
          <w:rFonts w:ascii="Arial" w:hAnsi="Arial" w:cs="Arial"/>
          <w:color w:val="000000"/>
          <w:spacing w:val="-5"/>
          <w:lang w:val="es-ES_tradnl"/>
        </w:rPr>
        <w:t>Sin embargo, la justicia que las normas jurídicas exhiban no parece suficiente para asegurar su observancia. Hay que admitir que la infracción de la regla de conducta mantiene cierta aptitud seductora en tanto pueda ofrecer algún beneficio al contraventor o generarle alguna satisfacción.  Y ese eventual provecho que podría alcanzar el infractor puede constituirse en causa eficiente de la inobservancia de las normas, si además de las dificultades comunes para asegurar la obediencia por medio de la coacción, las consecuencias adversas previstas como correlato de la infracción tampoco exhiben la fuerza suficiente para disuadirla.</w:t>
      </w:r>
    </w:p>
    <w:p w14:paraId="4E014E35" w14:textId="77777777" w:rsidR="00921E3F" w:rsidRPr="008D46B7" w:rsidRDefault="00921E3F" w:rsidP="00921E3F">
      <w:pPr>
        <w:suppressAutoHyphens/>
        <w:autoSpaceDE w:val="0"/>
        <w:autoSpaceDN w:val="0"/>
        <w:adjustRightInd w:val="0"/>
        <w:ind w:left="567"/>
        <w:jc w:val="both"/>
        <w:textAlignment w:val="center"/>
        <w:rPr>
          <w:rFonts w:ascii="Arial" w:hAnsi="Arial" w:cs="Arial"/>
          <w:color w:val="000000"/>
          <w:lang w:val="es-ES_tradnl"/>
        </w:rPr>
      </w:pPr>
    </w:p>
    <w:p w14:paraId="23221422" w14:textId="77777777" w:rsidR="00921E3F" w:rsidRPr="008D46B7" w:rsidRDefault="00921E3F" w:rsidP="00921E3F">
      <w:pPr>
        <w:suppressAutoHyphens/>
        <w:autoSpaceDE w:val="0"/>
        <w:autoSpaceDN w:val="0"/>
        <w:adjustRightInd w:val="0"/>
        <w:ind w:left="567"/>
        <w:jc w:val="both"/>
        <w:textAlignment w:val="center"/>
        <w:rPr>
          <w:rFonts w:ascii="Arial" w:hAnsi="Arial" w:cs="Arial"/>
          <w:color w:val="000000"/>
          <w:lang w:val="es-ES_tradnl"/>
        </w:rPr>
      </w:pPr>
      <w:r w:rsidRPr="008D46B7">
        <w:rPr>
          <w:rFonts w:ascii="Arial" w:hAnsi="Arial" w:cs="Arial"/>
          <w:color w:val="000000"/>
          <w:lang w:val="es-ES_tradnl"/>
        </w:rPr>
        <w:t>El poder disuasorio de las consecuencias jurídicas adversas correlativas a la contravención quizás dependa en buena parte de su gravedad o intensidad. No obstante el provecho que el contraventor pueda derivar de la infracción, si las consecuencias jurídicas adversas son de igual o superior intensidad, quizás se abstenga de incurrir en ella. Parece obvio que el individuo sea más proclive a obedecer espontánea y voluntariamente el régimen cuando sabe que de no hacerlo deberá soportar graves consecuencias adversas que cuando advierte que estas son muy leves.</w:t>
      </w:r>
    </w:p>
    <w:p w14:paraId="6D6B1DC3" w14:textId="77777777" w:rsidR="00921E3F" w:rsidRPr="008D46B7" w:rsidRDefault="00921E3F" w:rsidP="00921E3F">
      <w:pPr>
        <w:suppressAutoHyphens/>
        <w:autoSpaceDE w:val="0"/>
        <w:autoSpaceDN w:val="0"/>
        <w:adjustRightInd w:val="0"/>
        <w:ind w:left="567"/>
        <w:jc w:val="both"/>
        <w:textAlignment w:val="center"/>
        <w:rPr>
          <w:rFonts w:ascii="Arial" w:hAnsi="Arial" w:cs="Arial"/>
          <w:color w:val="000000"/>
          <w:lang w:val="es-ES_tradnl"/>
        </w:rPr>
      </w:pPr>
    </w:p>
    <w:p w14:paraId="4161B1A2" w14:textId="77777777" w:rsidR="00921E3F" w:rsidRPr="008D46B7" w:rsidRDefault="00921E3F" w:rsidP="00921E3F">
      <w:pPr>
        <w:suppressAutoHyphens/>
        <w:autoSpaceDE w:val="0"/>
        <w:autoSpaceDN w:val="0"/>
        <w:adjustRightInd w:val="0"/>
        <w:ind w:left="567"/>
        <w:jc w:val="both"/>
        <w:textAlignment w:val="center"/>
        <w:rPr>
          <w:rFonts w:ascii="Arial" w:hAnsi="Arial" w:cs="Arial"/>
          <w:color w:val="000000"/>
          <w:lang w:val="es-ES_tradnl"/>
        </w:rPr>
      </w:pPr>
      <w:r w:rsidRPr="008D46B7">
        <w:rPr>
          <w:rFonts w:ascii="Arial" w:hAnsi="Arial" w:cs="Arial"/>
          <w:color w:val="000000"/>
          <w:lang w:val="es-ES_tradnl"/>
        </w:rPr>
        <w:t xml:space="preserve">Sin embargo, hay que reconocer que aun las consecuencias jurídicas más graves pueden tener escaso poder disuasivo si en el específico contexto el infractor puede abrigar alguna fundada expectativa de que aquellas resulten inaplicadas. </w:t>
      </w:r>
      <w:r w:rsidRPr="008D46B7">
        <w:rPr>
          <w:rFonts w:ascii="Arial" w:hAnsi="Arial" w:cs="Arial"/>
          <w:color w:val="000000"/>
          <w:u w:val="single"/>
          <w:lang w:val="es-ES_tradnl"/>
        </w:rPr>
        <w:t>Las consecuencias previstas solo disuaden al potencial contraventor si gozan de serias posibilidades de realizarse; en tanto se perciban como irrealizables su aptitud disuasiva tiende a desvanecerse.</w:t>
      </w:r>
      <w:r w:rsidRPr="008D46B7">
        <w:rPr>
          <w:rFonts w:ascii="Arial" w:hAnsi="Arial" w:cs="Arial"/>
          <w:color w:val="000000"/>
          <w:lang w:val="es-ES_tradnl"/>
        </w:rPr>
        <w:t xml:space="preserve"> </w:t>
      </w:r>
    </w:p>
    <w:p w14:paraId="5BE86DFD" w14:textId="77777777" w:rsidR="00921E3F" w:rsidRPr="008D46B7" w:rsidRDefault="00921E3F" w:rsidP="00921E3F">
      <w:pPr>
        <w:suppressAutoHyphens/>
        <w:autoSpaceDE w:val="0"/>
        <w:autoSpaceDN w:val="0"/>
        <w:adjustRightInd w:val="0"/>
        <w:ind w:left="567"/>
        <w:jc w:val="both"/>
        <w:textAlignment w:val="center"/>
        <w:rPr>
          <w:rFonts w:ascii="Arial" w:hAnsi="Arial" w:cs="Arial"/>
          <w:color w:val="000000"/>
          <w:lang w:val="es-ES_tradnl"/>
        </w:rPr>
      </w:pPr>
    </w:p>
    <w:p w14:paraId="7ED07074" w14:textId="77777777" w:rsidR="00921E3F" w:rsidRPr="008D46B7" w:rsidRDefault="00921E3F" w:rsidP="00921E3F">
      <w:pPr>
        <w:suppressAutoHyphens/>
        <w:autoSpaceDE w:val="0"/>
        <w:autoSpaceDN w:val="0"/>
        <w:adjustRightInd w:val="0"/>
        <w:ind w:left="567"/>
        <w:jc w:val="both"/>
        <w:textAlignment w:val="center"/>
        <w:rPr>
          <w:rFonts w:ascii="Arial" w:hAnsi="Arial" w:cs="Arial"/>
          <w:color w:val="000000"/>
          <w:lang w:val="es-ES_tradnl"/>
        </w:rPr>
      </w:pPr>
      <w:r w:rsidRPr="008D46B7">
        <w:rPr>
          <w:rFonts w:ascii="Arial" w:hAnsi="Arial" w:cs="Arial"/>
          <w:color w:val="000000"/>
          <w:lang w:val="es-ES_tradnl"/>
        </w:rPr>
        <w:t xml:space="preserve">Acaso el individuo esté más dispuesto a obedecer espontáneamente el orden establecido si tiene la seguridad de que las consecuencias adversas por la inobservancia indefectiblemente se producirán. Escasa sería, en cambio, la propensión a cumplir las normas, si el sujeto supiera que difícilmente podrán </w:t>
      </w:r>
      <w:r w:rsidRPr="008D46B7">
        <w:rPr>
          <w:rFonts w:ascii="Arial" w:hAnsi="Arial" w:cs="Arial"/>
          <w:color w:val="000000"/>
          <w:lang w:val="es-ES_tradnl"/>
        </w:rPr>
        <w:lastRenderedPageBreak/>
        <w:t>ser aplicadas las consecuencias adversas correlativas a la contravención” (subrayado por fuera del texto)</w:t>
      </w:r>
      <w:r w:rsidRPr="008D46B7">
        <w:rPr>
          <w:rStyle w:val="Refdenotaalpie"/>
          <w:rFonts w:ascii="Arial" w:hAnsi="Arial" w:cs="Arial"/>
          <w:color w:val="000000"/>
          <w:lang w:val="es-ES_tradnl"/>
        </w:rPr>
        <w:footnoteReference w:id="17"/>
      </w:r>
      <w:r w:rsidRPr="008D46B7">
        <w:rPr>
          <w:rFonts w:ascii="Arial" w:hAnsi="Arial" w:cs="Arial"/>
          <w:color w:val="000000"/>
          <w:lang w:val="es-ES_tradnl"/>
        </w:rPr>
        <w:t>.</w:t>
      </w:r>
    </w:p>
    <w:p w14:paraId="1D770169" w14:textId="77777777" w:rsidR="00921E3F" w:rsidRPr="008D46B7" w:rsidRDefault="00921E3F" w:rsidP="00921E3F">
      <w:pPr>
        <w:jc w:val="both"/>
        <w:rPr>
          <w:rFonts w:ascii="Arial" w:hAnsi="Arial" w:cs="Arial"/>
        </w:rPr>
      </w:pPr>
    </w:p>
    <w:p w14:paraId="797DE8F1" w14:textId="77777777" w:rsidR="00921E3F" w:rsidRPr="008D46B7" w:rsidRDefault="00921E3F" w:rsidP="00921E3F">
      <w:pPr>
        <w:jc w:val="both"/>
        <w:rPr>
          <w:rFonts w:ascii="Arial" w:hAnsi="Arial" w:cs="Arial"/>
        </w:rPr>
      </w:pPr>
      <w:r w:rsidRPr="008D46B7">
        <w:rPr>
          <w:rFonts w:ascii="Arial" w:hAnsi="Arial" w:cs="Arial"/>
        </w:rPr>
        <w:t xml:space="preserve">En tal sentido, una sanción efectiva, como lo es una multa, seguramente producirá el efecto disuasivo que hace falta para conjurar la perniciosa actitud de los agresores sistemáticos de derechos fundamentales que ha alterado la naturaleza de la acción de tutela. </w:t>
      </w:r>
    </w:p>
    <w:p w14:paraId="6E5E508C" w14:textId="77777777" w:rsidR="00921E3F" w:rsidRPr="008D46B7" w:rsidRDefault="00921E3F" w:rsidP="00921E3F">
      <w:pPr>
        <w:jc w:val="both"/>
        <w:rPr>
          <w:rFonts w:ascii="Arial" w:hAnsi="Arial" w:cs="Arial"/>
        </w:rPr>
      </w:pPr>
    </w:p>
    <w:p w14:paraId="3344F363" w14:textId="77777777" w:rsidR="00921E3F" w:rsidRPr="008D46B7" w:rsidRDefault="00921E3F" w:rsidP="00921E3F">
      <w:pPr>
        <w:pStyle w:val="Prrafodelista"/>
        <w:numPr>
          <w:ilvl w:val="1"/>
          <w:numId w:val="8"/>
        </w:numPr>
        <w:jc w:val="both"/>
        <w:rPr>
          <w:rFonts w:ascii="Arial" w:hAnsi="Arial" w:cs="Arial"/>
        </w:rPr>
      </w:pPr>
      <w:r w:rsidRPr="008D46B7">
        <w:rPr>
          <w:rFonts w:ascii="Arial" w:hAnsi="Arial" w:cs="Arial"/>
        </w:rPr>
        <w:t>Alcance del desacato en la normatividad vigente</w:t>
      </w:r>
    </w:p>
    <w:p w14:paraId="7739DF6C" w14:textId="77777777" w:rsidR="00921E3F" w:rsidRPr="008D46B7" w:rsidRDefault="00921E3F" w:rsidP="00921E3F">
      <w:pPr>
        <w:pStyle w:val="Prrafodelista"/>
        <w:ind w:left="792"/>
        <w:jc w:val="both"/>
        <w:rPr>
          <w:rFonts w:ascii="Arial" w:hAnsi="Arial" w:cs="Arial"/>
        </w:rPr>
      </w:pPr>
    </w:p>
    <w:p w14:paraId="023D36DD" w14:textId="77777777" w:rsidR="00921E3F" w:rsidRPr="008D46B7" w:rsidRDefault="00921E3F" w:rsidP="00921E3F">
      <w:pPr>
        <w:jc w:val="both"/>
        <w:rPr>
          <w:rFonts w:ascii="Arial" w:hAnsi="Arial" w:cs="Arial"/>
        </w:rPr>
      </w:pPr>
      <w:r w:rsidRPr="008D46B7">
        <w:rPr>
          <w:rFonts w:ascii="Arial" w:hAnsi="Arial" w:cs="Arial"/>
        </w:rPr>
        <w:t>Teniendo en cuenta que el actual proyecto de ley estatutaria persigue instituir una multa en el fallo de tutela, es pertinente aclarar que la sanción que se persigue en este proyecto es muy diferente de aquella contemplada como consecuencia del desacato. Este está regulado en el artículo 52 del mencionado Decreto-ley 2591 de 1991, que señala:</w:t>
      </w:r>
    </w:p>
    <w:p w14:paraId="016E5CE2" w14:textId="77777777" w:rsidR="00921E3F" w:rsidRPr="008D46B7" w:rsidRDefault="00921E3F" w:rsidP="00921E3F">
      <w:pPr>
        <w:ind w:left="708"/>
        <w:jc w:val="both"/>
        <w:rPr>
          <w:rFonts w:ascii="Arial" w:hAnsi="Arial" w:cs="Arial"/>
        </w:rPr>
      </w:pPr>
    </w:p>
    <w:p w14:paraId="01EDFE1C" w14:textId="77777777" w:rsidR="00921E3F" w:rsidRPr="008D46B7" w:rsidRDefault="00921E3F" w:rsidP="00921E3F">
      <w:pPr>
        <w:ind w:left="708"/>
        <w:jc w:val="both"/>
        <w:rPr>
          <w:rFonts w:ascii="Arial" w:hAnsi="Arial" w:cs="Arial"/>
        </w:rPr>
      </w:pPr>
      <w:r w:rsidRPr="008D46B7">
        <w:rPr>
          <w:rFonts w:ascii="Arial" w:hAnsi="Arial" w:cs="Arial"/>
        </w:rPr>
        <w:t>“La persona que incumpliere una orden de un juez, proferida con base en el presente Decreto incurrirá en desacato sancionable con arresto hasta de seis meses y multa hasta de 20 salarios mínimos mensuales salvo que en este Decreto ya se hubiere señalado una consecuencia jurídica distinta y sin perjuicio de las sanciones penales a que hubiere lugar.</w:t>
      </w:r>
    </w:p>
    <w:p w14:paraId="223A1E88" w14:textId="77777777" w:rsidR="00921E3F" w:rsidRPr="008D46B7" w:rsidRDefault="00921E3F" w:rsidP="00921E3F">
      <w:pPr>
        <w:ind w:left="708"/>
        <w:jc w:val="both"/>
        <w:rPr>
          <w:rFonts w:ascii="Arial" w:hAnsi="Arial" w:cs="Arial"/>
        </w:rPr>
      </w:pPr>
    </w:p>
    <w:p w14:paraId="2AB20E20" w14:textId="77777777" w:rsidR="00921E3F" w:rsidRPr="008D46B7" w:rsidRDefault="00921E3F" w:rsidP="00921E3F">
      <w:pPr>
        <w:ind w:left="708"/>
        <w:jc w:val="both"/>
        <w:rPr>
          <w:rFonts w:ascii="Arial" w:hAnsi="Arial" w:cs="Arial"/>
        </w:rPr>
      </w:pPr>
      <w:r w:rsidRPr="008D46B7">
        <w:rPr>
          <w:rFonts w:ascii="Arial" w:hAnsi="Arial" w:cs="Arial"/>
        </w:rPr>
        <w:t>La sanción será impuesta por el mismo juez mediante trámite incidental y será consultada al superior jerárquico quien decidirá dentro de los tres días siguientes si debe revocarse la sanción”.</w:t>
      </w:r>
    </w:p>
    <w:p w14:paraId="0BD49F8F" w14:textId="77777777" w:rsidR="00921E3F" w:rsidRPr="008D46B7" w:rsidRDefault="00921E3F" w:rsidP="00921E3F">
      <w:pPr>
        <w:jc w:val="both"/>
        <w:rPr>
          <w:rFonts w:ascii="Arial" w:hAnsi="Arial" w:cs="Arial"/>
        </w:rPr>
      </w:pPr>
    </w:p>
    <w:p w14:paraId="76F9D613" w14:textId="77777777" w:rsidR="00921E3F" w:rsidRPr="008D46B7" w:rsidRDefault="00921E3F" w:rsidP="00921E3F">
      <w:pPr>
        <w:jc w:val="both"/>
        <w:rPr>
          <w:rFonts w:ascii="Arial" w:hAnsi="Arial" w:cs="Arial"/>
        </w:rPr>
      </w:pPr>
      <w:r w:rsidRPr="008D46B7">
        <w:rPr>
          <w:rFonts w:ascii="Arial" w:hAnsi="Arial" w:cs="Arial"/>
        </w:rPr>
        <w:t>El alcance del desacato lo ha descrito la Corte Constitucional en diferentes ocasiones. En la Sentencia C-367 de 2014 M.P. Mauricio González Cuervo, la Corte aclaró:</w:t>
      </w:r>
    </w:p>
    <w:p w14:paraId="69968408" w14:textId="77777777" w:rsidR="00921E3F" w:rsidRPr="008D46B7" w:rsidRDefault="00921E3F" w:rsidP="00921E3F">
      <w:pPr>
        <w:ind w:left="708"/>
        <w:jc w:val="both"/>
        <w:rPr>
          <w:rFonts w:ascii="Arial" w:hAnsi="Arial" w:cs="Arial"/>
        </w:rPr>
      </w:pPr>
    </w:p>
    <w:p w14:paraId="4E542981" w14:textId="77777777" w:rsidR="00921E3F" w:rsidRPr="008D46B7" w:rsidRDefault="00921E3F" w:rsidP="00921E3F">
      <w:pPr>
        <w:shd w:val="clear" w:color="auto" w:fill="FFFFFF"/>
        <w:ind w:left="708"/>
        <w:jc w:val="both"/>
        <w:textAlignment w:val="baseline"/>
        <w:rPr>
          <w:rFonts w:ascii="Arial" w:eastAsiaTheme="minorEastAsia" w:hAnsi="Arial" w:cs="Arial"/>
          <w:lang w:val="es-ES_tradnl"/>
        </w:rPr>
      </w:pPr>
      <w:r w:rsidRPr="008D46B7">
        <w:rPr>
          <w:rFonts w:ascii="Arial" w:eastAsiaTheme="minorEastAsia" w:hAnsi="Arial" w:cs="Arial"/>
          <w:iCs/>
          <w:bdr w:val="none" w:sz="0" w:space="0" w:color="auto" w:frame="1"/>
        </w:rPr>
        <w:t>“A pesar de ser una sanción, el objeto del desacato no es la sanción en sí misma, sino propiciar que se cumpla el fallo de tutela. Cumplir con la orden serviría para evitar la sanción, valga decir, evitar que se imponga el arresto y la multa previstos en el artículo 52 del Decreto 2591 de 1991. En la medida en que el desacato puede hacer que se cumpla con el fallo en comento, es un instrumento procesal que puede garantizar de manera adecuada el acceso a la administración de justicia”</w:t>
      </w:r>
      <w:r w:rsidRPr="008D46B7">
        <w:rPr>
          <w:rStyle w:val="Refdenotaalpie"/>
          <w:rFonts w:ascii="Arial" w:eastAsiaTheme="minorEastAsia" w:hAnsi="Arial" w:cs="Arial"/>
          <w:iCs/>
          <w:bdr w:val="none" w:sz="0" w:space="0" w:color="auto" w:frame="1"/>
        </w:rPr>
        <w:footnoteReference w:id="18"/>
      </w:r>
      <w:r w:rsidRPr="008D46B7">
        <w:rPr>
          <w:rFonts w:ascii="Arial" w:eastAsiaTheme="minorEastAsia" w:hAnsi="Arial" w:cs="Arial"/>
          <w:iCs/>
          <w:bdr w:val="none" w:sz="0" w:space="0" w:color="auto" w:frame="1"/>
        </w:rPr>
        <w:t>.</w:t>
      </w:r>
    </w:p>
    <w:p w14:paraId="0DC92AB5" w14:textId="77777777" w:rsidR="00921E3F" w:rsidRPr="008D46B7" w:rsidRDefault="00921E3F" w:rsidP="00921E3F">
      <w:pPr>
        <w:shd w:val="clear" w:color="auto" w:fill="FFFFFF"/>
        <w:jc w:val="both"/>
        <w:textAlignment w:val="baseline"/>
        <w:rPr>
          <w:rFonts w:ascii="Arial" w:eastAsiaTheme="minorEastAsia" w:hAnsi="Arial" w:cs="Arial"/>
          <w:color w:val="2D2D2D"/>
          <w:lang w:val="es-ES_tradnl"/>
        </w:rPr>
      </w:pPr>
      <w:r w:rsidRPr="008D46B7">
        <w:rPr>
          <w:rFonts w:ascii="Arial" w:eastAsiaTheme="minorEastAsia" w:hAnsi="Arial" w:cs="Arial"/>
          <w:i/>
          <w:iCs/>
          <w:color w:val="2D2D2D"/>
          <w:bdr w:val="none" w:sz="0" w:space="0" w:color="auto" w:frame="1"/>
        </w:rPr>
        <w:t> </w:t>
      </w:r>
    </w:p>
    <w:p w14:paraId="79782A5B" w14:textId="77777777" w:rsidR="00921E3F" w:rsidRPr="008D46B7" w:rsidRDefault="00921E3F" w:rsidP="00921E3F">
      <w:pPr>
        <w:shd w:val="clear" w:color="auto" w:fill="FFFFFF"/>
        <w:jc w:val="both"/>
        <w:textAlignment w:val="baseline"/>
        <w:rPr>
          <w:rFonts w:ascii="Arial" w:hAnsi="Arial" w:cs="Arial"/>
        </w:rPr>
      </w:pPr>
      <w:r w:rsidRPr="008D46B7">
        <w:rPr>
          <w:rFonts w:ascii="Arial" w:hAnsi="Arial" w:cs="Arial"/>
        </w:rPr>
        <w:lastRenderedPageBreak/>
        <w:t>La posición de la Corte se ha mantenido a lo largo de los años. En la Sentencia SU-034 de 2018, la Corte Constitucional advirtió:</w:t>
      </w:r>
    </w:p>
    <w:p w14:paraId="11FDE5A4" w14:textId="77777777" w:rsidR="00921E3F" w:rsidRPr="008D46B7" w:rsidRDefault="00921E3F" w:rsidP="00921E3F">
      <w:pPr>
        <w:shd w:val="clear" w:color="auto" w:fill="FFFFFF"/>
        <w:jc w:val="both"/>
        <w:textAlignment w:val="baseline"/>
        <w:rPr>
          <w:rFonts w:ascii="Arial" w:eastAsiaTheme="minorEastAsia" w:hAnsi="Arial" w:cs="Arial"/>
          <w:color w:val="2D2D2D"/>
          <w:lang w:val="es-ES_tradnl"/>
        </w:rPr>
      </w:pPr>
    </w:p>
    <w:p w14:paraId="545F6C5D" w14:textId="77777777" w:rsidR="00921E3F" w:rsidRPr="008D46B7" w:rsidRDefault="00921E3F" w:rsidP="00921E3F">
      <w:pPr>
        <w:ind w:left="360"/>
        <w:jc w:val="both"/>
        <w:rPr>
          <w:rFonts w:ascii="Arial" w:hAnsi="Arial" w:cs="Arial"/>
        </w:rPr>
      </w:pPr>
      <w:r w:rsidRPr="008D46B7">
        <w:rPr>
          <w:rFonts w:ascii="Arial" w:hAnsi="Arial" w:cs="Arial"/>
        </w:rPr>
        <w:t xml:space="preserve">“Acerca de la finalidad que persigue el incidente de desacato, la postura que de vieja data ha acogido la Sala Plena de esta Corte y que se ha mantenido es que, si bien una de las consecuencias derivadas de este trámite incidental es la imposición de sanciones por la desobediencia frente a la sentencia, su auténtico propósito es lograr el cumplimiento efectivo de la orden de tutela pendiente de ser ejecutada; </w:t>
      </w:r>
      <w:r w:rsidRPr="008D46B7">
        <w:rPr>
          <w:rFonts w:ascii="Arial" w:hAnsi="Arial" w:cs="Arial"/>
          <w:u w:val="single"/>
        </w:rPr>
        <w:t>de suerte que no se persigue reprender al renuente por el peso de la sanción en sí misma, sino que ésta debe entenderse como una forma para inducir que aquel encauce su conducta hacia el cumplimiento</w:t>
      </w:r>
      <w:r w:rsidRPr="008D46B7">
        <w:rPr>
          <w:rFonts w:ascii="Arial" w:hAnsi="Arial" w:cs="Arial"/>
        </w:rPr>
        <w:t>, a través de una medida de reconvención cuya objetivo no es otro que auspiciar la eficacia de la acción impetrada y, con ella, la reivindicación de los derechos quebrantados” (subrayado por fuera del texto)</w:t>
      </w:r>
      <w:r w:rsidRPr="008D46B7">
        <w:rPr>
          <w:rStyle w:val="Refdenotaalpie"/>
          <w:rFonts w:ascii="Arial" w:hAnsi="Arial" w:cs="Arial"/>
        </w:rPr>
        <w:footnoteReference w:id="19"/>
      </w:r>
      <w:r w:rsidRPr="008D46B7">
        <w:rPr>
          <w:rFonts w:ascii="Arial" w:hAnsi="Arial" w:cs="Arial"/>
        </w:rPr>
        <w:t>.</w:t>
      </w:r>
    </w:p>
    <w:p w14:paraId="6BCD16EE" w14:textId="77777777" w:rsidR="00921E3F" w:rsidRPr="008D46B7" w:rsidRDefault="00921E3F" w:rsidP="00921E3F">
      <w:pPr>
        <w:jc w:val="both"/>
        <w:rPr>
          <w:rFonts w:ascii="Arial" w:hAnsi="Arial" w:cs="Arial"/>
        </w:rPr>
      </w:pPr>
    </w:p>
    <w:p w14:paraId="35F59EEC" w14:textId="77777777" w:rsidR="00921E3F" w:rsidRPr="008D46B7" w:rsidRDefault="00921E3F" w:rsidP="00921E3F">
      <w:pPr>
        <w:jc w:val="both"/>
        <w:rPr>
          <w:rFonts w:ascii="Arial" w:hAnsi="Arial" w:cs="Arial"/>
        </w:rPr>
      </w:pPr>
      <w:r w:rsidRPr="008D46B7">
        <w:rPr>
          <w:rFonts w:ascii="Arial" w:hAnsi="Arial" w:cs="Arial"/>
        </w:rPr>
        <w:t xml:space="preserve">Por lo tanto, de la norma que regula el desacato y del alcance que ha fijado la Corte Constitucional frente a este, es imperioso concluir que su razón de ser es generar el cumplimiento de la orden de tutela por parte del accionado para el caso concreto, pero en nada se relaciona con la reincidencia y por lo tanto carece de aptitud para disuadirla. </w:t>
      </w:r>
    </w:p>
    <w:p w14:paraId="2ADEA452" w14:textId="77777777" w:rsidR="00921E3F" w:rsidRPr="008D46B7" w:rsidRDefault="00921E3F" w:rsidP="00921E3F">
      <w:pPr>
        <w:jc w:val="both"/>
        <w:rPr>
          <w:rFonts w:ascii="Arial" w:hAnsi="Arial" w:cs="Arial"/>
        </w:rPr>
      </w:pPr>
    </w:p>
    <w:p w14:paraId="3A52966F" w14:textId="59D09244" w:rsidR="00921E3F" w:rsidRPr="008D46B7" w:rsidRDefault="00921E3F" w:rsidP="00921E3F">
      <w:pPr>
        <w:jc w:val="both"/>
        <w:rPr>
          <w:rFonts w:ascii="Arial" w:hAnsi="Arial" w:cs="Arial"/>
        </w:rPr>
      </w:pPr>
      <w:r w:rsidRPr="008D46B7">
        <w:rPr>
          <w:rFonts w:ascii="Arial" w:hAnsi="Arial" w:cs="Arial"/>
        </w:rPr>
        <w:t xml:space="preserve">A diferencia del desacato, la multa que persigue crear este proyecto de ley estatutaria apunta a sancionar al accionado que repetidamente viole un derecho fundamental en circunstancias idénticas a las que antes provocaron otro fallo de tutela contra el mismo sujeto, con el propósito de disuadirlo de reincidir. La norma que se propone contempla una multa de entre veinte (20) SMLMV y </w:t>
      </w:r>
      <w:r w:rsidR="002C77CD">
        <w:rPr>
          <w:rFonts w:ascii="Arial" w:hAnsi="Arial" w:cs="Arial"/>
        </w:rPr>
        <w:t>doscientos (2</w:t>
      </w:r>
      <w:r w:rsidRPr="008D46B7">
        <w:rPr>
          <w:rFonts w:ascii="Arial" w:hAnsi="Arial" w:cs="Arial"/>
        </w:rPr>
        <w:t>00) SMLMV, cuya dosificación haría el juez teniendo en cuenta e</w:t>
      </w:r>
      <w:r w:rsidRPr="008D46B7">
        <w:rPr>
          <w:rFonts w:ascii="Arial" w:eastAsiaTheme="minorEastAsia" w:hAnsi="Arial" w:cs="Arial"/>
          <w:lang w:val="es-ES_tradnl"/>
        </w:rPr>
        <w:t>l rango del derecho fundamental violado, la intensidad de la violación y el número de veces que esta se haya repetido.</w:t>
      </w:r>
      <w:r w:rsidRPr="008D46B7">
        <w:rPr>
          <w:rFonts w:ascii="Arial" w:hAnsi="Arial" w:cs="Arial"/>
        </w:rPr>
        <w:t xml:space="preserve"> </w:t>
      </w:r>
    </w:p>
    <w:p w14:paraId="0D620674" w14:textId="77777777" w:rsidR="00921E3F" w:rsidRPr="008D46B7" w:rsidRDefault="00921E3F" w:rsidP="00921E3F">
      <w:pPr>
        <w:jc w:val="both"/>
        <w:rPr>
          <w:rFonts w:ascii="Arial" w:hAnsi="Arial" w:cs="Arial"/>
        </w:rPr>
      </w:pPr>
    </w:p>
    <w:p w14:paraId="049E59B9" w14:textId="77777777" w:rsidR="00921E3F" w:rsidRPr="008D46B7" w:rsidRDefault="00921E3F" w:rsidP="00921E3F">
      <w:pPr>
        <w:pStyle w:val="Prrafodelista"/>
        <w:numPr>
          <w:ilvl w:val="0"/>
          <w:numId w:val="8"/>
        </w:numPr>
        <w:jc w:val="both"/>
        <w:rPr>
          <w:rFonts w:ascii="Arial" w:hAnsi="Arial" w:cs="Arial"/>
          <w:b/>
        </w:rPr>
      </w:pPr>
      <w:r w:rsidRPr="008D46B7">
        <w:rPr>
          <w:rFonts w:ascii="Arial" w:hAnsi="Arial" w:cs="Arial"/>
          <w:b/>
        </w:rPr>
        <w:t>Bibliografía</w:t>
      </w:r>
    </w:p>
    <w:p w14:paraId="49E4CFEB" w14:textId="77777777" w:rsidR="00921E3F" w:rsidRPr="008D46B7" w:rsidRDefault="00921E3F" w:rsidP="00921E3F">
      <w:pPr>
        <w:jc w:val="both"/>
        <w:rPr>
          <w:rFonts w:ascii="Arial" w:hAnsi="Arial" w:cs="Arial"/>
        </w:rPr>
      </w:pPr>
    </w:p>
    <w:p w14:paraId="6A094FAC" w14:textId="1F711488" w:rsidR="00921E3F" w:rsidRPr="008D46B7" w:rsidRDefault="00921E3F" w:rsidP="00921E3F">
      <w:pPr>
        <w:pStyle w:val="Textonotapie"/>
        <w:numPr>
          <w:ilvl w:val="0"/>
          <w:numId w:val="20"/>
        </w:numPr>
        <w:jc w:val="both"/>
        <w:rPr>
          <w:rFonts w:ascii="Arial" w:hAnsi="Arial" w:cs="Arial"/>
          <w:sz w:val="24"/>
          <w:szCs w:val="24"/>
        </w:rPr>
      </w:pPr>
      <w:r w:rsidRPr="008D46B7">
        <w:rPr>
          <w:rFonts w:ascii="Arial" w:hAnsi="Arial" w:cs="Arial"/>
          <w:sz w:val="24"/>
          <w:szCs w:val="24"/>
        </w:rPr>
        <w:t>Asamblea Nacional Constituyente. Ponencia del Constituyente Juan Carlos Es</w:t>
      </w:r>
      <w:r w:rsidR="008A6D10">
        <w:rPr>
          <w:rFonts w:ascii="Arial" w:hAnsi="Arial" w:cs="Arial"/>
          <w:sz w:val="24"/>
          <w:szCs w:val="24"/>
        </w:rPr>
        <w:t>guerra Portocarrero para la sub</w:t>
      </w:r>
      <w:r w:rsidRPr="008D46B7">
        <w:rPr>
          <w:rFonts w:ascii="Arial" w:hAnsi="Arial" w:cs="Arial"/>
          <w:sz w:val="24"/>
          <w:szCs w:val="24"/>
        </w:rPr>
        <w:t xml:space="preserve">comisión tercera de la comisión primera sobre el tema de los mecanismos de protección de los derechos fundamentales de los particulares. Bogotá, 15 de abril de 1991. </w:t>
      </w:r>
    </w:p>
    <w:p w14:paraId="02426982" w14:textId="77777777" w:rsidR="00921E3F" w:rsidRPr="008D46B7" w:rsidRDefault="00921E3F" w:rsidP="00921E3F">
      <w:pPr>
        <w:pStyle w:val="Prrafodelista"/>
        <w:numPr>
          <w:ilvl w:val="0"/>
          <w:numId w:val="20"/>
        </w:numPr>
        <w:jc w:val="both"/>
        <w:rPr>
          <w:rFonts w:ascii="Arial" w:hAnsi="Arial" w:cs="Arial"/>
        </w:rPr>
      </w:pPr>
      <w:r w:rsidRPr="008D46B7">
        <w:rPr>
          <w:rFonts w:ascii="Arial" w:hAnsi="Arial" w:cs="Arial"/>
          <w:shd w:val="clear" w:color="auto" w:fill="FFFFFF"/>
        </w:rPr>
        <w:t>Beltrán, Jordi Ferrer. “Apuntes sobre el concepto de motivación de las decisiones judiciales” </w:t>
      </w:r>
      <w:r w:rsidRPr="008D46B7">
        <w:rPr>
          <w:rFonts w:ascii="Arial" w:hAnsi="Arial" w:cs="Arial"/>
          <w:i/>
          <w:iCs/>
          <w:shd w:val="clear" w:color="auto" w:fill="FFFFFF"/>
        </w:rPr>
        <w:t>Nuevas Tendencias Del Derecho Probatorio: Segunda Edición Ampliada</w:t>
      </w:r>
      <w:r w:rsidRPr="008D46B7">
        <w:rPr>
          <w:rFonts w:ascii="Arial" w:hAnsi="Arial" w:cs="Arial"/>
          <w:shd w:val="clear" w:color="auto" w:fill="FFFFFF"/>
        </w:rPr>
        <w:t xml:space="preserve">, by Horacio Cruz Tejada, 2nd ed., Universidad De Los </w:t>
      </w:r>
      <w:r w:rsidRPr="008D46B7">
        <w:rPr>
          <w:rFonts w:ascii="Arial" w:hAnsi="Arial" w:cs="Arial"/>
          <w:shd w:val="clear" w:color="auto" w:fill="FFFFFF"/>
        </w:rPr>
        <w:lastRenderedPageBreak/>
        <w:t>Andes, Colombia, 2015, pp. 57–76. </w:t>
      </w:r>
      <w:r w:rsidRPr="008D46B7">
        <w:rPr>
          <w:rFonts w:ascii="Arial" w:hAnsi="Arial" w:cs="Arial"/>
          <w:i/>
          <w:iCs/>
          <w:shd w:val="clear" w:color="auto" w:fill="FFFFFF"/>
        </w:rPr>
        <w:t>JSTOR</w:t>
      </w:r>
      <w:r w:rsidRPr="008D46B7">
        <w:rPr>
          <w:rFonts w:ascii="Arial" w:hAnsi="Arial" w:cs="Arial"/>
          <w:shd w:val="clear" w:color="auto" w:fill="FFFFFF"/>
        </w:rPr>
        <w:t xml:space="preserve">. En: </w:t>
      </w:r>
      <w:hyperlink r:id="rId19" w:history="1">
        <w:r w:rsidRPr="008D46B7">
          <w:rPr>
            <w:rStyle w:val="Hipervnculo"/>
            <w:rFonts w:ascii="Arial" w:eastAsiaTheme="majorEastAsia" w:hAnsi="Arial" w:cs="Arial"/>
            <w:color w:val="auto"/>
            <w:shd w:val="clear" w:color="auto" w:fill="FFFFFF"/>
          </w:rPr>
          <w:t>www.jstor.org/stable/10.7440/j.ctt19qgdk7.8</w:t>
        </w:r>
      </w:hyperlink>
      <w:r w:rsidRPr="008D46B7">
        <w:rPr>
          <w:rFonts w:ascii="Arial" w:hAnsi="Arial" w:cs="Arial"/>
          <w:shd w:val="clear" w:color="auto" w:fill="FFFFFF"/>
        </w:rPr>
        <w:t>.</w:t>
      </w:r>
    </w:p>
    <w:p w14:paraId="48D6428B" w14:textId="77777777" w:rsidR="00921E3F" w:rsidRPr="008D46B7" w:rsidRDefault="00921E3F" w:rsidP="00921E3F">
      <w:pPr>
        <w:pStyle w:val="Prrafodelista"/>
        <w:numPr>
          <w:ilvl w:val="0"/>
          <w:numId w:val="20"/>
        </w:numPr>
        <w:jc w:val="both"/>
        <w:rPr>
          <w:rFonts w:ascii="Arial" w:hAnsi="Arial" w:cs="Arial"/>
        </w:rPr>
      </w:pPr>
      <w:r w:rsidRPr="008D46B7">
        <w:rPr>
          <w:rFonts w:ascii="Arial" w:hAnsi="Arial" w:cs="Arial"/>
          <w:lang w:val="es-ES_tradnl"/>
        </w:rPr>
        <w:t>Consejo Superior de la Judicatura. Informe al Congreso de la República, 2018.</w:t>
      </w:r>
    </w:p>
    <w:p w14:paraId="5EC3AFAE" w14:textId="77777777" w:rsidR="00921E3F" w:rsidRPr="008D46B7" w:rsidRDefault="00921E3F" w:rsidP="00921E3F">
      <w:pPr>
        <w:pStyle w:val="Prrafodelista"/>
        <w:numPr>
          <w:ilvl w:val="0"/>
          <w:numId w:val="20"/>
        </w:numPr>
        <w:jc w:val="both"/>
        <w:rPr>
          <w:rFonts w:ascii="Arial" w:hAnsi="Arial" w:cs="Arial"/>
        </w:rPr>
      </w:pPr>
      <w:r w:rsidRPr="008D46B7">
        <w:rPr>
          <w:rFonts w:ascii="Arial" w:hAnsi="Arial" w:cs="Arial"/>
        </w:rPr>
        <w:t>Corte Constitucional. Sentencia SU 034 de 2018. M.P. Alberto Rojas Ríos.</w:t>
      </w:r>
    </w:p>
    <w:p w14:paraId="1437873F" w14:textId="77777777" w:rsidR="00921E3F" w:rsidRPr="008D46B7" w:rsidRDefault="00921E3F" w:rsidP="00921E3F">
      <w:pPr>
        <w:pStyle w:val="Prrafodelista"/>
        <w:numPr>
          <w:ilvl w:val="0"/>
          <w:numId w:val="20"/>
        </w:numPr>
        <w:jc w:val="both"/>
        <w:rPr>
          <w:rFonts w:ascii="Arial" w:hAnsi="Arial" w:cs="Arial"/>
        </w:rPr>
      </w:pPr>
      <w:r w:rsidRPr="008D46B7">
        <w:rPr>
          <w:rFonts w:ascii="Arial" w:hAnsi="Arial" w:cs="Arial"/>
        </w:rPr>
        <w:t>Corte Constitucional. Sentencia C-367 de 2014 M.P. Mauricio González Cuervo.</w:t>
      </w:r>
    </w:p>
    <w:p w14:paraId="314C37FB" w14:textId="77777777" w:rsidR="00921E3F" w:rsidRPr="008D46B7" w:rsidRDefault="00921E3F" w:rsidP="00921E3F">
      <w:pPr>
        <w:pStyle w:val="Textonotapie"/>
        <w:numPr>
          <w:ilvl w:val="0"/>
          <w:numId w:val="20"/>
        </w:numPr>
        <w:jc w:val="both"/>
        <w:rPr>
          <w:rFonts w:ascii="Arial" w:hAnsi="Arial" w:cs="Arial"/>
          <w:sz w:val="24"/>
          <w:szCs w:val="24"/>
          <w:lang w:val="es-ES_tradnl"/>
        </w:rPr>
      </w:pPr>
      <w:r w:rsidRPr="008D46B7">
        <w:rPr>
          <w:rFonts w:ascii="Arial" w:hAnsi="Arial" w:cs="Arial"/>
          <w:sz w:val="24"/>
          <w:szCs w:val="24"/>
          <w:lang w:val="es-ES_tradnl"/>
        </w:rPr>
        <w:t>Corte Constitucional. Sentencias decididas en control abstracto de constitucionalidad y acción de tutela. 28 de febrero de 2019. En: http://www.corteconstitucional.gov.co/relatoria/estadisticas.php</w:t>
      </w:r>
    </w:p>
    <w:p w14:paraId="540C6595" w14:textId="77777777" w:rsidR="00921E3F" w:rsidRPr="008D46B7" w:rsidRDefault="00921E3F" w:rsidP="00921E3F">
      <w:pPr>
        <w:pStyle w:val="Textonotapie"/>
        <w:numPr>
          <w:ilvl w:val="0"/>
          <w:numId w:val="20"/>
        </w:numPr>
        <w:rPr>
          <w:rFonts w:ascii="Arial" w:hAnsi="Arial" w:cs="Arial"/>
          <w:sz w:val="24"/>
          <w:szCs w:val="24"/>
          <w:lang w:val="es-ES_tradnl"/>
        </w:rPr>
      </w:pPr>
      <w:r w:rsidRPr="008D46B7">
        <w:rPr>
          <w:rFonts w:ascii="Arial" w:hAnsi="Arial" w:cs="Arial"/>
          <w:sz w:val="24"/>
          <w:szCs w:val="24"/>
          <w:lang w:val="es-ES_tradnl"/>
        </w:rPr>
        <w:t xml:space="preserve">Defensoría del Pueblo. La tutela y el derecho a la salud 2016. Bogotá: 2017. </w:t>
      </w:r>
    </w:p>
    <w:p w14:paraId="7AA1F751" w14:textId="77777777" w:rsidR="00921E3F" w:rsidRPr="008D46B7" w:rsidRDefault="00921E3F" w:rsidP="00921E3F">
      <w:pPr>
        <w:pStyle w:val="Textonotapie"/>
        <w:numPr>
          <w:ilvl w:val="0"/>
          <w:numId w:val="20"/>
        </w:numPr>
        <w:rPr>
          <w:rFonts w:ascii="Arial" w:hAnsi="Arial" w:cs="Arial"/>
          <w:sz w:val="24"/>
          <w:szCs w:val="24"/>
          <w:lang w:val="es-ES_tradnl"/>
        </w:rPr>
      </w:pPr>
      <w:r w:rsidRPr="008D46B7">
        <w:rPr>
          <w:rFonts w:ascii="Arial" w:hAnsi="Arial" w:cs="Arial"/>
          <w:sz w:val="24"/>
          <w:szCs w:val="24"/>
          <w:lang w:val="es-ES_tradnl"/>
        </w:rPr>
        <w:t>Defensoría del pueblo. La tutela y los derechos a la salud y la seguridad social 2018. Bogotá: 2019.</w:t>
      </w:r>
    </w:p>
    <w:p w14:paraId="3299D7BC" w14:textId="77777777" w:rsidR="00921E3F" w:rsidRPr="008D46B7" w:rsidRDefault="00921E3F" w:rsidP="00921E3F">
      <w:pPr>
        <w:pStyle w:val="Textonotapie"/>
        <w:numPr>
          <w:ilvl w:val="0"/>
          <w:numId w:val="20"/>
        </w:numPr>
        <w:jc w:val="both"/>
        <w:rPr>
          <w:rFonts w:ascii="Arial" w:hAnsi="Arial" w:cs="Arial"/>
          <w:sz w:val="24"/>
          <w:szCs w:val="24"/>
          <w:lang w:val="es-ES_tradnl"/>
        </w:rPr>
      </w:pPr>
      <w:r w:rsidRPr="008D46B7">
        <w:rPr>
          <w:rFonts w:ascii="Arial" w:hAnsi="Arial" w:cs="Arial"/>
          <w:sz w:val="24"/>
          <w:szCs w:val="24"/>
          <w:lang w:val="es-ES"/>
        </w:rPr>
        <w:t xml:space="preserve">Rojas Gómez, Miguel. </w:t>
      </w:r>
      <w:r w:rsidRPr="008D46B7">
        <w:rPr>
          <w:rFonts w:ascii="Arial" w:hAnsi="Arial" w:cs="Arial"/>
          <w:i/>
          <w:sz w:val="24"/>
          <w:szCs w:val="24"/>
          <w:lang w:val="es-ES"/>
        </w:rPr>
        <w:t>Lecciones de derecho procesal, tomo I, Teoría del proceso</w:t>
      </w:r>
      <w:r w:rsidRPr="008D46B7">
        <w:rPr>
          <w:rFonts w:ascii="Arial" w:hAnsi="Arial" w:cs="Arial"/>
          <w:sz w:val="24"/>
          <w:szCs w:val="24"/>
          <w:lang w:val="es-ES"/>
        </w:rPr>
        <w:t>, Bogotá, Esaju, 2019, pp. 40 a 42.</w:t>
      </w:r>
    </w:p>
    <w:p w14:paraId="52F62422" w14:textId="77777777" w:rsidR="00921E3F" w:rsidRPr="008D46B7" w:rsidRDefault="00921E3F" w:rsidP="00921E3F">
      <w:pPr>
        <w:pStyle w:val="Textonotapie"/>
        <w:numPr>
          <w:ilvl w:val="0"/>
          <w:numId w:val="20"/>
        </w:numPr>
        <w:jc w:val="both"/>
        <w:rPr>
          <w:rFonts w:ascii="Arial" w:hAnsi="Arial" w:cs="Arial"/>
          <w:sz w:val="24"/>
          <w:szCs w:val="24"/>
          <w:lang w:val="es-ES_tradnl"/>
        </w:rPr>
      </w:pPr>
      <w:r w:rsidRPr="008D46B7">
        <w:rPr>
          <w:rFonts w:ascii="Arial" w:hAnsi="Arial" w:cs="Arial"/>
          <w:sz w:val="24"/>
          <w:szCs w:val="24"/>
          <w:lang w:val="es-ES_tradnl"/>
        </w:rPr>
        <w:t xml:space="preserve">Corte Constitucional. Boletín de estadísticas de la Corte Constitucional Enero - Mayo de 2019. Bogotá: 2019. En: </w:t>
      </w:r>
      <w:hyperlink r:id="rId20" w:history="1">
        <w:r w:rsidRPr="008D46B7">
          <w:rPr>
            <w:rFonts w:ascii="Arial" w:hAnsi="Arial" w:cs="Arial"/>
            <w:sz w:val="24"/>
            <w:szCs w:val="24"/>
            <w:lang w:val="es-ES_tradnl"/>
          </w:rPr>
          <w:t>https://www.corteconstitucional.gov.co/inicio/Informe%20estad%C3%ADstico%20general%20enero%20mayo%202019.pdf</w:t>
        </w:r>
      </w:hyperlink>
    </w:p>
    <w:p w14:paraId="47D50837" w14:textId="77777777" w:rsidR="00921E3F" w:rsidRPr="008D46B7" w:rsidRDefault="00921E3F" w:rsidP="00921E3F">
      <w:pPr>
        <w:pStyle w:val="Textonotapie"/>
        <w:numPr>
          <w:ilvl w:val="0"/>
          <w:numId w:val="20"/>
        </w:numPr>
        <w:jc w:val="both"/>
        <w:rPr>
          <w:rFonts w:ascii="Arial" w:hAnsi="Arial" w:cs="Arial"/>
          <w:sz w:val="24"/>
          <w:szCs w:val="24"/>
          <w:lang w:val="es-ES_tradnl"/>
        </w:rPr>
      </w:pPr>
      <w:r w:rsidRPr="008D46B7">
        <w:rPr>
          <w:rFonts w:ascii="Arial" w:hAnsi="Arial" w:cs="Arial"/>
          <w:sz w:val="24"/>
          <w:szCs w:val="24"/>
          <w:lang w:val="es-ES_tradnl"/>
        </w:rPr>
        <w:t xml:space="preserve">Rama Judicial, Consejo Superior de la Judicatura. Informe de la Rama Judicial al Congreso de la República Año 2019. Bogotá: 2019. En: </w:t>
      </w:r>
      <w:hyperlink r:id="rId21" w:history="1">
        <w:r w:rsidRPr="008D46B7">
          <w:rPr>
            <w:rFonts w:ascii="Arial" w:hAnsi="Arial" w:cs="Arial"/>
            <w:sz w:val="24"/>
            <w:szCs w:val="24"/>
            <w:lang w:val="es-ES_tradnl"/>
          </w:rPr>
          <w:t>https://www.ramajudicial.gov.co/documents/1545778/5597675/1.+Informe+al+Congreso+2019+Rama+Judicial_BAJA.pdf/c5d41f1b-8001-48dc-9d86-690804e3d5de</w:t>
        </w:r>
      </w:hyperlink>
    </w:p>
    <w:p w14:paraId="52A8F3FB" w14:textId="77777777" w:rsidR="00921E3F" w:rsidRPr="008D46B7" w:rsidRDefault="00921E3F" w:rsidP="00921E3F">
      <w:pPr>
        <w:pStyle w:val="Textonotapie"/>
        <w:numPr>
          <w:ilvl w:val="0"/>
          <w:numId w:val="20"/>
        </w:numPr>
        <w:jc w:val="both"/>
        <w:rPr>
          <w:rFonts w:ascii="Arial" w:hAnsi="Arial" w:cs="Arial"/>
          <w:sz w:val="24"/>
          <w:szCs w:val="24"/>
          <w:lang w:val="es-ES_tradnl"/>
        </w:rPr>
      </w:pPr>
      <w:r w:rsidRPr="008D46B7">
        <w:rPr>
          <w:rFonts w:ascii="Arial" w:hAnsi="Arial" w:cs="Arial"/>
          <w:sz w:val="24"/>
          <w:szCs w:val="24"/>
          <w:lang w:val="es-ES_tradnl"/>
        </w:rPr>
        <w:t xml:space="preserve">Rama Judicial, Consejo Superior de la Judicatura. Informe de la Rama Judicial al Congreso de la República Año 2020. Bogotá: 2020. </w:t>
      </w:r>
    </w:p>
    <w:p w14:paraId="5DA64923" w14:textId="06CE6D31" w:rsidR="00E072E0" w:rsidRPr="008D46B7" w:rsidRDefault="001479A1" w:rsidP="00E072E0">
      <w:pPr>
        <w:pStyle w:val="Textonotapie"/>
        <w:numPr>
          <w:ilvl w:val="0"/>
          <w:numId w:val="20"/>
        </w:numPr>
        <w:rPr>
          <w:rFonts w:ascii="Arial" w:hAnsi="Arial" w:cs="Arial"/>
          <w:sz w:val="24"/>
          <w:szCs w:val="24"/>
          <w:lang w:val="es-ES_tradnl"/>
        </w:rPr>
      </w:pPr>
      <w:hyperlink r:id="rId22" w:history="1">
        <w:r w:rsidR="00E072E0" w:rsidRPr="008D46B7">
          <w:rPr>
            <w:rStyle w:val="Hipervnculo"/>
            <w:rFonts w:ascii="Arial" w:hAnsi="Arial" w:cs="Arial"/>
            <w:sz w:val="24"/>
            <w:szCs w:val="24"/>
            <w:lang w:val="es-ES_tradnl"/>
          </w:rPr>
          <w:t>https://www.defensoria.gov.co/es/nube/comunicados/10192/Medim%C3%A1s-y-Coomeva-encabezan-la-lista-de-las-EPS-con-m%C3%A1s-tutelas-por-cada-10000-afiliados-Medim%C3%A1s-Coomeva-EPS-tutelas.htm</w:t>
        </w:r>
      </w:hyperlink>
    </w:p>
    <w:p w14:paraId="2A70A40C" w14:textId="1FB64EE4" w:rsidR="00E072E0" w:rsidRPr="008D46B7" w:rsidRDefault="001479A1" w:rsidP="00E072E0">
      <w:pPr>
        <w:pStyle w:val="Textonotapie"/>
        <w:numPr>
          <w:ilvl w:val="0"/>
          <w:numId w:val="20"/>
        </w:numPr>
        <w:rPr>
          <w:rFonts w:ascii="Arial" w:hAnsi="Arial" w:cs="Arial"/>
          <w:sz w:val="24"/>
          <w:szCs w:val="24"/>
          <w:lang w:val="es-ES_tradnl"/>
        </w:rPr>
      </w:pPr>
      <w:hyperlink r:id="rId23" w:history="1">
        <w:r w:rsidR="00E072E0" w:rsidRPr="008D46B7">
          <w:rPr>
            <w:rStyle w:val="Hipervnculo"/>
            <w:rFonts w:ascii="Arial" w:hAnsi="Arial" w:cs="Arial"/>
            <w:sz w:val="24"/>
            <w:szCs w:val="24"/>
            <w:lang w:val="es-ES_tradnl"/>
          </w:rPr>
          <w:t>https://www.corteconstitucional.gov.co/lacorte/estadisticas.php</w:t>
        </w:r>
      </w:hyperlink>
    </w:p>
    <w:p w14:paraId="6B8CA1C3" w14:textId="77777777" w:rsidR="00E072E0" w:rsidRPr="008D46B7" w:rsidRDefault="00E072E0" w:rsidP="00E072E0">
      <w:pPr>
        <w:pStyle w:val="Textonotapie"/>
        <w:ind w:left="720"/>
        <w:rPr>
          <w:rFonts w:ascii="Arial" w:hAnsi="Arial" w:cs="Arial"/>
          <w:sz w:val="24"/>
          <w:szCs w:val="24"/>
          <w:lang w:val="es-ES_tradnl"/>
        </w:rPr>
      </w:pPr>
    </w:p>
    <w:p w14:paraId="2452CAAB" w14:textId="77777777" w:rsidR="00921E3F" w:rsidRPr="008D46B7" w:rsidRDefault="00921E3F" w:rsidP="00921E3F">
      <w:pPr>
        <w:jc w:val="both"/>
        <w:rPr>
          <w:rFonts w:ascii="Arial" w:hAnsi="Arial" w:cs="Arial"/>
        </w:rPr>
      </w:pPr>
      <w:r w:rsidRPr="008D46B7">
        <w:rPr>
          <w:rFonts w:ascii="Arial" w:hAnsi="Arial" w:cs="Arial"/>
        </w:rPr>
        <w:t>Por las razones planteadas, pongo a consideración este proyecto de ley estatutaria.</w:t>
      </w:r>
    </w:p>
    <w:p w14:paraId="1735BAD8" w14:textId="77777777" w:rsidR="00921E3F" w:rsidRPr="008D46B7" w:rsidRDefault="00921E3F" w:rsidP="00921E3F">
      <w:pPr>
        <w:jc w:val="both"/>
        <w:rPr>
          <w:rFonts w:ascii="Arial" w:hAnsi="Arial" w:cs="Arial"/>
        </w:rPr>
      </w:pPr>
    </w:p>
    <w:p w14:paraId="577A0B59" w14:textId="77777777" w:rsidR="00921E3F" w:rsidRPr="008D46B7" w:rsidRDefault="00921E3F" w:rsidP="00921E3F">
      <w:pPr>
        <w:jc w:val="both"/>
        <w:rPr>
          <w:rFonts w:ascii="Arial" w:hAnsi="Arial" w:cs="Arial"/>
          <w:lang w:val="es-ES"/>
        </w:rPr>
      </w:pPr>
      <w:r w:rsidRPr="008D46B7">
        <w:rPr>
          <w:rFonts w:ascii="Arial" w:hAnsi="Arial" w:cs="Arial"/>
          <w:lang w:val="es-ES"/>
        </w:rPr>
        <w:t>Cordialmente,</w:t>
      </w:r>
    </w:p>
    <w:p w14:paraId="00123DCA" w14:textId="788ECF2B" w:rsidR="00921E3F" w:rsidRDefault="00921E3F" w:rsidP="00921E3F">
      <w:pPr>
        <w:jc w:val="both"/>
        <w:rPr>
          <w:rFonts w:ascii="Arial" w:hAnsi="Arial" w:cs="Arial"/>
          <w:noProof/>
          <w:lang w:eastAsia="es-CO"/>
        </w:rPr>
      </w:pPr>
    </w:p>
    <w:p w14:paraId="19AE9CA9" w14:textId="7A52F966" w:rsidR="0034166A" w:rsidRDefault="0034166A" w:rsidP="00921E3F">
      <w:pPr>
        <w:jc w:val="both"/>
        <w:rPr>
          <w:rFonts w:ascii="Arial" w:hAnsi="Arial" w:cs="Arial"/>
          <w:noProof/>
          <w:lang w:eastAsia="es-CO"/>
        </w:rPr>
      </w:pPr>
    </w:p>
    <w:p w14:paraId="5C36B125" w14:textId="77777777" w:rsidR="0034166A" w:rsidRPr="008D46B7" w:rsidRDefault="0034166A" w:rsidP="00921E3F">
      <w:pPr>
        <w:jc w:val="both"/>
        <w:rPr>
          <w:rFonts w:ascii="Arial" w:hAnsi="Arial" w:cs="Arial"/>
          <w:lang w:val="es-ES"/>
        </w:rPr>
      </w:pPr>
    </w:p>
    <w:p w14:paraId="56D91A71" w14:textId="707F5AA3" w:rsidR="00921E3F" w:rsidRPr="008D46B7" w:rsidRDefault="0034166A" w:rsidP="00921E3F">
      <w:pPr>
        <w:jc w:val="both"/>
        <w:rPr>
          <w:rFonts w:ascii="Arial" w:hAnsi="Arial" w:cs="Arial"/>
          <w:b/>
          <w:lang w:val="es-ES"/>
        </w:rPr>
      </w:pPr>
      <w:r>
        <w:rPr>
          <w:rFonts w:ascii="Arial" w:hAnsi="Arial" w:cs="Arial"/>
          <w:b/>
          <w:lang w:val="es-ES"/>
        </w:rPr>
        <w:t xml:space="preserve">HECTOR DAVID CHAPARRO </w:t>
      </w:r>
    </w:p>
    <w:p w14:paraId="61D83366" w14:textId="77777777" w:rsidR="00921E3F" w:rsidRPr="008D46B7" w:rsidRDefault="00921E3F" w:rsidP="00921E3F">
      <w:pPr>
        <w:jc w:val="both"/>
        <w:rPr>
          <w:rFonts w:ascii="Arial" w:hAnsi="Arial" w:cs="Arial"/>
          <w:lang w:val="es-ES"/>
        </w:rPr>
      </w:pPr>
      <w:r w:rsidRPr="008D46B7">
        <w:rPr>
          <w:rFonts w:ascii="Arial" w:hAnsi="Arial" w:cs="Arial"/>
          <w:lang w:val="es-ES"/>
        </w:rPr>
        <w:t xml:space="preserve">Representante a la Cámara </w:t>
      </w:r>
    </w:p>
    <w:p w14:paraId="30CA8465" w14:textId="60C522F0" w:rsidR="00AA6CDA" w:rsidRPr="008D46B7" w:rsidRDefault="00921E3F" w:rsidP="0034166A">
      <w:pPr>
        <w:jc w:val="both"/>
        <w:rPr>
          <w:rFonts w:ascii="Arial" w:hAnsi="Arial" w:cs="Arial"/>
        </w:rPr>
      </w:pPr>
      <w:r w:rsidRPr="008D46B7">
        <w:rPr>
          <w:rFonts w:ascii="Arial" w:hAnsi="Arial" w:cs="Arial"/>
          <w:lang w:val="es-ES"/>
        </w:rPr>
        <w:t>Partido Liberal</w:t>
      </w:r>
    </w:p>
    <w:sectPr w:rsidR="00AA6CDA" w:rsidRPr="008D46B7" w:rsidSect="00255E71">
      <w:headerReference w:type="default" r:id="rId24"/>
      <w:footerReference w:type="default" r:id="rId25"/>
      <w:pgSz w:w="12240" w:h="15840"/>
      <w:pgMar w:top="2552" w:right="1701" w:bottom="1702"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694E87" w14:textId="77777777" w:rsidR="001479A1" w:rsidRDefault="001479A1" w:rsidP="00AF3BA5">
      <w:r>
        <w:separator/>
      </w:r>
    </w:p>
  </w:endnote>
  <w:endnote w:type="continuationSeparator" w:id="0">
    <w:p w14:paraId="62C516DF" w14:textId="77777777" w:rsidR="001479A1" w:rsidRDefault="001479A1" w:rsidP="00AF3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nion Pro">
    <w:altName w:val="Minion Pr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1E5BB" w14:textId="1D7336B3" w:rsidR="008A6D10" w:rsidRDefault="008A6D10" w:rsidP="00136847">
    <w:pPr>
      <w:pStyle w:val="Piedepgina"/>
      <w:tabs>
        <w:tab w:val="clear" w:pos="4419"/>
        <w:tab w:val="clear" w:pos="8838"/>
        <w:tab w:val="left" w:pos="2880"/>
      </w:tabs>
    </w:pPr>
    <w:r>
      <w:rPr>
        <w:noProof/>
        <w:lang w:eastAsia="es-CO"/>
      </w:rPr>
      <w:drawing>
        <wp:anchor distT="0" distB="0" distL="114300" distR="114300" simplePos="0" relativeHeight="251662336" behindDoc="1" locked="0" layoutInCell="1" allowOverlap="1" wp14:anchorId="25B02888" wp14:editId="79B93BD0">
          <wp:simplePos x="0" y="0"/>
          <wp:positionH relativeFrom="column">
            <wp:posOffset>1600835</wp:posOffset>
          </wp:positionH>
          <wp:positionV relativeFrom="paragraph">
            <wp:posOffset>-408940</wp:posOffset>
          </wp:positionV>
          <wp:extent cx="2286635" cy="676910"/>
          <wp:effectExtent l="0" t="0" r="0" b="8890"/>
          <wp:wrapNone/>
          <wp:docPr id="35" name="Imagen 35" descr="http://tatacabello.com/wp-content/uploads/2015/06/logo-congr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tacabello.com/wp-content/uploads/2015/06/logo-congres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86635" cy="676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B8C">
      <w:rPr>
        <w:rFonts w:ascii="Calibri" w:eastAsia="Calibri" w:hAnsi="Calibri"/>
        <w:noProof/>
        <w:lang w:eastAsia="es-CO"/>
      </w:rPr>
      <w:drawing>
        <wp:anchor distT="0" distB="0" distL="0" distR="0" simplePos="0" relativeHeight="251659264" behindDoc="1" locked="0" layoutInCell="1" allowOverlap="1" wp14:anchorId="09ACEE56" wp14:editId="5DF777BB">
          <wp:simplePos x="0" y="0"/>
          <wp:positionH relativeFrom="page">
            <wp:posOffset>2310130</wp:posOffset>
          </wp:positionH>
          <wp:positionV relativeFrom="page">
            <wp:posOffset>9761855</wp:posOffset>
          </wp:positionV>
          <wp:extent cx="2922905" cy="200025"/>
          <wp:effectExtent l="0" t="0" r="0" b="9525"/>
          <wp:wrapNone/>
          <wp:docPr id="3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2922905" cy="200025"/>
                  </a:xfrm>
                  <a:prstGeom prst="rect">
                    <a:avLst/>
                  </a:prstGeom>
                </pic:spPr>
              </pic:pic>
            </a:graphicData>
          </a:graphic>
        </wp:anchor>
      </w:drawing>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BA1766" w14:textId="77777777" w:rsidR="001479A1" w:rsidRDefault="001479A1" w:rsidP="00AF3BA5">
      <w:r>
        <w:separator/>
      </w:r>
    </w:p>
  </w:footnote>
  <w:footnote w:type="continuationSeparator" w:id="0">
    <w:p w14:paraId="31F51297" w14:textId="77777777" w:rsidR="001479A1" w:rsidRDefault="001479A1" w:rsidP="00AF3BA5">
      <w:r>
        <w:continuationSeparator/>
      </w:r>
    </w:p>
  </w:footnote>
  <w:footnote w:id="1">
    <w:p w14:paraId="0667A89F" w14:textId="77777777" w:rsidR="008A6D10" w:rsidRPr="001E6B56" w:rsidRDefault="008A6D10" w:rsidP="00921E3F">
      <w:pPr>
        <w:pStyle w:val="Textonotapie"/>
        <w:jc w:val="both"/>
        <w:rPr>
          <w:rFonts w:ascii="Arial" w:hAnsi="Arial" w:cs="Arial"/>
        </w:rPr>
      </w:pPr>
      <w:r w:rsidRPr="001E6B56">
        <w:rPr>
          <w:rStyle w:val="Refdenotaalpie"/>
          <w:rFonts w:ascii="Arial" w:hAnsi="Arial" w:cs="Arial"/>
        </w:rPr>
        <w:footnoteRef/>
      </w:r>
      <w:r w:rsidRPr="001E6B56">
        <w:rPr>
          <w:rFonts w:ascii="Arial" w:hAnsi="Arial" w:cs="Arial"/>
        </w:rPr>
        <w:t xml:space="preserve"> Asamblea Nacional Constituyente. Ponencia del Constituyente Juan Carlos Esguerra Portocarrero para la submcomisión tercera de la comisión primera sobre el tema de los mecanismos de protección de los derechos fundamentales de los particulares. Bogotá, 15 de abril de 1991. </w:t>
      </w:r>
    </w:p>
  </w:footnote>
  <w:footnote w:id="2">
    <w:p w14:paraId="51BC850C" w14:textId="77777777" w:rsidR="008A6D10" w:rsidRPr="001E6B56" w:rsidRDefault="008A6D10" w:rsidP="00921E3F">
      <w:pPr>
        <w:pStyle w:val="Textonotapie"/>
        <w:jc w:val="both"/>
        <w:rPr>
          <w:rFonts w:ascii="Arial" w:hAnsi="Arial" w:cs="Arial"/>
        </w:rPr>
      </w:pPr>
      <w:r w:rsidRPr="001E6B56">
        <w:rPr>
          <w:rStyle w:val="Refdenotaalpie"/>
          <w:rFonts w:ascii="Arial" w:hAnsi="Arial" w:cs="Arial"/>
        </w:rPr>
        <w:footnoteRef/>
      </w:r>
      <w:r w:rsidRPr="001E6B56">
        <w:rPr>
          <w:rFonts w:ascii="Arial" w:hAnsi="Arial" w:cs="Arial"/>
        </w:rPr>
        <w:t xml:space="preserve"> Asamblea Nacional Constituyente. Ponencia del Constituyente Juan Carlos Esguerra Portocarrero para la submcomisión tercera de la comisión primera sobre el tema de los mecanismos de protección de los derechos fundamentales de los particulares. Bogotá, 15 de abril de 1991. </w:t>
      </w:r>
    </w:p>
  </w:footnote>
  <w:footnote w:id="3">
    <w:p w14:paraId="4848FA6C" w14:textId="77777777" w:rsidR="008A6D10" w:rsidRPr="0005600C" w:rsidRDefault="008A6D10" w:rsidP="00921E3F">
      <w:pPr>
        <w:pStyle w:val="Textonotapie"/>
        <w:rPr>
          <w:rFonts w:ascii="Arial" w:hAnsi="Arial" w:cs="Arial"/>
          <w:lang w:val="es-ES_tradnl"/>
        </w:rPr>
      </w:pPr>
      <w:r>
        <w:rPr>
          <w:rStyle w:val="Refdenotaalpie"/>
        </w:rPr>
        <w:footnoteRef/>
      </w:r>
      <w:r>
        <w:t xml:space="preserve"> </w:t>
      </w:r>
      <w:r>
        <w:rPr>
          <w:rFonts w:ascii="Arial" w:hAnsi="Arial" w:cs="Arial"/>
          <w:lang w:val="es-ES_tradnl"/>
        </w:rPr>
        <w:t xml:space="preserve">Defensoría del Pueblo. La tutela y el derecho a la salud 2016. Bogotá: 2017. </w:t>
      </w:r>
    </w:p>
  </w:footnote>
  <w:footnote w:id="4">
    <w:p w14:paraId="32BBCBA4" w14:textId="77777777" w:rsidR="008A6D10" w:rsidRPr="00EA20E3" w:rsidRDefault="008A6D10" w:rsidP="00921E3F">
      <w:pPr>
        <w:pStyle w:val="Textonotapie"/>
        <w:jc w:val="both"/>
        <w:rPr>
          <w:rFonts w:ascii="Arial" w:hAnsi="Arial"/>
          <w:lang w:val="es-ES_tradnl"/>
        </w:rPr>
      </w:pPr>
      <w:r w:rsidRPr="00EA20E3">
        <w:rPr>
          <w:rStyle w:val="Refdenotaalpie"/>
          <w:rFonts w:ascii="Arial" w:hAnsi="Arial"/>
        </w:rPr>
        <w:footnoteRef/>
      </w:r>
      <w:r w:rsidRPr="00EA20E3">
        <w:rPr>
          <w:rFonts w:ascii="Arial" w:hAnsi="Arial"/>
        </w:rPr>
        <w:t xml:space="preserve"> </w:t>
      </w:r>
      <w:r w:rsidRPr="00EA20E3">
        <w:rPr>
          <w:rFonts w:ascii="Arial" w:hAnsi="Arial"/>
          <w:lang w:val="es-ES_tradnl"/>
        </w:rPr>
        <w:t xml:space="preserve">Consejo Superior de la Judicatura. Informe al Congreso de la República, 2018. </w:t>
      </w:r>
      <w:r>
        <w:rPr>
          <w:rFonts w:ascii="Arial" w:hAnsi="Arial"/>
          <w:lang w:val="es-ES_tradnl"/>
        </w:rPr>
        <w:t xml:space="preserve">Página 47. </w:t>
      </w:r>
    </w:p>
  </w:footnote>
  <w:footnote w:id="5">
    <w:p w14:paraId="69801437" w14:textId="77777777" w:rsidR="008A6D10" w:rsidRPr="006D2C37" w:rsidRDefault="008A6D10" w:rsidP="00921E3F">
      <w:pPr>
        <w:pStyle w:val="Textonotapie"/>
        <w:rPr>
          <w:rFonts w:ascii="Arial" w:hAnsi="Arial"/>
          <w:lang w:val="es-ES_tradnl"/>
        </w:rPr>
      </w:pPr>
      <w:r>
        <w:rPr>
          <w:rStyle w:val="Refdenotaalpie"/>
        </w:rPr>
        <w:footnoteRef/>
      </w:r>
      <w:r>
        <w:t xml:space="preserve"> </w:t>
      </w:r>
      <w:r>
        <w:rPr>
          <w:rFonts w:ascii="Arial" w:hAnsi="Arial"/>
          <w:lang w:val="es-ES_tradnl"/>
        </w:rPr>
        <w:t>Defensoría del pueblo. La tutela y los derechos a la salud y la seguridad social 2018. Bogotá: 2019.</w:t>
      </w:r>
    </w:p>
  </w:footnote>
  <w:footnote w:id="6">
    <w:p w14:paraId="71946050" w14:textId="77777777" w:rsidR="008A6D10" w:rsidRPr="006706B0" w:rsidRDefault="008A6D10" w:rsidP="00921E3F">
      <w:pPr>
        <w:pStyle w:val="Textonotapie"/>
        <w:rPr>
          <w:rFonts w:ascii="Arial" w:hAnsi="Arial" w:cs="Arial"/>
          <w:lang w:val="es-ES_tradnl"/>
        </w:rPr>
      </w:pPr>
      <w:r w:rsidRPr="006706B0">
        <w:rPr>
          <w:rStyle w:val="Refdenotaalpie"/>
          <w:rFonts w:ascii="Arial" w:hAnsi="Arial" w:cs="Arial"/>
        </w:rPr>
        <w:footnoteRef/>
      </w:r>
      <w:r w:rsidRPr="006706B0">
        <w:rPr>
          <w:rFonts w:ascii="Arial" w:hAnsi="Arial" w:cs="Arial"/>
        </w:rPr>
        <w:t xml:space="preserve"> </w:t>
      </w:r>
      <w:r>
        <w:rPr>
          <w:rFonts w:ascii="Arial" w:hAnsi="Arial" w:cs="Arial"/>
          <w:lang w:val="es-ES_tradnl"/>
        </w:rPr>
        <w:t>Defensoría del Pueblo. La tutela y el derecho a la salud 2016. Bogotá: 2017.</w:t>
      </w:r>
    </w:p>
  </w:footnote>
  <w:footnote w:id="7">
    <w:p w14:paraId="643FD133" w14:textId="77777777" w:rsidR="008A6D10" w:rsidRPr="006706B0" w:rsidRDefault="008A6D10" w:rsidP="00921E3F">
      <w:pPr>
        <w:pStyle w:val="Textonotapie"/>
        <w:jc w:val="both"/>
        <w:rPr>
          <w:lang w:val="es-ES_tradnl"/>
        </w:rPr>
      </w:pPr>
      <w:r w:rsidRPr="006706B0">
        <w:rPr>
          <w:rStyle w:val="Refdenotaalpie"/>
          <w:rFonts w:ascii="Arial" w:hAnsi="Arial" w:cs="Arial"/>
        </w:rPr>
        <w:footnoteRef/>
      </w:r>
      <w:r w:rsidRPr="006706B0">
        <w:rPr>
          <w:rFonts w:ascii="Arial" w:hAnsi="Arial" w:cs="Arial"/>
        </w:rPr>
        <w:t xml:space="preserve"> </w:t>
      </w:r>
      <w:r w:rsidRPr="006706B0">
        <w:rPr>
          <w:rFonts w:ascii="Arial" w:hAnsi="Arial" w:cs="Arial"/>
          <w:lang w:val="es-ES_tradnl"/>
        </w:rPr>
        <w:t>Corte Constitucional. Sentencias decididas en control abstracto de constitucionalidad y acción de tutela. 28 de febrero de 2019. En: http://www.corteconstitucional.gov.co/relatoria/estadisticas.php</w:t>
      </w:r>
    </w:p>
  </w:footnote>
  <w:footnote w:id="8">
    <w:p w14:paraId="7F498058" w14:textId="77777777" w:rsidR="008A6D10" w:rsidRPr="00FD29E1" w:rsidRDefault="008A6D10" w:rsidP="00921E3F">
      <w:pPr>
        <w:pStyle w:val="Textonotapie"/>
        <w:jc w:val="both"/>
        <w:rPr>
          <w:lang w:val="es-ES_tradnl"/>
        </w:rPr>
      </w:pPr>
      <w:r>
        <w:rPr>
          <w:rStyle w:val="Refdenotaalpie"/>
        </w:rPr>
        <w:footnoteRef/>
      </w:r>
      <w:r>
        <w:t xml:space="preserve"> </w:t>
      </w:r>
      <w:r>
        <w:rPr>
          <w:rFonts w:ascii="Arial" w:hAnsi="Arial"/>
          <w:lang w:val="es-ES_tradnl"/>
        </w:rPr>
        <w:t>Defensoría del pueblo. La tutela y los derechos a la salud y la seguridad social 2018. Bogotá: 2019.</w:t>
      </w:r>
    </w:p>
  </w:footnote>
  <w:footnote w:id="9">
    <w:p w14:paraId="41CDA29C" w14:textId="77777777" w:rsidR="008A6D10" w:rsidRPr="00620D42" w:rsidRDefault="008A6D10" w:rsidP="00921E3F">
      <w:pPr>
        <w:pStyle w:val="Textonotapie"/>
        <w:rPr>
          <w:lang w:val="es-ES_tradnl"/>
        </w:rPr>
      </w:pPr>
      <w:r>
        <w:rPr>
          <w:rStyle w:val="Refdenotaalpie"/>
        </w:rPr>
        <w:footnoteRef/>
      </w:r>
      <w:r>
        <w:t xml:space="preserve"> </w:t>
      </w:r>
      <w:r>
        <w:rPr>
          <w:rFonts w:ascii="Arial" w:hAnsi="Arial" w:cs="Arial"/>
          <w:lang w:val="es-ES_tradnl"/>
        </w:rPr>
        <w:t>Defensoría del Pueblo. La tutela y el derecho a la salud 2016. Bogotá: 2017.</w:t>
      </w:r>
    </w:p>
  </w:footnote>
  <w:footnote w:id="10">
    <w:p w14:paraId="08E41138" w14:textId="77777777" w:rsidR="008A6D10" w:rsidRPr="006B540D" w:rsidRDefault="008A6D10" w:rsidP="00921E3F">
      <w:pPr>
        <w:pStyle w:val="Textonotapie"/>
        <w:jc w:val="both"/>
        <w:rPr>
          <w:rFonts w:ascii="Arial" w:hAnsi="Arial" w:cs="Arial"/>
          <w:lang w:val="es-ES_tradnl"/>
        </w:rPr>
      </w:pPr>
      <w:r>
        <w:rPr>
          <w:rStyle w:val="Refdenotaalpie"/>
        </w:rPr>
        <w:footnoteRef/>
      </w:r>
      <w:r>
        <w:t xml:space="preserve"> </w:t>
      </w:r>
      <w:r w:rsidRPr="006B540D">
        <w:rPr>
          <w:rFonts w:ascii="Arial" w:hAnsi="Arial" w:cs="Arial"/>
          <w:lang w:val="es-ES_tradnl"/>
        </w:rPr>
        <w:t>Corte Constitucional. BOLETÍN DE ESTADÍSTICAS DE LA CORTE CONSTITUCIONAL ENERO-MAYO DE 2019</w:t>
      </w:r>
      <w:r>
        <w:rPr>
          <w:rFonts w:ascii="Arial" w:hAnsi="Arial" w:cs="Arial"/>
          <w:lang w:val="es-ES_tradnl"/>
        </w:rPr>
        <w:t>.</w:t>
      </w:r>
    </w:p>
  </w:footnote>
  <w:footnote w:id="11">
    <w:p w14:paraId="30753CF4" w14:textId="77777777" w:rsidR="008A6D10" w:rsidRPr="00AC6296" w:rsidRDefault="008A6D10" w:rsidP="00921E3F">
      <w:pPr>
        <w:pStyle w:val="Textonotapie"/>
        <w:rPr>
          <w:lang w:val="es-ES_tradnl"/>
        </w:rPr>
      </w:pPr>
      <w:r>
        <w:rPr>
          <w:rStyle w:val="Refdenotaalpie"/>
        </w:rPr>
        <w:footnoteRef/>
      </w:r>
      <w:r>
        <w:t xml:space="preserve"> </w:t>
      </w:r>
      <w:r>
        <w:rPr>
          <w:rFonts w:ascii="Arial" w:hAnsi="Arial"/>
          <w:lang w:val="es-ES_tradnl"/>
        </w:rPr>
        <w:t xml:space="preserve">Defensoría del pueblo. La tutela y los derechos a la salud y la seguridad social 2018. Bogotá: 2019. Pág. 32. </w:t>
      </w:r>
    </w:p>
  </w:footnote>
  <w:footnote w:id="12">
    <w:p w14:paraId="1CB02B8B" w14:textId="77777777" w:rsidR="008A6D10" w:rsidRPr="000C1DBF" w:rsidRDefault="008A6D10" w:rsidP="00921E3F">
      <w:pPr>
        <w:pStyle w:val="Textonotapie"/>
        <w:rPr>
          <w:rFonts w:ascii="Arial" w:hAnsi="Arial" w:cs="Arial"/>
          <w:lang w:val="es-ES_tradnl"/>
        </w:rPr>
      </w:pPr>
      <w:r w:rsidRPr="000C1DBF">
        <w:rPr>
          <w:rStyle w:val="Refdenotaalpie"/>
          <w:rFonts w:ascii="Arial" w:hAnsi="Arial" w:cs="Arial"/>
        </w:rPr>
        <w:footnoteRef/>
      </w:r>
      <w:r w:rsidRPr="000C1DBF">
        <w:rPr>
          <w:rFonts w:ascii="Arial" w:hAnsi="Arial" w:cs="Arial"/>
        </w:rPr>
        <w:t xml:space="preserve"> </w:t>
      </w:r>
      <w:r w:rsidRPr="000C1DBF">
        <w:rPr>
          <w:rFonts w:ascii="Arial" w:hAnsi="Arial" w:cs="Arial"/>
          <w:lang w:val="es-ES_tradnl"/>
        </w:rPr>
        <w:t>Consejo Superior de la Judicatura. Informe al Congreso de la República, 2018. Página 49.</w:t>
      </w:r>
    </w:p>
  </w:footnote>
  <w:footnote w:id="13">
    <w:p w14:paraId="2D83313D" w14:textId="77777777" w:rsidR="008A6D10" w:rsidRPr="00AC6296" w:rsidRDefault="008A6D10" w:rsidP="00921E3F">
      <w:pPr>
        <w:pStyle w:val="Textonotapie"/>
        <w:rPr>
          <w:lang w:val="es-ES_tradnl"/>
        </w:rPr>
      </w:pPr>
      <w:r>
        <w:rPr>
          <w:rStyle w:val="Refdenotaalpie"/>
        </w:rPr>
        <w:footnoteRef/>
      </w:r>
      <w:r>
        <w:t xml:space="preserve"> </w:t>
      </w:r>
      <w:r>
        <w:rPr>
          <w:rFonts w:ascii="Arial" w:hAnsi="Arial"/>
          <w:lang w:val="es-ES_tradnl"/>
        </w:rPr>
        <w:t>Defensoría del pueblo. La tutela y los derechos a la salud y la seguridad social 2018. Bogotá: 2019. Pág. 32.</w:t>
      </w:r>
    </w:p>
  </w:footnote>
  <w:footnote w:id="14">
    <w:p w14:paraId="1D04BE6A" w14:textId="77777777" w:rsidR="008A6D10" w:rsidRPr="00AA26D5" w:rsidRDefault="008A6D10" w:rsidP="00921E3F">
      <w:pPr>
        <w:pStyle w:val="Textonotapie"/>
        <w:rPr>
          <w:lang w:val="es-ES_tradnl"/>
        </w:rPr>
      </w:pPr>
      <w:r w:rsidRPr="000C1DBF">
        <w:rPr>
          <w:rStyle w:val="Refdenotaalpie"/>
          <w:rFonts w:ascii="Arial" w:hAnsi="Arial" w:cs="Arial"/>
        </w:rPr>
        <w:footnoteRef/>
      </w:r>
      <w:r w:rsidRPr="000C1DBF">
        <w:rPr>
          <w:rFonts w:ascii="Arial" w:hAnsi="Arial" w:cs="Arial"/>
        </w:rPr>
        <w:t xml:space="preserve"> </w:t>
      </w:r>
      <w:r>
        <w:rPr>
          <w:rFonts w:ascii="Arial" w:hAnsi="Arial"/>
          <w:lang w:val="es-ES_tradnl"/>
        </w:rPr>
        <w:t>Defensoría del pueblo. La tutela y los derechos a la salud y la seguridad social 2018. Bogotá: 2019. Pág. 32.</w:t>
      </w:r>
    </w:p>
  </w:footnote>
  <w:footnote w:id="15">
    <w:p w14:paraId="5A09A666" w14:textId="77777777" w:rsidR="008A6D10" w:rsidRPr="003B2592" w:rsidRDefault="008A6D10" w:rsidP="00921E3F">
      <w:pPr>
        <w:pStyle w:val="Textonotapie"/>
        <w:jc w:val="both"/>
        <w:rPr>
          <w:rFonts w:ascii="Arial" w:hAnsi="Arial" w:cs="Arial"/>
          <w:lang w:val="es-ES_tradnl"/>
        </w:rPr>
      </w:pPr>
      <w:r w:rsidRPr="003B2592">
        <w:rPr>
          <w:rStyle w:val="Refdenotaalpie"/>
          <w:rFonts w:ascii="Arial" w:hAnsi="Arial" w:cs="Arial"/>
        </w:rPr>
        <w:footnoteRef/>
      </w:r>
      <w:r w:rsidRPr="003B2592">
        <w:rPr>
          <w:rFonts w:ascii="Arial" w:hAnsi="Arial" w:cs="Arial"/>
        </w:rPr>
        <w:t xml:space="preserve"> </w:t>
      </w:r>
      <w:r>
        <w:rPr>
          <w:rFonts w:ascii="Arial" w:hAnsi="Arial" w:cs="Arial"/>
          <w:lang w:val="es-ES_tradnl"/>
        </w:rPr>
        <w:t>Según</w:t>
      </w:r>
      <w:r w:rsidRPr="003B2592">
        <w:rPr>
          <w:rFonts w:ascii="Arial" w:hAnsi="Arial" w:cs="Arial"/>
          <w:lang w:val="es-ES_tradnl"/>
        </w:rPr>
        <w:t xml:space="preserve"> informe de l</w:t>
      </w:r>
      <w:r>
        <w:rPr>
          <w:rFonts w:ascii="Arial" w:hAnsi="Arial" w:cs="Arial"/>
          <w:lang w:val="es-ES_tradnl"/>
        </w:rPr>
        <w:t xml:space="preserve">a Defensoría del Pueblo, de 2019, </w:t>
      </w:r>
      <w:r w:rsidRPr="00EF3D2E">
        <w:rPr>
          <w:rFonts w:ascii="Arial" w:hAnsi="Arial" w:cs="Arial"/>
          <w:i/>
          <w:lang w:val="es-ES_tradnl"/>
        </w:rPr>
        <w:t>“A nivel de entidad demandada (mayores a 1.000 tutelas), Comfacor presentó el porcentaje más alto de fallos en contra en primera instancia, con el 90,6 por ciento, seguida de Ecoopsos (89,3 por ciento), Barrios Unidos de Quibdó (89,1 por ciento), Comparta (88,1 por ciento) y Emssanar (87,8 por ciento)”.</w:t>
      </w:r>
    </w:p>
  </w:footnote>
  <w:footnote w:id="16">
    <w:p w14:paraId="3F41723E" w14:textId="77777777" w:rsidR="008A6D10" w:rsidRPr="008C6AD8" w:rsidRDefault="008A6D10" w:rsidP="00921E3F">
      <w:pPr>
        <w:jc w:val="both"/>
        <w:rPr>
          <w:rFonts w:ascii="Arial" w:hAnsi="Arial" w:cs="Arial"/>
          <w:sz w:val="20"/>
          <w:szCs w:val="20"/>
        </w:rPr>
      </w:pPr>
      <w:r w:rsidRPr="000615E6">
        <w:rPr>
          <w:rStyle w:val="Refdenotaalpie"/>
          <w:rFonts w:ascii="Arial" w:hAnsi="Arial" w:cs="Arial"/>
          <w:sz w:val="20"/>
          <w:szCs w:val="20"/>
        </w:rPr>
        <w:footnoteRef/>
      </w:r>
      <w:r w:rsidRPr="000615E6">
        <w:rPr>
          <w:rFonts w:ascii="Arial" w:hAnsi="Arial" w:cs="Arial"/>
          <w:sz w:val="20"/>
          <w:szCs w:val="20"/>
        </w:rPr>
        <w:t xml:space="preserve"> </w:t>
      </w:r>
      <w:r>
        <w:rPr>
          <w:rFonts w:ascii="Arial" w:hAnsi="Arial" w:cs="Arial"/>
          <w:sz w:val="20"/>
          <w:szCs w:val="20"/>
        </w:rPr>
        <w:t xml:space="preserve">Ferrer </w:t>
      </w:r>
      <w:r w:rsidRPr="000615E6">
        <w:rPr>
          <w:rFonts w:ascii="Arial" w:hAnsi="Arial" w:cs="Arial"/>
          <w:sz w:val="20"/>
          <w:szCs w:val="20"/>
          <w:shd w:val="clear" w:color="auto" w:fill="FFFFFF"/>
        </w:rPr>
        <w:t>Beltrán, Jordi. “APUNTES SOBRE EL CONCEPTO DE MOTIVACIÓN DE LAS DECISIONES JUDICIALES.” </w:t>
      </w:r>
      <w:r w:rsidRPr="000615E6">
        <w:rPr>
          <w:rFonts w:ascii="Arial" w:hAnsi="Arial" w:cs="Arial"/>
          <w:i/>
          <w:iCs/>
          <w:sz w:val="20"/>
          <w:szCs w:val="20"/>
          <w:shd w:val="clear" w:color="auto" w:fill="FFFFFF"/>
        </w:rPr>
        <w:t>Nuevas Tendencias Del Derecho Probatorio: Segunda Edición Ampliada</w:t>
      </w:r>
      <w:r w:rsidRPr="000615E6">
        <w:rPr>
          <w:rFonts w:ascii="Arial" w:hAnsi="Arial" w:cs="Arial"/>
          <w:sz w:val="20"/>
          <w:szCs w:val="20"/>
          <w:shd w:val="clear" w:color="auto" w:fill="FFFFFF"/>
        </w:rPr>
        <w:t>, by Horacio Cruz Tejada, 2nd ed., Universidad De Los Andes, Colombia, 2015, pp. 57–76. </w:t>
      </w:r>
      <w:r w:rsidRPr="000615E6">
        <w:rPr>
          <w:rFonts w:ascii="Arial" w:hAnsi="Arial" w:cs="Arial"/>
          <w:i/>
          <w:iCs/>
          <w:sz w:val="20"/>
          <w:szCs w:val="20"/>
          <w:shd w:val="clear" w:color="auto" w:fill="FFFFFF"/>
        </w:rPr>
        <w:t>JSTOR</w:t>
      </w:r>
      <w:r w:rsidRPr="000615E6">
        <w:rPr>
          <w:rFonts w:ascii="Arial" w:hAnsi="Arial" w:cs="Arial"/>
          <w:sz w:val="20"/>
          <w:szCs w:val="20"/>
          <w:shd w:val="clear" w:color="auto" w:fill="FFFFFF"/>
        </w:rPr>
        <w:t>, www.jstor.org/stable/10.7440/j.ctt19qgdk7.8.</w:t>
      </w:r>
    </w:p>
  </w:footnote>
  <w:footnote w:id="17">
    <w:p w14:paraId="4CC89089" w14:textId="77777777" w:rsidR="008A6D10" w:rsidRPr="00F51594" w:rsidRDefault="008A6D10" w:rsidP="00921E3F">
      <w:pPr>
        <w:pStyle w:val="Textonotapie"/>
        <w:rPr>
          <w:rFonts w:ascii="Arial" w:hAnsi="Arial" w:cs="Arial"/>
          <w:lang w:val="es-ES"/>
        </w:rPr>
      </w:pPr>
      <w:r w:rsidRPr="00F51594">
        <w:rPr>
          <w:rStyle w:val="Refdenotaalpie"/>
          <w:rFonts w:ascii="Arial" w:hAnsi="Arial" w:cs="Arial"/>
        </w:rPr>
        <w:footnoteRef/>
      </w:r>
      <w:r w:rsidRPr="00F51594">
        <w:rPr>
          <w:rFonts w:ascii="Arial" w:hAnsi="Arial" w:cs="Arial"/>
        </w:rPr>
        <w:t xml:space="preserve"> </w:t>
      </w:r>
      <w:r w:rsidRPr="00F51594">
        <w:rPr>
          <w:rFonts w:ascii="Arial" w:hAnsi="Arial" w:cs="Arial"/>
          <w:lang w:val="es-ES"/>
        </w:rPr>
        <w:t xml:space="preserve">Rojas Gómez, Miguel. </w:t>
      </w:r>
      <w:r w:rsidRPr="00F51594">
        <w:rPr>
          <w:rFonts w:ascii="Arial" w:hAnsi="Arial" w:cs="Arial"/>
          <w:i/>
          <w:lang w:val="es-ES"/>
        </w:rPr>
        <w:t>Lecciones de derecho procesal, tomo I, Teoría del proceso</w:t>
      </w:r>
      <w:r w:rsidRPr="00F51594">
        <w:rPr>
          <w:rFonts w:ascii="Arial" w:hAnsi="Arial" w:cs="Arial"/>
          <w:lang w:val="es-ES"/>
        </w:rPr>
        <w:t>, Bogotá, Esaju, 2019, pp. 40 a 42.</w:t>
      </w:r>
    </w:p>
  </w:footnote>
  <w:footnote w:id="18">
    <w:p w14:paraId="455DB3B5" w14:textId="77777777" w:rsidR="008A6D10" w:rsidRPr="00F51594" w:rsidRDefault="008A6D10" w:rsidP="00921E3F">
      <w:pPr>
        <w:jc w:val="both"/>
        <w:rPr>
          <w:rFonts w:ascii="Arial" w:hAnsi="Arial" w:cs="Arial"/>
          <w:sz w:val="20"/>
          <w:szCs w:val="20"/>
        </w:rPr>
      </w:pPr>
      <w:r w:rsidRPr="00F51594">
        <w:rPr>
          <w:rStyle w:val="Refdenotaalpie"/>
          <w:rFonts w:ascii="Arial" w:hAnsi="Arial" w:cs="Arial"/>
          <w:sz w:val="20"/>
          <w:szCs w:val="20"/>
        </w:rPr>
        <w:footnoteRef/>
      </w:r>
      <w:r w:rsidRPr="00F51594">
        <w:rPr>
          <w:rFonts w:ascii="Arial" w:hAnsi="Arial" w:cs="Arial"/>
          <w:sz w:val="20"/>
          <w:szCs w:val="20"/>
        </w:rPr>
        <w:t xml:space="preserve"> Corte Constitucional. Sentencia C-367 de 2014 M.P. Mauricio González Cuervo.</w:t>
      </w:r>
    </w:p>
  </w:footnote>
  <w:footnote w:id="19">
    <w:p w14:paraId="36C3FBB9" w14:textId="77777777" w:rsidR="008A6D10" w:rsidRPr="00097DED" w:rsidRDefault="008A6D10" w:rsidP="00921E3F">
      <w:pPr>
        <w:pStyle w:val="Textonotapie"/>
        <w:rPr>
          <w:rFonts w:ascii="Arial" w:hAnsi="Arial" w:cs="Arial"/>
          <w:lang w:val="es-ES_tradnl"/>
        </w:rPr>
      </w:pPr>
      <w:r w:rsidRPr="00F51594">
        <w:rPr>
          <w:rStyle w:val="Refdenotaalpie"/>
          <w:rFonts w:ascii="Arial" w:hAnsi="Arial" w:cs="Arial"/>
        </w:rPr>
        <w:footnoteRef/>
      </w:r>
      <w:r w:rsidRPr="00F51594">
        <w:rPr>
          <w:rFonts w:ascii="Arial" w:hAnsi="Arial" w:cs="Arial"/>
        </w:rPr>
        <w:t xml:space="preserve">  Corte Constitucional. Sentencia SU 034 de 2018. M.P. Alberto Rojas Ríos.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93C1D" w14:textId="334653C1" w:rsidR="008A6D10" w:rsidRDefault="008A6D10" w:rsidP="002A024A">
    <w:pPr>
      <w:pStyle w:val="Encabezado"/>
      <w:jc w:val="center"/>
    </w:pPr>
    <w:r>
      <w:rPr>
        <w:noProof/>
        <w:lang w:eastAsia="es-CO"/>
      </w:rPr>
      <w:drawing>
        <wp:inline distT="0" distB="0" distL="0" distR="0" wp14:anchorId="6E688BEE" wp14:editId="3BCD2D69">
          <wp:extent cx="3314700" cy="11049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4936" t="26565" r="17345" b="33286"/>
                  <a:stretch/>
                </pic:blipFill>
                <pic:spPr bwMode="auto">
                  <a:xfrm>
                    <a:off x="0" y="0"/>
                    <a:ext cx="3319638" cy="110654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9616D"/>
    <w:multiLevelType w:val="hybridMultilevel"/>
    <w:tmpl w:val="A940706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7140E4"/>
    <w:multiLevelType w:val="hybridMultilevel"/>
    <w:tmpl w:val="5A3E54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C95D10"/>
    <w:multiLevelType w:val="hybridMultilevel"/>
    <w:tmpl w:val="0C72B4EA"/>
    <w:lvl w:ilvl="0" w:tplc="240A000F">
      <w:start w:val="1"/>
      <w:numFmt w:val="decimal"/>
      <w:lvlText w:val="%1."/>
      <w:lvlJc w:val="left"/>
      <w:pPr>
        <w:ind w:left="360" w:hanging="360"/>
      </w:pPr>
      <w:rPr>
        <w:rFonts w:hint="default"/>
      </w:rPr>
    </w:lvl>
    <w:lvl w:ilvl="1" w:tplc="E70AFB76">
      <w:start w:val="10"/>
      <w:numFmt w:val="bullet"/>
      <w:lvlText w:val="-"/>
      <w:lvlJc w:val="left"/>
      <w:pPr>
        <w:ind w:left="1080" w:hanging="360"/>
      </w:pPr>
      <w:rPr>
        <w:rFonts w:ascii="Arial" w:eastAsiaTheme="minorHAnsi" w:hAnsi="Arial" w:cs="Arial"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3F507F5"/>
    <w:multiLevelType w:val="multilevel"/>
    <w:tmpl w:val="14D6930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0A0554"/>
    <w:multiLevelType w:val="hybridMultilevel"/>
    <w:tmpl w:val="DC647A3A"/>
    <w:lvl w:ilvl="0" w:tplc="9174A98A">
      <w:start w:val="1"/>
      <w:numFmt w:val="lowerLetter"/>
      <w:lvlText w:val="%1."/>
      <w:lvlJc w:val="left"/>
      <w:pPr>
        <w:ind w:left="720" w:hanging="360"/>
      </w:pPr>
      <w:rPr>
        <w:rFonts w:ascii="Arial" w:eastAsia="Times New Roman"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CEF674C"/>
    <w:multiLevelType w:val="multilevel"/>
    <w:tmpl w:val="4B160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F29438F"/>
    <w:multiLevelType w:val="multilevel"/>
    <w:tmpl w:val="4300DF0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6474A8F"/>
    <w:multiLevelType w:val="multilevel"/>
    <w:tmpl w:val="2378016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E705F95"/>
    <w:multiLevelType w:val="multilevel"/>
    <w:tmpl w:val="54E2E3AE"/>
    <w:lvl w:ilvl="0">
      <w:start w:val="1"/>
      <w:numFmt w:val="decimal"/>
      <w:lvlText w:val="%1"/>
      <w:lvlJc w:val="left"/>
      <w:pPr>
        <w:ind w:left="2232" w:hanging="432"/>
      </w:pPr>
    </w:lvl>
    <w:lvl w:ilvl="1">
      <w:start w:val="1"/>
      <w:numFmt w:val="decimal"/>
      <w:lvlText w:val="%1.%2"/>
      <w:lvlJc w:val="left"/>
      <w:pPr>
        <w:ind w:left="2376" w:hanging="576"/>
      </w:pPr>
    </w:lvl>
    <w:lvl w:ilvl="2">
      <w:start w:val="1"/>
      <w:numFmt w:val="decimal"/>
      <w:lvlText w:val="%1.%2.%3"/>
      <w:lvlJc w:val="left"/>
      <w:pPr>
        <w:ind w:left="2520" w:hanging="720"/>
      </w:pPr>
    </w:lvl>
    <w:lvl w:ilvl="3">
      <w:start w:val="1"/>
      <w:numFmt w:val="decimal"/>
      <w:lvlText w:val="%1.%2.%3.%4"/>
      <w:lvlJc w:val="left"/>
      <w:pPr>
        <w:ind w:left="2664" w:hanging="864"/>
      </w:pPr>
    </w:lvl>
    <w:lvl w:ilvl="4">
      <w:start w:val="1"/>
      <w:numFmt w:val="decimal"/>
      <w:lvlText w:val="%1.%2.%3.%4.%5"/>
      <w:lvlJc w:val="left"/>
      <w:pPr>
        <w:ind w:left="2808" w:hanging="1008"/>
      </w:pPr>
    </w:lvl>
    <w:lvl w:ilvl="5">
      <w:start w:val="1"/>
      <w:numFmt w:val="decimal"/>
      <w:lvlText w:val="%1.%2.%3.%4.%5.%6"/>
      <w:lvlJc w:val="left"/>
      <w:pPr>
        <w:ind w:left="2952" w:hanging="1152"/>
      </w:pPr>
    </w:lvl>
    <w:lvl w:ilvl="6">
      <w:start w:val="1"/>
      <w:numFmt w:val="decimal"/>
      <w:lvlText w:val="%1.%2.%3.%4.%5.%6.%7"/>
      <w:lvlJc w:val="left"/>
      <w:pPr>
        <w:ind w:left="3096" w:hanging="1296"/>
      </w:pPr>
    </w:lvl>
    <w:lvl w:ilvl="7">
      <w:start w:val="1"/>
      <w:numFmt w:val="decimal"/>
      <w:lvlText w:val="%1.%2.%3.%4.%5.%6.%7.%8"/>
      <w:lvlJc w:val="left"/>
      <w:pPr>
        <w:ind w:left="3240" w:hanging="1440"/>
      </w:pPr>
    </w:lvl>
    <w:lvl w:ilvl="8">
      <w:start w:val="1"/>
      <w:numFmt w:val="decimal"/>
      <w:lvlText w:val="%1.%2.%3.%4.%5.%6.%7.%8.%9"/>
      <w:lvlJc w:val="left"/>
      <w:pPr>
        <w:ind w:left="3384" w:hanging="1584"/>
      </w:pPr>
    </w:lvl>
  </w:abstractNum>
  <w:abstractNum w:abstractNumId="9" w15:restartNumberingAfterBreak="0">
    <w:nsid w:val="1E9E5BEA"/>
    <w:multiLevelType w:val="multilevel"/>
    <w:tmpl w:val="C01C7BCC"/>
    <w:lvl w:ilvl="0">
      <w:start w:val="1"/>
      <w:numFmt w:val="upperRoman"/>
      <w:lvlText w:val="%1."/>
      <w:lvlJc w:val="left"/>
      <w:pPr>
        <w:ind w:left="822" w:hanging="495"/>
      </w:pPr>
      <w:rPr>
        <w:rFonts w:ascii="Arial" w:eastAsia="Arial" w:hAnsi="Arial" w:cs="Arial"/>
        <w:b/>
        <w:sz w:val="24"/>
        <w:szCs w:val="24"/>
      </w:rPr>
    </w:lvl>
    <w:lvl w:ilvl="1">
      <w:start w:val="1"/>
      <w:numFmt w:val="lowerLetter"/>
      <w:lvlText w:val="%2."/>
      <w:lvlJc w:val="left"/>
      <w:pPr>
        <w:ind w:left="1542" w:hanging="360"/>
      </w:pPr>
      <w:rPr>
        <w:b/>
      </w:rPr>
    </w:lvl>
    <w:lvl w:ilvl="2">
      <w:start w:val="1"/>
      <w:numFmt w:val="bullet"/>
      <w:lvlText w:val="•"/>
      <w:lvlJc w:val="left"/>
      <w:pPr>
        <w:ind w:left="2402" w:hanging="360"/>
      </w:pPr>
    </w:lvl>
    <w:lvl w:ilvl="3">
      <w:start w:val="1"/>
      <w:numFmt w:val="bullet"/>
      <w:lvlText w:val="•"/>
      <w:lvlJc w:val="left"/>
      <w:pPr>
        <w:ind w:left="3264" w:hanging="360"/>
      </w:pPr>
    </w:lvl>
    <w:lvl w:ilvl="4">
      <w:start w:val="1"/>
      <w:numFmt w:val="bullet"/>
      <w:lvlText w:val="•"/>
      <w:lvlJc w:val="left"/>
      <w:pPr>
        <w:ind w:left="4126" w:hanging="360"/>
      </w:pPr>
    </w:lvl>
    <w:lvl w:ilvl="5">
      <w:start w:val="1"/>
      <w:numFmt w:val="bullet"/>
      <w:lvlText w:val="•"/>
      <w:lvlJc w:val="left"/>
      <w:pPr>
        <w:ind w:left="4988" w:hanging="360"/>
      </w:pPr>
    </w:lvl>
    <w:lvl w:ilvl="6">
      <w:start w:val="1"/>
      <w:numFmt w:val="bullet"/>
      <w:lvlText w:val="•"/>
      <w:lvlJc w:val="left"/>
      <w:pPr>
        <w:ind w:left="5851" w:hanging="360"/>
      </w:pPr>
    </w:lvl>
    <w:lvl w:ilvl="7">
      <w:start w:val="1"/>
      <w:numFmt w:val="bullet"/>
      <w:lvlText w:val="•"/>
      <w:lvlJc w:val="left"/>
      <w:pPr>
        <w:ind w:left="6713" w:hanging="360"/>
      </w:pPr>
    </w:lvl>
    <w:lvl w:ilvl="8">
      <w:start w:val="1"/>
      <w:numFmt w:val="bullet"/>
      <w:lvlText w:val="•"/>
      <w:lvlJc w:val="left"/>
      <w:pPr>
        <w:ind w:left="7575" w:hanging="360"/>
      </w:pPr>
    </w:lvl>
  </w:abstractNum>
  <w:abstractNum w:abstractNumId="10" w15:restartNumberingAfterBreak="0">
    <w:nsid w:val="1ECD49EB"/>
    <w:multiLevelType w:val="hybridMultilevel"/>
    <w:tmpl w:val="03E83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22061A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51A0D9E"/>
    <w:multiLevelType w:val="multilevel"/>
    <w:tmpl w:val="5B182AE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51F5C28"/>
    <w:multiLevelType w:val="hybridMultilevel"/>
    <w:tmpl w:val="ED86EB4E"/>
    <w:lvl w:ilvl="0" w:tplc="42C6173E">
      <w:start w:val="109"/>
      <w:numFmt w:val="bullet"/>
      <w:lvlText w:val=""/>
      <w:lvlJc w:val="left"/>
      <w:pPr>
        <w:ind w:left="720" w:hanging="360"/>
      </w:pPr>
      <w:rPr>
        <w:rFonts w:ascii="Wingdings" w:eastAsia="Times New Roman" w:hAnsi="Wingdings"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B842352"/>
    <w:multiLevelType w:val="hybridMultilevel"/>
    <w:tmpl w:val="2CAE9662"/>
    <w:lvl w:ilvl="0" w:tplc="8E00410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1DB4D1F"/>
    <w:multiLevelType w:val="multilevel"/>
    <w:tmpl w:val="05B8D7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211650C"/>
    <w:multiLevelType w:val="multilevel"/>
    <w:tmpl w:val="B254F3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2174F18"/>
    <w:multiLevelType w:val="multilevel"/>
    <w:tmpl w:val="001CA4D8"/>
    <w:lvl w:ilvl="0">
      <w:start w:val="1"/>
      <w:numFmt w:val="lowerLetter"/>
      <w:lvlText w:val="%1."/>
      <w:lvlJc w:val="left"/>
      <w:pPr>
        <w:ind w:left="720" w:hanging="360"/>
      </w:pPr>
      <w:rPr>
        <w:color w:val="2D2D2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891582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A796851"/>
    <w:multiLevelType w:val="hybridMultilevel"/>
    <w:tmpl w:val="5F7477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0595128"/>
    <w:multiLevelType w:val="hybridMultilevel"/>
    <w:tmpl w:val="6DD875D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1C01E4A"/>
    <w:multiLevelType w:val="hybridMultilevel"/>
    <w:tmpl w:val="58D664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4856F45"/>
    <w:multiLevelType w:val="multilevel"/>
    <w:tmpl w:val="D38E67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BB92A83"/>
    <w:multiLevelType w:val="multilevel"/>
    <w:tmpl w:val="86FC13CA"/>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C010EFA"/>
    <w:multiLevelType w:val="multilevel"/>
    <w:tmpl w:val="C01C7BCC"/>
    <w:lvl w:ilvl="0">
      <w:start w:val="1"/>
      <w:numFmt w:val="upperRoman"/>
      <w:lvlText w:val="%1."/>
      <w:lvlJc w:val="left"/>
      <w:pPr>
        <w:ind w:left="822" w:hanging="495"/>
      </w:pPr>
      <w:rPr>
        <w:rFonts w:ascii="Arial" w:eastAsia="Arial" w:hAnsi="Arial" w:cs="Arial"/>
        <w:b/>
        <w:sz w:val="24"/>
        <w:szCs w:val="24"/>
      </w:rPr>
    </w:lvl>
    <w:lvl w:ilvl="1">
      <w:start w:val="1"/>
      <w:numFmt w:val="lowerLetter"/>
      <w:lvlText w:val="%2."/>
      <w:lvlJc w:val="left"/>
      <w:pPr>
        <w:ind w:left="1542" w:hanging="360"/>
      </w:pPr>
      <w:rPr>
        <w:b/>
      </w:rPr>
    </w:lvl>
    <w:lvl w:ilvl="2">
      <w:start w:val="1"/>
      <w:numFmt w:val="bullet"/>
      <w:lvlText w:val="•"/>
      <w:lvlJc w:val="left"/>
      <w:pPr>
        <w:ind w:left="2402" w:hanging="360"/>
      </w:pPr>
    </w:lvl>
    <w:lvl w:ilvl="3">
      <w:start w:val="1"/>
      <w:numFmt w:val="bullet"/>
      <w:lvlText w:val="•"/>
      <w:lvlJc w:val="left"/>
      <w:pPr>
        <w:ind w:left="3264" w:hanging="360"/>
      </w:pPr>
    </w:lvl>
    <w:lvl w:ilvl="4">
      <w:start w:val="1"/>
      <w:numFmt w:val="bullet"/>
      <w:lvlText w:val="•"/>
      <w:lvlJc w:val="left"/>
      <w:pPr>
        <w:ind w:left="4126" w:hanging="360"/>
      </w:pPr>
    </w:lvl>
    <w:lvl w:ilvl="5">
      <w:start w:val="1"/>
      <w:numFmt w:val="bullet"/>
      <w:lvlText w:val="•"/>
      <w:lvlJc w:val="left"/>
      <w:pPr>
        <w:ind w:left="4988" w:hanging="360"/>
      </w:pPr>
    </w:lvl>
    <w:lvl w:ilvl="6">
      <w:start w:val="1"/>
      <w:numFmt w:val="bullet"/>
      <w:lvlText w:val="•"/>
      <w:lvlJc w:val="left"/>
      <w:pPr>
        <w:ind w:left="5851" w:hanging="360"/>
      </w:pPr>
    </w:lvl>
    <w:lvl w:ilvl="7">
      <w:start w:val="1"/>
      <w:numFmt w:val="bullet"/>
      <w:lvlText w:val="•"/>
      <w:lvlJc w:val="left"/>
      <w:pPr>
        <w:ind w:left="6713" w:hanging="360"/>
      </w:pPr>
    </w:lvl>
    <w:lvl w:ilvl="8">
      <w:start w:val="1"/>
      <w:numFmt w:val="bullet"/>
      <w:lvlText w:val="•"/>
      <w:lvlJc w:val="left"/>
      <w:pPr>
        <w:ind w:left="7575" w:hanging="360"/>
      </w:pPr>
    </w:lvl>
  </w:abstractNum>
  <w:abstractNum w:abstractNumId="25" w15:restartNumberingAfterBreak="0">
    <w:nsid w:val="54A760D6"/>
    <w:multiLevelType w:val="hybridMultilevel"/>
    <w:tmpl w:val="01C2D992"/>
    <w:lvl w:ilvl="0" w:tplc="F56CB15E">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52955FC"/>
    <w:multiLevelType w:val="hybridMultilevel"/>
    <w:tmpl w:val="D4F0B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43B684A"/>
    <w:multiLevelType w:val="hybridMultilevel"/>
    <w:tmpl w:val="F0F8DF70"/>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8" w15:restartNumberingAfterBreak="0">
    <w:nsid w:val="6DC16212"/>
    <w:multiLevelType w:val="hybridMultilevel"/>
    <w:tmpl w:val="C45C7E20"/>
    <w:lvl w:ilvl="0" w:tplc="240A000F">
      <w:start w:val="1"/>
      <w:numFmt w:val="decimal"/>
      <w:lvlText w:val="%1."/>
      <w:lvlJc w:val="left"/>
      <w:pPr>
        <w:ind w:left="720" w:hanging="360"/>
      </w:pPr>
    </w:lvl>
    <w:lvl w:ilvl="1" w:tplc="E70AFB76">
      <w:start w:val="10"/>
      <w:numFmt w:val="bullet"/>
      <w:lvlText w:val="-"/>
      <w:lvlJc w:val="left"/>
      <w:pPr>
        <w:ind w:left="644" w:hanging="360"/>
      </w:pPr>
      <w:rPr>
        <w:rFonts w:ascii="Arial" w:eastAsiaTheme="minorHAnsi"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F0610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F6B25FC"/>
    <w:multiLevelType w:val="multilevel"/>
    <w:tmpl w:val="F28C846E"/>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31" w15:restartNumberingAfterBreak="0">
    <w:nsid w:val="7075100C"/>
    <w:multiLevelType w:val="multilevel"/>
    <w:tmpl w:val="1F5EA0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26F5F9D"/>
    <w:multiLevelType w:val="hybridMultilevel"/>
    <w:tmpl w:val="9F04EC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782197B"/>
    <w:multiLevelType w:val="multilevel"/>
    <w:tmpl w:val="7F7C1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ED349AD"/>
    <w:multiLevelType w:val="multilevel"/>
    <w:tmpl w:val="6CF2FE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FA004C6"/>
    <w:multiLevelType w:val="multilevel"/>
    <w:tmpl w:val="0E9A7D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7"/>
  </w:num>
  <w:num w:numId="2">
    <w:abstractNumId w:val="28"/>
  </w:num>
  <w:num w:numId="3">
    <w:abstractNumId w:val="2"/>
  </w:num>
  <w:num w:numId="4">
    <w:abstractNumId w:val="21"/>
  </w:num>
  <w:num w:numId="5">
    <w:abstractNumId w:val="25"/>
  </w:num>
  <w:num w:numId="6">
    <w:abstractNumId w:val="14"/>
  </w:num>
  <w:num w:numId="7">
    <w:abstractNumId w:val="13"/>
  </w:num>
  <w:num w:numId="8">
    <w:abstractNumId w:val="23"/>
  </w:num>
  <w:num w:numId="9">
    <w:abstractNumId w:val="26"/>
  </w:num>
  <w:num w:numId="10">
    <w:abstractNumId w:val="32"/>
  </w:num>
  <w:num w:numId="11">
    <w:abstractNumId w:val="1"/>
  </w:num>
  <w:num w:numId="12">
    <w:abstractNumId w:val="4"/>
  </w:num>
  <w:num w:numId="13">
    <w:abstractNumId w:val="17"/>
  </w:num>
  <w:num w:numId="14">
    <w:abstractNumId w:val="9"/>
  </w:num>
  <w:num w:numId="15">
    <w:abstractNumId w:val="22"/>
  </w:num>
  <w:num w:numId="16">
    <w:abstractNumId w:val="33"/>
  </w:num>
  <w:num w:numId="17">
    <w:abstractNumId w:val="16"/>
  </w:num>
  <w:num w:numId="18">
    <w:abstractNumId w:val="5"/>
  </w:num>
  <w:num w:numId="19">
    <w:abstractNumId w:val="24"/>
  </w:num>
  <w:num w:numId="20">
    <w:abstractNumId w:val="10"/>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31"/>
  </w:num>
  <w:num w:numId="24">
    <w:abstractNumId w:val="3"/>
  </w:num>
  <w:num w:numId="25">
    <w:abstractNumId w:val="15"/>
  </w:num>
  <w:num w:numId="26">
    <w:abstractNumId w:val="7"/>
  </w:num>
  <w:num w:numId="27">
    <w:abstractNumId w:val="12"/>
  </w:num>
  <w:num w:numId="28">
    <w:abstractNumId w:val="6"/>
  </w:num>
  <w:num w:numId="29">
    <w:abstractNumId w:val="8"/>
  </w:num>
  <w:num w:numId="30">
    <w:abstractNumId w:val="35"/>
  </w:num>
  <w:num w:numId="31">
    <w:abstractNumId w:val="30"/>
  </w:num>
  <w:num w:numId="32">
    <w:abstractNumId w:val="20"/>
  </w:num>
  <w:num w:numId="33">
    <w:abstractNumId w:val="0"/>
  </w:num>
  <w:num w:numId="34">
    <w:abstractNumId w:val="11"/>
  </w:num>
  <w:num w:numId="35">
    <w:abstractNumId w:val="29"/>
  </w:num>
  <w:num w:numId="36">
    <w:abstractNumId w:val="18"/>
  </w:num>
  <w:num w:numId="37">
    <w:abstractNumId w:val="19"/>
  </w:num>
  <w:num w:numId="38">
    <w:abstractNumId w:val="9"/>
    <w:lvlOverride w:ilvl="0">
      <w:startOverride w:val="1"/>
    </w:lvlOverride>
    <w:lvlOverride w:ilvl="1">
      <w:startOverride w:val="1"/>
    </w:lvlOverride>
    <w:lvlOverride w:ilvl="2"/>
    <w:lvlOverride w:ilvl="3"/>
    <w:lvlOverride w:ilvl="4"/>
    <w:lvlOverride w:ilvl="5"/>
    <w:lvlOverride w:ilvl="6"/>
    <w:lvlOverride w:ilvl="7"/>
    <w:lvlOverride w:ilvl="8"/>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14C"/>
    <w:rsid w:val="00001BFB"/>
    <w:rsid w:val="000028B4"/>
    <w:rsid w:val="00004DE3"/>
    <w:rsid w:val="00007E06"/>
    <w:rsid w:val="00013924"/>
    <w:rsid w:val="00015994"/>
    <w:rsid w:val="000419C8"/>
    <w:rsid w:val="000451D3"/>
    <w:rsid w:val="00054AAB"/>
    <w:rsid w:val="00056BDD"/>
    <w:rsid w:val="00072811"/>
    <w:rsid w:val="0007428D"/>
    <w:rsid w:val="0007430D"/>
    <w:rsid w:val="00097A80"/>
    <w:rsid w:val="000A00A4"/>
    <w:rsid w:val="000A4169"/>
    <w:rsid w:val="000A7087"/>
    <w:rsid w:val="000B3FC6"/>
    <w:rsid w:val="000B7055"/>
    <w:rsid w:val="000C0E82"/>
    <w:rsid w:val="000C574A"/>
    <w:rsid w:val="000D0D45"/>
    <w:rsid w:val="000D3E28"/>
    <w:rsid w:val="000E6802"/>
    <w:rsid w:val="001046BA"/>
    <w:rsid w:val="00111042"/>
    <w:rsid w:val="00111B10"/>
    <w:rsid w:val="001133B4"/>
    <w:rsid w:val="00113A3E"/>
    <w:rsid w:val="0011502B"/>
    <w:rsid w:val="00121905"/>
    <w:rsid w:val="00121DC9"/>
    <w:rsid w:val="0012554D"/>
    <w:rsid w:val="00136847"/>
    <w:rsid w:val="00142556"/>
    <w:rsid w:val="001429D4"/>
    <w:rsid w:val="00143DC7"/>
    <w:rsid w:val="00145F43"/>
    <w:rsid w:val="001479A1"/>
    <w:rsid w:val="00157D4D"/>
    <w:rsid w:val="00167AAA"/>
    <w:rsid w:val="00185D7B"/>
    <w:rsid w:val="00186DCC"/>
    <w:rsid w:val="001A6DA3"/>
    <w:rsid w:val="001B2B26"/>
    <w:rsid w:val="001B395E"/>
    <w:rsid w:val="001C0951"/>
    <w:rsid w:val="001C1F0F"/>
    <w:rsid w:val="001C5730"/>
    <w:rsid w:val="001C64B9"/>
    <w:rsid w:val="001D220A"/>
    <w:rsid w:val="001D42A4"/>
    <w:rsid w:val="001E14FB"/>
    <w:rsid w:val="001E1B9B"/>
    <w:rsid w:val="001E795D"/>
    <w:rsid w:val="001F00B2"/>
    <w:rsid w:val="00204C7E"/>
    <w:rsid w:val="0021201D"/>
    <w:rsid w:val="00213E47"/>
    <w:rsid w:val="0022234F"/>
    <w:rsid w:val="002243AC"/>
    <w:rsid w:val="0022556D"/>
    <w:rsid w:val="002303F1"/>
    <w:rsid w:val="00230975"/>
    <w:rsid w:val="00233D6C"/>
    <w:rsid w:val="00235496"/>
    <w:rsid w:val="002435B3"/>
    <w:rsid w:val="00251FEB"/>
    <w:rsid w:val="0025317E"/>
    <w:rsid w:val="00255E71"/>
    <w:rsid w:val="00272F89"/>
    <w:rsid w:val="002841E2"/>
    <w:rsid w:val="00290B11"/>
    <w:rsid w:val="00290E98"/>
    <w:rsid w:val="00291589"/>
    <w:rsid w:val="002A024A"/>
    <w:rsid w:val="002A4532"/>
    <w:rsid w:val="002C4132"/>
    <w:rsid w:val="002C77CD"/>
    <w:rsid w:val="002E37B4"/>
    <w:rsid w:val="002F4CF1"/>
    <w:rsid w:val="0031044A"/>
    <w:rsid w:val="00316381"/>
    <w:rsid w:val="00335B80"/>
    <w:rsid w:val="0034166A"/>
    <w:rsid w:val="00341E0E"/>
    <w:rsid w:val="00343363"/>
    <w:rsid w:val="003512A6"/>
    <w:rsid w:val="00365509"/>
    <w:rsid w:val="00370A07"/>
    <w:rsid w:val="00370C39"/>
    <w:rsid w:val="00381C76"/>
    <w:rsid w:val="00393089"/>
    <w:rsid w:val="003938CB"/>
    <w:rsid w:val="003A0AB5"/>
    <w:rsid w:val="003A0C30"/>
    <w:rsid w:val="003A3523"/>
    <w:rsid w:val="003C1DC3"/>
    <w:rsid w:val="003D6F64"/>
    <w:rsid w:val="003E5DAB"/>
    <w:rsid w:val="00414568"/>
    <w:rsid w:val="00436B38"/>
    <w:rsid w:val="00453C20"/>
    <w:rsid w:val="00454A3B"/>
    <w:rsid w:val="004707F9"/>
    <w:rsid w:val="00470CD5"/>
    <w:rsid w:val="00471F1F"/>
    <w:rsid w:val="004772BF"/>
    <w:rsid w:val="0048017F"/>
    <w:rsid w:val="004907BF"/>
    <w:rsid w:val="004B095C"/>
    <w:rsid w:val="004C04B1"/>
    <w:rsid w:val="004E38FE"/>
    <w:rsid w:val="004E5E2B"/>
    <w:rsid w:val="004F1D02"/>
    <w:rsid w:val="00524964"/>
    <w:rsid w:val="00534BAD"/>
    <w:rsid w:val="00550F6F"/>
    <w:rsid w:val="00553BF4"/>
    <w:rsid w:val="00570A09"/>
    <w:rsid w:val="00573B9A"/>
    <w:rsid w:val="005776FE"/>
    <w:rsid w:val="00584B9A"/>
    <w:rsid w:val="00585BD8"/>
    <w:rsid w:val="00586875"/>
    <w:rsid w:val="00594D07"/>
    <w:rsid w:val="005A1772"/>
    <w:rsid w:val="005B6B6E"/>
    <w:rsid w:val="005B6DE2"/>
    <w:rsid w:val="005C4188"/>
    <w:rsid w:val="005D6D0B"/>
    <w:rsid w:val="005E753B"/>
    <w:rsid w:val="005E7813"/>
    <w:rsid w:val="005F7842"/>
    <w:rsid w:val="00600545"/>
    <w:rsid w:val="0061015D"/>
    <w:rsid w:val="00624E7C"/>
    <w:rsid w:val="006266CD"/>
    <w:rsid w:val="00641B96"/>
    <w:rsid w:val="00657A14"/>
    <w:rsid w:val="00664E04"/>
    <w:rsid w:val="0067020E"/>
    <w:rsid w:val="00695A30"/>
    <w:rsid w:val="006A029A"/>
    <w:rsid w:val="006A66E8"/>
    <w:rsid w:val="006B511E"/>
    <w:rsid w:val="006C4455"/>
    <w:rsid w:val="006D0193"/>
    <w:rsid w:val="006E534E"/>
    <w:rsid w:val="006F70F2"/>
    <w:rsid w:val="006F7BCA"/>
    <w:rsid w:val="0072484E"/>
    <w:rsid w:val="00732E54"/>
    <w:rsid w:val="00743EFB"/>
    <w:rsid w:val="007566CC"/>
    <w:rsid w:val="00775D1A"/>
    <w:rsid w:val="00776A62"/>
    <w:rsid w:val="007828B0"/>
    <w:rsid w:val="00787673"/>
    <w:rsid w:val="00795056"/>
    <w:rsid w:val="007966C4"/>
    <w:rsid w:val="007B1D70"/>
    <w:rsid w:val="007C023F"/>
    <w:rsid w:val="007C1544"/>
    <w:rsid w:val="007C3925"/>
    <w:rsid w:val="007D706E"/>
    <w:rsid w:val="007E72B8"/>
    <w:rsid w:val="007F27BF"/>
    <w:rsid w:val="00813FF0"/>
    <w:rsid w:val="0082738E"/>
    <w:rsid w:val="0083412F"/>
    <w:rsid w:val="00835484"/>
    <w:rsid w:val="0084099D"/>
    <w:rsid w:val="00843D59"/>
    <w:rsid w:val="00846B06"/>
    <w:rsid w:val="00863784"/>
    <w:rsid w:val="00865ED8"/>
    <w:rsid w:val="00867843"/>
    <w:rsid w:val="008834A1"/>
    <w:rsid w:val="00896016"/>
    <w:rsid w:val="008A6D10"/>
    <w:rsid w:val="008C5F39"/>
    <w:rsid w:val="008D46B7"/>
    <w:rsid w:val="008D6B2D"/>
    <w:rsid w:val="008E512A"/>
    <w:rsid w:val="008F22CC"/>
    <w:rsid w:val="00901008"/>
    <w:rsid w:val="009024F7"/>
    <w:rsid w:val="009120B1"/>
    <w:rsid w:val="00914D2C"/>
    <w:rsid w:val="00921E3F"/>
    <w:rsid w:val="009266C1"/>
    <w:rsid w:val="00932DF3"/>
    <w:rsid w:val="00947068"/>
    <w:rsid w:val="00985137"/>
    <w:rsid w:val="009A2CE3"/>
    <w:rsid w:val="009A58E6"/>
    <w:rsid w:val="009A6C97"/>
    <w:rsid w:val="009B5DF0"/>
    <w:rsid w:val="009B626B"/>
    <w:rsid w:val="009C5829"/>
    <w:rsid w:val="009C7FEF"/>
    <w:rsid w:val="009F398D"/>
    <w:rsid w:val="009F3E5C"/>
    <w:rsid w:val="009F6484"/>
    <w:rsid w:val="00A11DB8"/>
    <w:rsid w:val="00A2163D"/>
    <w:rsid w:val="00A30C97"/>
    <w:rsid w:val="00A32E55"/>
    <w:rsid w:val="00A3560D"/>
    <w:rsid w:val="00A40161"/>
    <w:rsid w:val="00A4514C"/>
    <w:rsid w:val="00A503CB"/>
    <w:rsid w:val="00A53781"/>
    <w:rsid w:val="00A70D80"/>
    <w:rsid w:val="00A84A8B"/>
    <w:rsid w:val="00AA6A9F"/>
    <w:rsid w:val="00AA6CDA"/>
    <w:rsid w:val="00AB4334"/>
    <w:rsid w:val="00AC4FCB"/>
    <w:rsid w:val="00AD7C88"/>
    <w:rsid w:val="00AE08CC"/>
    <w:rsid w:val="00AF3BA5"/>
    <w:rsid w:val="00B0220E"/>
    <w:rsid w:val="00B17582"/>
    <w:rsid w:val="00B22540"/>
    <w:rsid w:val="00B24D60"/>
    <w:rsid w:val="00B36BA9"/>
    <w:rsid w:val="00B40DC9"/>
    <w:rsid w:val="00B5027E"/>
    <w:rsid w:val="00B63340"/>
    <w:rsid w:val="00B724F8"/>
    <w:rsid w:val="00B763E3"/>
    <w:rsid w:val="00BA218D"/>
    <w:rsid w:val="00BA7030"/>
    <w:rsid w:val="00BB0FBC"/>
    <w:rsid w:val="00BD28AA"/>
    <w:rsid w:val="00BD744F"/>
    <w:rsid w:val="00BE247D"/>
    <w:rsid w:val="00BE370C"/>
    <w:rsid w:val="00BF363D"/>
    <w:rsid w:val="00C249DC"/>
    <w:rsid w:val="00C26895"/>
    <w:rsid w:val="00C34605"/>
    <w:rsid w:val="00C44487"/>
    <w:rsid w:val="00C47919"/>
    <w:rsid w:val="00C50882"/>
    <w:rsid w:val="00C664B4"/>
    <w:rsid w:val="00C7105E"/>
    <w:rsid w:val="00C931CE"/>
    <w:rsid w:val="00C94273"/>
    <w:rsid w:val="00CA63DD"/>
    <w:rsid w:val="00CC2775"/>
    <w:rsid w:val="00CC2F41"/>
    <w:rsid w:val="00CC7157"/>
    <w:rsid w:val="00CD0C47"/>
    <w:rsid w:val="00CF0035"/>
    <w:rsid w:val="00CF0BAC"/>
    <w:rsid w:val="00D024C8"/>
    <w:rsid w:val="00D153D3"/>
    <w:rsid w:val="00D2678B"/>
    <w:rsid w:val="00D36BDA"/>
    <w:rsid w:val="00D36C2E"/>
    <w:rsid w:val="00D51929"/>
    <w:rsid w:val="00D55E5A"/>
    <w:rsid w:val="00D6178A"/>
    <w:rsid w:val="00D725FC"/>
    <w:rsid w:val="00D82C95"/>
    <w:rsid w:val="00D950D0"/>
    <w:rsid w:val="00D96CFF"/>
    <w:rsid w:val="00DA02F1"/>
    <w:rsid w:val="00DA3425"/>
    <w:rsid w:val="00DB0858"/>
    <w:rsid w:val="00E001D5"/>
    <w:rsid w:val="00E072E0"/>
    <w:rsid w:val="00E17396"/>
    <w:rsid w:val="00E25E37"/>
    <w:rsid w:val="00E25F82"/>
    <w:rsid w:val="00E318FA"/>
    <w:rsid w:val="00E32DDF"/>
    <w:rsid w:val="00E440DF"/>
    <w:rsid w:val="00E44EAB"/>
    <w:rsid w:val="00E51606"/>
    <w:rsid w:val="00E517D1"/>
    <w:rsid w:val="00E663CB"/>
    <w:rsid w:val="00E73267"/>
    <w:rsid w:val="00E74966"/>
    <w:rsid w:val="00E77690"/>
    <w:rsid w:val="00E83D8C"/>
    <w:rsid w:val="00E86638"/>
    <w:rsid w:val="00E9799A"/>
    <w:rsid w:val="00EB65F3"/>
    <w:rsid w:val="00EB6776"/>
    <w:rsid w:val="00EC2B04"/>
    <w:rsid w:val="00ED561E"/>
    <w:rsid w:val="00EE240D"/>
    <w:rsid w:val="00EE70ED"/>
    <w:rsid w:val="00F137F0"/>
    <w:rsid w:val="00F138A7"/>
    <w:rsid w:val="00F20A48"/>
    <w:rsid w:val="00F25123"/>
    <w:rsid w:val="00F53D37"/>
    <w:rsid w:val="00F577AF"/>
    <w:rsid w:val="00F6055D"/>
    <w:rsid w:val="00F7315F"/>
    <w:rsid w:val="00F80610"/>
    <w:rsid w:val="00FA3672"/>
    <w:rsid w:val="00FB161A"/>
    <w:rsid w:val="00FB6BAC"/>
    <w:rsid w:val="00FD014C"/>
    <w:rsid w:val="00FD1E92"/>
    <w:rsid w:val="00FD37C7"/>
    <w:rsid w:val="00FF37B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424E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CDA"/>
    <w:rPr>
      <w:rFonts w:ascii="Times New Roman" w:eastAsia="Times New Roman" w:hAnsi="Times New Roman" w:cs="Times New Roman"/>
      <w:lang w:val="es-CO" w:eastAsia="es-ES"/>
    </w:rPr>
  </w:style>
  <w:style w:type="paragraph" w:styleId="Ttulo1">
    <w:name w:val="heading 1"/>
    <w:basedOn w:val="Normal"/>
    <w:link w:val="Ttulo1Car"/>
    <w:uiPriority w:val="9"/>
    <w:qFormat/>
    <w:rsid w:val="0061015D"/>
    <w:pPr>
      <w:widowControl w:val="0"/>
      <w:ind w:left="822"/>
      <w:outlineLvl w:val="0"/>
    </w:pPr>
    <w:rPr>
      <w:rFonts w:ascii="Arial" w:eastAsia="Arial" w:hAnsi="Arial" w:cs="Arial"/>
      <w:b/>
      <w:bCs/>
      <w:lang w:eastAsia="es-CO" w:bidi="es-CO"/>
    </w:rPr>
  </w:style>
  <w:style w:type="paragraph" w:styleId="Ttulo2">
    <w:name w:val="heading 2"/>
    <w:basedOn w:val="Normal"/>
    <w:next w:val="Normal"/>
    <w:link w:val="Ttulo2Car"/>
    <w:uiPriority w:val="9"/>
    <w:unhideWhenUsed/>
    <w:qFormat/>
    <w:rsid w:val="000C0E8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autoRedefine/>
    <w:uiPriority w:val="9"/>
    <w:semiHidden/>
    <w:unhideWhenUsed/>
    <w:qFormat/>
    <w:rsid w:val="00921E3F"/>
    <w:pPr>
      <w:keepNext/>
      <w:keepLines/>
      <w:spacing w:before="200"/>
      <w:ind w:left="1080" w:hanging="720"/>
      <w:outlineLvl w:val="2"/>
    </w:pPr>
    <w:rPr>
      <w:rFonts w:eastAsiaTheme="majorEastAsia" w:cstheme="majorBidi"/>
      <w:b/>
      <w:bCs/>
      <w:color w:val="000000" w:themeColor="text1"/>
      <w:sz w:val="20"/>
      <w:szCs w:val="20"/>
      <w:lang w:val="es-ES_tradnl"/>
    </w:rPr>
  </w:style>
  <w:style w:type="paragraph" w:styleId="Ttulo4">
    <w:name w:val="heading 4"/>
    <w:basedOn w:val="Normal"/>
    <w:next w:val="Normal"/>
    <w:link w:val="Ttulo4Car"/>
    <w:autoRedefine/>
    <w:uiPriority w:val="9"/>
    <w:unhideWhenUsed/>
    <w:qFormat/>
    <w:rsid w:val="00664E04"/>
    <w:pPr>
      <w:keepNext/>
      <w:keepLines/>
      <w:pBdr>
        <w:bottom w:val="single" w:sz="6" w:space="5" w:color="CCCCCC"/>
      </w:pBdr>
      <w:shd w:val="clear" w:color="auto" w:fill="FFFFFF"/>
      <w:spacing w:before="200" w:line="270" w:lineRule="atLeast"/>
      <w:ind w:left="1224" w:hanging="864"/>
      <w:outlineLvl w:val="3"/>
    </w:pPr>
    <w:rPr>
      <w:rFonts w:ascii="Arial" w:eastAsiaTheme="minorHAnsi" w:hAnsi="Arial" w:cs="Arial"/>
      <w:bCs/>
      <w:color w:val="000000" w:themeColor="text1"/>
      <w:lang w:val="es-ES_tradnl" w:eastAsia="en-US"/>
    </w:rPr>
  </w:style>
  <w:style w:type="paragraph" w:styleId="Ttulo5">
    <w:name w:val="heading 5"/>
    <w:basedOn w:val="Normal"/>
    <w:next w:val="Normal"/>
    <w:link w:val="Ttulo5Car"/>
    <w:autoRedefine/>
    <w:uiPriority w:val="9"/>
    <w:unhideWhenUsed/>
    <w:qFormat/>
    <w:rsid w:val="00921E3F"/>
    <w:pPr>
      <w:keepNext/>
      <w:keepLines/>
      <w:spacing w:before="200"/>
      <w:ind w:left="1368" w:hanging="1008"/>
      <w:outlineLvl w:val="4"/>
    </w:pPr>
    <w:rPr>
      <w:rFonts w:eastAsiaTheme="majorEastAsia" w:cstheme="majorBidi"/>
      <w:b/>
      <w:color w:val="000000" w:themeColor="text1"/>
      <w:szCs w:val="20"/>
      <w:lang w:val="es-ES_tradnl"/>
    </w:rPr>
  </w:style>
  <w:style w:type="paragraph" w:styleId="Ttulo6">
    <w:name w:val="heading 6"/>
    <w:basedOn w:val="Normal"/>
    <w:next w:val="Normal"/>
    <w:link w:val="Ttulo6Car"/>
    <w:autoRedefine/>
    <w:uiPriority w:val="9"/>
    <w:semiHidden/>
    <w:unhideWhenUsed/>
    <w:qFormat/>
    <w:rsid w:val="00921E3F"/>
    <w:pPr>
      <w:keepNext/>
      <w:keepLines/>
      <w:spacing w:before="200"/>
      <w:ind w:left="1512" w:hanging="1152"/>
      <w:outlineLvl w:val="5"/>
    </w:pPr>
    <w:rPr>
      <w:rFonts w:eastAsiaTheme="majorEastAsia" w:cstheme="majorBidi"/>
      <w:b/>
      <w:iCs/>
      <w:color w:val="000000" w:themeColor="text1"/>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4514C"/>
    <w:pPr>
      <w:ind w:left="720"/>
      <w:contextualSpacing/>
    </w:pPr>
  </w:style>
  <w:style w:type="table" w:styleId="Tablaconcuadrcula">
    <w:name w:val="Table Grid"/>
    <w:basedOn w:val="Tablanormal"/>
    <w:uiPriority w:val="59"/>
    <w:rsid w:val="000B70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795056"/>
    <w:rPr>
      <w:b/>
      <w:bCs/>
    </w:rPr>
  </w:style>
  <w:style w:type="paragraph" w:styleId="Textonotapie">
    <w:name w:val="footnote text"/>
    <w:basedOn w:val="Normal"/>
    <w:link w:val="TextonotapieCar"/>
    <w:uiPriority w:val="99"/>
    <w:unhideWhenUsed/>
    <w:rsid w:val="00AF3BA5"/>
    <w:rPr>
      <w:sz w:val="20"/>
      <w:szCs w:val="20"/>
    </w:rPr>
  </w:style>
  <w:style w:type="character" w:customStyle="1" w:styleId="TextonotapieCar">
    <w:name w:val="Texto nota pie Car"/>
    <w:basedOn w:val="Fuentedeprrafopredeter"/>
    <w:link w:val="Textonotapie"/>
    <w:uiPriority w:val="99"/>
    <w:rsid w:val="00AF3BA5"/>
    <w:rPr>
      <w:sz w:val="20"/>
      <w:szCs w:val="20"/>
      <w:lang w:val="es-CO"/>
    </w:rPr>
  </w:style>
  <w:style w:type="character" w:styleId="Refdenotaalpie">
    <w:name w:val="footnote reference"/>
    <w:basedOn w:val="Fuentedeprrafopredeter"/>
    <w:uiPriority w:val="99"/>
    <w:unhideWhenUsed/>
    <w:rsid w:val="00AF3BA5"/>
    <w:rPr>
      <w:vertAlign w:val="superscript"/>
    </w:rPr>
  </w:style>
  <w:style w:type="paragraph" w:styleId="Encabezado">
    <w:name w:val="header"/>
    <w:basedOn w:val="Normal"/>
    <w:link w:val="EncabezadoCar"/>
    <w:uiPriority w:val="99"/>
    <w:unhideWhenUsed/>
    <w:rsid w:val="000028B4"/>
    <w:pPr>
      <w:tabs>
        <w:tab w:val="center" w:pos="4419"/>
        <w:tab w:val="right" w:pos="8838"/>
      </w:tabs>
    </w:pPr>
  </w:style>
  <w:style w:type="character" w:customStyle="1" w:styleId="EncabezadoCar">
    <w:name w:val="Encabezado Car"/>
    <w:basedOn w:val="Fuentedeprrafopredeter"/>
    <w:link w:val="Encabezado"/>
    <w:uiPriority w:val="99"/>
    <w:rsid w:val="000028B4"/>
    <w:rPr>
      <w:sz w:val="22"/>
      <w:szCs w:val="22"/>
      <w:lang w:val="es-CO"/>
    </w:rPr>
  </w:style>
  <w:style w:type="paragraph" w:styleId="Piedepgina">
    <w:name w:val="footer"/>
    <w:basedOn w:val="Normal"/>
    <w:link w:val="PiedepginaCar"/>
    <w:uiPriority w:val="99"/>
    <w:unhideWhenUsed/>
    <w:rsid w:val="000028B4"/>
    <w:pPr>
      <w:tabs>
        <w:tab w:val="center" w:pos="4419"/>
        <w:tab w:val="right" w:pos="8838"/>
      </w:tabs>
    </w:pPr>
  </w:style>
  <w:style w:type="character" w:customStyle="1" w:styleId="PiedepginaCar">
    <w:name w:val="Pie de página Car"/>
    <w:basedOn w:val="Fuentedeprrafopredeter"/>
    <w:link w:val="Piedepgina"/>
    <w:uiPriority w:val="99"/>
    <w:rsid w:val="000028B4"/>
    <w:rPr>
      <w:sz w:val="22"/>
      <w:szCs w:val="22"/>
      <w:lang w:val="es-CO"/>
    </w:rPr>
  </w:style>
  <w:style w:type="paragraph" w:styleId="NormalWeb">
    <w:name w:val="Normal (Web)"/>
    <w:basedOn w:val="Normal"/>
    <w:uiPriority w:val="99"/>
    <w:unhideWhenUsed/>
    <w:rsid w:val="000028B4"/>
    <w:pPr>
      <w:spacing w:before="100" w:beforeAutospacing="1" w:after="100" w:afterAutospacing="1"/>
    </w:pPr>
    <w:rPr>
      <w:lang w:eastAsia="es-CO"/>
    </w:rPr>
  </w:style>
  <w:style w:type="character" w:customStyle="1" w:styleId="iaj">
    <w:name w:val="i_aj"/>
    <w:basedOn w:val="Fuentedeprrafopredeter"/>
    <w:rsid w:val="000028B4"/>
  </w:style>
  <w:style w:type="character" w:styleId="Hipervnculo">
    <w:name w:val="Hyperlink"/>
    <w:basedOn w:val="Fuentedeprrafopredeter"/>
    <w:uiPriority w:val="99"/>
    <w:unhideWhenUsed/>
    <w:rsid w:val="000028B4"/>
    <w:rPr>
      <w:color w:val="0000FF"/>
      <w:u w:val="single"/>
    </w:rPr>
  </w:style>
  <w:style w:type="character" w:styleId="nfasis">
    <w:name w:val="Emphasis"/>
    <w:basedOn w:val="Fuentedeprrafopredeter"/>
    <w:uiPriority w:val="20"/>
    <w:qFormat/>
    <w:rsid w:val="00145F43"/>
    <w:rPr>
      <w:i/>
      <w:iCs/>
    </w:rPr>
  </w:style>
  <w:style w:type="paragraph" w:styleId="Textodeglobo">
    <w:name w:val="Balloon Text"/>
    <w:basedOn w:val="Normal"/>
    <w:link w:val="TextodegloboCar"/>
    <w:uiPriority w:val="99"/>
    <w:semiHidden/>
    <w:unhideWhenUsed/>
    <w:rsid w:val="00136847"/>
    <w:rPr>
      <w:rFonts w:ascii="Tahoma" w:hAnsi="Tahoma" w:cs="Tahoma"/>
      <w:sz w:val="16"/>
      <w:szCs w:val="16"/>
    </w:rPr>
  </w:style>
  <w:style w:type="character" w:customStyle="1" w:styleId="TextodegloboCar">
    <w:name w:val="Texto de globo Car"/>
    <w:basedOn w:val="Fuentedeprrafopredeter"/>
    <w:link w:val="Textodeglobo"/>
    <w:uiPriority w:val="99"/>
    <w:semiHidden/>
    <w:rsid w:val="00136847"/>
    <w:rPr>
      <w:rFonts w:ascii="Tahoma" w:hAnsi="Tahoma" w:cs="Tahoma"/>
      <w:sz w:val="16"/>
      <w:szCs w:val="16"/>
      <w:lang w:val="es-CO"/>
    </w:rPr>
  </w:style>
  <w:style w:type="paragraph" w:styleId="Sinespaciado">
    <w:name w:val="No Spacing"/>
    <w:link w:val="SinespaciadoCar"/>
    <w:qFormat/>
    <w:rsid w:val="00136847"/>
    <w:rPr>
      <w:sz w:val="22"/>
      <w:szCs w:val="22"/>
      <w:lang w:val="es-CO"/>
    </w:rPr>
  </w:style>
  <w:style w:type="character" w:customStyle="1" w:styleId="SinespaciadoCar">
    <w:name w:val="Sin espaciado Car"/>
    <w:link w:val="Sinespaciado"/>
    <w:locked/>
    <w:rsid w:val="00255E71"/>
    <w:rPr>
      <w:sz w:val="22"/>
      <w:szCs w:val="22"/>
      <w:lang w:val="es-CO"/>
    </w:rPr>
  </w:style>
  <w:style w:type="paragraph" w:customStyle="1" w:styleId="nueve">
    <w:name w:val="nueve"/>
    <w:basedOn w:val="Normal"/>
    <w:rsid w:val="00255E71"/>
    <w:pPr>
      <w:spacing w:before="100" w:beforeAutospacing="1" w:after="100" w:afterAutospacing="1"/>
    </w:pPr>
    <w:rPr>
      <w:lang w:eastAsia="es-CO"/>
    </w:rPr>
  </w:style>
  <w:style w:type="character" w:customStyle="1" w:styleId="Ttulo1Car">
    <w:name w:val="Título 1 Car"/>
    <w:basedOn w:val="Fuentedeprrafopredeter"/>
    <w:link w:val="Ttulo1"/>
    <w:uiPriority w:val="9"/>
    <w:rsid w:val="0061015D"/>
    <w:rPr>
      <w:rFonts w:ascii="Arial" w:eastAsia="Arial" w:hAnsi="Arial" w:cs="Arial"/>
      <w:b/>
      <w:bCs/>
      <w:lang w:val="es-CO" w:eastAsia="es-CO" w:bidi="es-CO"/>
    </w:rPr>
  </w:style>
  <w:style w:type="character" w:customStyle="1" w:styleId="Ttulo2Car">
    <w:name w:val="Título 2 Car"/>
    <w:basedOn w:val="Fuentedeprrafopredeter"/>
    <w:link w:val="Ttulo2"/>
    <w:uiPriority w:val="9"/>
    <w:rsid w:val="000C0E82"/>
    <w:rPr>
      <w:rFonts w:asciiTheme="majorHAnsi" w:eastAsiaTheme="majorEastAsia" w:hAnsiTheme="majorHAnsi" w:cstheme="majorBidi"/>
      <w:color w:val="2E74B5" w:themeColor="accent1" w:themeShade="BF"/>
      <w:sz w:val="26"/>
      <w:szCs w:val="26"/>
      <w:lang w:val="es-CO" w:eastAsia="es-ES"/>
    </w:rPr>
  </w:style>
  <w:style w:type="character" w:customStyle="1" w:styleId="Ttulo3Car">
    <w:name w:val="Título 3 Car"/>
    <w:basedOn w:val="Fuentedeprrafopredeter"/>
    <w:link w:val="Ttulo3"/>
    <w:uiPriority w:val="9"/>
    <w:semiHidden/>
    <w:rsid w:val="00921E3F"/>
    <w:rPr>
      <w:rFonts w:ascii="Times New Roman" w:eastAsiaTheme="majorEastAsia" w:hAnsi="Times New Roman" w:cstheme="majorBidi"/>
      <w:b/>
      <w:bCs/>
      <w:color w:val="000000" w:themeColor="text1"/>
      <w:sz w:val="20"/>
      <w:szCs w:val="20"/>
      <w:lang w:eastAsia="es-ES"/>
    </w:rPr>
  </w:style>
  <w:style w:type="character" w:customStyle="1" w:styleId="Ttulo4Car">
    <w:name w:val="Título 4 Car"/>
    <w:basedOn w:val="Fuentedeprrafopredeter"/>
    <w:link w:val="Ttulo4"/>
    <w:uiPriority w:val="9"/>
    <w:rsid w:val="00664E04"/>
    <w:rPr>
      <w:rFonts w:ascii="Arial" w:hAnsi="Arial" w:cs="Arial"/>
      <w:bCs/>
      <w:color w:val="000000" w:themeColor="text1"/>
      <w:shd w:val="clear" w:color="auto" w:fill="FFFFFF"/>
    </w:rPr>
  </w:style>
  <w:style w:type="character" w:customStyle="1" w:styleId="Ttulo5Car">
    <w:name w:val="Título 5 Car"/>
    <w:basedOn w:val="Fuentedeprrafopredeter"/>
    <w:link w:val="Ttulo5"/>
    <w:uiPriority w:val="9"/>
    <w:rsid w:val="00921E3F"/>
    <w:rPr>
      <w:rFonts w:ascii="Times New Roman" w:eastAsiaTheme="majorEastAsia" w:hAnsi="Times New Roman" w:cstheme="majorBidi"/>
      <w:b/>
      <w:color w:val="000000" w:themeColor="text1"/>
      <w:szCs w:val="20"/>
      <w:lang w:eastAsia="es-ES"/>
    </w:rPr>
  </w:style>
  <w:style w:type="character" w:customStyle="1" w:styleId="Ttulo6Car">
    <w:name w:val="Título 6 Car"/>
    <w:basedOn w:val="Fuentedeprrafopredeter"/>
    <w:link w:val="Ttulo6"/>
    <w:uiPriority w:val="9"/>
    <w:semiHidden/>
    <w:rsid w:val="00921E3F"/>
    <w:rPr>
      <w:rFonts w:ascii="Times New Roman" w:eastAsiaTheme="majorEastAsia" w:hAnsi="Times New Roman" w:cstheme="majorBidi"/>
      <w:b/>
      <w:iCs/>
      <w:color w:val="000000" w:themeColor="text1"/>
      <w:sz w:val="20"/>
      <w:szCs w:val="20"/>
      <w:lang w:eastAsia="es-ES"/>
    </w:rPr>
  </w:style>
  <w:style w:type="paragraph" w:styleId="Ttulo">
    <w:name w:val="Title"/>
    <w:basedOn w:val="Normal"/>
    <w:next w:val="Normal"/>
    <w:link w:val="TtuloCar"/>
    <w:autoRedefine/>
    <w:uiPriority w:val="10"/>
    <w:qFormat/>
    <w:rsid w:val="00921E3F"/>
    <w:pPr>
      <w:spacing w:after="300"/>
      <w:contextualSpacing/>
    </w:pPr>
    <w:rPr>
      <w:rFonts w:ascii="Cambria" w:eastAsiaTheme="majorEastAsia" w:hAnsi="Cambria" w:cstheme="majorBidi"/>
      <w:b/>
      <w:spacing w:val="5"/>
      <w:kern w:val="28"/>
      <w:sz w:val="20"/>
      <w:szCs w:val="52"/>
      <w:lang w:val="es-ES_tradnl"/>
    </w:rPr>
  </w:style>
  <w:style w:type="character" w:customStyle="1" w:styleId="TtuloCar">
    <w:name w:val="Título Car"/>
    <w:basedOn w:val="Fuentedeprrafopredeter"/>
    <w:link w:val="Ttulo"/>
    <w:uiPriority w:val="10"/>
    <w:rsid w:val="00921E3F"/>
    <w:rPr>
      <w:rFonts w:ascii="Cambria" w:eastAsiaTheme="majorEastAsia" w:hAnsi="Cambria" w:cstheme="majorBidi"/>
      <w:b/>
      <w:spacing w:val="5"/>
      <w:kern w:val="28"/>
      <w:sz w:val="20"/>
      <w:szCs w:val="52"/>
      <w:lang w:eastAsia="es-ES"/>
    </w:rPr>
  </w:style>
  <w:style w:type="character" w:customStyle="1" w:styleId="caracteresdenotaalpie">
    <w:name w:val="caracteresdenotaalpie"/>
    <w:basedOn w:val="Fuentedeprrafopredeter"/>
    <w:rsid w:val="00921E3F"/>
  </w:style>
  <w:style w:type="paragraph" w:customStyle="1" w:styleId="Default">
    <w:name w:val="Default"/>
    <w:rsid w:val="00921E3F"/>
    <w:pPr>
      <w:widowControl w:val="0"/>
      <w:autoSpaceDE w:val="0"/>
      <w:autoSpaceDN w:val="0"/>
      <w:adjustRightInd w:val="0"/>
    </w:pPr>
    <w:rPr>
      <w:rFonts w:ascii="Arial" w:eastAsiaTheme="minorEastAsia" w:hAnsi="Arial" w:cs="Arial"/>
      <w:color w:val="000000"/>
      <w:lang w:val="es-ES" w:eastAsia="es-ES"/>
    </w:rPr>
  </w:style>
  <w:style w:type="paragraph" w:styleId="Textoindependiente">
    <w:name w:val="Body Text"/>
    <w:basedOn w:val="Normal"/>
    <w:link w:val="TextoindependienteCar"/>
    <w:uiPriority w:val="99"/>
    <w:unhideWhenUsed/>
    <w:rsid w:val="00921E3F"/>
    <w:pPr>
      <w:spacing w:before="100" w:beforeAutospacing="1" w:after="100" w:afterAutospacing="1"/>
    </w:pPr>
    <w:rPr>
      <w:rFonts w:eastAsiaTheme="minorEastAsia"/>
      <w:sz w:val="20"/>
      <w:szCs w:val="20"/>
      <w:lang w:val="es-ES_tradnl"/>
    </w:rPr>
  </w:style>
  <w:style w:type="character" w:customStyle="1" w:styleId="TextoindependienteCar">
    <w:name w:val="Texto independiente Car"/>
    <w:basedOn w:val="Fuentedeprrafopredeter"/>
    <w:link w:val="Textoindependiente"/>
    <w:uiPriority w:val="99"/>
    <w:rsid w:val="00921E3F"/>
    <w:rPr>
      <w:rFonts w:ascii="Times New Roman" w:eastAsiaTheme="minorEastAsia" w:hAnsi="Times New Roman" w:cs="Times New Roman"/>
      <w:sz w:val="20"/>
      <w:szCs w:val="20"/>
      <w:lang w:eastAsia="es-ES"/>
    </w:rPr>
  </w:style>
  <w:style w:type="paragraph" w:customStyle="1" w:styleId="Prrafobsico">
    <w:name w:val="[Párrafo básico]"/>
    <w:basedOn w:val="Normal"/>
    <w:uiPriority w:val="99"/>
    <w:rsid w:val="00921E3F"/>
    <w:pPr>
      <w:suppressAutoHyphens/>
      <w:autoSpaceDE w:val="0"/>
      <w:autoSpaceDN w:val="0"/>
      <w:adjustRightInd w:val="0"/>
      <w:spacing w:line="288" w:lineRule="auto"/>
      <w:textAlignment w:val="center"/>
    </w:pPr>
    <w:rPr>
      <w:rFonts w:ascii="Minion Pro" w:eastAsiaTheme="minorHAnsi" w:hAnsi="Minion Pro" w:cs="Minion Pro"/>
      <w:color w:val="000000"/>
      <w:lang w:val="es-ES_tradnl" w:eastAsia="en-US"/>
    </w:rPr>
  </w:style>
  <w:style w:type="character" w:styleId="Nmerodepgina">
    <w:name w:val="page number"/>
    <w:basedOn w:val="Fuentedeprrafopredeter"/>
    <w:uiPriority w:val="99"/>
    <w:semiHidden/>
    <w:unhideWhenUsed/>
    <w:rsid w:val="00921E3F"/>
  </w:style>
  <w:style w:type="character" w:customStyle="1" w:styleId="apple-converted-space">
    <w:name w:val="apple-converted-space"/>
    <w:basedOn w:val="Fuentedeprrafopredeter"/>
    <w:rsid w:val="00921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47980">
      <w:bodyDiv w:val="1"/>
      <w:marLeft w:val="0"/>
      <w:marRight w:val="0"/>
      <w:marTop w:val="0"/>
      <w:marBottom w:val="0"/>
      <w:divBdr>
        <w:top w:val="none" w:sz="0" w:space="0" w:color="auto"/>
        <w:left w:val="none" w:sz="0" w:space="0" w:color="auto"/>
        <w:bottom w:val="none" w:sz="0" w:space="0" w:color="auto"/>
        <w:right w:val="none" w:sz="0" w:space="0" w:color="auto"/>
      </w:divBdr>
      <w:divsChild>
        <w:div w:id="2006204647">
          <w:marLeft w:val="0"/>
          <w:marRight w:val="0"/>
          <w:marTop w:val="0"/>
          <w:marBottom w:val="0"/>
          <w:divBdr>
            <w:top w:val="none" w:sz="0" w:space="0" w:color="auto"/>
            <w:left w:val="none" w:sz="0" w:space="0" w:color="auto"/>
            <w:bottom w:val="none" w:sz="0" w:space="0" w:color="auto"/>
            <w:right w:val="none" w:sz="0" w:space="0" w:color="auto"/>
          </w:divBdr>
        </w:div>
      </w:divsChild>
    </w:div>
    <w:div w:id="203754247">
      <w:bodyDiv w:val="1"/>
      <w:marLeft w:val="0"/>
      <w:marRight w:val="0"/>
      <w:marTop w:val="0"/>
      <w:marBottom w:val="0"/>
      <w:divBdr>
        <w:top w:val="none" w:sz="0" w:space="0" w:color="auto"/>
        <w:left w:val="none" w:sz="0" w:space="0" w:color="auto"/>
        <w:bottom w:val="none" w:sz="0" w:space="0" w:color="auto"/>
        <w:right w:val="none" w:sz="0" w:space="0" w:color="auto"/>
      </w:divBdr>
    </w:div>
    <w:div w:id="1225875781">
      <w:bodyDiv w:val="1"/>
      <w:marLeft w:val="0"/>
      <w:marRight w:val="0"/>
      <w:marTop w:val="0"/>
      <w:marBottom w:val="0"/>
      <w:divBdr>
        <w:top w:val="none" w:sz="0" w:space="0" w:color="auto"/>
        <w:left w:val="none" w:sz="0" w:space="0" w:color="auto"/>
        <w:bottom w:val="none" w:sz="0" w:space="0" w:color="auto"/>
        <w:right w:val="none" w:sz="0" w:space="0" w:color="auto"/>
      </w:divBdr>
    </w:div>
    <w:div w:id="1484926348">
      <w:bodyDiv w:val="1"/>
      <w:marLeft w:val="0"/>
      <w:marRight w:val="0"/>
      <w:marTop w:val="0"/>
      <w:marBottom w:val="0"/>
      <w:divBdr>
        <w:top w:val="none" w:sz="0" w:space="0" w:color="auto"/>
        <w:left w:val="none" w:sz="0" w:space="0" w:color="auto"/>
        <w:bottom w:val="none" w:sz="0" w:space="0" w:color="auto"/>
        <w:right w:val="none" w:sz="0" w:space="0" w:color="auto"/>
      </w:divBdr>
    </w:div>
    <w:div w:id="18780051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cretariasenado.gov.co/senado/basedoc/ley_0005_1992_pr007.htm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ramajudicial.gov.co/documents/1545778/5597675/1.+Informe+al+Congreso+2019+Rama+Judicial_BAJA.pdf/c5d41f1b-8001-48dc-9d86-690804e3d5d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corteconstitucional.gov.co/inicio/Informe%20estad%C3%ADstico%20general%20enero%20mayo%20201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corteconstitucional.gov.co/lacorte/estadisticas.php" TargetMode="External"/><Relationship Id="rId10" Type="http://schemas.openxmlformats.org/officeDocument/2006/relationships/image" Target="media/image2.png"/><Relationship Id="rId19" Type="http://schemas.openxmlformats.org/officeDocument/2006/relationships/hyperlink" Target="http://www.jstor.org/stable/10.7440/j.ctt19qgdk7.8"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defensoria.gov.co/es/nube/comunicados/10192/Medim%C3%A1s-y-Coomeva-encabezan-la-lista-de-las-EPS-con-m%C3%A1s-tutelas-por-cada-10000-afiliados-Medim%C3%A1s-Coomeva-EPS-tutelas.ht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B6A212-B147-4C87-B0A8-5DE2E0496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7591</Words>
  <Characters>41751</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Gina Bibiana Forero Duque</cp:lastModifiedBy>
  <cp:revision>2</cp:revision>
  <cp:lastPrinted>2020-05-26T00:57:00Z</cp:lastPrinted>
  <dcterms:created xsi:type="dcterms:W3CDTF">2022-10-26T18:15:00Z</dcterms:created>
  <dcterms:modified xsi:type="dcterms:W3CDTF">2022-10-26T18:15:00Z</dcterms:modified>
</cp:coreProperties>
</file>