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F65B8" w:rsidRDefault="002F65B8"/>
    <w:p w:rsidR="002F65B8" w:rsidRDefault="002F65B8"/>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p w:rsidR="002F65B8" w:rsidRDefault="000424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Bogotá, D. C., 26 Octubre de 2022</w:t>
      </w:r>
    </w:p>
    <w:p w:rsidR="002F65B8" w:rsidRDefault="002F65B8">
      <w:pPr>
        <w:spacing w:line="240" w:lineRule="auto"/>
        <w:jc w:val="both"/>
        <w:rPr>
          <w:rFonts w:ascii="Times New Roman" w:eastAsia="Times New Roman" w:hAnsi="Times New Roman" w:cs="Times New Roman"/>
          <w:sz w:val="24"/>
          <w:szCs w:val="24"/>
        </w:rPr>
      </w:pPr>
      <w:bookmarkStart w:id="0" w:name="_fsfr1x5d1z5v" w:colFirst="0" w:colLast="0"/>
      <w:bookmarkEnd w:id="0"/>
    </w:p>
    <w:p w:rsidR="002F65B8" w:rsidRDefault="000424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Señores</w:t>
      </w:r>
    </w:p>
    <w:p w:rsidR="002F65B8" w:rsidRDefault="000424E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DAVID RACERO MAYORCA</w:t>
      </w:r>
    </w:p>
    <w:p w:rsidR="002F65B8" w:rsidRDefault="000424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Presidente </w:t>
      </w:r>
    </w:p>
    <w:p w:rsidR="002F65B8" w:rsidRDefault="000424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Cámara de Representantes</w:t>
      </w:r>
    </w:p>
    <w:p w:rsidR="002F65B8" w:rsidRDefault="002F65B8">
      <w:pPr>
        <w:spacing w:line="240" w:lineRule="auto"/>
        <w:jc w:val="both"/>
        <w:rPr>
          <w:rFonts w:ascii="Times New Roman" w:eastAsia="Times New Roman" w:hAnsi="Times New Roman" w:cs="Times New Roman"/>
          <w:sz w:val="24"/>
          <w:szCs w:val="24"/>
        </w:rPr>
      </w:pPr>
    </w:p>
    <w:p w:rsidR="002F65B8" w:rsidRDefault="000424E9">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JAIME LUIS LACOUTURE</w:t>
      </w:r>
    </w:p>
    <w:p w:rsidR="002F65B8" w:rsidRDefault="000424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Secretario General</w:t>
      </w:r>
    </w:p>
    <w:p w:rsidR="002F65B8" w:rsidRDefault="000424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Honorable Cámara de Representantes</w:t>
      </w:r>
    </w:p>
    <w:p w:rsidR="002F65B8" w:rsidRDefault="000424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Ciudad</w:t>
      </w:r>
    </w:p>
    <w:p w:rsidR="002F65B8" w:rsidRDefault="002F65B8">
      <w:pPr>
        <w:spacing w:line="240" w:lineRule="auto"/>
        <w:jc w:val="both"/>
        <w:rPr>
          <w:rFonts w:ascii="Times New Roman" w:eastAsia="Times New Roman" w:hAnsi="Times New Roman" w:cs="Times New Roman"/>
          <w:sz w:val="24"/>
          <w:szCs w:val="24"/>
        </w:rPr>
      </w:pP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p>
    <w:p w:rsidR="002F65B8" w:rsidRDefault="000424E9">
      <w:pPr>
        <w:spacing w:line="240" w:lineRule="auto"/>
        <w:jc w:val="both"/>
        <w:rPr>
          <w:rFonts w:ascii="Times New Roman" w:eastAsia="Times New Roman" w:hAnsi="Times New Roman" w:cs="Times New Roman"/>
          <w:i/>
          <w:sz w:val="23"/>
          <w:szCs w:val="23"/>
        </w:rPr>
      </w:pPr>
      <w:r>
        <w:rPr>
          <w:rFonts w:ascii="Times New Roman" w:eastAsia="Times New Roman" w:hAnsi="Times New Roman" w:cs="Times New Roman"/>
          <w:b/>
          <w:sz w:val="24"/>
          <w:szCs w:val="24"/>
        </w:rPr>
        <w:t xml:space="preserve">Asunto: </w:t>
      </w:r>
      <w:r>
        <w:rPr>
          <w:rFonts w:ascii="Times New Roman" w:eastAsia="Times New Roman" w:hAnsi="Times New Roman" w:cs="Times New Roman"/>
          <w:sz w:val="24"/>
          <w:szCs w:val="24"/>
        </w:rPr>
        <w:t>Proyecto de Ley “</w:t>
      </w:r>
      <w:r>
        <w:rPr>
          <w:rFonts w:ascii="Times New Roman" w:eastAsia="Times New Roman" w:hAnsi="Times New Roman" w:cs="Times New Roman"/>
          <w:sz w:val="23"/>
          <w:szCs w:val="23"/>
        </w:rPr>
        <w:t>“</w:t>
      </w:r>
      <w:r>
        <w:rPr>
          <w:rFonts w:ascii="Times New Roman" w:eastAsia="Times New Roman" w:hAnsi="Times New Roman" w:cs="Times New Roman"/>
          <w:i/>
          <w:sz w:val="23"/>
          <w:szCs w:val="23"/>
        </w:rPr>
        <w:t>Por medio de la cual se establece el Paisaje Cultural Cafetero y su zona amortiguadora, como zonas excluidas de megaminería y se dictan otras disposiciones”</w:t>
      </w:r>
    </w:p>
    <w:p w:rsidR="002F65B8" w:rsidRDefault="002F65B8">
      <w:pPr>
        <w:spacing w:line="240" w:lineRule="auto"/>
        <w:jc w:val="both"/>
        <w:rPr>
          <w:rFonts w:ascii="Times New Roman" w:eastAsia="Times New Roman" w:hAnsi="Times New Roman" w:cs="Times New Roman"/>
          <w:sz w:val="24"/>
          <w:szCs w:val="24"/>
        </w:rPr>
      </w:pPr>
    </w:p>
    <w:p w:rsidR="002F65B8" w:rsidRDefault="002F65B8">
      <w:pPr>
        <w:spacing w:line="240" w:lineRule="auto"/>
        <w:jc w:val="both"/>
        <w:rPr>
          <w:rFonts w:ascii="Times New Roman" w:eastAsia="Times New Roman" w:hAnsi="Times New Roman" w:cs="Times New Roman"/>
          <w:sz w:val="24"/>
          <w:szCs w:val="24"/>
        </w:rPr>
      </w:pP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p>
    <w:p w:rsidR="002F65B8" w:rsidRDefault="000424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Señores funcionarios,</w:t>
      </w: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ind w:right="442"/>
        <w:jc w:val="both"/>
        <w:rPr>
          <w:rFonts w:ascii="Times New Roman" w:eastAsia="Times New Roman" w:hAnsi="Times New Roman" w:cs="Times New Roman"/>
          <w:sz w:val="24"/>
          <w:szCs w:val="24"/>
        </w:rPr>
      </w:pP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p>
    <w:p w:rsidR="002F65B8" w:rsidRDefault="000424E9">
      <w:pPr>
        <w:pBdr>
          <w:top w:val="none" w:sz="0" w:space="0" w:color="000000"/>
          <w:left w:val="none" w:sz="0" w:space="0" w:color="000000"/>
          <w:bottom w:val="none" w:sz="0" w:space="0" w:color="000000"/>
          <w:right w:val="none" w:sz="0" w:space="0" w:color="000000"/>
          <w:between w:val="none" w:sz="0" w:space="0" w:color="000000"/>
        </w:pBdr>
        <w:spacing w:line="240" w:lineRule="auto"/>
        <w:ind w:right="4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Radicamos ante usted el presente Proyecto de Ley “</w:t>
      </w:r>
      <w:r>
        <w:rPr>
          <w:rFonts w:ascii="Times New Roman" w:eastAsia="Times New Roman" w:hAnsi="Times New Roman" w:cs="Times New Roman"/>
          <w:sz w:val="23"/>
          <w:szCs w:val="23"/>
        </w:rPr>
        <w:t>“</w:t>
      </w:r>
      <w:r>
        <w:rPr>
          <w:rFonts w:ascii="Times New Roman" w:eastAsia="Times New Roman" w:hAnsi="Times New Roman" w:cs="Times New Roman"/>
          <w:i/>
          <w:sz w:val="23"/>
          <w:szCs w:val="23"/>
        </w:rPr>
        <w:t>Por medio de la cual se establece el Paisaje Cultural Cafetero y su zona amortiguadora, como zonas excluidas de megaminería y se dictan otras disposiciones</w:t>
      </w:r>
      <w:r>
        <w:rPr>
          <w:rFonts w:ascii="Times New Roman" w:eastAsia="Times New Roman" w:hAnsi="Times New Roman" w:cs="Times New Roman"/>
          <w:i/>
          <w:sz w:val="24"/>
          <w:szCs w:val="24"/>
        </w:rPr>
        <w:t>”</w:t>
      </w:r>
    </w:p>
    <w:p w:rsidR="002F65B8" w:rsidRDefault="002F65B8">
      <w:pPr>
        <w:spacing w:line="240" w:lineRule="auto"/>
        <w:jc w:val="both"/>
        <w:rPr>
          <w:rFonts w:ascii="Times New Roman" w:eastAsia="Times New Roman" w:hAnsi="Times New Roman" w:cs="Times New Roman"/>
          <w:sz w:val="24"/>
          <w:szCs w:val="24"/>
        </w:rPr>
      </w:pP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ind w:right="442"/>
        <w:jc w:val="both"/>
        <w:rPr>
          <w:rFonts w:ascii="Times New Roman" w:eastAsia="Times New Roman" w:hAnsi="Times New Roman" w:cs="Times New Roman"/>
          <w:i/>
          <w:sz w:val="24"/>
          <w:szCs w:val="24"/>
        </w:rPr>
      </w:pPr>
    </w:p>
    <w:p w:rsidR="002F65B8" w:rsidRDefault="000424E9">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este sentido, se presenta a consideración e</w:t>
      </w:r>
      <w:r>
        <w:rPr>
          <w:rFonts w:ascii="Times New Roman" w:eastAsia="Times New Roman" w:hAnsi="Times New Roman" w:cs="Times New Roman"/>
          <w:sz w:val="24"/>
          <w:szCs w:val="24"/>
        </w:rPr>
        <w:t xml:space="preserve">l presente proyecto de ley, para iniciar el trámite correspondiente y cumplir con las exigencias dictadas por la ley y la Constitución. </w:t>
      </w: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p>
    <w:p w:rsidR="002F65B8" w:rsidRDefault="000424E9">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las y los Honorables Congresistas,</w:t>
      </w:r>
    </w:p>
    <w:p w:rsidR="002F65B8" w:rsidRDefault="002F65B8">
      <w:pPr>
        <w:pStyle w:val="Ttulo1"/>
        <w:keepNext w:val="0"/>
        <w:keepLines w:val="0"/>
        <w:widowControl w:val="0"/>
        <w:pBdr>
          <w:top w:val="none" w:sz="0" w:space="0" w:color="000000"/>
          <w:left w:val="none" w:sz="0" w:space="0" w:color="000000"/>
          <w:bottom w:val="none" w:sz="0" w:space="0" w:color="000000"/>
          <w:right w:val="none" w:sz="0" w:space="0" w:color="000000"/>
          <w:between w:val="none" w:sz="0" w:space="0" w:color="000000"/>
        </w:pBdr>
        <w:spacing w:before="80" w:after="80" w:line="240" w:lineRule="auto"/>
        <w:ind w:right="60"/>
        <w:rPr>
          <w:rFonts w:ascii="Times New Roman" w:eastAsia="Times New Roman" w:hAnsi="Times New Roman" w:cs="Times New Roman"/>
          <w:sz w:val="24"/>
          <w:szCs w:val="24"/>
          <w:u w:val="single"/>
        </w:rPr>
      </w:pPr>
    </w:p>
    <w:tbl>
      <w:tblPr>
        <w:tblStyle w:val="a"/>
        <w:tblW w:w="906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0"/>
        <w:gridCol w:w="4620"/>
      </w:tblGrid>
      <w:tr w:rsidR="002F65B8">
        <w:trPr>
          <w:trHeight w:val="2546"/>
        </w:trPr>
        <w:tc>
          <w:tcPr>
            <w:tcW w:w="4440" w:type="dxa"/>
          </w:tcPr>
          <w:p w:rsidR="002F65B8" w:rsidRDefault="002F65B8">
            <w:pPr>
              <w:spacing w:line="240" w:lineRule="auto"/>
              <w:rPr>
                <w:rFonts w:ascii="Times New Roman" w:eastAsia="Times New Roman" w:hAnsi="Times New Roman" w:cs="Times New Roman"/>
                <w:sz w:val="24"/>
                <w:szCs w:val="24"/>
              </w:rPr>
            </w:pPr>
          </w:p>
          <w:p w:rsidR="002F65B8" w:rsidRDefault="002F65B8">
            <w:pPr>
              <w:spacing w:line="240" w:lineRule="auto"/>
              <w:rPr>
                <w:rFonts w:ascii="Times New Roman" w:eastAsia="Times New Roman" w:hAnsi="Times New Roman" w:cs="Times New Roman"/>
                <w:sz w:val="24"/>
                <w:szCs w:val="24"/>
              </w:rPr>
            </w:pPr>
          </w:p>
          <w:p w:rsidR="002F65B8" w:rsidRDefault="002F65B8">
            <w:pPr>
              <w:spacing w:line="240" w:lineRule="auto"/>
              <w:rPr>
                <w:rFonts w:ascii="Times New Roman" w:eastAsia="Times New Roman" w:hAnsi="Times New Roman" w:cs="Times New Roman"/>
                <w:sz w:val="24"/>
                <w:szCs w:val="24"/>
              </w:rPr>
            </w:pPr>
          </w:p>
          <w:p w:rsidR="002F65B8" w:rsidRDefault="002F65B8">
            <w:pPr>
              <w:spacing w:line="240" w:lineRule="auto"/>
              <w:rPr>
                <w:rFonts w:ascii="Times New Roman" w:eastAsia="Times New Roman" w:hAnsi="Times New Roman" w:cs="Times New Roman"/>
                <w:sz w:val="24"/>
                <w:szCs w:val="24"/>
              </w:rPr>
            </w:pPr>
          </w:p>
          <w:p w:rsidR="002F65B8" w:rsidRDefault="002F65B8">
            <w:pPr>
              <w:spacing w:line="240" w:lineRule="auto"/>
              <w:rPr>
                <w:rFonts w:ascii="Times New Roman" w:eastAsia="Times New Roman" w:hAnsi="Times New Roman" w:cs="Times New Roman"/>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ALEJANDRO GARCÍA RÍOS </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Risaralda</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Partido Alianza Verde </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Risaralda</w:t>
            </w:r>
          </w:p>
          <w:p w:rsidR="002F65B8" w:rsidRDefault="002F65B8">
            <w:pPr>
              <w:spacing w:line="240" w:lineRule="auto"/>
              <w:jc w:val="center"/>
              <w:rPr>
                <w:rFonts w:ascii="Times New Roman" w:eastAsia="Times New Roman" w:hAnsi="Times New Roman" w:cs="Times New Roman"/>
                <w:sz w:val="24"/>
                <w:szCs w:val="24"/>
              </w:rPr>
            </w:pPr>
          </w:p>
        </w:tc>
        <w:tc>
          <w:tcPr>
            <w:tcW w:w="4620" w:type="dxa"/>
          </w:tcPr>
          <w:p w:rsidR="002F65B8" w:rsidRDefault="002F65B8">
            <w:pPr>
              <w:spacing w:line="240" w:lineRule="auto"/>
              <w:jc w:val="center"/>
              <w:rPr>
                <w:rFonts w:ascii="Times New Roman" w:eastAsia="Times New Roman" w:hAnsi="Times New Roman" w:cs="Times New Roman"/>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PIEDAD CORREAL RUBIANO</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Quindío</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Partido Liberal </w:t>
            </w: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Departamento de Quindío</w:t>
            </w: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rPr>
                <w:rFonts w:ascii="Times New Roman" w:eastAsia="Times New Roman" w:hAnsi="Times New Roman" w:cs="Times New Roman"/>
                <w:b/>
                <w:sz w:val="24"/>
                <w:szCs w:val="24"/>
              </w:rPr>
            </w:pP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2809875" cy="1054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09875" cy="1054100"/>
                          </a:xfrm>
                          <a:prstGeom prst="rect">
                            <a:avLst/>
                          </a:prstGeom>
                          <a:ln/>
                        </pic:spPr>
                      </pic:pic>
                    </a:graphicData>
                  </a:graphic>
                </wp:inline>
              </w:drawing>
            </w: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CAROLINA GIRALDO BOTERO</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Partido Alianza Verde </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Risaralda</w:t>
            </w: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2924175" cy="2794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924175" cy="279400"/>
                          </a:xfrm>
                          <a:prstGeom prst="rect">
                            <a:avLst/>
                          </a:prstGeom>
                          <a:ln/>
                        </pic:spPr>
                      </pic:pic>
                    </a:graphicData>
                  </a:graphic>
                </wp:inline>
              </w:drawing>
            </w: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JOHN EDGAR PEREZ ROJAS</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Camara</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Partido Cambio Radical</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del Quindío</w:t>
            </w: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FABIÁN DÍAZ PLATA </w:t>
            </w:r>
          </w:p>
          <w:p w:rsidR="002F65B8" w:rsidRDefault="000424E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Senador de la República </w:t>
            </w:r>
          </w:p>
          <w:p w:rsidR="002F65B8" w:rsidRDefault="000424E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Partido Alianza Verde </w:t>
            </w: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0424E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INTI RAÙL ASPRILLA REYES</w:t>
            </w:r>
          </w:p>
          <w:p w:rsidR="002F65B8" w:rsidRDefault="000424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Senador de la República</w:t>
            </w:r>
          </w:p>
          <w:p w:rsidR="002F65B8" w:rsidRDefault="000424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Partido Alianza Verde</w:t>
            </w:r>
          </w:p>
        </w:tc>
      </w:tr>
      <w:tr w:rsidR="002F65B8">
        <w:trPr>
          <w:trHeight w:val="571"/>
        </w:trPr>
        <w:tc>
          <w:tcPr>
            <w:tcW w:w="4440" w:type="dxa"/>
          </w:tcPr>
          <w:p w:rsidR="002F65B8" w:rsidRDefault="000424E9">
            <w:pPr>
              <w:spacing w:line="240" w:lineRule="auto"/>
              <w:ind w:left="-20" w:right="1372"/>
              <w:rPr>
                <w:rFonts w:ascii="Times New Roman" w:eastAsia="Times New Roman" w:hAnsi="Times New Roman" w:cs="Times New Roman"/>
                <w:sz w:val="24"/>
                <w:szCs w:val="24"/>
              </w:rPr>
            </w:pPr>
            <w:r>
              <w:rPr>
                <w:noProof/>
              </w:rPr>
              <w:drawing>
                <wp:anchor distT="114300" distB="114300" distL="114300" distR="114300" simplePos="0" relativeHeight="251658240" behindDoc="1" locked="0" layoutInCell="1" hidden="0" allowOverlap="1">
                  <wp:simplePos x="0" y="0"/>
                  <wp:positionH relativeFrom="column">
                    <wp:posOffset>104776</wp:posOffset>
                  </wp:positionH>
                  <wp:positionV relativeFrom="paragraph">
                    <wp:posOffset>192212</wp:posOffset>
                  </wp:positionV>
                  <wp:extent cx="2686031" cy="1522884"/>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686031" cy="1522884"/>
                          </a:xfrm>
                          <a:prstGeom prst="rect">
                            <a:avLst/>
                          </a:prstGeom>
                          <a:ln/>
                        </pic:spPr>
                      </pic:pic>
                    </a:graphicData>
                  </a:graphic>
                </wp:anchor>
              </w:drawing>
            </w: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0424E9">
            <w:pPr>
              <w:spacing w:line="240" w:lineRule="auto"/>
              <w:ind w:left="-20" w:right="-9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CARLOS EDWARD OSORIO AGUIAR</w:t>
            </w:r>
          </w:p>
          <w:p w:rsidR="002F65B8" w:rsidRDefault="000424E9">
            <w:pPr>
              <w:spacing w:line="240" w:lineRule="auto"/>
              <w:ind w:left="-20"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Tolima</w:t>
            </w:r>
          </w:p>
          <w:p w:rsidR="002F65B8" w:rsidRDefault="000424E9">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Partido Centro Democrático</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Tolima</w:t>
            </w:r>
          </w:p>
        </w:tc>
        <w:tc>
          <w:tcPr>
            <w:tcW w:w="4620" w:type="dxa"/>
          </w:tcPr>
          <w:p w:rsidR="002F65B8" w:rsidRDefault="002F65B8">
            <w:pPr>
              <w:spacing w:line="240" w:lineRule="auto"/>
              <w:rPr>
                <w:rFonts w:ascii="Times New Roman" w:eastAsia="Times New Roman" w:hAnsi="Times New Roman" w:cs="Times New Roman"/>
                <w:b/>
                <w:sz w:val="24"/>
                <w:szCs w:val="24"/>
              </w:rPr>
            </w:pP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1947863" cy="1091311"/>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947863" cy="1091311"/>
                          </a:xfrm>
                          <a:prstGeom prst="rect">
                            <a:avLst/>
                          </a:prstGeom>
                          <a:ln/>
                        </pic:spPr>
                      </pic:pic>
                    </a:graphicData>
                  </a:graphic>
                </wp:inline>
              </w:drawing>
            </w: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Juan Sebastián Gómez Gonzáles</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Caldas</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Nuevo Liberalismo</w:t>
            </w: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rPr>
                <w:rFonts w:ascii="Times New Roman" w:eastAsia="Times New Roman" w:hAnsi="Times New Roman" w:cs="Times New Roman"/>
                <w:b/>
                <w:sz w:val="24"/>
                <w:szCs w:val="24"/>
              </w:rPr>
            </w:pP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rPr>
                <w:rFonts w:ascii="Times New Roman" w:eastAsia="Times New Roman" w:hAnsi="Times New Roman" w:cs="Times New Roman"/>
                <w:b/>
                <w:sz w:val="24"/>
                <w:szCs w:val="24"/>
              </w:rPr>
            </w:pP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rPr>
                <w:rFonts w:ascii="Times New Roman" w:eastAsia="Times New Roman" w:hAnsi="Times New Roman" w:cs="Times New Roman"/>
                <w:b/>
                <w:sz w:val="24"/>
                <w:szCs w:val="24"/>
              </w:rPr>
            </w:pP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rPr>
                <w:rFonts w:ascii="Times New Roman" w:eastAsia="Times New Roman" w:hAnsi="Times New Roman" w:cs="Times New Roman"/>
                <w:b/>
                <w:sz w:val="24"/>
                <w:szCs w:val="24"/>
              </w:rPr>
            </w:pP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rPr>
                <w:rFonts w:ascii="Times New Roman" w:eastAsia="Times New Roman" w:hAnsi="Times New Roman" w:cs="Times New Roman"/>
                <w:b/>
                <w:sz w:val="24"/>
                <w:szCs w:val="24"/>
              </w:rPr>
            </w:pPr>
          </w:p>
        </w:tc>
      </w:tr>
    </w:tbl>
    <w:p w:rsidR="002F65B8" w:rsidRDefault="002F65B8">
      <w:pPr>
        <w:pStyle w:val="Ttulo1"/>
        <w:keepNext w:val="0"/>
        <w:keepLines w:val="0"/>
        <w:spacing w:before="0" w:after="0"/>
        <w:ind w:left="1" w:hanging="3"/>
        <w:jc w:val="center"/>
        <w:rPr>
          <w:rFonts w:ascii="Times New Roman" w:eastAsia="Times New Roman" w:hAnsi="Times New Roman" w:cs="Times New Roman"/>
          <w:sz w:val="24"/>
          <w:szCs w:val="24"/>
        </w:rPr>
      </w:pPr>
      <w:bookmarkStart w:id="1" w:name="_c6f3cd3kts5w" w:colFirst="0" w:colLast="0"/>
      <w:bookmarkEnd w:id="1"/>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p>
    <w:p w:rsidR="002F65B8" w:rsidRDefault="002F65B8">
      <w:pPr>
        <w:widowControl w:val="0"/>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sz w:val="24"/>
          <w:szCs w:val="24"/>
        </w:rPr>
      </w:pPr>
    </w:p>
    <w:p w:rsidR="002F65B8" w:rsidRDefault="002F65B8">
      <w:pPr>
        <w:spacing w:line="240" w:lineRule="auto"/>
        <w:rPr>
          <w:rFonts w:ascii="Times New Roman" w:eastAsia="Times New Roman" w:hAnsi="Times New Roman" w:cs="Times New Roman"/>
          <w:sz w:val="24"/>
          <w:szCs w:val="24"/>
        </w:rPr>
      </w:pP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p>
    <w:p w:rsidR="002F65B8" w:rsidRDefault="002F65B8">
      <w:pPr>
        <w:pStyle w:val="Ttulo1"/>
        <w:widowControl w:val="0"/>
        <w:spacing w:before="70"/>
        <w:ind w:right="55"/>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2F65B8">
      <w:pPr>
        <w:pStyle w:val="Ttulo1"/>
        <w:widowControl w:val="0"/>
        <w:spacing w:before="70"/>
        <w:ind w:left="35" w:right="55"/>
        <w:jc w:val="center"/>
        <w:rPr>
          <w:rFonts w:ascii="Times New Roman" w:eastAsia="Times New Roman" w:hAnsi="Times New Roman" w:cs="Times New Roman"/>
          <w:b/>
          <w:sz w:val="24"/>
          <w:szCs w:val="24"/>
        </w:rPr>
      </w:pPr>
    </w:p>
    <w:p w:rsidR="002F65B8" w:rsidRDefault="000424E9">
      <w:pPr>
        <w:pStyle w:val="Ttulo1"/>
        <w:widowControl w:val="0"/>
        <w:spacing w:before="70"/>
        <w:ind w:right="55"/>
        <w:rPr>
          <w:rFonts w:ascii="Times New Roman" w:eastAsia="Times New Roman" w:hAnsi="Times New Roman" w:cs="Times New Roman"/>
          <w:b/>
          <w:sz w:val="24"/>
          <w:szCs w:val="24"/>
        </w:rPr>
      </w:pPr>
      <w:r>
        <w:br w:type="page"/>
      </w:r>
    </w:p>
    <w:p w:rsidR="002F65B8" w:rsidRDefault="000424E9">
      <w:pPr>
        <w:pStyle w:val="Ttulo1"/>
        <w:widowControl w:val="0"/>
        <w:spacing w:before="70"/>
        <w:ind w:right="55"/>
        <w:rPr>
          <w:rFonts w:ascii="Times New Roman" w:eastAsia="Times New Roman" w:hAnsi="Times New Roman" w:cs="Times New Roman"/>
          <w:b/>
          <w:sz w:val="23"/>
          <w:szCs w:val="23"/>
        </w:rPr>
      </w:pPr>
      <w:r>
        <w:rPr>
          <w:rFonts w:ascii="Times New Roman" w:eastAsia="Times New Roman" w:hAnsi="Times New Roman" w:cs="Times New Roman"/>
          <w:b/>
          <w:sz w:val="23"/>
          <w:szCs w:val="23"/>
        </w:rPr>
        <w:t>PROYECTO DE LEY No.</w:t>
      </w:r>
    </w:p>
    <w:p w:rsidR="002F65B8" w:rsidRDefault="000424E9">
      <w:pPr>
        <w:pBdr>
          <w:top w:val="none" w:sz="0" w:space="0" w:color="000000"/>
          <w:left w:val="none" w:sz="0" w:space="0" w:color="000000"/>
          <w:bottom w:val="none" w:sz="0" w:space="0" w:color="000000"/>
          <w:right w:val="none" w:sz="0" w:space="0" w:color="000000"/>
          <w:between w:val="none" w:sz="0" w:space="0" w:color="000000"/>
        </w:pBdr>
        <w:spacing w:line="240" w:lineRule="auto"/>
        <w:ind w:right="442"/>
        <w:jc w:val="both"/>
        <w:rPr>
          <w:rFonts w:ascii="Times New Roman" w:eastAsia="Times New Roman" w:hAnsi="Times New Roman" w:cs="Times New Roman"/>
          <w:i/>
          <w:sz w:val="23"/>
          <w:szCs w:val="23"/>
        </w:rPr>
      </w:pPr>
      <w:r>
        <w:rPr>
          <w:rFonts w:ascii="Times New Roman" w:eastAsia="Times New Roman" w:hAnsi="Times New Roman" w:cs="Times New Roman"/>
          <w:sz w:val="23"/>
          <w:szCs w:val="23"/>
        </w:rPr>
        <w:t>“</w:t>
      </w:r>
      <w:r>
        <w:rPr>
          <w:rFonts w:ascii="Times New Roman" w:eastAsia="Times New Roman" w:hAnsi="Times New Roman" w:cs="Times New Roman"/>
          <w:i/>
          <w:sz w:val="23"/>
          <w:szCs w:val="23"/>
        </w:rPr>
        <w:t>Por medio de la cual se establece el Paisaje Cultural Cafetero y su zona amortiguadora, como zonas excluidas de megaminería y se dictan otras disposiciones”</w:t>
      </w: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ind w:right="442"/>
        <w:jc w:val="both"/>
        <w:rPr>
          <w:rFonts w:ascii="Times New Roman" w:eastAsia="Times New Roman" w:hAnsi="Times New Roman" w:cs="Times New Roman"/>
          <w:i/>
          <w:sz w:val="23"/>
          <w:szCs w:val="23"/>
        </w:rPr>
      </w:pPr>
    </w:p>
    <w:p w:rsidR="002F65B8" w:rsidRDefault="002F65B8">
      <w:pPr>
        <w:widowControl w:val="0"/>
        <w:rPr>
          <w:rFonts w:ascii="Times New Roman" w:eastAsia="Times New Roman" w:hAnsi="Times New Roman" w:cs="Times New Roman"/>
          <w:b/>
          <w:sz w:val="23"/>
          <w:szCs w:val="23"/>
        </w:rPr>
      </w:pPr>
    </w:p>
    <w:p w:rsidR="002F65B8" w:rsidRDefault="000424E9">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 * *</w:t>
      </w:r>
    </w:p>
    <w:p w:rsidR="002F65B8" w:rsidRDefault="002F65B8">
      <w:pPr>
        <w:jc w:val="center"/>
        <w:rPr>
          <w:rFonts w:ascii="Times New Roman" w:eastAsia="Times New Roman" w:hAnsi="Times New Roman" w:cs="Times New Roman"/>
          <w:b/>
          <w:sz w:val="23"/>
          <w:szCs w:val="23"/>
        </w:rPr>
      </w:pPr>
    </w:p>
    <w:p w:rsidR="002F65B8" w:rsidRDefault="000424E9">
      <w:pPr>
        <w:jc w:val="center"/>
        <w:rPr>
          <w:rFonts w:ascii="Times New Roman" w:eastAsia="Times New Roman" w:hAnsi="Times New Roman" w:cs="Times New Roman"/>
          <w:b/>
          <w:i/>
          <w:sz w:val="23"/>
          <w:szCs w:val="23"/>
        </w:rPr>
      </w:pPr>
      <w:r>
        <w:rPr>
          <w:rFonts w:ascii="Times New Roman" w:eastAsia="Times New Roman" w:hAnsi="Times New Roman" w:cs="Times New Roman"/>
          <w:b/>
          <w:i/>
          <w:sz w:val="23"/>
          <w:szCs w:val="23"/>
        </w:rPr>
        <w:t>El Congreso de Colombia</w:t>
      </w:r>
    </w:p>
    <w:p w:rsidR="002F65B8" w:rsidRDefault="002F65B8">
      <w:pPr>
        <w:jc w:val="center"/>
        <w:rPr>
          <w:rFonts w:ascii="Times New Roman" w:eastAsia="Times New Roman" w:hAnsi="Times New Roman" w:cs="Times New Roman"/>
          <w:b/>
          <w:sz w:val="23"/>
          <w:szCs w:val="23"/>
        </w:rPr>
      </w:pPr>
    </w:p>
    <w:p w:rsidR="002F65B8" w:rsidRDefault="000424E9">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DECRETA</w:t>
      </w:r>
    </w:p>
    <w:p w:rsidR="002F65B8" w:rsidRDefault="002F65B8">
      <w:pPr>
        <w:rPr>
          <w:rFonts w:ascii="Times New Roman" w:eastAsia="Times New Roman" w:hAnsi="Times New Roman" w:cs="Times New Roman"/>
          <w:b/>
          <w:sz w:val="23"/>
          <w:szCs w:val="23"/>
        </w:rPr>
      </w:pPr>
    </w:p>
    <w:p w:rsidR="002F65B8" w:rsidRDefault="000424E9">
      <w:pPr>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Artículo 1. Objeto.</w:t>
      </w:r>
      <w:r>
        <w:rPr>
          <w:rFonts w:ascii="Times New Roman" w:eastAsia="Times New Roman" w:hAnsi="Times New Roman" w:cs="Times New Roman"/>
          <w:sz w:val="23"/>
          <w:szCs w:val="23"/>
        </w:rPr>
        <w:t xml:space="preserve"> El presente proyecto de ley tiene po</w:t>
      </w:r>
      <w:r>
        <w:rPr>
          <w:rFonts w:ascii="Times New Roman" w:eastAsia="Times New Roman" w:hAnsi="Times New Roman" w:cs="Times New Roman"/>
          <w:sz w:val="23"/>
          <w:szCs w:val="23"/>
        </w:rPr>
        <w:t>r objeto establecer el Paisaje Cultural Cafetero y su zona amortiguadora, como zonas excluidas de megaminería para garantizar su  protección y conservación, como patrimonio cultural de la humanidad, mediante la modificación del Código Minero Ley 685 de 200</w:t>
      </w:r>
      <w:r>
        <w:rPr>
          <w:rFonts w:ascii="Times New Roman" w:eastAsia="Times New Roman" w:hAnsi="Times New Roman" w:cs="Times New Roman"/>
          <w:sz w:val="23"/>
          <w:szCs w:val="23"/>
        </w:rPr>
        <w:t xml:space="preserve">1.  </w:t>
      </w:r>
    </w:p>
    <w:p w:rsidR="002F65B8" w:rsidRDefault="002F65B8">
      <w:pPr>
        <w:jc w:val="both"/>
        <w:rPr>
          <w:rFonts w:ascii="Times New Roman" w:eastAsia="Times New Roman" w:hAnsi="Times New Roman" w:cs="Times New Roman"/>
          <w:sz w:val="23"/>
          <w:szCs w:val="23"/>
        </w:rPr>
      </w:pPr>
    </w:p>
    <w:p w:rsidR="002F65B8" w:rsidRDefault="000424E9">
      <w:pPr>
        <w:spacing w:before="240" w:after="240" w:line="240" w:lineRule="auto"/>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Artículo 2 Definiciones. </w:t>
      </w:r>
      <w:r>
        <w:rPr>
          <w:rFonts w:ascii="Times New Roman" w:eastAsia="Times New Roman" w:hAnsi="Times New Roman" w:cs="Times New Roman"/>
          <w:sz w:val="23"/>
          <w:szCs w:val="23"/>
        </w:rPr>
        <w:t xml:space="preserve">Para efectos de la presente ley, se adoptan las siguientes definiciones:  </w:t>
      </w:r>
    </w:p>
    <w:p w:rsidR="002F65B8" w:rsidRDefault="000424E9">
      <w:pPr>
        <w:spacing w:before="240" w:after="240" w:line="240" w:lineRule="auto"/>
        <w:ind w:left="360"/>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a.</w:t>
      </w:r>
      <w:r>
        <w:rPr>
          <w:rFonts w:ascii="Times New Roman" w:eastAsia="Times New Roman" w:hAnsi="Times New Roman" w:cs="Times New Roman"/>
          <w:b/>
          <w:sz w:val="23"/>
          <w:szCs w:val="23"/>
        </w:rPr>
        <w:tab/>
        <w:t xml:space="preserve">Paisaje Cultural Cafetero: </w:t>
      </w:r>
      <w:r>
        <w:rPr>
          <w:rFonts w:ascii="Times New Roman" w:eastAsia="Times New Roman" w:hAnsi="Times New Roman" w:cs="Times New Roman"/>
          <w:sz w:val="23"/>
          <w:szCs w:val="23"/>
        </w:rPr>
        <w:t>Para efectos de esta Ley</w:t>
      </w:r>
      <w:r>
        <w:rPr>
          <w:rFonts w:ascii="Times New Roman" w:eastAsia="Times New Roman" w:hAnsi="Times New Roman" w:cs="Times New Roman"/>
          <w:b/>
          <w:sz w:val="23"/>
          <w:szCs w:val="23"/>
        </w:rPr>
        <w:t xml:space="preserve"> </w:t>
      </w:r>
      <w:r>
        <w:rPr>
          <w:rFonts w:ascii="Times New Roman" w:eastAsia="Times New Roman" w:hAnsi="Times New Roman" w:cs="Times New Roman"/>
          <w:sz w:val="23"/>
          <w:szCs w:val="23"/>
        </w:rPr>
        <w:t xml:space="preserve">se entiende por Paisaje Cultural Cafetero Colombiano el territorio compuesto </w:t>
      </w:r>
      <w:r>
        <w:rPr>
          <w:rFonts w:ascii="Times New Roman" w:eastAsia="Times New Roman" w:hAnsi="Times New Roman" w:cs="Times New Roman"/>
          <w:sz w:val="23"/>
          <w:szCs w:val="23"/>
          <w:highlight w:val="white"/>
        </w:rPr>
        <w:t>por los municipios</w:t>
      </w:r>
      <w:r>
        <w:rPr>
          <w:rFonts w:ascii="Times New Roman" w:eastAsia="Times New Roman" w:hAnsi="Times New Roman" w:cs="Times New Roman"/>
          <w:sz w:val="23"/>
          <w:szCs w:val="23"/>
          <w:highlight w:val="white"/>
        </w:rPr>
        <w:t xml:space="preserve"> delimitados por la resolución 2079 de 2011 del Ministerio de Cultura y sus anexos,  estos equivalen a </w:t>
      </w:r>
      <w:r>
        <w:rPr>
          <w:rFonts w:ascii="Times New Roman" w:eastAsia="Times New Roman" w:hAnsi="Times New Roman" w:cs="Times New Roman"/>
          <w:sz w:val="23"/>
          <w:szCs w:val="23"/>
        </w:rPr>
        <w:t>seis zonas localizadas en 51 municipios de los departamentos de Caldas, Quindío, Risaralda y Valle del Cauca, rodeadas por un área de influencia o amorti</w:t>
      </w:r>
      <w:r>
        <w:rPr>
          <w:rFonts w:ascii="Times New Roman" w:eastAsia="Times New Roman" w:hAnsi="Times New Roman" w:cs="Times New Roman"/>
          <w:sz w:val="23"/>
          <w:szCs w:val="23"/>
        </w:rPr>
        <w:t xml:space="preserve">guamiento, en el que se conjugan elementos naturales, económicos y culturales con un alto grado de homogeneidad en la región, y que constituye un caso excepcional en el mundo. </w:t>
      </w:r>
    </w:p>
    <w:p w:rsidR="002F65B8" w:rsidRDefault="000424E9">
      <w:pPr>
        <w:spacing w:before="240" w:after="240" w:line="240" w:lineRule="auto"/>
        <w:ind w:left="360"/>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b</w:t>
      </w:r>
      <w:r>
        <w:rPr>
          <w:rFonts w:ascii="Times New Roman" w:eastAsia="Times New Roman" w:hAnsi="Times New Roman" w:cs="Times New Roman"/>
          <w:sz w:val="23"/>
          <w:szCs w:val="23"/>
        </w:rPr>
        <w:t xml:space="preserve">. </w:t>
      </w:r>
      <w:r>
        <w:rPr>
          <w:rFonts w:ascii="Times New Roman" w:eastAsia="Times New Roman" w:hAnsi="Times New Roman" w:cs="Times New Roman"/>
          <w:b/>
          <w:sz w:val="23"/>
          <w:szCs w:val="23"/>
        </w:rPr>
        <w:t xml:space="preserve">Zona Amortiguadora del Paisaje Cultural Cafetero. </w:t>
      </w:r>
      <w:r>
        <w:rPr>
          <w:rFonts w:ascii="Times New Roman" w:eastAsia="Times New Roman" w:hAnsi="Times New Roman" w:cs="Times New Roman"/>
          <w:sz w:val="23"/>
          <w:szCs w:val="23"/>
        </w:rPr>
        <w:t>Zona en la cual se atenúan</w:t>
      </w:r>
      <w:r>
        <w:rPr>
          <w:rFonts w:ascii="Times New Roman" w:eastAsia="Times New Roman" w:hAnsi="Times New Roman" w:cs="Times New Roman"/>
          <w:sz w:val="23"/>
          <w:szCs w:val="23"/>
        </w:rPr>
        <w:t xml:space="preserve"> las perturbaciones causadas por la actividad humana en las zonas circunvecinas al Paisaje Cultural Cafetero. Estas zonas corresponden a las veredas de los municipios a que se refiere el literal A del presente artículo. </w:t>
      </w:r>
    </w:p>
    <w:p w:rsidR="002F65B8" w:rsidRDefault="000424E9">
      <w:pPr>
        <w:spacing w:before="240" w:after="240" w:line="240" w:lineRule="auto"/>
        <w:ind w:left="360"/>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 c. </w:t>
      </w:r>
      <w:r>
        <w:rPr>
          <w:rFonts w:ascii="Times New Roman" w:eastAsia="Times New Roman" w:hAnsi="Times New Roman" w:cs="Times New Roman"/>
          <w:b/>
          <w:sz w:val="23"/>
          <w:szCs w:val="23"/>
        </w:rPr>
        <w:tab/>
        <w:t xml:space="preserve">Exploración: </w:t>
      </w:r>
      <w:r>
        <w:rPr>
          <w:rFonts w:ascii="Times New Roman" w:eastAsia="Times New Roman" w:hAnsi="Times New Roman" w:cs="Times New Roman"/>
          <w:sz w:val="23"/>
          <w:szCs w:val="23"/>
        </w:rPr>
        <w:t>Búsqueda de depós</w:t>
      </w:r>
      <w:r>
        <w:rPr>
          <w:rFonts w:ascii="Times New Roman" w:eastAsia="Times New Roman" w:hAnsi="Times New Roman" w:cs="Times New Roman"/>
          <w:sz w:val="23"/>
          <w:szCs w:val="23"/>
        </w:rPr>
        <w:t>itos minerales mediante labores realizadas para proporcionar o establecer presencia, cantidad y calidad de un depósito mineral en un área específica. La exploración regional es la etapa primaria de un proyecto de exploración encaminada a la delimitación in</w:t>
      </w:r>
      <w:r>
        <w:rPr>
          <w:rFonts w:ascii="Times New Roman" w:eastAsia="Times New Roman" w:hAnsi="Times New Roman" w:cs="Times New Roman"/>
          <w:sz w:val="23"/>
          <w:szCs w:val="23"/>
        </w:rPr>
        <w:t>icial de un depósito mineral identificado en la etapa de prospección, con evaluación preliminar de la cantidad y la calidad. Su objetivo es establecer las principales características geológicas del depósito y proporcionar una indicación razonable de su con</w:t>
      </w:r>
      <w:r>
        <w:rPr>
          <w:rFonts w:ascii="Times New Roman" w:eastAsia="Times New Roman" w:hAnsi="Times New Roman" w:cs="Times New Roman"/>
          <w:sz w:val="23"/>
          <w:szCs w:val="23"/>
        </w:rPr>
        <w:t>tinuidad y una primera evaluación de sus dimensiones, su configuración, su estructura y su contenido.</w:t>
      </w:r>
    </w:p>
    <w:p w:rsidR="002F65B8" w:rsidRDefault="000424E9">
      <w:pPr>
        <w:spacing w:before="240" w:after="240" w:line="240" w:lineRule="auto"/>
        <w:ind w:left="360"/>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 d.</w:t>
      </w:r>
      <w:r>
        <w:rPr>
          <w:rFonts w:ascii="Times New Roman" w:eastAsia="Times New Roman" w:hAnsi="Times New Roman" w:cs="Times New Roman"/>
          <w:b/>
          <w:sz w:val="23"/>
          <w:szCs w:val="23"/>
        </w:rPr>
        <w:tab/>
        <w:t>Etapa de Explotación:</w:t>
      </w:r>
      <w:r>
        <w:rPr>
          <w:rFonts w:ascii="Times New Roman" w:eastAsia="Times New Roman" w:hAnsi="Times New Roman" w:cs="Times New Roman"/>
          <w:sz w:val="23"/>
          <w:szCs w:val="23"/>
        </w:rPr>
        <w:t xml:space="preserve"> Es el conjunto de operaciones que tienen por objeto la extracción o captación de los minerales yacentes en el suelo o subsuelo d</w:t>
      </w:r>
      <w:r>
        <w:rPr>
          <w:rFonts w:ascii="Times New Roman" w:eastAsia="Times New Roman" w:hAnsi="Times New Roman" w:cs="Times New Roman"/>
          <w:sz w:val="23"/>
          <w:szCs w:val="23"/>
        </w:rPr>
        <w:t xml:space="preserve">el área de la concesión, su acopio, su beneficio y el cierre y abandono de los montajes y de la infraestructura. </w:t>
      </w:r>
    </w:p>
    <w:p w:rsidR="002F65B8" w:rsidRDefault="002F65B8">
      <w:pPr>
        <w:spacing w:before="240" w:after="240" w:line="240" w:lineRule="auto"/>
        <w:jc w:val="both"/>
        <w:rPr>
          <w:rFonts w:ascii="Times New Roman" w:eastAsia="Times New Roman" w:hAnsi="Times New Roman" w:cs="Times New Roman"/>
          <w:sz w:val="23"/>
          <w:szCs w:val="23"/>
        </w:rPr>
      </w:pPr>
    </w:p>
    <w:p w:rsidR="002F65B8" w:rsidRDefault="002F65B8">
      <w:pPr>
        <w:spacing w:before="240" w:after="240" w:line="240" w:lineRule="auto"/>
        <w:jc w:val="both"/>
        <w:rPr>
          <w:rFonts w:ascii="Times New Roman" w:eastAsia="Times New Roman" w:hAnsi="Times New Roman" w:cs="Times New Roman"/>
          <w:sz w:val="23"/>
          <w:szCs w:val="23"/>
        </w:rPr>
      </w:pPr>
    </w:p>
    <w:p w:rsidR="002F65B8" w:rsidRDefault="002F65B8">
      <w:pPr>
        <w:rPr>
          <w:rFonts w:ascii="Times New Roman" w:eastAsia="Times New Roman" w:hAnsi="Times New Roman" w:cs="Times New Roman"/>
          <w:b/>
          <w:sz w:val="23"/>
          <w:szCs w:val="23"/>
        </w:rPr>
      </w:pPr>
    </w:p>
    <w:p w:rsidR="002F65B8" w:rsidRDefault="000424E9">
      <w:pPr>
        <w:rPr>
          <w:rFonts w:ascii="Times New Roman" w:eastAsia="Times New Roman" w:hAnsi="Times New Roman" w:cs="Times New Roman"/>
          <w:b/>
          <w:sz w:val="23"/>
          <w:szCs w:val="23"/>
        </w:rPr>
      </w:pPr>
      <w:r>
        <w:rPr>
          <w:rFonts w:ascii="Times New Roman" w:eastAsia="Times New Roman" w:hAnsi="Times New Roman" w:cs="Times New Roman"/>
          <w:b/>
          <w:sz w:val="23"/>
          <w:szCs w:val="23"/>
        </w:rPr>
        <w:t xml:space="preserve">Artículo 3. </w:t>
      </w:r>
      <w:r>
        <w:rPr>
          <w:rFonts w:ascii="Times New Roman" w:eastAsia="Times New Roman" w:hAnsi="Times New Roman" w:cs="Times New Roman"/>
          <w:sz w:val="23"/>
          <w:szCs w:val="23"/>
        </w:rPr>
        <w:t xml:space="preserve">Adiciónese un inciso y un parágrafo al artículo 34 de la </w:t>
      </w:r>
      <w:r>
        <w:rPr>
          <w:rFonts w:ascii="Times New Roman" w:eastAsia="Times New Roman" w:hAnsi="Times New Roman" w:cs="Times New Roman"/>
          <w:i/>
          <w:sz w:val="23"/>
          <w:szCs w:val="23"/>
        </w:rPr>
        <w:t>Ley 685 del 2001</w:t>
      </w:r>
      <w:r>
        <w:rPr>
          <w:rFonts w:ascii="Times New Roman" w:eastAsia="Times New Roman" w:hAnsi="Times New Roman" w:cs="Times New Roman"/>
          <w:sz w:val="23"/>
          <w:szCs w:val="23"/>
        </w:rPr>
        <w:t>, el cual quedará así:</w:t>
      </w:r>
    </w:p>
    <w:p w:rsidR="002F65B8" w:rsidRDefault="002F65B8">
      <w:pPr>
        <w:spacing w:line="240" w:lineRule="auto"/>
        <w:rPr>
          <w:rFonts w:ascii="Times New Roman" w:eastAsia="Times New Roman" w:hAnsi="Times New Roman" w:cs="Times New Roman"/>
          <w:sz w:val="23"/>
          <w:szCs w:val="23"/>
        </w:rPr>
      </w:pPr>
    </w:p>
    <w:p w:rsidR="002F65B8" w:rsidRDefault="000424E9">
      <w:pPr>
        <w:spacing w:line="240" w:lineRule="auto"/>
        <w:ind w:left="720"/>
        <w:jc w:val="both"/>
        <w:rPr>
          <w:rFonts w:ascii="Times New Roman" w:eastAsia="Times New Roman" w:hAnsi="Times New Roman" w:cs="Times New Roman"/>
          <w:sz w:val="23"/>
          <w:szCs w:val="23"/>
        </w:rPr>
      </w:pPr>
      <w:r>
        <w:rPr>
          <w:rFonts w:ascii="Times New Roman" w:eastAsia="Times New Roman" w:hAnsi="Times New Roman" w:cs="Times New Roman"/>
          <w:i/>
          <w:sz w:val="23"/>
          <w:szCs w:val="23"/>
        </w:rPr>
        <w:t>“</w:t>
      </w:r>
      <w:r>
        <w:rPr>
          <w:rFonts w:ascii="Times New Roman" w:eastAsia="Times New Roman" w:hAnsi="Times New Roman" w:cs="Times New Roman"/>
          <w:b/>
          <w:sz w:val="23"/>
          <w:szCs w:val="23"/>
        </w:rPr>
        <w:t>Artículo 34. Zonas excluibles de la minería.</w:t>
      </w:r>
      <w:r>
        <w:rPr>
          <w:rFonts w:ascii="Times New Roman" w:eastAsia="Times New Roman" w:hAnsi="Times New Roman" w:cs="Times New Roman"/>
          <w:sz w:val="23"/>
          <w:szCs w:val="23"/>
        </w:rPr>
        <w:t xml:space="preserve"> No podrán ejecutarse trabajos y obras de exploración y explotación mineras en zonas declaradas y delimitadas conforme a la normatividad vigente como de protección y desarrollo de los recursos naturales renovable</w:t>
      </w:r>
      <w:r>
        <w:rPr>
          <w:rFonts w:ascii="Times New Roman" w:eastAsia="Times New Roman" w:hAnsi="Times New Roman" w:cs="Times New Roman"/>
          <w:sz w:val="23"/>
          <w:szCs w:val="23"/>
        </w:rPr>
        <w:t>s o del ambiente y que, de acuerdo con las disposiciones legales sobre la materia, expresamente excluyan dichos trabajos y obras.</w:t>
      </w:r>
    </w:p>
    <w:p w:rsidR="002F65B8" w:rsidRDefault="002F65B8">
      <w:pPr>
        <w:spacing w:line="240" w:lineRule="auto"/>
        <w:ind w:left="720"/>
        <w:jc w:val="both"/>
        <w:rPr>
          <w:rFonts w:ascii="Times New Roman" w:eastAsia="Times New Roman" w:hAnsi="Times New Roman" w:cs="Times New Roman"/>
          <w:sz w:val="23"/>
          <w:szCs w:val="23"/>
        </w:rPr>
      </w:pPr>
    </w:p>
    <w:p w:rsidR="002F65B8" w:rsidRDefault="000424E9">
      <w:pPr>
        <w:spacing w:line="240" w:lineRule="auto"/>
        <w:ind w:left="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Las zonas de exclusión mencionadas serán las que se constituyan conforme a las disposiciones vigentes, como áreas que integra</w:t>
      </w:r>
      <w:r>
        <w:rPr>
          <w:rFonts w:ascii="Times New Roman" w:eastAsia="Times New Roman" w:hAnsi="Times New Roman" w:cs="Times New Roman"/>
          <w:sz w:val="23"/>
          <w:szCs w:val="23"/>
        </w:rPr>
        <w:t>n el sistema de parques nacionales naturales, parques naturales de carácter regional y zonas de reserva forestales. Estas zonas para producir estos efectos, deberán ser delimitadas geográficamente por la autoridad ambiental con base en estudios técnicos, s</w:t>
      </w:r>
      <w:r>
        <w:rPr>
          <w:rFonts w:ascii="Times New Roman" w:eastAsia="Times New Roman" w:hAnsi="Times New Roman" w:cs="Times New Roman"/>
          <w:sz w:val="23"/>
          <w:szCs w:val="23"/>
        </w:rPr>
        <w:t>ociales y ambientales con la colaboración de la autoridad minera, en aquellas áreas de interés minero.</w:t>
      </w:r>
    </w:p>
    <w:p w:rsidR="002F65B8" w:rsidRDefault="000424E9">
      <w:pPr>
        <w:spacing w:line="240" w:lineRule="auto"/>
        <w:ind w:left="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w:t>
      </w:r>
    </w:p>
    <w:p w:rsidR="002F65B8" w:rsidRDefault="000424E9">
      <w:pPr>
        <w:spacing w:line="240" w:lineRule="auto"/>
        <w:ind w:left="720"/>
        <w:jc w:val="both"/>
        <w:rPr>
          <w:rFonts w:ascii="Times New Roman" w:eastAsia="Times New Roman" w:hAnsi="Times New Roman" w:cs="Times New Roman"/>
          <w:b/>
          <w:sz w:val="23"/>
          <w:szCs w:val="23"/>
          <w:u w:val="single"/>
        </w:rPr>
      </w:pPr>
      <w:r>
        <w:rPr>
          <w:rFonts w:ascii="Times New Roman" w:eastAsia="Times New Roman" w:hAnsi="Times New Roman" w:cs="Times New Roman"/>
          <w:b/>
          <w:sz w:val="23"/>
          <w:szCs w:val="23"/>
          <w:u w:val="single"/>
        </w:rPr>
        <w:t>Además de lo anterior, se incluirá dentro de las zonas de exclusión el Paisaje Cultural Cafetero Colombiano y su zona de amortiguación compuesto por lo</w:t>
      </w:r>
      <w:r>
        <w:rPr>
          <w:rFonts w:ascii="Times New Roman" w:eastAsia="Times New Roman" w:hAnsi="Times New Roman" w:cs="Times New Roman"/>
          <w:b/>
          <w:sz w:val="23"/>
          <w:szCs w:val="23"/>
          <w:u w:val="single"/>
        </w:rPr>
        <w:t>s municipios delimitados por la resolución 2079 de 2011 del Ministerio de Cultura y sus anexos.</w:t>
      </w:r>
    </w:p>
    <w:p w:rsidR="002F65B8" w:rsidRDefault="002F65B8">
      <w:pPr>
        <w:spacing w:line="240" w:lineRule="auto"/>
        <w:ind w:left="720"/>
        <w:jc w:val="both"/>
        <w:rPr>
          <w:rFonts w:ascii="Times New Roman" w:eastAsia="Times New Roman" w:hAnsi="Times New Roman" w:cs="Times New Roman"/>
          <w:b/>
          <w:sz w:val="23"/>
          <w:szCs w:val="23"/>
          <w:u w:val="single"/>
        </w:rPr>
      </w:pPr>
    </w:p>
    <w:p w:rsidR="002F65B8" w:rsidRDefault="000424E9">
      <w:pPr>
        <w:spacing w:line="240" w:lineRule="auto"/>
        <w:ind w:left="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Para que puedan excluirse o restringirse trabajos y obras de exploración y explotación mineras en las zonas de protección y desarrollo de los recursos naturale</w:t>
      </w:r>
      <w:r>
        <w:rPr>
          <w:rFonts w:ascii="Times New Roman" w:eastAsia="Times New Roman" w:hAnsi="Times New Roman" w:cs="Times New Roman"/>
          <w:sz w:val="23"/>
          <w:szCs w:val="23"/>
        </w:rPr>
        <w:t>s renovables o del ambiente, el acto que las declare deberá estar expresamente motivado en estudios que determinen la incompatibilidad o restricción en  relación con las actividades mineras.</w:t>
      </w:r>
    </w:p>
    <w:p w:rsidR="002F65B8" w:rsidRDefault="002F65B8">
      <w:pPr>
        <w:spacing w:line="240" w:lineRule="auto"/>
        <w:ind w:left="720"/>
        <w:jc w:val="both"/>
        <w:rPr>
          <w:rFonts w:ascii="Times New Roman" w:eastAsia="Times New Roman" w:hAnsi="Times New Roman" w:cs="Times New Roman"/>
          <w:sz w:val="23"/>
          <w:szCs w:val="23"/>
        </w:rPr>
      </w:pPr>
    </w:p>
    <w:p w:rsidR="002F65B8" w:rsidRDefault="000424E9">
      <w:pPr>
        <w:widowControl w:val="0"/>
        <w:shd w:val="clear" w:color="auto" w:fill="FFFFFF"/>
        <w:spacing w:after="340" w:line="240" w:lineRule="auto"/>
        <w:ind w:left="72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No obstante, la autoridad minera previo acto administrativo fund</w:t>
      </w:r>
      <w:r>
        <w:rPr>
          <w:rFonts w:ascii="Times New Roman" w:eastAsia="Times New Roman" w:hAnsi="Times New Roman" w:cs="Times New Roman"/>
          <w:sz w:val="23"/>
          <w:szCs w:val="23"/>
        </w:rPr>
        <w:t>amentado de la autoridad ambiental que decrete la sustracción del área requerida, podrá autorizar que, en las zonas mencionadas en el presente artículo, con excepción de los parques, puedan adelantarse actividades mineras en forma restringida o sólo por de</w:t>
      </w:r>
      <w:r>
        <w:rPr>
          <w:rFonts w:ascii="Times New Roman" w:eastAsia="Times New Roman" w:hAnsi="Times New Roman" w:cs="Times New Roman"/>
          <w:sz w:val="23"/>
          <w:szCs w:val="23"/>
        </w:rPr>
        <w:t>terminados métodos y sistemas de extracción que no afecten los objetivos de la zona de exclusión. Para tal efecto, el interesado en el Contrato de Concesión deberá presentar los estudios que demuestren la compatibilidad de las actividades mineras con tales</w:t>
      </w:r>
      <w:r>
        <w:rPr>
          <w:rFonts w:ascii="Times New Roman" w:eastAsia="Times New Roman" w:hAnsi="Times New Roman" w:cs="Times New Roman"/>
          <w:sz w:val="23"/>
          <w:szCs w:val="23"/>
        </w:rPr>
        <w:t xml:space="preserve"> objetivos.</w:t>
      </w:r>
    </w:p>
    <w:p w:rsidR="002F65B8" w:rsidRDefault="000424E9">
      <w:pPr>
        <w:widowControl w:val="0"/>
        <w:shd w:val="clear" w:color="auto" w:fill="FFFFFF"/>
        <w:spacing w:after="340" w:line="240" w:lineRule="auto"/>
        <w:ind w:left="720"/>
        <w:jc w:val="both"/>
        <w:rPr>
          <w:rFonts w:ascii="Times New Roman" w:eastAsia="Times New Roman" w:hAnsi="Times New Roman" w:cs="Times New Roman"/>
          <w:i/>
          <w:sz w:val="23"/>
          <w:szCs w:val="23"/>
        </w:rPr>
      </w:pPr>
      <w:r>
        <w:rPr>
          <w:rFonts w:ascii="Times New Roman" w:eastAsia="Times New Roman" w:hAnsi="Times New Roman" w:cs="Times New Roman"/>
          <w:b/>
          <w:sz w:val="23"/>
          <w:szCs w:val="23"/>
          <w:u w:val="single"/>
        </w:rPr>
        <w:t>PARÁGRAFO: Para efectos de la presente ley, no se entenderá excluida la exploración y explotación minera a pequeña escala, de materiales de construcción y aluviales, en el Paisaje Cultural Cafetero Colombiano</w:t>
      </w:r>
      <w:r>
        <w:rPr>
          <w:rFonts w:ascii="Times New Roman" w:eastAsia="Times New Roman" w:hAnsi="Times New Roman" w:cs="Times New Roman"/>
          <w:sz w:val="23"/>
          <w:szCs w:val="23"/>
        </w:rPr>
        <w:t>”</w:t>
      </w:r>
      <w:r>
        <w:rPr>
          <w:rFonts w:ascii="Times New Roman" w:eastAsia="Times New Roman" w:hAnsi="Times New Roman" w:cs="Times New Roman"/>
          <w:b/>
          <w:sz w:val="23"/>
          <w:szCs w:val="23"/>
          <w:u w:val="single"/>
        </w:rPr>
        <w:t>, de acuerdo a la reglamentación qu</w:t>
      </w:r>
      <w:r>
        <w:rPr>
          <w:rFonts w:ascii="Times New Roman" w:eastAsia="Times New Roman" w:hAnsi="Times New Roman" w:cs="Times New Roman"/>
          <w:b/>
          <w:sz w:val="23"/>
          <w:szCs w:val="23"/>
          <w:u w:val="single"/>
        </w:rPr>
        <w:t xml:space="preserve">e expida el gobierno nacional en el término de seis (6) meses siguientes a la expedición de esta ley. </w:t>
      </w:r>
    </w:p>
    <w:p w:rsidR="002F65B8" w:rsidRDefault="000424E9">
      <w:pPr>
        <w:spacing w:before="240" w:after="240" w:line="240" w:lineRule="auto"/>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  Artículo 4</w:t>
      </w:r>
      <w:r>
        <w:rPr>
          <w:rFonts w:ascii="Times New Roman" w:eastAsia="Times New Roman" w:hAnsi="Times New Roman" w:cs="Times New Roman"/>
          <w:b/>
          <w:sz w:val="24"/>
          <w:szCs w:val="24"/>
        </w:rPr>
        <w:t>.</w:t>
      </w:r>
      <w:r>
        <w:rPr>
          <w:rFonts w:ascii="Times New Roman" w:eastAsia="Times New Roman" w:hAnsi="Times New Roman" w:cs="Times New Roman"/>
          <w:sz w:val="23"/>
          <w:szCs w:val="23"/>
        </w:rPr>
        <w:t xml:space="preserve"> Modifíquese el literal C, del artículo 35 de la Ley 685 del 2001, el cual quedará así:</w:t>
      </w:r>
    </w:p>
    <w:p w:rsidR="002F65B8" w:rsidRDefault="000424E9">
      <w:pPr>
        <w:spacing w:before="240" w:after="240" w:line="240" w:lineRule="auto"/>
        <w:ind w:left="860" w:right="960"/>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ARTÍCULO 35. ZONAS DE MINERÍA RESTRINGIDA</w:t>
      </w:r>
      <w:r>
        <w:rPr>
          <w:rFonts w:ascii="Times New Roman" w:eastAsia="Times New Roman" w:hAnsi="Times New Roman" w:cs="Times New Roman"/>
          <w:b/>
          <w:sz w:val="24"/>
          <w:szCs w:val="24"/>
        </w:rPr>
        <w:t>.</w:t>
      </w:r>
      <w:r>
        <w:rPr>
          <w:rFonts w:ascii="Times New Roman" w:eastAsia="Times New Roman" w:hAnsi="Times New Roman" w:cs="Times New Roman"/>
          <w:sz w:val="23"/>
          <w:szCs w:val="23"/>
        </w:rPr>
        <w:t xml:space="preserve"> Podrán ef</w:t>
      </w:r>
      <w:r>
        <w:rPr>
          <w:rFonts w:ascii="Times New Roman" w:eastAsia="Times New Roman" w:hAnsi="Times New Roman" w:cs="Times New Roman"/>
          <w:sz w:val="23"/>
          <w:szCs w:val="23"/>
        </w:rPr>
        <w:t>ectuarse trabajos y obras de exploración y de explotación de minas en las siguientes zonas y lugares, con las restricciones que se expresan a continuación:</w:t>
      </w:r>
    </w:p>
    <w:p w:rsidR="002F65B8" w:rsidRDefault="002F65B8">
      <w:pPr>
        <w:spacing w:before="240" w:after="240" w:line="240" w:lineRule="auto"/>
        <w:ind w:left="860" w:right="960"/>
        <w:jc w:val="both"/>
        <w:rPr>
          <w:rFonts w:ascii="Times New Roman" w:eastAsia="Times New Roman" w:hAnsi="Times New Roman" w:cs="Times New Roman"/>
          <w:sz w:val="23"/>
          <w:szCs w:val="23"/>
        </w:rPr>
      </w:pPr>
    </w:p>
    <w:p w:rsidR="002F65B8" w:rsidRDefault="002F65B8">
      <w:pPr>
        <w:spacing w:before="240" w:after="240" w:line="240" w:lineRule="auto"/>
        <w:ind w:left="860" w:right="960"/>
        <w:jc w:val="both"/>
        <w:rPr>
          <w:rFonts w:ascii="Times New Roman" w:eastAsia="Times New Roman" w:hAnsi="Times New Roman" w:cs="Times New Roman"/>
          <w:sz w:val="23"/>
          <w:szCs w:val="23"/>
        </w:rPr>
      </w:pPr>
    </w:p>
    <w:p w:rsidR="002F65B8" w:rsidRDefault="002F65B8">
      <w:pPr>
        <w:spacing w:before="240" w:after="240" w:line="240" w:lineRule="auto"/>
        <w:ind w:left="860" w:right="960"/>
        <w:jc w:val="both"/>
        <w:rPr>
          <w:rFonts w:ascii="Times New Roman" w:eastAsia="Times New Roman" w:hAnsi="Times New Roman" w:cs="Times New Roman"/>
          <w:sz w:val="23"/>
          <w:szCs w:val="23"/>
        </w:rPr>
      </w:pPr>
    </w:p>
    <w:p w:rsidR="002F65B8" w:rsidRDefault="000424E9">
      <w:pPr>
        <w:spacing w:before="240" w:after="240" w:line="240" w:lineRule="auto"/>
        <w:ind w:left="860" w:right="9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rsidR="002F65B8" w:rsidRDefault="000424E9">
      <w:pPr>
        <w:spacing w:before="240" w:after="240" w:line="240" w:lineRule="auto"/>
        <w:ind w:left="860" w:right="960"/>
        <w:jc w:val="both"/>
        <w:rPr>
          <w:rFonts w:ascii="Times New Roman" w:eastAsia="Times New Roman" w:hAnsi="Times New Roman" w:cs="Times New Roman"/>
          <w:b/>
          <w:sz w:val="23"/>
          <w:szCs w:val="23"/>
          <w:u w:val="single"/>
        </w:rPr>
      </w:pPr>
      <w:r>
        <w:rPr>
          <w:rFonts w:ascii="Times New Roman" w:eastAsia="Times New Roman" w:hAnsi="Times New Roman" w:cs="Times New Roman"/>
          <w:b/>
          <w:sz w:val="23"/>
          <w:szCs w:val="23"/>
        </w:rPr>
        <w:t>c</w:t>
      </w:r>
      <w:r>
        <w:rPr>
          <w:rFonts w:ascii="Times New Roman" w:eastAsia="Times New Roman" w:hAnsi="Times New Roman" w:cs="Times New Roman"/>
          <w:b/>
          <w:sz w:val="24"/>
          <w:szCs w:val="24"/>
        </w:rPr>
        <w:t>)</w:t>
      </w:r>
      <w:r>
        <w:rPr>
          <w:rFonts w:ascii="Times New Roman" w:eastAsia="Times New Roman" w:hAnsi="Times New Roman" w:cs="Times New Roman"/>
          <w:sz w:val="23"/>
          <w:szCs w:val="23"/>
        </w:rPr>
        <w:t xml:space="preserve"> En las zonas definidas como de especial interés arqueológico, histórico o cultural, siempre y cuando se cuente con la autorización de la autoridad competente. </w:t>
      </w:r>
      <w:r>
        <w:rPr>
          <w:rFonts w:ascii="Times New Roman" w:eastAsia="Times New Roman" w:hAnsi="Times New Roman" w:cs="Times New Roman"/>
          <w:b/>
          <w:sz w:val="23"/>
          <w:szCs w:val="23"/>
          <w:u w:val="single"/>
        </w:rPr>
        <w:t xml:space="preserve">El Paisaje Cultural Cafetero, se entiende como zona excluida de megaminería en los términos del </w:t>
      </w:r>
      <w:r>
        <w:rPr>
          <w:rFonts w:ascii="Times New Roman" w:eastAsia="Times New Roman" w:hAnsi="Times New Roman" w:cs="Times New Roman"/>
          <w:b/>
          <w:sz w:val="23"/>
          <w:szCs w:val="23"/>
          <w:u w:val="single"/>
        </w:rPr>
        <w:t xml:space="preserve">artículo anterior. </w:t>
      </w:r>
    </w:p>
    <w:p w:rsidR="002F65B8" w:rsidRDefault="000424E9">
      <w:pPr>
        <w:spacing w:before="240" w:after="240" w:line="240" w:lineRule="auto"/>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 xml:space="preserve">Artículo 5. Régimen de transición. </w:t>
      </w:r>
      <w:r>
        <w:rPr>
          <w:rFonts w:ascii="Times New Roman" w:eastAsia="Times New Roman" w:hAnsi="Times New Roman" w:cs="Times New Roman"/>
          <w:sz w:val="23"/>
          <w:szCs w:val="23"/>
        </w:rPr>
        <w:t>La prohibición descrita en los artículos precedentes, en ningún caso afectará los derechos adquiridos respecto de licencias o contratos de concesión en etapa de explotación. Tanto la renovación de dich</w:t>
      </w:r>
      <w:r>
        <w:rPr>
          <w:rFonts w:ascii="Times New Roman" w:eastAsia="Times New Roman" w:hAnsi="Times New Roman" w:cs="Times New Roman"/>
          <w:sz w:val="23"/>
          <w:szCs w:val="23"/>
        </w:rPr>
        <w:t>as licencias, como la autorización para exploración y explotación de minería e hidrocarburos, quedan prohibidas en el Paisaje Cultural Cafetero, tras la vigencia de la presente ley. No se entenderán como derechos adquiridos, ni podrán entrar a este régimen</w:t>
      </w:r>
      <w:r>
        <w:rPr>
          <w:rFonts w:ascii="Times New Roman" w:eastAsia="Times New Roman" w:hAnsi="Times New Roman" w:cs="Times New Roman"/>
          <w:sz w:val="23"/>
          <w:szCs w:val="23"/>
        </w:rPr>
        <w:t xml:space="preserve"> de transición, aquellas licencias o contratos de concesión que se encuentren en etapa de exploración. </w:t>
      </w:r>
    </w:p>
    <w:p w:rsidR="002F65B8" w:rsidRDefault="002F65B8">
      <w:pPr>
        <w:spacing w:line="240" w:lineRule="auto"/>
        <w:rPr>
          <w:rFonts w:ascii="Times New Roman" w:eastAsia="Times New Roman" w:hAnsi="Times New Roman" w:cs="Times New Roman"/>
          <w:sz w:val="23"/>
          <w:szCs w:val="23"/>
        </w:rPr>
      </w:pPr>
    </w:p>
    <w:p w:rsidR="002F65B8" w:rsidRDefault="000424E9">
      <w:pPr>
        <w:spacing w:line="240" w:lineRule="auto"/>
        <w:jc w:val="both"/>
        <w:rPr>
          <w:rFonts w:ascii="Times New Roman" w:eastAsia="Times New Roman" w:hAnsi="Times New Roman" w:cs="Times New Roman"/>
          <w:sz w:val="23"/>
          <w:szCs w:val="23"/>
        </w:rPr>
      </w:pPr>
      <w:r>
        <w:rPr>
          <w:rFonts w:ascii="Times New Roman" w:eastAsia="Times New Roman" w:hAnsi="Times New Roman" w:cs="Times New Roman"/>
          <w:b/>
          <w:sz w:val="23"/>
          <w:szCs w:val="23"/>
        </w:rPr>
        <w:t>Artículo 6. Vigencia y derogaciones.</w:t>
      </w:r>
      <w:r>
        <w:rPr>
          <w:rFonts w:ascii="Times New Roman" w:eastAsia="Times New Roman" w:hAnsi="Times New Roman" w:cs="Times New Roman"/>
          <w:sz w:val="23"/>
          <w:szCs w:val="23"/>
        </w:rPr>
        <w:t xml:space="preserve"> La presente ley rige a partir de su promulgación y deroga todas las disposiciones legales o reglamentarias que le </w:t>
      </w:r>
      <w:r>
        <w:rPr>
          <w:rFonts w:ascii="Times New Roman" w:eastAsia="Times New Roman" w:hAnsi="Times New Roman" w:cs="Times New Roman"/>
          <w:sz w:val="23"/>
          <w:szCs w:val="23"/>
        </w:rPr>
        <w:t>sean contrarias.</w:t>
      </w:r>
    </w:p>
    <w:p w:rsidR="002F65B8" w:rsidRDefault="002F65B8">
      <w:pPr>
        <w:spacing w:line="240" w:lineRule="auto"/>
        <w:rPr>
          <w:rFonts w:ascii="Times New Roman" w:eastAsia="Times New Roman" w:hAnsi="Times New Roman" w:cs="Times New Roman"/>
          <w:b/>
          <w:sz w:val="24"/>
          <w:szCs w:val="24"/>
        </w:rPr>
      </w:pPr>
    </w:p>
    <w:p w:rsidR="002F65B8" w:rsidRDefault="002F65B8">
      <w:pPr>
        <w:spacing w:line="240" w:lineRule="auto"/>
        <w:rPr>
          <w:rFonts w:ascii="Times New Roman" w:eastAsia="Times New Roman" w:hAnsi="Times New Roman" w:cs="Times New Roman"/>
          <w:b/>
          <w:sz w:val="24"/>
          <w:szCs w:val="24"/>
        </w:rPr>
      </w:pPr>
    </w:p>
    <w:p w:rsidR="002F65B8" w:rsidRDefault="002F65B8">
      <w:pPr>
        <w:spacing w:line="240" w:lineRule="auto"/>
        <w:jc w:val="both"/>
        <w:rPr>
          <w:rFonts w:ascii="Times New Roman" w:eastAsia="Times New Roman" w:hAnsi="Times New Roman" w:cs="Times New Roman"/>
          <w:sz w:val="24"/>
          <w:szCs w:val="24"/>
        </w:rPr>
      </w:pPr>
    </w:p>
    <w:p w:rsidR="002F65B8" w:rsidRDefault="000424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las y los honorables congresistas,</w:t>
      </w:r>
    </w:p>
    <w:p w:rsidR="002F65B8" w:rsidRDefault="002F65B8">
      <w:pPr>
        <w:spacing w:line="240" w:lineRule="auto"/>
        <w:jc w:val="both"/>
        <w:rPr>
          <w:rFonts w:ascii="Times New Roman" w:eastAsia="Times New Roman" w:hAnsi="Times New Roman" w:cs="Times New Roman"/>
          <w:sz w:val="24"/>
          <w:szCs w:val="24"/>
        </w:rPr>
      </w:pPr>
    </w:p>
    <w:p w:rsidR="002F65B8" w:rsidRDefault="002F65B8">
      <w:pPr>
        <w:spacing w:line="240" w:lineRule="auto"/>
        <w:jc w:val="both"/>
        <w:rPr>
          <w:rFonts w:ascii="Times New Roman" w:eastAsia="Times New Roman" w:hAnsi="Times New Roman" w:cs="Times New Roman"/>
          <w:sz w:val="24"/>
          <w:szCs w:val="24"/>
        </w:rPr>
      </w:pPr>
    </w:p>
    <w:p w:rsidR="002F65B8" w:rsidRDefault="002F65B8">
      <w:pPr>
        <w:pStyle w:val="Ttulo1"/>
        <w:keepNext w:val="0"/>
        <w:keepLines w:val="0"/>
        <w:widowControl w:val="0"/>
        <w:pBdr>
          <w:top w:val="none" w:sz="0" w:space="0" w:color="000000"/>
          <w:left w:val="none" w:sz="0" w:space="0" w:color="000000"/>
          <w:bottom w:val="none" w:sz="0" w:space="0" w:color="000000"/>
          <w:right w:val="none" w:sz="0" w:space="0" w:color="000000"/>
          <w:between w:val="none" w:sz="0" w:space="0" w:color="000000"/>
        </w:pBdr>
        <w:spacing w:before="80" w:after="80" w:line="240" w:lineRule="auto"/>
        <w:ind w:right="60"/>
        <w:rPr>
          <w:rFonts w:ascii="Times New Roman" w:eastAsia="Times New Roman" w:hAnsi="Times New Roman" w:cs="Times New Roman"/>
          <w:sz w:val="24"/>
          <w:szCs w:val="24"/>
          <w:u w:val="single"/>
        </w:rPr>
      </w:pPr>
      <w:bookmarkStart w:id="2" w:name="_tw5bkx2r8rpi" w:colFirst="0" w:colLast="0"/>
      <w:bookmarkEnd w:id="2"/>
    </w:p>
    <w:tbl>
      <w:tblPr>
        <w:tblStyle w:val="a0"/>
        <w:tblW w:w="906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0"/>
        <w:gridCol w:w="4620"/>
      </w:tblGrid>
      <w:tr w:rsidR="002F65B8">
        <w:trPr>
          <w:trHeight w:val="2504"/>
        </w:trPr>
        <w:tc>
          <w:tcPr>
            <w:tcW w:w="4440" w:type="dxa"/>
          </w:tcPr>
          <w:p w:rsidR="002F65B8" w:rsidRDefault="002F65B8">
            <w:pPr>
              <w:spacing w:line="240" w:lineRule="auto"/>
              <w:rPr>
                <w:rFonts w:ascii="Times New Roman" w:eastAsia="Times New Roman" w:hAnsi="Times New Roman" w:cs="Times New Roman"/>
                <w:sz w:val="24"/>
                <w:szCs w:val="24"/>
              </w:rPr>
            </w:pPr>
          </w:p>
          <w:p w:rsidR="002F65B8" w:rsidRDefault="002F65B8">
            <w:pPr>
              <w:spacing w:line="240" w:lineRule="auto"/>
              <w:rPr>
                <w:rFonts w:ascii="Times New Roman" w:eastAsia="Times New Roman" w:hAnsi="Times New Roman" w:cs="Times New Roman"/>
                <w:sz w:val="24"/>
                <w:szCs w:val="24"/>
              </w:rPr>
            </w:pPr>
          </w:p>
          <w:p w:rsidR="002F65B8" w:rsidRDefault="002F65B8">
            <w:pPr>
              <w:spacing w:line="240" w:lineRule="auto"/>
              <w:rPr>
                <w:rFonts w:ascii="Times New Roman" w:eastAsia="Times New Roman" w:hAnsi="Times New Roman" w:cs="Times New Roman"/>
                <w:sz w:val="24"/>
                <w:szCs w:val="24"/>
              </w:rPr>
            </w:pPr>
          </w:p>
          <w:p w:rsidR="002F65B8" w:rsidRDefault="002F65B8">
            <w:pPr>
              <w:spacing w:line="240" w:lineRule="auto"/>
              <w:rPr>
                <w:rFonts w:ascii="Times New Roman" w:eastAsia="Times New Roman" w:hAnsi="Times New Roman" w:cs="Times New Roman"/>
                <w:sz w:val="24"/>
                <w:szCs w:val="24"/>
              </w:rPr>
            </w:pPr>
          </w:p>
          <w:p w:rsidR="002F65B8" w:rsidRDefault="002F65B8">
            <w:pPr>
              <w:spacing w:line="240" w:lineRule="auto"/>
              <w:rPr>
                <w:rFonts w:ascii="Times New Roman" w:eastAsia="Times New Roman" w:hAnsi="Times New Roman" w:cs="Times New Roman"/>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ALEJANDRO GARCÍA RÍOS </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Risaralda</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Partido Alianza Verde </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Risaralda</w:t>
            </w:r>
          </w:p>
          <w:p w:rsidR="002F65B8" w:rsidRDefault="002F65B8">
            <w:pPr>
              <w:spacing w:line="240" w:lineRule="auto"/>
              <w:jc w:val="center"/>
              <w:rPr>
                <w:rFonts w:ascii="Times New Roman" w:eastAsia="Times New Roman" w:hAnsi="Times New Roman" w:cs="Times New Roman"/>
                <w:sz w:val="24"/>
                <w:szCs w:val="24"/>
              </w:rPr>
            </w:pPr>
          </w:p>
        </w:tc>
        <w:tc>
          <w:tcPr>
            <w:tcW w:w="4620" w:type="dxa"/>
          </w:tcPr>
          <w:p w:rsidR="002F65B8" w:rsidRDefault="002F65B8">
            <w:pPr>
              <w:spacing w:line="240" w:lineRule="auto"/>
              <w:jc w:val="center"/>
              <w:rPr>
                <w:rFonts w:ascii="Times New Roman" w:eastAsia="Times New Roman" w:hAnsi="Times New Roman" w:cs="Times New Roman"/>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PIEDAD CORREAL RUBIANO</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Quindío</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Partido Liberal </w:t>
            </w: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Departamento de Quindío</w:t>
            </w:r>
          </w:p>
        </w:tc>
      </w:tr>
      <w:tr w:rsidR="002F65B8">
        <w:trPr>
          <w:trHeight w:val="571"/>
        </w:trPr>
        <w:tc>
          <w:tcPr>
            <w:tcW w:w="4440" w:type="dxa"/>
          </w:tcPr>
          <w:p w:rsidR="002F65B8" w:rsidRDefault="002F65B8">
            <w:pPr>
              <w:spacing w:line="240" w:lineRule="auto"/>
              <w:rPr>
                <w:rFonts w:ascii="Times New Roman" w:eastAsia="Times New Roman" w:hAnsi="Times New Roman" w:cs="Times New Roman"/>
                <w:b/>
                <w:sz w:val="24"/>
                <w:szCs w:val="24"/>
              </w:rPr>
            </w:pP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2809875" cy="10541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809875" cy="1054100"/>
                          </a:xfrm>
                          <a:prstGeom prst="rect">
                            <a:avLst/>
                          </a:prstGeom>
                          <a:ln/>
                        </pic:spPr>
                      </pic:pic>
                    </a:graphicData>
                  </a:graphic>
                </wp:inline>
              </w:drawing>
            </w: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CAROLINA GIRALDO BOTERO</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Partido Alianza Verde </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Risaralda</w:t>
            </w:r>
          </w:p>
        </w:tc>
        <w:tc>
          <w:tcPr>
            <w:tcW w:w="4620" w:type="dxa"/>
          </w:tcPr>
          <w:p w:rsidR="002F65B8" w:rsidRDefault="002F65B8">
            <w:pPr>
              <w:spacing w:line="240" w:lineRule="auto"/>
              <w:rPr>
                <w:rFonts w:ascii="Times New Roman" w:eastAsia="Times New Roman" w:hAnsi="Times New Roman" w:cs="Times New Roman"/>
                <w:b/>
                <w:sz w:val="24"/>
                <w:szCs w:val="24"/>
              </w:rPr>
            </w:pP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2924175" cy="2794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924175" cy="279400"/>
                          </a:xfrm>
                          <a:prstGeom prst="rect">
                            <a:avLst/>
                          </a:prstGeom>
                          <a:ln/>
                        </pic:spPr>
                      </pic:pic>
                    </a:graphicData>
                  </a:graphic>
                </wp:inline>
              </w:drawing>
            </w: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JOHN EDGAR PEREZ ROJAS</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Camara</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Partido Cambio Radical</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del Quindío</w:t>
            </w: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FABIÁN DÍAZ PLATA </w:t>
            </w:r>
          </w:p>
          <w:p w:rsidR="002F65B8" w:rsidRDefault="000424E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Senador de la República </w:t>
            </w:r>
          </w:p>
          <w:p w:rsidR="002F65B8" w:rsidRDefault="000424E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Partido Alianza Verde </w:t>
            </w: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2F65B8">
            <w:pPr>
              <w:spacing w:line="240" w:lineRule="auto"/>
              <w:jc w:val="center"/>
              <w:rPr>
                <w:rFonts w:ascii="Times New Roman" w:eastAsia="Times New Roman" w:hAnsi="Times New Roman" w:cs="Times New Roman"/>
                <w:b/>
                <w:sz w:val="24"/>
                <w:szCs w:val="24"/>
              </w:rPr>
            </w:pPr>
          </w:p>
          <w:p w:rsidR="002F65B8" w:rsidRDefault="000424E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INTI RAÙL ASPRILLA REYES</w:t>
            </w:r>
          </w:p>
          <w:p w:rsidR="002F65B8" w:rsidRDefault="000424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Senador de la República</w:t>
            </w:r>
          </w:p>
          <w:p w:rsidR="002F65B8" w:rsidRDefault="000424E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Partido Alianza Verde</w:t>
            </w:r>
          </w:p>
        </w:tc>
      </w:tr>
      <w:tr w:rsidR="002F65B8">
        <w:trPr>
          <w:trHeight w:val="571"/>
        </w:trPr>
        <w:tc>
          <w:tcPr>
            <w:tcW w:w="4440" w:type="dxa"/>
          </w:tcPr>
          <w:p w:rsidR="002F65B8" w:rsidRDefault="000424E9">
            <w:pPr>
              <w:spacing w:line="240" w:lineRule="auto"/>
              <w:ind w:left="-20" w:right="1372"/>
              <w:rPr>
                <w:rFonts w:ascii="Times New Roman" w:eastAsia="Times New Roman" w:hAnsi="Times New Roman" w:cs="Times New Roman"/>
                <w:sz w:val="24"/>
                <w:szCs w:val="24"/>
              </w:rPr>
            </w:pPr>
            <w:r>
              <w:rPr>
                <w:noProof/>
              </w:rPr>
              <w:drawing>
                <wp:anchor distT="114300" distB="114300" distL="114300" distR="114300" simplePos="0" relativeHeight="251659264" behindDoc="1" locked="0" layoutInCell="1" hidden="0" allowOverlap="1">
                  <wp:simplePos x="0" y="0"/>
                  <wp:positionH relativeFrom="column">
                    <wp:posOffset>104776</wp:posOffset>
                  </wp:positionH>
                  <wp:positionV relativeFrom="paragraph">
                    <wp:posOffset>192212</wp:posOffset>
                  </wp:positionV>
                  <wp:extent cx="2686031" cy="1522884"/>
                  <wp:effectExtent l="0" t="0" r="0" b="0"/>
                  <wp:wrapNone/>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686031" cy="1522884"/>
                          </a:xfrm>
                          <a:prstGeom prst="rect">
                            <a:avLst/>
                          </a:prstGeom>
                          <a:ln/>
                        </pic:spPr>
                      </pic:pic>
                    </a:graphicData>
                  </a:graphic>
                </wp:anchor>
              </w:drawing>
            </w: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0424E9">
            <w:pPr>
              <w:spacing w:line="240" w:lineRule="auto"/>
              <w:ind w:left="-20" w:right="-95"/>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CARLOS EDWARD OSORIO AGUIAR</w:t>
            </w:r>
          </w:p>
          <w:p w:rsidR="002F65B8" w:rsidRDefault="000424E9">
            <w:pPr>
              <w:spacing w:line="240" w:lineRule="auto"/>
              <w:ind w:left="-20"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Tolima</w:t>
            </w:r>
          </w:p>
          <w:p w:rsidR="002F65B8" w:rsidRDefault="000424E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Partido Centro Democrático</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Tolima</w:t>
            </w:r>
          </w:p>
        </w:tc>
        <w:tc>
          <w:tcPr>
            <w:tcW w:w="4620" w:type="dxa"/>
          </w:tcPr>
          <w:p w:rsidR="002F65B8" w:rsidRDefault="002F65B8">
            <w:pPr>
              <w:spacing w:line="240" w:lineRule="auto"/>
              <w:rPr>
                <w:rFonts w:ascii="Times New Roman" w:eastAsia="Times New Roman" w:hAnsi="Times New Roman" w:cs="Times New Roman"/>
                <w:b/>
                <w:sz w:val="24"/>
                <w:szCs w:val="24"/>
              </w:rPr>
            </w:pP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1947863" cy="1091311"/>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947863" cy="1091311"/>
                          </a:xfrm>
                          <a:prstGeom prst="rect">
                            <a:avLst/>
                          </a:prstGeom>
                          <a:ln/>
                        </pic:spPr>
                      </pic:pic>
                    </a:graphicData>
                  </a:graphic>
                </wp:inline>
              </w:drawing>
            </w:r>
          </w:p>
          <w:p w:rsidR="002F65B8" w:rsidRDefault="000424E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Juan Sebastián Gómez Gonzáles</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Representante a la Cámara por Caldas</w:t>
            </w:r>
          </w:p>
          <w:p w:rsidR="002F65B8" w:rsidRDefault="000424E9">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Nuevo Liberalismo</w:t>
            </w: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rPr>
                <w:rFonts w:ascii="Times New Roman" w:eastAsia="Times New Roman" w:hAnsi="Times New Roman" w:cs="Times New Roman"/>
                <w:b/>
                <w:sz w:val="24"/>
                <w:szCs w:val="24"/>
              </w:rPr>
            </w:pP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rPr>
                <w:rFonts w:ascii="Times New Roman" w:eastAsia="Times New Roman" w:hAnsi="Times New Roman" w:cs="Times New Roman"/>
                <w:b/>
                <w:sz w:val="24"/>
                <w:szCs w:val="24"/>
              </w:rPr>
            </w:pP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rPr>
                <w:rFonts w:ascii="Times New Roman" w:eastAsia="Times New Roman" w:hAnsi="Times New Roman" w:cs="Times New Roman"/>
                <w:b/>
                <w:sz w:val="24"/>
                <w:szCs w:val="24"/>
              </w:rPr>
            </w:pP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rPr>
                <w:rFonts w:ascii="Times New Roman" w:eastAsia="Times New Roman" w:hAnsi="Times New Roman" w:cs="Times New Roman"/>
                <w:b/>
                <w:sz w:val="24"/>
                <w:szCs w:val="24"/>
              </w:rPr>
            </w:pPr>
          </w:p>
        </w:tc>
      </w:tr>
      <w:tr w:rsidR="002F65B8">
        <w:trPr>
          <w:trHeight w:val="571"/>
        </w:trPr>
        <w:tc>
          <w:tcPr>
            <w:tcW w:w="4440" w:type="dxa"/>
          </w:tcPr>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p w:rsidR="002F65B8" w:rsidRDefault="002F65B8">
            <w:pPr>
              <w:spacing w:line="240" w:lineRule="auto"/>
              <w:ind w:left="-20" w:right="1372"/>
              <w:rPr>
                <w:rFonts w:ascii="Times New Roman" w:eastAsia="Times New Roman" w:hAnsi="Times New Roman" w:cs="Times New Roman"/>
                <w:sz w:val="24"/>
                <w:szCs w:val="24"/>
              </w:rPr>
            </w:pPr>
          </w:p>
        </w:tc>
        <w:tc>
          <w:tcPr>
            <w:tcW w:w="4620" w:type="dxa"/>
          </w:tcPr>
          <w:p w:rsidR="002F65B8" w:rsidRDefault="002F65B8">
            <w:pPr>
              <w:spacing w:line="240" w:lineRule="auto"/>
              <w:rPr>
                <w:rFonts w:ascii="Times New Roman" w:eastAsia="Times New Roman" w:hAnsi="Times New Roman" w:cs="Times New Roman"/>
                <w:b/>
                <w:sz w:val="24"/>
                <w:szCs w:val="24"/>
              </w:rPr>
            </w:pPr>
          </w:p>
        </w:tc>
      </w:tr>
    </w:tbl>
    <w:p w:rsidR="002F65B8" w:rsidRDefault="000424E9">
      <w:pPr>
        <w:pStyle w:val="Ttulo1"/>
        <w:keepNext w:val="0"/>
        <w:keepLines w:val="0"/>
        <w:widowControl w:val="0"/>
        <w:tabs>
          <w:tab w:val="left" w:pos="4927"/>
        </w:tabs>
        <w:spacing w:before="231" w:after="0" w:line="362" w:lineRule="auto"/>
        <w:ind w:right="548"/>
        <w:rPr>
          <w:rFonts w:ascii="Times New Roman" w:eastAsia="Times New Roman" w:hAnsi="Times New Roman" w:cs="Times New Roman"/>
          <w:b/>
          <w:sz w:val="24"/>
          <w:szCs w:val="24"/>
        </w:rPr>
      </w:pPr>
      <w:bookmarkStart w:id="3" w:name="_wbdltiot3vm2" w:colFirst="0" w:colLast="0"/>
      <w:bookmarkEnd w:id="3"/>
      <w:r>
        <w:br w:type="page"/>
      </w:r>
    </w:p>
    <w:p w:rsidR="002F65B8" w:rsidRDefault="000424E9">
      <w:pPr>
        <w:pStyle w:val="Ttulo1"/>
        <w:keepNext w:val="0"/>
        <w:keepLines w:val="0"/>
        <w:widowControl w:val="0"/>
        <w:tabs>
          <w:tab w:val="left" w:pos="4927"/>
        </w:tabs>
        <w:spacing w:before="231" w:after="0" w:line="362" w:lineRule="auto"/>
        <w:ind w:right="548"/>
        <w:jc w:val="center"/>
        <w:rPr>
          <w:rFonts w:ascii="Times New Roman" w:eastAsia="Times New Roman" w:hAnsi="Times New Roman" w:cs="Times New Roman"/>
          <w:b/>
          <w:sz w:val="24"/>
          <w:szCs w:val="24"/>
        </w:rPr>
      </w:pPr>
      <w:bookmarkStart w:id="4" w:name="_jdbpru94l09j" w:colFirst="0" w:colLast="0"/>
      <w:bookmarkEnd w:id="4"/>
      <w:r>
        <w:rPr>
          <w:rFonts w:ascii="Times New Roman" w:eastAsia="Times New Roman" w:hAnsi="Times New Roman" w:cs="Times New Roman"/>
          <w:b/>
          <w:sz w:val="24"/>
          <w:szCs w:val="24"/>
        </w:rPr>
        <w:t xml:space="preserve">EXPOSICIÓN DE MOTIVOS DEL PROYECTO DE LEY NÚMERO _________ DEL 2022 </w:t>
      </w:r>
    </w:p>
    <w:p w:rsidR="002F65B8" w:rsidRDefault="000424E9">
      <w:pPr>
        <w:pStyle w:val="Ttulo1"/>
        <w:keepNext w:val="0"/>
        <w:keepLines w:val="0"/>
        <w:widowControl w:val="0"/>
        <w:tabs>
          <w:tab w:val="left" w:pos="4927"/>
        </w:tabs>
        <w:spacing w:before="231" w:after="0" w:line="362" w:lineRule="auto"/>
        <w:ind w:right="548"/>
        <w:jc w:val="center"/>
        <w:rPr>
          <w:rFonts w:ascii="Times New Roman" w:eastAsia="Times New Roman" w:hAnsi="Times New Roman" w:cs="Times New Roman"/>
          <w:b/>
          <w:sz w:val="24"/>
          <w:szCs w:val="24"/>
        </w:rPr>
      </w:pPr>
      <w:bookmarkStart w:id="5" w:name="_pah3yg5yjp51" w:colFirst="0" w:colLast="0"/>
      <w:bookmarkEnd w:id="5"/>
      <w:r>
        <w:rPr>
          <w:rFonts w:ascii="Times New Roman" w:eastAsia="Times New Roman" w:hAnsi="Times New Roman" w:cs="Times New Roman"/>
          <w:b/>
          <w:sz w:val="24"/>
          <w:szCs w:val="24"/>
        </w:rPr>
        <w:t>“Por medio del cual se modifica el Artículo 34 del Código de Minas, Ley 685 del 2001, adicionando el Paisaje Cultural Cafetero como zona excluible de gran minería y se dictan otras dispos</w:t>
      </w:r>
      <w:r>
        <w:rPr>
          <w:rFonts w:ascii="Times New Roman" w:eastAsia="Times New Roman" w:hAnsi="Times New Roman" w:cs="Times New Roman"/>
          <w:b/>
          <w:sz w:val="24"/>
          <w:szCs w:val="24"/>
        </w:rPr>
        <w:t>iciones”</w:t>
      </w:r>
    </w:p>
    <w:p w:rsidR="002F65B8" w:rsidRDefault="002F65B8">
      <w:pPr>
        <w:tabs>
          <w:tab w:val="left" w:pos="4927"/>
        </w:tabs>
        <w:rPr>
          <w:rFonts w:ascii="Times New Roman" w:eastAsia="Times New Roman" w:hAnsi="Times New Roman" w:cs="Times New Roman"/>
        </w:rPr>
      </w:pPr>
    </w:p>
    <w:p w:rsidR="002F65B8" w:rsidRDefault="000424E9">
      <w:pPr>
        <w:widowControl w:val="0"/>
        <w:numPr>
          <w:ilvl w:val="0"/>
          <w:numId w:val="2"/>
        </w:numPr>
        <w:tabs>
          <w:tab w:val="left" w:pos="341"/>
        </w:tabs>
        <w:spacing w:before="192" w:line="240" w:lineRule="auto"/>
        <w:ind w:hanging="241"/>
      </w:pPr>
      <w:r>
        <w:rPr>
          <w:rFonts w:ascii="Times New Roman" w:eastAsia="Times New Roman" w:hAnsi="Times New Roman" w:cs="Times New Roman"/>
          <w:b/>
          <w:sz w:val="24"/>
          <w:szCs w:val="24"/>
        </w:rPr>
        <w:t>OBJETO DEL PROYECTO DE LEY</w:t>
      </w:r>
    </w:p>
    <w:p w:rsidR="002F65B8" w:rsidRDefault="002F65B8">
      <w:pPr>
        <w:widowControl w:val="0"/>
        <w:spacing w:line="360" w:lineRule="auto"/>
        <w:ind w:right="445"/>
        <w:jc w:val="both"/>
        <w:rPr>
          <w:rFonts w:ascii="Times New Roman" w:eastAsia="Times New Roman" w:hAnsi="Times New Roman" w:cs="Times New Roman"/>
          <w:sz w:val="24"/>
          <w:szCs w:val="24"/>
        </w:rPr>
      </w:pPr>
    </w:p>
    <w:p w:rsidR="002F65B8" w:rsidRDefault="000424E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proyecto de ley tiene por objeto modificar el Código de Minas, Ley 685 del 2001 para garantizar la protección y conservación del Paisaje Cultural Cafetero  y su zona amortiguadora como patrimonio de la huma</w:t>
      </w:r>
      <w:r>
        <w:rPr>
          <w:rFonts w:ascii="Times New Roman" w:eastAsia="Times New Roman" w:hAnsi="Times New Roman" w:cs="Times New Roman"/>
          <w:sz w:val="24"/>
          <w:szCs w:val="24"/>
        </w:rPr>
        <w:t xml:space="preserve">nidad. </w:t>
      </w:r>
    </w:p>
    <w:p w:rsidR="002F65B8" w:rsidRDefault="002F65B8">
      <w:pPr>
        <w:widowControl w:val="0"/>
        <w:spacing w:before="201" w:after="200" w:line="360" w:lineRule="auto"/>
        <w:ind w:left="100" w:right="441"/>
        <w:jc w:val="both"/>
        <w:rPr>
          <w:rFonts w:ascii="Times New Roman" w:eastAsia="Times New Roman" w:hAnsi="Times New Roman" w:cs="Times New Roman"/>
          <w:sz w:val="24"/>
          <w:szCs w:val="24"/>
        </w:rPr>
      </w:pPr>
    </w:p>
    <w:p w:rsidR="002F65B8" w:rsidRDefault="000424E9">
      <w:pPr>
        <w:widowControl w:val="0"/>
        <w:spacing w:before="201" w:after="200" w:line="360" w:lineRule="auto"/>
        <w:ind w:left="100" w:right="4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MARCO NORMATIVO</w:t>
      </w:r>
    </w:p>
    <w:p w:rsidR="002F65B8" w:rsidRDefault="000424E9">
      <w:pPr>
        <w:widowControl w:val="0"/>
        <w:spacing w:before="201" w:after="200" w:line="360" w:lineRule="auto"/>
        <w:ind w:right="4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Constitución Política de 1991</w:t>
      </w:r>
    </w:p>
    <w:p w:rsidR="002F65B8" w:rsidRDefault="000424E9">
      <w:pPr>
        <w:widowControl w:val="0"/>
        <w:spacing w:before="201" w:after="200" w:line="360" w:lineRule="auto"/>
        <w:ind w:right="4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Constitución Política en su artículo 8, señala la </w:t>
      </w:r>
      <w:r>
        <w:rPr>
          <w:rFonts w:ascii="Times New Roman" w:eastAsia="Times New Roman" w:hAnsi="Times New Roman" w:cs="Times New Roman"/>
          <w:sz w:val="24"/>
          <w:szCs w:val="24"/>
          <w:u w:val="single"/>
        </w:rPr>
        <w:t>obligación estatal y de las personas de proteger las riquezas culturales y naturales</w:t>
      </w:r>
      <w:r>
        <w:rPr>
          <w:rFonts w:ascii="Times New Roman" w:eastAsia="Times New Roman" w:hAnsi="Times New Roman" w:cs="Times New Roman"/>
          <w:sz w:val="24"/>
          <w:szCs w:val="24"/>
        </w:rPr>
        <w:t xml:space="preserve"> de la Nación. Por otro lado, en el artículo 79 también plantea la obligación al estado de proteger la diversidad e integridad del ambiente de la siguiente manera: </w:t>
      </w:r>
    </w:p>
    <w:p w:rsidR="002F65B8" w:rsidRDefault="000424E9">
      <w:pPr>
        <w:widowControl w:val="0"/>
        <w:spacing w:before="201" w:after="200" w:line="360" w:lineRule="auto"/>
        <w:ind w:left="720" w:right="4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“Artículo 79: Todas las personas tienen derecho a gozar de un </w:t>
      </w:r>
      <w:r>
        <w:rPr>
          <w:rFonts w:ascii="Times New Roman" w:eastAsia="Times New Roman" w:hAnsi="Times New Roman" w:cs="Times New Roman"/>
          <w:sz w:val="24"/>
          <w:szCs w:val="24"/>
          <w:u w:val="single"/>
        </w:rPr>
        <w:t>ambiente sano.</w:t>
      </w:r>
      <w:r>
        <w:rPr>
          <w:rFonts w:ascii="Times New Roman" w:eastAsia="Times New Roman" w:hAnsi="Times New Roman" w:cs="Times New Roman"/>
          <w:sz w:val="24"/>
          <w:szCs w:val="24"/>
        </w:rPr>
        <w:t xml:space="preserve"> La ley garanti</w:t>
      </w:r>
      <w:r>
        <w:rPr>
          <w:rFonts w:ascii="Times New Roman" w:eastAsia="Times New Roman" w:hAnsi="Times New Roman" w:cs="Times New Roman"/>
          <w:sz w:val="24"/>
          <w:szCs w:val="24"/>
        </w:rPr>
        <w:t>zará la participación de la comunidad en las decisiones que puedan afectarlo. Es deber del Estado proteger la diversidad e integridad del ambiente, conservar las áreas de especial importancia ecológica y fomentar la educación para el logro de estos fines.”</w:t>
      </w:r>
    </w:p>
    <w:p w:rsidR="002F65B8" w:rsidRDefault="000424E9">
      <w:pPr>
        <w:widowControl w:val="0"/>
        <w:spacing w:before="201" w:after="200" w:line="360" w:lineRule="auto"/>
        <w:ind w:right="4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igual forma, el artículo 80 de la Constitución indica que el Estado Colombiano “planificará el manejo y aprovechamiento de los recursos naturales, para </w:t>
      </w:r>
      <w:r>
        <w:rPr>
          <w:rFonts w:ascii="Times New Roman" w:eastAsia="Times New Roman" w:hAnsi="Times New Roman" w:cs="Times New Roman"/>
          <w:sz w:val="24"/>
          <w:szCs w:val="24"/>
          <w:u w:val="single"/>
        </w:rPr>
        <w:t>garantizar su desarrollo sostenible, su conservación, restauración</w:t>
      </w:r>
      <w:r>
        <w:rPr>
          <w:rFonts w:ascii="Times New Roman" w:eastAsia="Times New Roman" w:hAnsi="Times New Roman" w:cs="Times New Roman"/>
          <w:sz w:val="24"/>
          <w:szCs w:val="24"/>
        </w:rPr>
        <w:t xml:space="preserve"> o sustitución. Además, deberá prev</w:t>
      </w:r>
      <w:r>
        <w:rPr>
          <w:rFonts w:ascii="Times New Roman" w:eastAsia="Times New Roman" w:hAnsi="Times New Roman" w:cs="Times New Roman"/>
          <w:sz w:val="24"/>
          <w:szCs w:val="24"/>
        </w:rPr>
        <w:t>enir y controlar los factores de deterioro ambiental, imponer las sanciones legales y exigir la reparación de los daños causados.”</w:t>
      </w:r>
    </w:p>
    <w:p w:rsidR="002F65B8" w:rsidRDefault="000424E9">
      <w:pPr>
        <w:widowControl w:val="0"/>
        <w:spacing w:before="201" w:after="200" w:line="360" w:lineRule="auto"/>
        <w:ind w:right="4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queda manifiesto, proteger el medio ambiente, la sostenibilidad y la conservación de un territorio desde los aspectos cu</w:t>
      </w:r>
      <w:r>
        <w:rPr>
          <w:rFonts w:ascii="Times New Roman" w:eastAsia="Times New Roman" w:hAnsi="Times New Roman" w:cs="Times New Roman"/>
          <w:sz w:val="24"/>
          <w:szCs w:val="24"/>
        </w:rPr>
        <w:t xml:space="preserve">lturales, patrimoniales, ambientales, sociales, arqueológicos, entre otros, es una obligación constitucional. </w:t>
      </w:r>
    </w:p>
    <w:p w:rsidR="002F65B8" w:rsidRDefault="000424E9">
      <w:pPr>
        <w:widowControl w:val="0"/>
        <w:spacing w:before="201" w:after="200" w:line="360" w:lineRule="auto"/>
        <w:ind w:right="4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Declaración Patrimonio Mundial - UNESCO</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2011, la Conferencia General de la Organización de las Naciones Unidas para la Educación, la Cienci</w:t>
      </w:r>
      <w:r>
        <w:rPr>
          <w:rFonts w:ascii="Times New Roman" w:eastAsia="Times New Roman" w:hAnsi="Times New Roman" w:cs="Times New Roman"/>
          <w:sz w:val="24"/>
          <w:szCs w:val="24"/>
        </w:rPr>
        <w:t>a y la Cultura - UNESCO, reconoció e inscribió al Paisaje Cultural Cafetero de Colombia (PCCC) en la Lista de Patrimonio Mundial, mediante la Decisión 35COM 8B.43; ello significó un logro para el país como reconocimiento cultural, arqueológico e histórico,</w:t>
      </w:r>
      <w:r>
        <w:rPr>
          <w:rFonts w:ascii="Times New Roman" w:eastAsia="Times New Roman" w:hAnsi="Times New Roman" w:cs="Times New Roman"/>
          <w:sz w:val="24"/>
          <w:szCs w:val="24"/>
        </w:rPr>
        <w:t xml:space="preserve"> pues “los paisajes culturales son seleccionados sobre la base de su </w:t>
      </w:r>
      <w:r>
        <w:rPr>
          <w:rFonts w:ascii="Times New Roman" w:eastAsia="Times New Roman" w:hAnsi="Times New Roman" w:cs="Times New Roman"/>
          <w:sz w:val="24"/>
          <w:szCs w:val="24"/>
          <w:u w:val="single"/>
        </w:rPr>
        <w:t>Valor Universal Excepcional</w:t>
      </w:r>
      <w:r>
        <w:rPr>
          <w:rFonts w:ascii="Times New Roman" w:eastAsia="Times New Roman" w:hAnsi="Times New Roman" w:cs="Times New Roman"/>
          <w:sz w:val="24"/>
          <w:szCs w:val="24"/>
        </w:rPr>
        <w:t>, su representatividad y capacidad para ilustrar los elementos culturales esenciales y distintivos de dichas regiones”, eso es lo que significa el Paisaje Cultu</w:t>
      </w:r>
      <w:r>
        <w:rPr>
          <w:rFonts w:ascii="Times New Roman" w:eastAsia="Times New Roman" w:hAnsi="Times New Roman" w:cs="Times New Roman"/>
          <w:sz w:val="24"/>
          <w:szCs w:val="24"/>
        </w:rPr>
        <w:t xml:space="preserve">ral Cafetero Colombiano,  trasciende las fronteras nacionales, y es un valuarte de la humanidad a escala global. Lo anterior, promueve y exige la articulación de diferentes agentes nacionales e internacionales en pro a la protección y cuidado especial, al </w:t>
      </w:r>
      <w:r>
        <w:rPr>
          <w:rFonts w:ascii="Times New Roman" w:eastAsia="Times New Roman" w:hAnsi="Times New Roman" w:cs="Times New Roman"/>
          <w:sz w:val="24"/>
          <w:szCs w:val="24"/>
        </w:rPr>
        <w:t>igual que la sostenibilidad del territorio; ya que la pérdida, degradación o desmejoramiento de este patrimonio se interpretará como un empobrecimiento no solo de una nación, sino de la humanidad.</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Tras esto, Colombia quedó comprometida a presentar ante la </w:t>
      </w:r>
      <w:r>
        <w:rPr>
          <w:rFonts w:ascii="Times New Roman" w:eastAsia="Times New Roman" w:hAnsi="Times New Roman" w:cs="Times New Roman"/>
          <w:sz w:val="24"/>
          <w:szCs w:val="24"/>
        </w:rPr>
        <w:t>Conferencia General de la UNESCO, informes sobre acciones legislativas y ejecutivas, como el ajuste en los POT, PBOT, EOT, que hubiere adelantado en pro de la conservación del PCCC. El 7 de octubre de 2011, el Ministerio de Cultura mediante Resolución 2079</w:t>
      </w:r>
      <w:r>
        <w:rPr>
          <w:rFonts w:ascii="Times New Roman" w:eastAsia="Times New Roman" w:hAnsi="Times New Roman" w:cs="Times New Roman"/>
          <w:sz w:val="24"/>
          <w:szCs w:val="24"/>
        </w:rPr>
        <w:t>, crea e implementa el Plan de Manejo del PCC,  y allí inicia el reconocimiento al  Paisaje Cultural Cafetero como Patrimonio Cultural de la Nación. “El plan de manejo del área, ha sido diseñado por los equipos universitarios y el Ministerio de Cultura, pr</w:t>
      </w:r>
      <w:r>
        <w:rPr>
          <w:rFonts w:ascii="Times New Roman" w:eastAsia="Times New Roman" w:hAnsi="Times New Roman" w:cs="Times New Roman"/>
          <w:sz w:val="24"/>
          <w:szCs w:val="24"/>
        </w:rPr>
        <w:t>opone una serie de estrategias y medidas para garantizar la salvaguarda de los valores patrimoniales del paisaje que han configurado un patrimonio que hoy se considera excepcional.”(Saldarriaga, 2009)</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actual plan de manejo tiene 7 ejes estructurales, el</w:t>
      </w:r>
      <w:r>
        <w:rPr>
          <w:rFonts w:ascii="Times New Roman" w:eastAsia="Times New Roman" w:hAnsi="Times New Roman" w:cs="Times New Roman"/>
          <w:sz w:val="24"/>
          <w:szCs w:val="24"/>
        </w:rPr>
        <w:t xml:space="preserve"> que es de nuestro interés es el séptimo que versa sobre “Apoyar la productividad ambientalmente sostenible en el PCC” mediante las siguientes estrategias: </w:t>
      </w:r>
    </w:p>
    <w:p w:rsidR="002F65B8" w:rsidRDefault="002F65B8">
      <w:pPr>
        <w:widowControl w:val="0"/>
        <w:tabs>
          <w:tab w:val="left" w:pos="821"/>
        </w:tabs>
        <w:spacing w:before="139" w:line="360" w:lineRule="auto"/>
        <w:ind w:right="444"/>
        <w:jc w:val="both"/>
        <w:rPr>
          <w:rFonts w:ascii="Times New Roman" w:eastAsia="Times New Roman" w:hAnsi="Times New Roman" w:cs="Times New Roman"/>
          <w:sz w:val="24"/>
          <w:szCs w:val="24"/>
        </w:rPr>
      </w:pPr>
    </w:p>
    <w:p w:rsidR="002F65B8" w:rsidRDefault="000424E9">
      <w:pPr>
        <w:widowControl w:val="0"/>
        <w:tabs>
          <w:tab w:val="left" w:pos="821"/>
        </w:tabs>
        <w:spacing w:before="139" w:line="360"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Imagen 1. Plan de Manejo Actual del PCCC (2022)</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446973" cy="1897592"/>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51919" t="62288" r="1811" b="13454"/>
                    <a:stretch>
                      <a:fillRect/>
                    </a:stretch>
                  </pic:blipFill>
                  <pic:spPr>
                    <a:xfrm>
                      <a:off x="0" y="0"/>
                      <a:ext cx="5446973" cy="1897592"/>
                    </a:xfrm>
                    <a:prstGeom prst="rect">
                      <a:avLst/>
                    </a:prstGeom>
                    <a:ln/>
                  </pic:spPr>
                </pic:pic>
              </a:graphicData>
            </a:graphic>
          </wp:inline>
        </w:drawing>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Página oficial Paisaje Cultural Cafetero</w:t>
      </w:r>
      <w:r>
        <w:rPr>
          <w:rFonts w:ascii="Times New Roman" w:eastAsia="Times New Roman" w:hAnsi="Times New Roman" w:cs="Times New Roman"/>
          <w:sz w:val="24"/>
          <w:szCs w:val="24"/>
        </w:rPr>
        <w:t xml:space="preserve"> (2022)</w:t>
      </w:r>
    </w:p>
    <w:p w:rsidR="002F65B8" w:rsidRDefault="002F65B8">
      <w:pPr>
        <w:widowControl w:val="0"/>
        <w:tabs>
          <w:tab w:val="left" w:pos="821"/>
        </w:tabs>
        <w:spacing w:before="139" w:line="360" w:lineRule="auto"/>
        <w:ind w:right="444"/>
        <w:jc w:val="both"/>
        <w:rPr>
          <w:rFonts w:ascii="Times New Roman" w:eastAsia="Times New Roman" w:hAnsi="Times New Roman" w:cs="Times New Roman"/>
          <w:sz w:val="24"/>
          <w:szCs w:val="24"/>
        </w:rPr>
      </w:pPr>
    </w:p>
    <w:p w:rsidR="002F65B8" w:rsidRDefault="000424E9">
      <w:pPr>
        <w:widowControl w:val="0"/>
        <w:tabs>
          <w:tab w:val="left" w:pos="821"/>
        </w:tabs>
        <w:spacing w:before="139" w:line="360" w:lineRule="auto"/>
        <w:ind w:right="44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Leyes, Decretos y otras regulaciones</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Resolución 2079 de 2011, por la cual se reconoció el PCCC como patrimonio cultural de la Nación, que consiste en un territorio compuesto por zonas de especial interés arqueológico. histórico y cultural.</w:t>
      </w:r>
    </w:p>
    <w:p w:rsidR="002F65B8" w:rsidRDefault="000424E9">
      <w:pPr>
        <w:widowControl w:val="0"/>
        <w:spacing w:before="202" w:line="360" w:lineRule="auto"/>
        <w:ind w:left="100" w:right="4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e</w:t>
      </w:r>
      <w:r>
        <w:rPr>
          <w:rFonts w:ascii="Times New Roman" w:eastAsia="Times New Roman" w:hAnsi="Times New Roman" w:cs="Times New Roman"/>
          <w:sz w:val="24"/>
          <w:szCs w:val="24"/>
        </w:rPr>
        <w:t>l Decreto 1666 de 2016, la Minería se puede clasificar en:</w:t>
      </w:r>
    </w:p>
    <w:p w:rsidR="002F65B8" w:rsidRDefault="002F65B8">
      <w:pPr>
        <w:spacing w:line="240" w:lineRule="auto"/>
        <w:rPr>
          <w:rFonts w:ascii="Times New Roman" w:eastAsia="Times New Roman" w:hAnsi="Times New Roman" w:cs="Times New Roman"/>
          <w:sz w:val="24"/>
          <w:szCs w:val="24"/>
        </w:rPr>
      </w:pPr>
    </w:p>
    <w:tbl>
      <w:tblPr>
        <w:tblStyle w:val="a1"/>
        <w:tblW w:w="921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3705"/>
        <w:gridCol w:w="3795"/>
      </w:tblGrid>
      <w:tr w:rsidR="002F65B8">
        <w:trPr>
          <w:trHeight w:val="440"/>
        </w:trPr>
        <w:tc>
          <w:tcPr>
            <w:tcW w:w="1710" w:type="dxa"/>
            <w:vMerge w:val="restart"/>
            <w:shd w:val="clear" w:color="auto" w:fill="auto"/>
            <w:tcMar>
              <w:top w:w="100" w:type="dxa"/>
              <w:left w:w="100" w:type="dxa"/>
              <w:bottom w:w="100" w:type="dxa"/>
              <w:right w:w="100" w:type="dxa"/>
            </w:tcMar>
          </w:tcPr>
          <w:p w:rsidR="002F65B8" w:rsidRDefault="002F65B8">
            <w:pPr>
              <w:widowControl w:val="0"/>
              <w:spacing w:line="240" w:lineRule="auto"/>
              <w:jc w:val="center"/>
              <w:rPr>
                <w:rFonts w:ascii="Times New Roman" w:eastAsia="Times New Roman" w:hAnsi="Times New Roman" w:cs="Times New Roman"/>
                <w:b/>
                <w:sz w:val="24"/>
                <w:szCs w:val="24"/>
              </w:rPr>
            </w:pPr>
          </w:p>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MINERAL</w:t>
            </w:r>
          </w:p>
        </w:tc>
        <w:tc>
          <w:tcPr>
            <w:tcW w:w="7500" w:type="dxa"/>
            <w:gridSpan w:val="2"/>
            <w:shd w:val="clear" w:color="auto" w:fill="auto"/>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PEQUEÑA</w:t>
            </w:r>
          </w:p>
        </w:tc>
      </w:tr>
      <w:tr w:rsidR="002F65B8">
        <w:trPr>
          <w:trHeight w:val="563"/>
        </w:trPr>
        <w:tc>
          <w:tcPr>
            <w:tcW w:w="1710" w:type="dxa"/>
            <w:vMerge/>
            <w:shd w:val="clear" w:color="auto" w:fill="auto"/>
            <w:tcMar>
              <w:top w:w="100" w:type="dxa"/>
              <w:left w:w="100" w:type="dxa"/>
              <w:bottom w:w="100" w:type="dxa"/>
              <w:right w:w="100" w:type="dxa"/>
            </w:tcMar>
          </w:tcPr>
          <w:p w:rsidR="002F65B8" w:rsidRDefault="002F65B8">
            <w:pPr>
              <w:widowControl w:val="0"/>
              <w:spacing w:line="240" w:lineRule="auto"/>
              <w:rPr>
                <w:rFonts w:ascii="Georgia" w:eastAsia="Georgia" w:hAnsi="Georgia" w:cs="Georgia"/>
                <w:sz w:val="24"/>
                <w:szCs w:val="24"/>
              </w:rPr>
            </w:pPr>
          </w:p>
        </w:tc>
        <w:tc>
          <w:tcPr>
            <w:tcW w:w="3705" w:type="dxa"/>
            <w:shd w:val="clear" w:color="auto" w:fill="auto"/>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Subterránea</w:t>
            </w:r>
          </w:p>
        </w:tc>
        <w:tc>
          <w:tcPr>
            <w:tcW w:w="3795" w:type="dxa"/>
            <w:shd w:val="clear" w:color="auto" w:fill="auto"/>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Cielo Abierto</w:t>
            </w:r>
          </w:p>
        </w:tc>
      </w:tr>
      <w:tr w:rsidR="002F65B8">
        <w:tc>
          <w:tcPr>
            <w:tcW w:w="1710"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Carbón (Ton/año)</w:t>
            </w:r>
          </w:p>
        </w:tc>
        <w:tc>
          <w:tcPr>
            <w:tcW w:w="370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Hasta 60.000</w:t>
            </w:r>
          </w:p>
          <w:p w:rsidR="002F65B8" w:rsidRDefault="002F65B8">
            <w:pPr>
              <w:widowControl w:val="0"/>
              <w:spacing w:line="240" w:lineRule="auto"/>
              <w:rPr>
                <w:rFonts w:ascii="Times New Roman" w:eastAsia="Times New Roman" w:hAnsi="Times New Roman" w:cs="Times New Roman"/>
                <w:sz w:val="24"/>
                <w:szCs w:val="24"/>
              </w:rPr>
            </w:pPr>
          </w:p>
        </w:tc>
        <w:tc>
          <w:tcPr>
            <w:tcW w:w="379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Hasta 45.000</w:t>
            </w:r>
          </w:p>
          <w:p w:rsidR="002F65B8" w:rsidRDefault="002F65B8">
            <w:pPr>
              <w:widowControl w:val="0"/>
              <w:spacing w:line="240" w:lineRule="auto"/>
              <w:rPr>
                <w:rFonts w:ascii="Times New Roman" w:eastAsia="Times New Roman" w:hAnsi="Times New Roman" w:cs="Times New Roman"/>
                <w:sz w:val="24"/>
                <w:szCs w:val="24"/>
              </w:rPr>
            </w:pPr>
          </w:p>
        </w:tc>
      </w:tr>
      <w:tr w:rsidR="002F65B8">
        <w:tc>
          <w:tcPr>
            <w:tcW w:w="1710"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Materiales de construcción (M3/año)</w:t>
            </w:r>
          </w:p>
        </w:tc>
        <w:tc>
          <w:tcPr>
            <w:tcW w:w="370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N/A</w:t>
            </w:r>
          </w:p>
        </w:tc>
        <w:tc>
          <w:tcPr>
            <w:tcW w:w="379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Hasta 30.000</w:t>
            </w:r>
          </w:p>
        </w:tc>
      </w:tr>
      <w:tr w:rsidR="002F65B8">
        <w:tc>
          <w:tcPr>
            <w:tcW w:w="1710"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Metálicos (Ton/año)</w:t>
            </w:r>
          </w:p>
        </w:tc>
        <w:tc>
          <w:tcPr>
            <w:tcW w:w="370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Hasta 25.000</w:t>
            </w:r>
          </w:p>
        </w:tc>
        <w:tc>
          <w:tcPr>
            <w:tcW w:w="379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Hasta 50.000</w:t>
            </w:r>
          </w:p>
        </w:tc>
      </w:tr>
      <w:tr w:rsidR="002F65B8">
        <w:tc>
          <w:tcPr>
            <w:tcW w:w="1710"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NO Metálicos (Ton/año)</w:t>
            </w:r>
          </w:p>
        </w:tc>
        <w:tc>
          <w:tcPr>
            <w:tcW w:w="370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Hasta 20.000</w:t>
            </w:r>
          </w:p>
        </w:tc>
        <w:tc>
          <w:tcPr>
            <w:tcW w:w="379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Hasta 50.000</w:t>
            </w:r>
          </w:p>
        </w:tc>
      </w:tr>
      <w:tr w:rsidR="002F65B8">
        <w:tc>
          <w:tcPr>
            <w:tcW w:w="1710"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Metales Preciosos (oro, plata y platino) (Ton/año) o (M3/año)</w:t>
            </w:r>
          </w:p>
        </w:tc>
        <w:tc>
          <w:tcPr>
            <w:tcW w:w="370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Hasta 15.000 Ton/año</w:t>
            </w:r>
          </w:p>
        </w:tc>
        <w:tc>
          <w:tcPr>
            <w:tcW w:w="379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Hasta 250.000 m3/año</w:t>
            </w:r>
          </w:p>
        </w:tc>
      </w:tr>
      <w:tr w:rsidR="002F65B8">
        <w:tc>
          <w:tcPr>
            <w:tcW w:w="1710"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Piedras preciosas y semipreciosas (Ton/año)</w:t>
            </w:r>
          </w:p>
        </w:tc>
        <w:tc>
          <w:tcPr>
            <w:tcW w:w="370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Hasta 20.000</w:t>
            </w:r>
          </w:p>
        </w:tc>
        <w:tc>
          <w:tcPr>
            <w:tcW w:w="379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N/A</w:t>
            </w:r>
          </w:p>
        </w:tc>
      </w:tr>
    </w:tbl>
    <w:p w:rsidR="002F65B8" w:rsidRDefault="002F65B8">
      <w:pPr>
        <w:widowControl w:val="0"/>
        <w:tabs>
          <w:tab w:val="left" w:pos="821"/>
        </w:tabs>
        <w:spacing w:before="139" w:line="360" w:lineRule="auto"/>
        <w:ind w:right="444"/>
        <w:jc w:val="both"/>
        <w:rPr>
          <w:rFonts w:ascii="Times New Roman" w:eastAsia="Times New Roman" w:hAnsi="Times New Roman" w:cs="Times New Roman"/>
          <w:sz w:val="24"/>
          <w:szCs w:val="24"/>
        </w:rPr>
      </w:pP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El Decreto 2191 de 2003 adoptó </w:t>
      </w:r>
      <w:r>
        <w:rPr>
          <w:rFonts w:ascii="Times New Roman" w:eastAsia="Times New Roman" w:hAnsi="Times New Roman" w:cs="Times New Roman"/>
          <w:color w:val="333333"/>
          <w:sz w:val="24"/>
          <w:szCs w:val="24"/>
          <w:highlight w:val="white"/>
        </w:rPr>
        <w:t>e</w:t>
      </w:r>
      <w:r>
        <w:rPr>
          <w:rFonts w:ascii="Times New Roman" w:eastAsia="Times New Roman" w:hAnsi="Times New Roman" w:cs="Times New Roman"/>
          <w:sz w:val="24"/>
          <w:szCs w:val="24"/>
          <w:highlight w:val="white"/>
        </w:rPr>
        <w:t>l Glosario Técnico Minero, en donde establece las siguientes definiciones que fueron incluidas en el articulado del presente proyecto de ley por su pertinencia:</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Explotación (industria minera):</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Proceso de extracción y proc</w:t>
      </w:r>
      <w:r>
        <w:rPr>
          <w:rFonts w:ascii="Times New Roman" w:eastAsia="Times New Roman" w:hAnsi="Times New Roman" w:cs="Times New Roman"/>
          <w:sz w:val="24"/>
          <w:szCs w:val="24"/>
          <w:highlight w:val="white"/>
        </w:rPr>
        <w:t>esamiento de los minerales, así como la actividad orientada a la preparación y el desarrollo de las áreas que abarca el depósito mineral.</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Es la aplicación de un conjunto de técnicas y normas geológico-mineras y ambientales, para extraer un mineral o dep</w:t>
      </w:r>
      <w:r>
        <w:rPr>
          <w:rFonts w:ascii="Times New Roman" w:eastAsia="Times New Roman" w:hAnsi="Times New Roman" w:cs="Times New Roman"/>
          <w:sz w:val="24"/>
          <w:szCs w:val="24"/>
          <w:highlight w:val="white"/>
        </w:rPr>
        <w:t>ósito de carácter económico, para su transformación y comercialización.</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El Código de Minas (artículo 95 de la Ley 685 de 2001) define la explotación como "el conjunto de operaciones que tienen por objeto la extracción o captación de los minerales yacent</w:t>
      </w:r>
      <w:r>
        <w:rPr>
          <w:rFonts w:ascii="Times New Roman" w:eastAsia="Times New Roman" w:hAnsi="Times New Roman" w:cs="Times New Roman"/>
          <w:sz w:val="24"/>
          <w:szCs w:val="24"/>
          <w:highlight w:val="white"/>
        </w:rPr>
        <w:t>es en el suelo o subsuelo del área de la concesión, su acopio, su beneficio y el cierre y abandono de los montajes y de la infraestructura".</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3. Etapa de la fase de Producción del Ciclo Minero. Durante esta etapa se recuperan las inversiones realizadas, se </w:t>
      </w:r>
      <w:r>
        <w:rPr>
          <w:rFonts w:ascii="Times New Roman" w:eastAsia="Times New Roman" w:hAnsi="Times New Roman" w:cs="Times New Roman"/>
          <w:sz w:val="24"/>
          <w:szCs w:val="24"/>
          <w:highlight w:val="white"/>
        </w:rPr>
        <w:t>extraen y procesan los materiales de interés económico, se adecuan los terrenos intervenidos y se conduce la mina, lenta y progresivamente, apoyada por un riguroso plan de mitigación ambiental, hacia su fin. Así como algunas actividades de prospección se p</w:t>
      </w:r>
      <w:r>
        <w:rPr>
          <w:rFonts w:ascii="Times New Roman" w:eastAsia="Times New Roman" w:hAnsi="Times New Roman" w:cs="Times New Roman"/>
          <w:sz w:val="24"/>
          <w:szCs w:val="24"/>
          <w:highlight w:val="white"/>
        </w:rPr>
        <w:t>ueden traslapar con la exploración y de hecho en muchos casos es muy difícil distinguirlas; durante la etapa de desarrollo se realizan algunas tareas de explotación y durante la explotación se ejecutan operaciones de desarrollo, esto principalmente por raz</w:t>
      </w:r>
      <w:r>
        <w:rPr>
          <w:rFonts w:ascii="Times New Roman" w:eastAsia="Times New Roman" w:hAnsi="Times New Roman" w:cs="Times New Roman"/>
          <w:sz w:val="24"/>
          <w:szCs w:val="24"/>
          <w:highlight w:val="white"/>
        </w:rPr>
        <w:t>ones técnicas y económicas, ya que sería imposible pretender desarrollar una mina de una sola vez, sin ejecutar actividades que permitan su mantenimiento y explotación. Durante esta etapa se ejecutan una serie de actividades y ciclos que permiten que la mi</w:t>
      </w:r>
      <w:r>
        <w:rPr>
          <w:rFonts w:ascii="Times New Roman" w:eastAsia="Times New Roman" w:hAnsi="Times New Roman" w:cs="Times New Roman"/>
          <w:sz w:val="24"/>
          <w:szCs w:val="24"/>
          <w:highlight w:val="white"/>
        </w:rPr>
        <w:t>na permanezca en operación y producción. Estas son denominadas operaciones unitarias y se clasifican entre las ejecutadas para desprender el mineral -Arranque-; para cargarlo -Cargue-; y para transportarlo hasta la planta o sitio de mercado -Transporte-. E</w:t>
      </w:r>
      <w:r>
        <w:rPr>
          <w:rFonts w:ascii="Times New Roman" w:eastAsia="Times New Roman" w:hAnsi="Times New Roman" w:cs="Times New Roman"/>
          <w:sz w:val="24"/>
          <w:szCs w:val="24"/>
          <w:highlight w:val="white"/>
        </w:rPr>
        <w:t>stas operaciones se apoyan en las denominadas operaciones auxiliares.</w:t>
      </w:r>
    </w:p>
    <w:p w:rsidR="002F65B8" w:rsidRDefault="002F65B8">
      <w:pPr>
        <w:widowControl w:val="0"/>
        <w:tabs>
          <w:tab w:val="left" w:pos="821"/>
        </w:tabs>
        <w:spacing w:before="139" w:line="360" w:lineRule="auto"/>
        <w:ind w:right="444"/>
        <w:jc w:val="both"/>
        <w:rPr>
          <w:rFonts w:ascii="Times New Roman" w:eastAsia="Times New Roman" w:hAnsi="Times New Roman" w:cs="Times New Roman"/>
          <w:b/>
          <w:color w:val="333333"/>
          <w:sz w:val="23"/>
          <w:szCs w:val="23"/>
          <w:highlight w:val="white"/>
        </w:rPr>
      </w:pPr>
    </w:p>
    <w:p w:rsidR="002F65B8" w:rsidRDefault="002F65B8">
      <w:pPr>
        <w:widowControl w:val="0"/>
        <w:tabs>
          <w:tab w:val="left" w:pos="821"/>
        </w:tabs>
        <w:spacing w:before="139" w:line="360" w:lineRule="auto"/>
        <w:ind w:right="444"/>
        <w:jc w:val="both"/>
        <w:rPr>
          <w:rFonts w:ascii="Times New Roman" w:eastAsia="Times New Roman" w:hAnsi="Times New Roman" w:cs="Times New Roman"/>
          <w:b/>
          <w:color w:val="333333"/>
          <w:sz w:val="23"/>
          <w:szCs w:val="23"/>
          <w:highlight w:val="white"/>
        </w:rPr>
      </w:pPr>
    </w:p>
    <w:p w:rsidR="002F65B8" w:rsidRDefault="002F65B8">
      <w:pPr>
        <w:widowControl w:val="0"/>
        <w:tabs>
          <w:tab w:val="left" w:pos="821"/>
        </w:tabs>
        <w:spacing w:before="139" w:line="360" w:lineRule="auto"/>
        <w:ind w:right="444"/>
        <w:jc w:val="both"/>
        <w:rPr>
          <w:rFonts w:ascii="Times New Roman" w:eastAsia="Times New Roman" w:hAnsi="Times New Roman" w:cs="Times New Roman"/>
          <w:b/>
          <w:sz w:val="23"/>
          <w:szCs w:val="23"/>
          <w:highlight w:val="white"/>
        </w:rPr>
      </w:pPr>
    </w:p>
    <w:p w:rsidR="002F65B8" w:rsidRDefault="000424E9">
      <w:pPr>
        <w:widowControl w:val="0"/>
        <w:tabs>
          <w:tab w:val="left" w:pos="821"/>
        </w:tabs>
        <w:spacing w:before="139" w:line="360" w:lineRule="auto"/>
        <w:ind w:right="444"/>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Exploración:</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Búsqueda de depósitos minerales mediante labores realizadas para proporcionar o establecer presencia, cantidad y calidad de un depósito mineral en un área específica. La exploración regional es la etapa primaria de un proyecto de exploración encaminada a l</w:t>
      </w:r>
      <w:r>
        <w:rPr>
          <w:rFonts w:ascii="Times New Roman" w:eastAsia="Times New Roman" w:hAnsi="Times New Roman" w:cs="Times New Roman"/>
          <w:sz w:val="24"/>
          <w:szCs w:val="24"/>
          <w:highlight w:val="white"/>
        </w:rPr>
        <w:t>a delimitación inicial de un depósito mineral identificado en la etapa de prospección, con evaluación preliminar de la cantidad y la calidad. Su objetivo es establecer las principales características geológicas del depósito y proporcionar una indicación ra</w:t>
      </w:r>
      <w:r>
        <w:rPr>
          <w:rFonts w:ascii="Times New Roman" w:eastAsia="Times New Roman" w:hAnsi="Times New Roman" w:cs="Times New Roman"/>
          <w:sz w:val="24"/>
          <w:szCs w:val="24"/>
          <w:highlight w:val="white"/>
        </w:rPr>
        <w:t>zonable de su continuidad y una primera evaluación de sus dimensiones, su configuración, su estructura y su contenido; el grado de exactitud deberá ser suficiente para decidir si se justifican posteriores estudios de prefactibilidad minera y una exploració</w:t>
      </w:r>
      <w:r>
        <w:rPr>
          <w:rFonts w:ascii="Times New Roman" w:eastAsia="Times New Roman" w:hAnsi="Times New Roman" w:cs="Times New Roman"/>
          <w:sz w:val="24"/>
          <w:szCs w:val="24"/>
          <w:highlight w:val="white"/>
        </w:rPr>
        <w:t>n detallada. La exploración detallada comprende el conjunto de actividades geológicas destinadas a conocer tamaño, forma, posición, características mineralógicas, cantidad y calidad de los recursos o las reservas de un depósito mineral. La exploración incl</w:t>
      </w:r>
      <w:r>
        <w:rPr>
          <w:rFonts w:ascii="Times New Roman" w:eastAsia="Times New Roman" w:hAnsi="Times New Roman" w:cs="Times New Roman"/>
          <w:sz w:val="24"/>
          <w:szCs w:val="24"/>
          <w:highlight w:val="white"/>
        </w:rPr>
        <w:t>uye métodos geológicos, geofísicos y geoquímicos.</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CONPES 3803, como política territorial para la conservación y sostenibilidad económica, social, patrimonial y ambiental del  Paisaje Cultural Cafetero de Colombia, define una serie de estrategias a imple</w:t>
      </w:r>
      <w:r>
        <w:rPr>
          <w:rFonts w:ascii="Times New Roman" w:eastAsia="Times New Roman" w:hAnsi="Times New Roman" w:cs="Times New Roman"/>
          <w:sz w:val="24"/>
          <w:szCs w:val="24"/>
        </w:rPr>
        <w:t xml:space="preserve">mentar como muestra del compromiso suscrito por Colombia tras la declaratoria del PCCC como patrimonio de la humanidad. </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11 de julio del año 2022 el Congreso de la República de Colombia sancionó la Ley 2245 del 2022 por medio de la cual se reconoce el P</w:t>
      </w:r>
      <w:r>
        <w:rPr>
          <w:rFonts w:ascii="Times New Roman" w:eastAsia="Times New Roman" w:hAnsi="Times New Roman" w:cs="Times New Roman"/>
          <w:sz w:val="24"/>
          <w:szCs w:val="24"/>
        </w:rPr>
        <w:t xml:space="preserve">aisaje Cultural Cafetero Colombiano como Patrimonio Cultural de la Nación. </w:t>
      </w:r>
    </w:p>
    <w:p w:rsidR="002F65B8" w:rsidRDefault="002F65B8">
      <w:pPr>
        <w:widowControl w:val="0"/>
        <w:spacing w:before="202" w:line="360" w:lineRule="auto"/>
        <w:ind w:left="100" w:right="438"/>
        <w:jc w:val="both"/>
        <w:rPr>
          <w:rFonts w:ascii="Times New Roman" w:eastAsia="Times New Roman" w:hAnsi="Times New Roman" w:cs="Times New Roman"/>
          <w:sz w:val="24"/>
          <w:szCs w:val="24"/>
        </w:rPr>
      </w:pPr>
    </w:p>
    <w:p w:rsidR="002F65B8" w:rsidRDefault="000424E9">
      <w:pPr>
        <w:widowControl w:val="0"/>
        <w:tabs>
          <w:tab w:val="left" w:pos="821"/>
        </w:tabs>
        <w:spacing w:before="139" w:line="360" w:lineRule="auto"/>
        <w:ind w:right="44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JUSTIFICACIÓN</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Paisaje Cultural Cafetero Colombiano abarca 6 paisajes cafeteros y 18 centros urbanos, está conformado por 47 municipios que constituyen el área principal, y 4</w:t>
      </w:r>
      <w:r>
        <w:rPr>
          <w:rFonts w:ascii="Times New Roman" w:eastAsia="Times New Roman" w:hAnsi="Times New Roman" w:cs="Times New Roman"/>
          <w:sz w:val="24"/>
          <w:szCs w:val="24"/>
        </w:rPr>
        <w:t xml:space="preserve"> municipios que hacen parte de la zona de influencia. Los municipios del área principal se distribuyen entre los departamentos así: en Caldas (17), Quindío (11), Risaralda (10) y Valle del Cauca (9). Distribuidas así: </w:t>
      </w:r>
    </w:p>
    <w:p w:rsidR="002F65B8" w:rsidRDefault="000424E9">
      <w:pPr>
        <w:numPr>
          <w:ilvl w:val="0"/>
          <w:numId w:val="1"/>
        </w:num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Caldas: Aguadas, Anse</w:t>
      </w:r>
      <w:r>
        <w:rPr>
          <w:rFonts w:ascii="Times New Roman" w:eastAsia="Times New Roman" w:hAnsi="Times New Roman" w:cs="Times New Roman"/>
          <w:sz w:val="24"/>
          <w:szCs w:val="24"/>
        </w:rPr>
        <w:t>rma, Aranzazu, Belalcázar, Chinchiná, Filadelfia, La Merced, Manizales, Neira, Pácora, Palestina, Riosucio, Risaralda, Salamina, San José, Supía, y Villamaría.</w:t>
      </w:r>
    </w:p>
    <w:p w:rsidR="002F65B8" w:rsidRDefault="000424E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Quindío: Armenia, Buenavista, Calarcá, Circasia, Córdoba, Filandia, Génova, Mont</w:t>
      </w:r>
      <w:r>
        <w:rPr>
          <w:rFonts w:ascii="Times New Roman" w:eastAsia="Times New Roman" w:hAnsi="Times New Roman" w:cs="Times New Roman"/>
          <w:sz w:val="24"/>
          <w:szCs w:val="24"/>
        </w:rPr>
        <w:t>enegro, Pijao, Quimbaya y Salento.</w:t>
      </w:r>
    </w:p>
    <w:p w:rsidR="002F65B8" w:rsidRDefault="000424E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Departamento de Risaralda:Apía, Balboa, Belén de Umbría, Guática, La Celia, Marsella, Pereira, Quinchía, Santa Rosa, de Cabal, y Santuario.</w:t>
      </w:r>
    </w:p>
    <w:p w:rsidR="002F65B8" w:rsidRDefault="000424E9">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Departamento de Valle del Cauca: Alcalá, Ansermanuevo, Caicedonia, El Águila, El </w:t>
      </w:r>
      <w:r>
        <w:rPr>
          <w:rFonts w:ascii="Times New Roman" w:eastAsia="Times New Roman" w:hAnsi="Times New Roman" w:cs="Times New Roman"/>
          <w:sz w:val="24"/>
          <w:szCs w:val="24"/>
        </w:rPr>
        <w:t>Cairo, Riofrío, Sevilla, Trujillo y Ulloa.</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ecorregión del Eje Cafetero se encuentran 837 especies de aves registradas en la literatura técnica, cerca del 45% de las especies de aves del país; 94 especies de ranas registradas, de un potencial de 268 </w:t>
      </w:r>
      <w:r>
        <w:rPr>
          <w:rFonts w:ascii="Times New Roman" w:eastAsia="Times New Roman" w:hAnsi="Times New Roman" w:cs="Times New Roman"/>
          <w:sz w:val="24"/>
          <w:szCs w:val="24"/>
        </w:rPr>
        <w:t>especies; 25 especies de mamíferos no voladores, de un total potencial de 296, y 21 especies registradas de murciélagos, de las 175 especies presentes en el país(...) La zona cuenta con bosques nativos y corredores biológicos considerados estratégicos para</w:t>
      </w:r>
      <w:r>
        <w:rPr>
          <w:rFonts w:ascii="Times New Roman" w:eastAsia="Times New Roman" w:hAnsi="Times New Roman" w:cs="Times New Roman"/>
          <w:sz w:val="24"/>
          <w:szCs w:val="24"/>
        </w:rPr>
        <w:t xml:space="preserve"> la conservación de la biodiversidad mundial” (Ministerio de Cultura, 2011)</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 vez, este paisaje cultural tiene una zona amortiguadora,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en la cual se atenúan las perturbaciones causadas por la actividad humana de las zonas circunvecinas; esta está consti</w:t>
      </w:r>
      <w:r>
        <w:rPr>
          <w:rFonts w:ascii="Times New Roman" w:eastAsia="Times New Roman" w:hAnsi="Times New Roman" w:cs="Times New Roman"/>
          <w:sz w:val="24"/>
          <w:szCs w:val="24"/>
        </w:rPr>
        <w:t>tuida por 447 veredas, y tiene una extensión de 207.000 hectáreas, así como por 17 cascos urbanos o cabeceras municipales, incluidos los que rodean los centros históricos o bienes de interés cultural mencionados.</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riqueza ambiental y cultural del PCCC, a</w:t>
      </w:r>
      <w:r>
        <w:rPr>
          <w:rFonts w:ascii="Times New Roman" w:eastAsia="Times New Roman" w:hAnsi="Times New Roman" w:cs="Times New Roman"/>
          <w:sz w:val="24"/>
          <w:szCs w:val="24"/>
        </w:rPr>
        <w:t>l igual que la declaratoria como patrimonio de la humanidad representa una responsabilidad administrativa de carácter nacional y mundial, frente a la conservación del legado cultural y ambiental de este territorio. A pesar de lo anterior, la declaratoria d</w:t>
      </w:r>
      <w:r>
        <w:rPr>
          <w:rFonts w:ascii="Times New Roman" w:eastAsia="Times New Roman" w:hAnsi="Times New Roman" w:cs="Times New Roman"/>
          <w:sz w:val="24"/>
          <w:szCs w:val="24"/>
        </w:rPr>
        <w:t>e patrimonio mundial del PCCC no debe convertirlo en un territorio inmaculado e improductivo, “debe existir un equilibrio entre el paisaje productivo y la conservación del medioambiente, pues es una condición fundamental para el mantenimiento de las caract</w:t>
      </w:r>
      <w:r>
        <w:rPr>
          <w:rFonts w:ascii="Times New Roman" w:eastAsia="Times New Roman" w:hAnsi="Times New Roman" w:cs="Times New Roman"/>
          <w:sz w:val="24"/>
          <w:szCs w:val="24"/>
        </w:rPr>
        <w:t>erísticas únicas del PCC (...) El principal referente de paisajes culturales productivos es el Paisaje agavero y las antiguas instalaciones industriales de tequila, de México, incluido en la Lista de Patrimonio de la Humanidad en 2007. Este comparte con el</w:t>
      </w:r>
      <w:r>
        <w:rPr>
          <w:rFonts w:ascii="Times New Roman" w:eastAsia="Times New Roman" w:hAnsi="Times New Roman" w:cs="Times New Roman"/>
          <w:sz w:val="24"/>
          <w:szCs w:val="24"/>
        </w:rPr>
        <w:t xml:space="preserve"> PCC colombiano la orientación hacia una actividad productiva que es central en la economía y la cultura regional. Igualmente se asemejan en el arr</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la vocación principal de este territorio no es propiamente la minería sino la agricultura, comercio y el turismo de experiencias y ambiental, solo unos pocos municipios del PCCC tienen vocación minera.</w:t>
      </w:r>
    </w:p>
    <w:p w:rsidR="002F65B8" w:rsidRDefault="000424E9">
      <w:pPr>
        <w:widowControl w:val="0"/>
        <w:tabs>
          <w:tab w:val="left" w:pos="821"/>
        </w:tabs>
        <w:spacing w:before="139" w:line="360"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Tabla 1. Lista Municipios del PCCC con vo</w:t>
      </w:r>
      <w:r>
        <w:rPr>
          <w:rFonts w:ascii="Times New Roman" w:eastAsia="Times New Roman" w:hAnsi="Times New Roman" w:cs="Times New Roman"/>
          <w:sz w:val="24"/>
          <w:szCs w:val="24"/>
        </w:rPr>
        <w:t>cación minera</w:t>
      </w:r>
    </w:p>
    <w:tbl>
      <w:tblPr>
        <w:tblStyle w:val="a2"/>
        <w:tblW w:w="149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5"/>
        <w:gridCol w:w="8695"/>
      </w:tblGrid>
      <w:tr w:rsidR="002F65B8">
        <w:trPr>
          <w:jc w:val="center"/>
        </w:trPr>
        <w:tc>
          <w:tcPr>
            <w:tcW w:w="3735" w:type="dxa"/>
          </w:tcPr>
          <w:p w:rsidR="002F65B8" w:rsidRDefault="000424E9">
            <w:pPr>
              <w:widowControl w:val="0"/>
              <w:tabs>
                <w:tab w:val="left" w:pos="821"/>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w:t>
            </w:r>
          </w:p>
        </w:tc>
        <w:tc>
          <w:tcPr>
            <w:tcW w:w="5175" w:type="dxa"/>
          </w:tcPr>
          <w:p w:rsidR="002F65B8" w:rsidRDefault="000424E9">
            <w:pPr>
              <w:widowControl w:val="0"/>
              <w:tabs>
                <w:tab w:val="left" w:pos="821"/>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Municipios PCCC minería como una de sus actividades económicas primarias</w:t>
            </w:r>
          </w:p>
        </w:tc>
      </w:tr>
      <w:tr w:rsidR="002F65B8">
        <w:trPr>
          <w:trHeight w:val="500"/>
          <w:jc w:val="center"/>
        </w:trPr>
        <w:tc>
          <w:tcPr>
            <w:tcW w:w="373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517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Quinchía (minería tradicional) </w:t>
            </w:r>
          </w:p>
        </w:tc>
      </w:tr>
      <w:tr w:rsidR="002F65B8">
        <w:trPr>
          <w:jc w:val="center"/>
        </w:trPr>
        <w:tc>
          <w:tcPr>
            <w:tcW w:w="373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517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Pijao (minería oro)</w:t>
            </w:r>
          </w:p>
        </w:tc>
      </w:tr>
      <w:tr w:rsidR="002F65B8">
        <w:trPr>
          <w:jc w:val="center"/>
        </w:trPr>
        <w:tc>
          <w:tcPr>
            <w:tcW w:w="373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517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Riosucio</w:t>
            </w:r>
          </w:p>
        </w:tc>
      </w:tr>
      <w:tr w:rsidR="002F65B8">
        <w:trPr>
          <w:trHeight w:val="335"/>
          <w:jc w:val="center"/>
        </w:trPr>
        <w:tc>
          <w:tcPr>
            <w:tcW w:w="373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Valle del Cauca</w:t>
            </w:r>
          </w:p>
        </w:tc>
        <w:tc>
          <w:tcPr>
            <w:tcW w:w="517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Alcalá (minería artesanal yeso)</w:t>
            </w:r>
          </w:p>
        </w:tc>
      </w:tr>
    </w:tbl>
    <w:p w:rsidR="002F65B8" w:rsidRDefault="000424E9">
      <w:pPr>
        <w:widowControl w:val="0"/>
        <w:tabs>
          <w:tab w:val="left" w:pos="821"/>
        </w:tabs>
        <w:spacing w:before="139" w:line="360"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con datos de las entidades territoriales (2022)</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4 de los 49 </w:t>
      </w:r>
      <w:r>
        <w:rPr>
          <w:rFonts w:ascii="Times New Roman" w:eastAsia="Times New Roman" w:hAnsi="Times New Roman" w:cs="Times New Roman"/>
          <w:sz w:val="24"/>
          <w:szCs w:val="24"/>
        </w:rPr>
        <w:t>municipios del PCC podrían interpretarse como con vocación minera, por lo anterior, no puede concebirse la erradicación de la misma de m</w:t>
      </w:r>
      <w:r>
        <w:rPr>
          <w:rFonts w:ascii="Times New Roman" w:eastAsia="Times New Roman" w:hAnsi="Times New Roman" w:cs="Times New Roman"/>
          <w:sz w:val="24"/>
          <w:szCs w:val="24"/>
        </w:rPr>
        <w:t>anera intempestiva, pues esto generaría una crisis social y financiera que no es el objetivo del presente proyecto; pero por la protección del PCCC es necesario un condicionamiento mayor a esta actividad, al igual que medidas de protección y reglamentación</w:t>
      </w:r>
      <w:r>
        <w:rPr>
          <w:rFonts w:ascii="Times New Roman" w:eastAsia="Times New Roman" w:hAnsi="Times New Roman" w:cs="Times New Roman"/>
          <w:sz w:val="24"/>
          <w:szCs w:val="24"/>
        </w:rPr>
        <w:t xml:space="preserve"> más explícita, para culminar con una exclusión total de la megaminería en el territorio declarado como PCCC.  </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además que la minería no es una de las actividades económicas principales de los municipios del PCCC, a su vez, el aporte porcent</w:t>
      </w:r>
      <w:r>
        <w:rPr>
          <w:rFonts w:ascii="Times New Roman" w:eastAsia="Times New Roman" w:hAnsi="Times New Roman" w:cs="Times New Roman"/>
          <w:sz w:val="24"/>
          <w:szCs w:val="24"/>
        </w:rPr>
        <w:t>ual que esta actividad es el siguiente:</w:t>
      </w:r>
    </w:p>
    <w:p w:rsidR="002F65B8" w:rsidRDefault="000424E9">
      <w:pPr>
        <w:widowControl w:val="0"/>
        <w:tabs>
          <w:tab w:val="left" w:pos="821"/>
        </w:tabs>
        <w:spacing w:before="139" w:line="360"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Tabla 2.  Participación porcentual PIB actividad minera departamentos del PCCC</w:t>
      </w:r>
    </w:p>
    <w:tbl>
      <w:tblPr>
        <w:tblStyle w:val="a3"/>
        <w:tblW w:w="124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47"/>
        <w:gridCol w:w="4107"/>
        <w:gridCol w:w="4636"/>
      </w:tblGrid>
      <w:tr w:rsidR="002F65B8">
        <w:trPr>
          <w:jc w:val="center"/>
        </w:trPr>
        <w:tc>
          <w:tcPr>
            <w:tcW w:w="2655" w:type="dxa"/>
          </w:tcPr>
          <w:p w:rsidR="002F65B8" w:rsidRDefault="000424E9">
            <w:pPr>
              <w:widowControl w:val="0"/>
              <w:tabs>
                <w:tab w:val="left" w:pos="821"/>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w:t>
            </w:r>
          </w:p>
        </w:tc>
        <w:tc>
          <w:tcPr>
            <w:tcW w:w="2910" w:type="dxa"/>
          </w:tcPr>
          <w:p w:rsidR="002F65B8" w:rsidRDefault="000424E9">
            <w:pPr>
              <w:widowControl w:val="0"/>
              <w:tabs>
                <w:tab w:val="left" w:pos="821"/>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Participación porcentual PIB actividad departamental</w:t>
            </w:r>
          </w:p>
        </w:tc>
        <w:tc>
          <w:tcPr>
            <w:tcW w:w="3285" w:type="dxa"/>
          </w:tcPr>
          <w:p w:rsidR="002F65B8" w:rsidRDefault="000424E9">
            <w:pPr>
              <w:widowControl w:val="0"/>
              <w:tabs>
                <w:tab w:val="left" w:pos="821"/>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Participación porcentual PIB actividad a nivel nacional</w:t>
            </w:r>
          </w:p>
        </w:tc>
      </w:tr>
      <w:tr w:rsidR="002F65B8">
        <w:trPr>
          <w:trHeight w:val="480"/>
          <w:jc w:val="center"/>
        </w:trPr>
        <w:tc>
          <w:tcPr>
            <w:tcW w:w="265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2910"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328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2F65B8">
        <w:trPr>
          <w:jc w:val="center"/>
        </w:trPr>
        <w:tc>
          <w:tcPr>
            <w:tcW w:w="265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2910"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328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2F65B8">
        <w:trPr>
          <w:jc w:val="center"/>
        </w:trPr>
        <w:tc>
          <w:tcPr>
            <w:tcW w:w="265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2910"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28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2F65B8">
        <w:trPr>
          <w:jc w:val="center"/>
        </w:trPr>
        <w:tc>
          <w:tcPr>
            <w:tcW w:w="265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Valle del Cauca</w:t>
            </w:r>
          </w:p>
        </w:tc>
        <w:tc>
          <w:tcPr>
            <w:tcW w:w="2910"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328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bl>
    <w:p w:rsidR="002F65B8" w:rsidRDefault="000424E9">
      <w:pPr>
        <w:widowControl w:val="0"/>
        <w:tabs>
          <w:tab w:val="left" w:pos="821"/>
        </w:tabs>
        <w:spacing w:before="139" w:line="360"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con datos del Ministerio de Comercio, Industria y Turismo.(2022)</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en materia de ocupación laboral, también es necesario tener en cuenta el porcentaje de ocupados de la actividad económica minera en estos departamentos del </w:t>
      </w:r>
      <w:r>
        <w:rPr>
          <w:rFonts w:ascii="Times New Roman" w:eastAsia="Times New Roman" w:hAnsi="Times New Roman" w:cs="Times New Roman"/>
          <w:sz w:val="24"/>
          <w:szCs w:val="24"/>
        </w:rPr>
        <w:t xml:space="preserve">PCCC no son un número alto, sin embargo, deben tenerse en cuenta para la socialización de este proyecto de ley. </w:t>
      </w:r>
    </w:p>
    <w:p w:rsidR="002F65B8" w:rsidRDefault="000424E9">
      <w:pPr>
        <w:widowControl w:val="0"/>
        <w:tabs>
          <w:tab w:val="left" w:pos="821"/>
        </w:tabs>
        <w:spacing w:before="139" w:line="360"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Tabla 3.  Participación ocupados de la actividad económica minera departamentos del PCCC</w:t>
      </w:r>
    </w:p>
    <w:tbl>
      <w:tblPr>
        <w:tblStyle w:val="a4"/>
        <w:tblW w:w="123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71"/>
        <w:gridCol w:w="6014"/>
      </w:tblGrid>
      <w:tr w:rsidR="002F65B8">
        <w:trPr>
          <w:jc w:val="center"/>
        </w:trPr>
        <w:tc>
          <w:tcPr>
            <w:tcW w:w="4560"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w:t>
            </w:r>
          </w:p>
        </w:tc>
        <w:tc>
          <w:tcPr>
            <w:tcW w:w="430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Participación ocupados según actividad ec</w:t>
            </w:r>
            <w:r>
              <w:rPr>
                <w:rFonts w:ascii="Times New Roman" w:eastAsia="Times New Roman" w:hAnsi="Times New Roman" w:cs="Times New Roman"/>
                <w:b/>
                <w:sz w:val="24"/>
                <w:szCs w:val="24"/>
              </w:rPr>
              <w:t>onómica: minería</w:t>
            </w:r>
          </w:p>
        </w:tc>
      </w:tr>
      <w:tr w:rsidR="002F65B8">
        <w:trPr>
          <w:trHeight w:val="500"/>
          <w:jc w:val="center"/>
        </w:trPr>
        <w:tc>
          <w:tcPr>
            <w:tcW w:w="4560"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430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2F65B8">
        <w:trPr>
          <w:jc w:val="center"/>
        </w:trPr>
        <w:tc>
          <w:tcPr>
            <w:tcW w:w="4560"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430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2F65B8">
        <w:trPr>
          <w:jc w:val="center"/>
        </w:trPr>
        <w:tc>
          <w:tcPr>
            <w:tcW w:w="4560"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305" w:type="dxa"/>
            <w:shd w:val="clear" w:color="auto" w:fill="auto"/>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2F65B8">
        <w:trPr>
          <w:jc w:val="center"/>
        </w:trPr>
        <w:tc>
          <w:tcPr>
            <w:tcW w:w="4560"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Valle del Cauca</w:t>
            </w:r>
          </w:p>
        </w:tc>
        <w:tc>
          <w:tcPr>
            <w:tcW w:w="4305" w:type="dxa"/>
          </w:tcPr>
          <w:p w:rsidR="002F65B8" w:rsidRDefault="000424E9">
            <w:pPr>
              <w:widowControl w:val="0"/>
              <w:tabs>
                <w:tab w:val="left" w:pos="821"/>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bl>
    <w:p w:rsidR="002F65B8" w:rsidRDefault="000424E9">
      <w:pPr>
        <w:widowControl w:val="0"/>
        <w:tabs>
          <w:tab w:val="left" w:pos="821"/>
        </w:tabs>
        <w:spacing w:before="139" w:line="360"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elaboración propia con datos del Ministerio de Comercio, Industria y Turismo. </w:t>
      </w:r>
    </w:p>
    <w:p w:rsidR="002F65B8" w:rsidRDefault="002F65B8">
      <w:pPr>
        <w:widowControl w:val="0"/>
        <w:tabs>
          <w:tab w:val="left" w:pos="821"/>
        </w:tabs>
        <w:spacing w:before="139" w:line="360" w:lineRule="auto"/>
        <w:ind w:right="444"/>
        <w:jc w:val="center"/>
        <w:rPr>
          <w:rFonts w:ascii="Times New Roman" w:eastAsia="Times New Roman" w:hAnsi="Times New Roman" w:cs="Times New Roman"/>
          <w:sz w:val="24"/>
          <w:szCs w:val="24"/>
        </w:rPr>
      </w:pP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la normativa vigente, el paisaje cultural cafetero en la actualidad es una zona reservada de minería, es decir, se permite tras surtir un análisis, conceptos y autorizaciones de las autoridades competentes, en específico el Ministerio de Cultura. No </w:t>
      </w:r>
      <w:r>
        <w:rPr>
          <w:rFonts w:ascii="Times New Roman" w:eastAsia="Times New Roman" w:hAnsi="Times New Roman" w:cs="Times New Roman"/>
          <w:sz w:val="24"/>
          <w:szCs w:val="24"/>
        </w:rPr>
        <w:t>obstante, el Paisaje Cultural Cafetero está siendo sujeto a masivos procesos de solicitud y de concesión de títulos de gran minería (megaminería) que desdibujan la declaratoria, que pone en riesgo los territorios, los recursos naturales, la economía, la cu</w:t>
      </w:r>
      <w:r>
        <w:rPr>
          <w:rFonts w:ascii="Times New Roman" w:eastAsia="Times New Roman" w:hAnsi="Times New Roman" w:cs="Times New Roman"/>
          <w:sz w:val="24"/>
          <w:szCs w:val="24"/>
        </w:rPr>
        <w:t>ltura y tradición de las comunidades cafeteras y campesinas de los municipios de los Departamentos de Risaralda, Caldas, Quindío y Norte del Valle. Un caso conocido, es el del municipio de Belén de Umbría del Departamento de Risaralda que fue vinculado a l</w:t>
      </w:r>
      <w:r>
        <w:rPr>
          <w:rFonts w:ascii="Times New Roman" w:eastAsia="Times New Roman" w:hAnsi="Times New Roman" w:cs="Times New Roman"/>
          <w:sz w:val="24"/>
          <w:szCs w:val="24"/>
        </w:rPr>
        <w:t>a zona estratégica y de reserva minera de la nación con la Resolución 233 del 2021, y quien es sujeto de solicitudes de concesiones mineras por más del 80 % de su territorio como se evidencia a continuación.</w:t>
      </w:r>
    </w:p>
    <w:p w:rsidR="002F65B8" w:rsidRDefault="000424E9">
      <w:pPr>
        <w:widowControl w:val="0"/>
        <w:tabs>
          <w:tab w:val="left" w:pos="821"/>
        </w:tabs>
        <w:spacing w:before="139" w:line="360" w:lineRule="auto"/>
        <w:ind w:right="44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Imagen 2. Área Estratégica Minera Resolución VPP</w:t>
      </w:r>
      <w:r>
        <w:rPr>
          <w:rFonts w:ascii="Times New Roman" w:eastAsia="Times New Roman" w:hAnsi="Times New Roman" w:cs="Times New Roman"/>
          <w:b/>
          <w:sz w:val="24"/>
          <w:szCs w:val="24"/>
        </w:rPr>
        <w:t>F 233 del 2021</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834063" cy="417297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53603" t="30983" r="6361" b="18005"/>
                    <a:stretch>
                      <a:fillRect/>
                    </a:stretch>
                  </pic:blipFill>
                  <pic:spPr>
                    <a:xfrm>
                      <a:off x="0" y="0"/>
                      <a:ext cx="5834063" cy="4172975"/>
                    </a:xfrm>
                    <a:prstGeom prst="rect">
                      <a:avLst/>
                    </a:prstGeom>
                    <a:ln/>
                  </pic:spPr>
                </pic:pic>
              </a:graphicData>
            </a:graphic>
          </wp:inline>
        </w:drawing>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Fuente: Agencia Nacional de Minería.</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a pesar de la poca vocación minera del territorio, en las áreas del PCCC existen </w:t>
      </w:r>
      <w:r>
        <w:rPr>
          <w:rFonts w:ascii="Times New Roman" w:eastAsia="Times New Roman" w:hAnsi="Times New Roman" w:cs="Times New Roman"/>
          <w:sz w:val="24"/>
          <w:szCs w:val="24"/>
          <w:highlight w:val="white"/>
        </w:rPr>
        <w:t>138</w:t>
      </w:r>
      <w:r>
        <w:rPr>
          <w:rFonts w:ascii="Times New Roman" w:eastAsia="Times New Roman" w:hAnsi="Times New Roman" w:cs="Times New Roman"/>
          <w:sz w:val="24"/>
          <w:szCs w:val="24"/>
        </w:rPr>
        <w:t xml:space="preserve"> contratos de concesión minera vigentes, otorgados para la extracción de minerales de materiales de const</w:t>
      </w:r>
      <w:r>
        <w:rPr>
          <w:rFonts w:ascii="Times New Roman" w:eastAsia="Times New Roman" w:hAnsi="Times New Roman" w:cs="Times New Roman"/>
          <w:sz w:val="24"/>
          <w:szCs w:val="24"/>
        </w:rPr>
        <w:t>rucción (89,13%); metales preciosos (9,42%) (Oro, plata, platino); carbón, manganeso, níquel, minerales industriales, entre otros. Estos contratos de concesión abarcan más de 21.000 hectáreas del territorio de los departamentos del PCCC. Por otro lado, fre</w:t>
      </w:r>
      <w:r>
        <w:rPr>
          <w:rFonts w:ascii="Times New Roman" w:eastAsia="Times New Roman" w:hAnsi="Times New Roman" w:cs="Times New Roman"/>
          <w:sz w:val="24"/>
          <w:szCs w:val="24"/>
        </w:rPr>
        <w:t xml:space="preserve">nte a las solicitudes, existen 48 en radicación de documentos y evaluación en el territorio del PCCC, lo que corresponde al </w:t>
      </w:r>
      <w:r>
        <w:rPr>
          <w:rFonts w:ascii="Times New Roman" w:eastAsia="Times New Roman" w:hAnsi="Times New Roman" w:cs="Times New Roman"/>
          <w:sz w:val="24"/>
          <w:szCs w:val="24"/>
          <w:highlight w:val="white"/>
        </w:rPr>
        <w:t>13,20%</w:t>
      </w:r>
      <w:r>
        <w:rPr>
          <w:rFonts w:ascii="Times New Roman" w:eastAsia="Times New Roman" w:hAnsi="Times New Roman" w:cs="Times New Roman"/>
          <w:sz w:val="24"/>
          <w:szCs w:val="24"/>
        </w:rPr>
        <w:t xml:space="preserve"> del territorio.</w:t>
      </w:r>
    </w:p>
    <w:p w:rsidR="002F65B8" w:rsidRDefault="002F65B8">
      <w:pPr>
        <w:widowControl w:val="0"/>
        <w:tabs>
          <w:tab w:val="left" w:pos="821"/>
        </w:tabs>
        <w:spacing w:before="139" w:line="360" w:lineRule="auto"/>
        <w:ind w:right="444"/>
        <w:jc w:val="both"/>
        <w:rPr>
          <w:rFonts w:ascii="Times New Roman" w:eastAsia="Times New Roman" w:hAnsi="Times New Roman" w:cs="Times New Roman"/>
          <w:sz w:val="24"/>
          <w:szCs w:val="24"/>
        </w:rPr>
      </w:pPr>
    </w:p>
    <w:p w:rsidR="002F65B8" w:rsidRDefault="000424E9">
      <w:pPr>
        <w:widowControl w:val="0"/>
        <w:tabs>
          <w:tab w:val="left" w:pos="821"/>
        </w:tabs>
        <w:spacing w:before="139" w:line="360"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Tabla 4.  Porcentaje de área solicitada para minería en municipios de Risaralda cuya jurisdicción interseca </w:t>
      </w:r>
      <w:r>
        <w:rPr>
          <w:rFonts w:ascii="Times New Roman" w:eastAsia="Times New Roman" w:hAnsi="Times New Roman" w:cs="Times New Roman"/>
          <w:sz w:val="24"/>
          <w:szCs w:val="24"/>
        </w:rPr>
        <w:t>con Paisaje Cultural Cafetero Colombiano.</w:t>
      </w:r>
    </w:p>
    <w:tbl>
      <w:tblPr>
        <w:tblStyle w:val="a5"/>
        <w:tblW w:w="9000"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4020"/>
        <w:gridCol w:w="2100"/>
      </w:tblGrid>
      <w:tr w:rsidR="002F65B8">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w:t>
            </w:r>
          </w:p>
        </w:tc>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Municipio PCCC</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solicitud</w:t>
            </w:r>
          </w:p>
        </w:tc>
      </w:tr>
      <w:tr w:rsidR="002F65B8">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PEREIRA</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r>
      <w:tr w:rsidR="002F65B8">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CELIA</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2F65B8">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SANTUARIO</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28,77%</w:t>
            </w:r>
          </w:p>
        </w:tc>
      </w:tr>
      <w:tr w:rsidR="002F65B8">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APÍA</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45,59%</w:t>
            </w:r>
          </w:p>
        </w:tc>
      </w:tr>
      <w:tr w:rsidR="002F65B8">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MARSELLA</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15,33%</w:t>
            </w:r>
          </w:p>
        </w:tc>
      </w:tr>
      <w:tr w:rsidR="002F65B8">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DOSQUEBRADAS</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r>
      <w:tr w:rsidR="002F65B8">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SANTA ROSA DE CABAL</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r>
      <w:tr w:rsidR="002F65B8">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MISTRATÓ</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42,17%</w:t>
            </w:r>
          </w:p>
        </w:tc>
      </w:tr>
      <w:tr w:rsidR="002F65B8">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BELÉN DE UMBRÍA</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79,61%</w:t>
            </w:r>
          </w:p>
        </w:tc>
      </w:tr>
      <w:tr w:rsidR="002F65B8">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4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QUINCHÍA</w:t>
            </w:r>
          </w:p>
        </w:tc>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29,53%</w:t>
            </w:r>
          </w:p>
        </w:tc>
      </w:tr>
    </w:tbl>
    <w:p w:rsidR="002F65B8" w:rsidRDefault="000424E9">
      <w:pPr>
        <w:widowControl w:val="0"/>
        <w:tabs>
          <w:tab w:val="left" w:pos="821"/>
        </w:tabs>
        <w:spacing w:before="139" w:line="360" w:lineRule="auto"/>
        <w:ind w:right="444"/>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con información de la Agencia Nacional de Minería. 2022.</w:t>
      </w:r>
    </w:p>
    <w:p w:rsidR="002F65B8" w:rsidRDefault="002F65B8">
      <w:pPr>
        <w:widowControl w:val="0"/>
        <w:tabs>
          <w:tab w:val="left" w:pos="821"/>
        </w:tabs>
        <w:spacing w:before="139" w:line="360" w:lineRule="auto"/>
        <w:ind w:right="444"/>
        <w:rPr>
          <w:rFonts w:ascii="Times New Roman" w:eastAsia="Times New Roman" w:hAnsi="Times New Roman" w:cs="Times New Roman"/>
          <w:sz w:val="24"/>
          <w:szCs w:val="24"/>
        </w:rPr>
      </w:pPr>
    </w:p>
    <w:p w:rsidR="002F65B8" w:rsidRDefault="000424E9">
      <w:pPr>
        <w:widowControl w:val="0"/>
        <w:tabs>
          <w:tab w:val="left" w:pos="821"/>
        </w:tabs>
        <w:spacing w:before="139" w:line="360"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Tabla 5.  Porcentaje de área solicitada para minería en municipios de Quindío cuya jurisdicción interseca con Paisaje Cultural Cafetero Colombiano.</w:t>
      </w:r>
    </w:p>
    <w:tbl>
      <w:tblPr>
        <w:tblStyle w:val="a6"/>
        <w:tblW w:w="9000" w:type="dxa"/>
        <w:tblInd w:w="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05"/>
        <w:gridCol w:w="4995"/>
        <w:gridCol w:w="2100"/>
      </w:tblGrid>
      <w:tr w:rsidR="002F65B8">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w:t>
            </w:r>
          </w:p>
        </w:tc>
        <w:tc>
          <w:tcPr>
            <w:tcW w:w="4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Municipio PCCC</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solicitud</w:t>
            </w:r>
          </w:p>
        </w:tc>
      </w:tr>
      <w:tr w:rsidR="002F65B8">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4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ARMENIA</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r>
      <w:tr w:rsidR="002F65B8">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4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CÓRDOBA</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69,64%</w:t>
            </w:r>
          </w:p>
        </w:tc>
      </w:tr>
      <w:tr w:rsidR="002F65B8">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4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MONTENEGRO</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r>
      <w:tr w:rsidR="002F65B8">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4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BUENAVISTA</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17,99%</w:t>
            </w:r>
          </w:p>
        </w:tc>
      </w:tr>
      <w:tr w:rsidR="002F65B8">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4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PIJAO</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41,67%</w:t>
            </w:r>
          </w:p>
        </w:tc>
      </w:tr>
      <w:tr w:rsidR="002F65B8">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4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CALARCÁ</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46,06%</w:t>
            </w:r>
          </w:p>
        </w:tc>
      </w:tr>
      <w:tr w:rsidR="002F65B8">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4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GÉNOVA</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r>
      <w:tr w:rsidR="002F65B8">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4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FILANDIA</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r>
      <w:tr w:rsidR="002F65B8">
        <w:tc>
          <w:tcPr>
            <w:tcW w:w="19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Quindío</w:t>
            </w:r>
          </w:p>
        </w:tc>
        <w:tc>
          <w:tcPr>
            <w:tcW w:w="49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SALENTO</w:t>
            </w:r>
          </w:p>
        </w:tc>
        <w:tc>
          <w:tcPr>
            <w:tcW w:w="21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64,54%</w:t>
            </w:r>
          </w:p>
        </w:tc>
      </w:tr>
    </w:tbl>
    <w:p w:rsidR="002F65B8" w:rsidRDefault="000424E9">
      <w:pPr>
        <w:widowControl w:val="0"/>
        <w:tabs>
          <w:tab w:val="left" w:pos="821"/>
        </w:tabs>
        <w:spacing w:before="139" w:line="360" w:lineRule="auto"/>
        <w:ind w:right="444"/>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con información de la Agencia Nacional de Minería. 2022.</w:t>
      </w:r>
    </w:p>
    <w:p w:rsidR="002F65B8" w:rsidRDefault="002F65B8">
      <w:pPr>
        <w:widowControl w:val="0"/>
        <w:tabs>
          <w:tab w:val="left" w:pos="821"/>
        </w:tabs>
        <w:spacing w:before="139" w:line="360" w:lineRule="auto"/>
        <w:ind w:right="444"/>
        <w:rPr>
          <w:rFonts w:ascii="Times New Roman" w:eastAsia="Times New Roman" w:hAnsi="Times New Roman" w:cs="Times New Roman"/>
          <w:sz w:val="24"/>
          <w:szCs w:val="24"/>
        </w:rPr>
      </w:pPr>
    </w:p>
    <w:p w:rsidR="002F65B8" w:rsidRDefault="000424E9">
      <w:pPr>
        <w:widowControl w:val="0"/>
        <w:tabs>
          <w:tab w:val="left" w:pos="821"/>
        </w:tabs>
        <w:spacing w:before="139" w:line="360"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Tabla 6.  Porcentaje de área solicitada para minería en municipios de Caldas cuya jurisdicción interseca con Paisaje Cultural Cafetero Colombiano.</w:t>
      </w:r>
    </w:p>
    <w:tbl>
      <w:tblPr>
        <w:tblStyle w:val="a7"/>
        <w:tblW w:w="8565" w:type="dxa"/>
        <w:tblInd w:w="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15"/>
        <w:gridCol w:w="4020"/>
        <w:gridCol w:w="1830"/>
      </w:tblGrid>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Municipio PCCC</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solicitud</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BELALCÁZAR</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VILLAMARÍA</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14,09%</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RISARALDA</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53,87%</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MARMATO</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23,13%</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AGUADAS</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35,08%</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ANSERMA</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51,87%</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NEIRA</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33,41%</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CHINCHINÁ</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51,99%</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FILADELFIA</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58,94%</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ARANZAZU</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40,39%</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RIOSUCIO</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72,84%</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PALESTINA</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5,87%</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MERCED</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86,71%</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MANIZALES</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6,18%</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SAN JOSÉ</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31,79%</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SUPIA</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50,22%</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PÁCORA</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42,83%</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SALAMINA</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16,79%</w:t>
            </w:r>
          </w:p>
        </w:tc>
      </w:tr>
      <w:tr w:rsidR="002F65B8">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Caldas</w:t>
            </w:r>
          </w:p>
        </w:tc>
        <w:tc>
          <w:tcPr>
            <w:tcW w:w="40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VITERBO</w:t>
            </w:r>
          </w:p>
        </w:tc>
        <w:tc>
          <w:tcPr>
            <w:tcW w:w="1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13,96%</w:t>
            </w:r>
          </w:p>
        </w:tc>
      </w:tr>
    </w:tbl>
    <w:p w:rsidR="002F65B8" w:rsidRDefault="000424E9">
      <w:pPr>
        <w:widowControl w:val="0"/>
        <w:tabs>
          <w:tab w:val="left" w:pos="821"/>
        </w:tabs>
        <w:spacing w:before="139" w:line="360" w:lineRule="auto"/>
        <w:ind w:right="444"/>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con información de la Agencia Nacional de Minería. 2022.</w:t>
      </w:r>
    </w:p>
    <w:p w:rsidR="002F65B8" w:rsidRDefault="002F65B8">
      <w:pPr>
        <w:widowControl w:val="0"/>
        <w:tabs>
          <w:tab w:val="left" w:pos="821"/>
        </w:tabs>
        <w:spacing w:before="139" w:line="360" w:lineRule="auto"/>
        <w:ind w:right="444"/>
        <w:jc w:val="center"/>
        <w:rPr>
          <w:rFonts w:ascii="Times New Roman" w:eastAsia="Times New Roman" w:hAnsi="Times New Roman" w:cs="Times New Roman"/>
          <w:sz w:val="24"/>
          <w:szCs w:val="24"/>
        </w:rPr>
      </w:pPr>
    </w:p>
    <w:p w:rsidR="002F65B8" w:rsidRDefault="000424E9">
      <w:pPr>
        <w:widowControl w:val="0"/>
        <w:tabs>
          <w:tab w:val="left" w:pos="821"/>
        </w:tabs>
        <w:spacing w:before="139" w:line="360" w:lineRule="auto"/>
        <w:ind w:right="4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Tabla 7.  Porcentaje de área solicitada para minería en municipios de Valle del Cauca cuya jurisdicción interseca con Paisaje Cultural Cafetero Colombiano.</w:t>
      </w:r>
    </w:p>
    <w:tbl>
      <w:tblPr>
        <w:tblStyle w:val="a8"/>
        <w:tblW w:w="8760" w:type="dxa"/>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75"/>
        <w:gridCol w:w="3780"/>
        <w:gridCol w:w="2205"/>
      </w:tblGrid>
      <w:tr w:rsidR="002F65B8">
        <w:trPr>
          <w:trHeight w:val="500"/>
        </w:trPr>
        <w:tc>
          <w:tcPr>
            <w:tcW w:w="27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Departamento</w:t>
            </w:r>
          </w:p>
        </w:tc>
        <w:tc>
          <w:tcPr>
            <w:tcW w:w="3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Municipio PCCC</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solicitud</w:t>
            </w:r>
          </w:p>
        </w:tc>
      </w:tr>
      <w:tr w:rsidR="002F65B8">
        <w:trPr>
          <w:trHeight w:val="500"/>
        </w:trPr>
        <w:tc>
          <w:tcPr>
            <w:tcW w:w="27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Valle del Cauca</w:t>
            </w:r>
          </w:p>
        </w:tc>
        <w:tc>
          <w:tcPr>
            <w:tcW w:w="3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EL CAIRO</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0,00%</w:t>
            </w:r>
          </w:p>
        </w:tc>
      </w:tr>
      <w:tr w:rsidR="002F65B8">
        <w:trPr>
          <w:trHeight w:val="500"/>
        </w:trPr>
        <w:tc>
          <w:tcPr>
            <w:tcW w:w="27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Valle del Cauca</w:t>
            </w:r>
          </w:p>
        </w:tc>
        <w:tc>
          <w:tcPr>
            <w:tcW w:w="3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ANSERMANUEVO</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r>
      <w:tr w:rsidR="002F65B8">
        <w:trPr>
          <w:trHeight w:val="500"/>
        </w:trPr>
        <w:tc>
          <w:tcPr>
            <w:tcW w:w="27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Valle del Cauca</w:t>
            </w:r>
          </w:p>
        </w:tc>
        <w:tc>
          <w:tcPr>
            <w:tcW w:w="3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RIOFRÍO</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19,36%</w:t>
            </w:r>
          </w:p>
        </w:tc>
      </w:tr>
      <w:tr w:rsidR="002F65B8">
        <w:trPr>
          <w:trHeight w:val="500"/>
        </w:trPr>
        <w:tc>
          <w:tcPr>
            <w:tcW w:w="27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Valle del Cauca</w:t>
            </w:r>
          </w:p>
        </w:tc>
        <w:tc>
          <w:tcPr>
            <w:tcW w:w="3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SEVILLA</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r>
      <w:tr w:rsidR="002F65B8">
        <w:trPr>
          <w:trHeight w:val="500"/>
        </w:trPr>
        <w:tc>
          <w:tcPr>
            <w:tcW w:w="27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Valle del Cauca</w:t>
            </w:r>
          </w:p>
        </w:tc>
        <w:tc>
          <w:tcPr>
            <w:tcW w:w="3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EL ÁGUILA</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r>
      <w:tr w:rsidR="002F65B8">
        <w:trPr>
          <w:trHeight w:val="500"/>
        </w:trPr>
        <w:tc>
          <w:tcPr>
            <w:tcW w:w="27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Valle del Cauca</w:t>
            </w:r>
          </w:p>
        </w:tc>
        <w:tc>
          <w:tcPr>
            <w:tcW w:w="3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CAICEDONIA</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15,40%</w:t>
            </w:r>
          </w:p>
        </w:tc>
      </w:tr>
      <w:tr w:rsidR="002F65B8">
        <w:trPr>
          <w:trHeight w:val="500"/>
        </w:trPr>
        <w:tc>
          <w:tcPr>
            <w:tcW w:w="27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Valle del Cauca</w:t>
            </w:r>
          </w:p>
        </w:tc>
        <w:tc>
          <w:tcPr>
            <w:tcW w:w="3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ALCALÁ</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r>
      <w:tr w:rsidR="002F65B8">
        <w:trPr>
          <w:trHeight w:val="500"/>
        </w:trPr>
        <w:tc>
          <w:tcPr>
            <w:tcW w:w="27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Valle del Cauca</w:t>
            </w:r>
          </w:p>
        </w:tc>
        <w:tc>
          <w:tcPr>
            <w:tcW w:w="3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TRUJILLO</w:t>
            </w:r>
          </w:p>
        </w:tc>
        <w:tc>
          <w:tcPr>
            <w:tcW w:w="22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2F65B8" w:rsidRDefault="000424E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tc>
      </w:tr>
    </w:tbl>
    <w:p w:rsidR="002F65B8" w:rsidRDefault="000424E9">
      <w:pPr>
        <w:widowControl w:val="0"/>
        <w:tabs>
          <w:tab w:val="left" w:pos="821"/>
        </w:tabs>
        <w:spacing w:before="139" w:line="360" w:lineRule="auto"/>
        <w:ind w:right="444"/>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 con información de la Agencia Nacional de Minería. 2022.</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otro lado, frente a las actuales concesiones vigentes, 38 de estas son minería mediana, siendo los territorios con mayor afectación por explotación por hectáreas: Quinc</w:t>
      </w:r>
      <w:r>
        <w:rPr>
          <w:rFonts w:ascii="Times New Roman" w:eastAsia="Times New Roman" w:hAnsi="Times New Roman" w:cs="Times New Roman"/>
          <w:sz w:val="24"/>
          <w:szCs w:val="24"/>
        </w:rPr>
        <w:t>hía, Risaralda (1982 hectáreas), Marsella, Risaralda (1.850 hectáreas), Marmato, Caldas (1.710).</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declaratoria del Paisaje Cultural Cafetero la actividad minera a mediana y gran escala representan una amenaza que atenta contra el medio ambiente, la sostenibilidad del territorio, la identidad cultural y el patrimonio histórico; la UNESCO, en el </w:t>
      </w:r>
      <w:r>
        <w:rPr>
          <w:rFonts w:ascii="Times New Roman" w:eastAsia="Times New Roman" w:hAnsi="Times New Roman" w:cs="Times New Roman"/>
          <w:sz w:val="24"/>
          <w:szCs w:val="24"/>
        </w:rPr>
        <w:t>tercer punto de la declaratoria,  indica que no puede haber minería en los municipios que conforman el Paisaje, ni se puede permitir ninguna otra actividad que perjudique y genere un impacto negativo en la naturaleza, patrimonio arquitectónico y paisajísti</w:t>
      </w:r>
      <w:r>
        <w:rPr>
          <w:rFonts w:ascii="Times New Roman" w:eastAsia="Times New Roman" w:hAnsi="Times New Roman" w:cs="Times New Roman"/>
          <w:sz w:val="24"/>
          <w:szCs w:val="24"/>
        </w:rPr>
        <w:t>co.</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mayor parte de los títulos mineros otorgados son para multinacionales extranjeras que generan un gran impacto sobre el entorno, tanto los conocidos en el ámbito de naturaleza, contaminación auditiva, visual, paisajístico, como en el ámbito  social, </w:t>
      </w:r>
      <w:r>
        <w:rPr>
          <w:rFonts w:ascii="Times New Roman" w:eastAsia="Times New Roman" w:hAnsi="Times New Roman" w:cs="Times New Roman"/>
          <w:sz w:val="24"/>
          <w:szCs w:val="24"/>
        </w:rPr>
        <w:t xml:space="preserve">generando el desplazamiento de la población rural hacia otras zonas y la pérdida de saberes ancestrales o tradiciones. Dejándole al territorio grandes problemas ambientales como lo son la contaminación del aire y el agua, produciendo suelos infértiles que </w:t>
      </w:r>
      <w:r>
        <w:rPr>
          <w:rFonts w:ascii="Times New Roman" w:eastAsia="Times New Roman" w:hAnsi="Times New Roman" w:cs="Times New Roman"/>
          <w:sz w:val="24"/>
          <w:szCs w:val="24"/>
        </w:rPr>
        <w:t>impiden el resurgimiento de nuevos afloramientos naturales por los químicos utilizados para la extracción; y sociales como la violación de los derechos humanos y sus precarias condiciones de seguridad. Estos son unos de los tantos problemas que enmarcan es</w:t>
      </w:r>
      <w:r>
        <w:rPr>
          <w:rFonts w:ascii="Times New Roman" w:eastAsia="Times New Roman" w:hAnsi="Times New Roman" w:cs="Times New Roman"/>
          <w:sz w:val="24"/>
          <w:szCs w:val="24"/>
        </w:rPr>
        <w:t>te tema; dejando consecuencias irreversibles al país y llevándose buena parte de los beneficios.</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En conclusión, la explotación minera y los proyectos de infraestructura a gran y mediana escala podrían generar impactos negativos sobre el Valor Universal Excepcional del PCCC y la calidad de vida de los habitantes, asunto que se pretende proteger con  la</w:t>
      </w:r>
      <w:r>
        <w:rPr>
          <w:rFonts w:ascii="Times New Roman" w:eastAsia="Times New Roman" w:hAnsi="Times New Roman" w:cs="Times New Roman"/>
          <w:sz w:val="24"/>
          <w:szCs w:val="24"/>
        </w:rPr>
        <w:t xml:space="preserve"> declaratoria como Patrimonio de la Humanidad el PCC. El deterioro al PCCC al ritmo que va podría ser socio-económico, paisajístico, cultural y ambiental; frente al tejido social y cultural, diversas investigaciones indican que “</w:t>
      </w:r>
      <w:r>
        <w:rPr>
          <w:rFonts w:ascii="Times New Roman" w:eastAsia="Times New Roman" w:hAnsi="Times New Roman" w:cs="Times New Roman"/>
          <w:sz w:val="24"/>
          <w:szCs w:val="24"/>
          <w:highlight w:val="white"/>
        </w:rPr>
        <w:t>la explotación de los recur</w:t>
      </w:r>
      <w:r>
        <w:rPr>
          <w:rFonts w:ascii="Times New Roman" w:eastAsia="Times New Roman" w:hAnsi="Times New Roman" w:cs="Times New Roman"/>
          <w:sz w:val="24"/>
          <w:szCs w:val="24"/>
          <w:highlight w:val="white"/>
        </w:rPr>
        <w:t xml:space="preserve">sos naturales y proyectos a gran escala (...) entran a chocar con las </w:t>
      </w:r>
      <w:r>
        <w:rPr>
          <w:rFonts w:ascii="Times New Roman" w:eastAsia="Times New Roman" w:hAnsi="Times New Roman" w:cs="Times New Roman"/>
          <w:sz w:val="24"/>
          <w:szCs w:val="24"/>
          <w:highlight w:val="white"/>
          <w:u w:val="single"/>
        </w:rPr>
        <w:t>lógicas culturales</w:t>
      </w:r>
      <w:r>
        <w:rPr>
          <w:rFonts w:ascii="Times New Roman" w:eastAsia="Times New Roman" w:hAnsi="Times New Roman" w:cs="Times New Roman"/>
          <w:sz w:val="24"/>
          <w:szCs w:val="24"/>
          <w:highlight w:val="white"/>
        </w:rPr>
        <w:t xml:space="preserve"> de los territorios de interés habitados por diversas comunidades tanto </w:t>
      </w:r>
      <w:r>
        <w:rPr>
          <w:rFonts w:ascii="Times New Roman" w:eastAsia="Times New Roman" w:hAnsi="Times New Roman" w:cs="Times New Roman"/>
          <w:sz w:val="24"/>
          <w:szCs w:val="24"/>
          <w:highlight w:val="white"/>
          <w:u w:val="single"/>
        </w:rPr>
        <w:t xml:space="preserve">indígenas, negras, campesinas, raizales </w:t>
      </w:r>
      <w:r>
        <w:rPr>
          <w:rFonts w:ascii="Times New Roman" w:eastAsia="Times New Roman" w:hAnsi="Times New Roman" w:cs="Times New Roman"/>
          <w:sz w:val="24"/>
          <w:szCs w:val="24"/>
          <w:highlight w:val="white"/>
        </w:rPr>
        <w:t>quienes entran en una dinámica de resistencia por su cul</w:t>
      </w:r>
      <w:r>
        <w:rPr>
          <w:rFonts w:ascii="Times New Roman" w:eastAsia="Times New Roman" w:hAnsi="Times New Roman" w:cs="Times New Roman"/>
          <w:sz w:val="24"/>
          <w:szCs w:val="24"/>
          <w:highlight w:val="white"/>
        </w:rPr>
        <w:t>tura y sus territorios por lo que varias de estas comunidades han sufrido el desplazamiento armado forzado o el despojo legal de sus tierras o el desarraigo cultural, o procesos de eliminación violenta así como la criminalización de sus formas de resistenc</w:t>
      </w:r>
      <w:r>
        <w:rPr>
          <w:rFonts w:ascii="Times New Roman" w:eastAsia="Times New Roman" w:hAnsi="Times New Roman" w:cs="Times New Roman"/>
          <w:sz w:val="24"/>
          <w:szCs w:val="24"/>
          <w:highlight w:val="white"/>
        </w:rPr>
        <w:t>ia, entre otras consecuencias.” (Insuasty, A., Grisales, D., &amp; Gutiérrez, E. M., 2013)</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la Lista de Patrimonio Mundial se encuentran 981 sitios y siete de ellos están situados en Colombia, siendo el PCCC el único enfocado en exaltar la riqueza cultural, </w:t>
      </w:r>
      <w:r>
        <w:rPr>
          <w:rFonts w:ascii="Times New Roman" w:eastAsia="Times New Roman" w:hAnsi="Times New Roman" w:cs="Times New Roman"/>
          <w:sz w:val="24"/>
          <w:szCs w:val="24"/>
          <w:highlight w:val="white"/>
        </w:rPr>
        <w:t>económica y natural, pues los otros 6 de la lista de Colombia son santuarios ambientales o parques arqueológicos. Por otro lado, frente a Paisajes culturales en América latina “este honor, sólo lo tienen actualmente otros dos paisajes culturales de América</w:t>
      </w:r>
      <w:r>
        <w:rPr>
          <w:rFonts w:ascii="Times New Roman" w:eastAsia="Times New Roman" w:hAnsi="Times New Roman" w:cs="Times New Roman"/>
          <w:sz w:val="24"/>
          <w:szCs w:val="24"/>
          <w:highlight w:val="white"/>
        </w:rPr>
        <w:t xml:space="preserve"> Latina: el Paisaje Agavero y las Antiguas Instalaciones Industriales de Tequila de México y el Paisaje Arqueológico de las primeras plantaciones de café en el sureste de Cuba.” (Min. Cultura, s.f)</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declaratoria como patrimonio de la humanidad del PCCC s</w:t>
      </w:r>
      <w:r>
        <w:rPr>
          <w:rFonts w:ascii="Times New Roman" w:eastAsia="Times New Roman" w:hAnsi="Times New Roman" w:cs="Times New Roman"/>
          <w:sz w:val="24"/>
          <w:szCs w:val="24"/>
        </w:rPr>
        <w:t>ignifica para los municipios pequeños y cafeteros un impulso a su competitividad, desarrollo sostenible y economía turística y agraria, perder esta declaratoria por un impacto negativo al territorio por la megaminería traería un retroceso en materia cultur</w:t>
      </w:r>
      <w:r>
        <w:rPr>
          <w:rFonts w:ascii="Times New Roman" w:eastAsia="Times New Roman" w:hAnsi="Times New Roman" w:cs="Times New Roman"/>
          <w:sz w:val="24"/>
          <w:szCs w:val="24"/>
        </w:rPr>
        <w:t>al, socioeconómica y territorial generalizada. Con el presente proyecto de ley y la exclusión de la megaminería en el territorio del PCCC y su zona de amortiguación, pretendemos proteger el patrimonio de la humanidad, evitando el deterioro cultural de la r</w:t>
      </w:r>
      <w:r>
        <w:rPr>
          <w:rFonts w:ascii="Times New Roman" w:eastAsia="Times New Roman" w:hAnsi="Times New Roman" w:cs="Times New Roman"/>
          <w:sz w:val="24"/>
          <w:szCs w:val="24"/>
        </w:rPr>
        <w:t xml:space="preserve">egión, las costumbres campesinas, la vocación real del territorio, su economía, proteger el patrimonio histórico, ambiental, fuentes y seguridad hídrica, biodiversidad, cultura agroecológica, cultivos tradicionales, infraestructura vial, </w:t>
      </w:r>
      <w:r>
        <w:rPr>
          <w:rFonts w:ascii="Times New Roman" w:eastAsia="Times New Roman" w:hAnsi="Times New Roman" w:cs="Times New Roman"/>
          <w:sz w:val="24"/>
          <w:szCs w:val="24"/>
          <w:highlight w:val="white"/>
        </w:rPr>
        <w:t xml:space="preserve"> y el territorio d</w:t>
      </w:r>
      <w:r>
        <w:rPr>
          <w:rFonts w:ascii="Times New Roman" w:eastAsia="Times New Roman" w:hAnsi="Times New Roman" w:cs="Times New Roman"/>
          <w:sz w:val="24"/>
          <w:szCs w:val="24"/>
          <w:highlight w:val="white"/>
        </w:rPr>
        <w:t xml:space="preserve">e las comunidades tanto indígenas, negras, campesinas, </w:t>
      </w:r>
      <w:r>
        <w:rPr>
          <w:rFonts w:ascii="Times New Roman" w:eastAsia="Times New Roman" w:hAnsi="Times New Roman" w:cs="Times New Roman"/>
          <w:sz w:val="24"/>
          <w:szCs w:val="24"/>
        </w:rPr>
        <w:t xml:space="preserve">entre otras. </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Finalmente,</w:t>
      </w:r>
      <w:r>
        <w:rPr>
          <w:rFonts w:ascii="Times New Roman" w:eastAsia="Times New Roman" w:hAnsi="Times New Roman" w:cs="Times New Roman"/>
          <w:sz w:val="24"/>
          <w:szCs w:val="24"/>
        </w:rPr>
        <w:t xml:space="preserve"> dentro del articulado se incluyen algunas definiciones para describir el  paisaje cultural se tiene en cuenta tanto su geografía (suelo, elementos hídricos), como las acciones</w:t>
      </w:r>
      <w:r>
        <w:rPr>
          <w:rFonts w:ascii="Times New Roman" w:eastAsia="Times New Roman" w:hAnsi="Times New Roman" w:cs="Times New Roman"/>
          <w:sz w:val="24"/>
          <w:szCs w:val="24"/>
        </w:rPr>
        <w:t xml:space="preserve"> humanas y sus actividades productivas (economía, formas de vida, creencias). Elementos que se deben proteger dentro de los 51 municipios de los 4 departamentos que conforman el Paisaje Cultural Cafetero –PCC-. Además para que se conserven dichas creencias</w:t>
      </w:r>
      <w:r>
        <w:rPr>
          <w:rFonts w:ascii="Times New Roman" w:eastAsia="Times New Roman" w:hAnsi="Times New Roman" w:cs="Times New Roman"/>
          <w:sz w:val="24"/>
          <w:szCs w:val="24"/>
        </w:rPr>
        <w:t>, culturas y costumbres se deben equilibrar las actividades de los municipios para trabajar en pro de los procesos económicos, sociales y ambientales de la región (Acevedo y Osorio, 2008, Mincultura y Fedecafe, 2010). Por otra parte, Colombia al ser uno de</w:t>
      </w:r>
      <w:r>
        <w:rPr>
          <w:rFonts w:ascii="Times New Roman" w:eastAsia="Times New Roman" w:hAnsi="Times New Roman" w:cs="Times New Roman"/>
          <w:sz w:val="24"/>
          <w:szCs w:val="24"/>
        </w:rPr>
        <w:t xml:space="preserve"> los países con mayor biodiversidad y riqueza en recursos hídricos y mineros en el mundo, se presta para que una parte del territorio esté concesionado a las empresas multinacionales quienes realizan proyectos de extracción de hidrocarburos y explotación d</w:t>
      </w:r>
      <w:r>
        <w:rPr>
          <w:rFonts w:ascii="Times New Roman" w:eastAsia="Times New Roman" w:hAnsi="Times New Roman" w:cs="Times New Roman"/>
          <w:sz w:val="24"/>
          <w:szCs w:val="24"/>
        </w:rPr>
        <w:t>el subsuelo de los municipios con este perfil minero (Vicente et al., 2011).</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UNESCO introduce a Colombia dentro del patrimonio de la humanidad por sus notorias características sociales y ambientales, de esta forma se pretende incentivar a toda la socied</w:t>
      </w:r>
      <w:r>
        <w:rPr>
          <w:rFonts w:ascii="Times New Roman" w:eastAsia="Times New Roman" w:hAnsi="Times New Roman" w:cs="Times New Roman"/>
          <w:sz w:val="24"/>
          <w:szCs w:val="24"/>
        </w:rPr>
        <w:t>ad para trabajar conjuntamente por el beneficio, la conservación, el cuidado del medio ambiente, la cultura y la transmisión de saberes a nuevas generaciones; sin embargo, el perfil económico y social de un territorio como Quinchía que constantemente ha en</w:t>
      </w:r>
      <w:r>
        <w:rPr>
          <w:rFonts w:ascii="Times New Roman" w:eastAsia="Times New Roman" w:hAnsi="Times New Roman" w:cs="Times New Roman"/>
          <w:sz w:val="24"/>
          <w:szCs w:val="24"/>
        </w:rPr>
        <w:t xml:space="preserve">frentado problemas ambientales a causa de la actividad minera, conlleva a cuestionar la, sustentabilidad del PCC en un territorio que explota su subsuelo y contamina el medio ambiente omitiendo procesos de gestión ambiental del territorio. Aunque Colombia </w:t>
      </w:r>
      <w:r>
        <w:rPr>
          <w:rFonts w:ascii="Times New Roman" w:eastAsia="Times New Roman" w:hAnsi="Times New Roman" w:cs="Times New Roman"/>
          <w:sz w:val="24"/>
          <w:szCs w:val="24"/>
        </w:rPr>
        <w:t>tiene muchas riquezas, la mayoría de los títulos mineros asignados son para empresas extranjeras que generan un gran impacto sobre el entorno tanto a la naturaleza como a las personas vinculadas directa o indirectamente, dejándole al territorio grandes pro</w:t>
      </w:r>
      <w:r>
        <w:rPr>
          <w:rFonts w:ascii="Times New Roman" w:eastAsia="Times New Roman" w:hAnsi="Times New Roman" w:cs="Times New Roman"/>
          <w:sz w:val="24"/>
          <w:szCs w:val="24"/>
        </w:rPr>
        <w:t>blemas ambientales como lo son la contaminación del aire y el agua, produciendo suelos infértiles que impiden el resurgimiento de nuevos afloramientos naturales por los químicos utilizados para la extracción; y sociales como la violación de los derechos hu</w:t>
      </w:r>
      <w:r>
        <w:rPr>
          <w:rFonts w:ascii="Times New Roman" w:eastAsia="Times New Roman" w:hAnsi="Times New Roman" w:cs="Times New Roman"/>
          <w:sz w:val="24"/>
          <w:szCs w:val="24"/>
        </w:rPr>
        <w:t>manos y sus precarias condiciones de seguridad. Estos son unos de los tantos problemas que enmarcan este tema; dejando consecuencias irreversibles al país y llevándose todos los beneficios</w:t>
      </w:r>
    </w:p>
    <w:p w:rsidR="002F65B8" w:rsidRDefault="000424E9">
      <w:pPr>
        <w:widowControl w:val="0"/>
        <w:tabs>
          <w:tab w:val="left" w:pos="821"/>
        </w:tabs>
        <w:spacing w:before="139" w:line="360" w:lineRule="auto"/>
        <w:ind w:right="4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se modifica el artículo 35 con la finalidad de hacer clarid</w:t>
      </w:r>
      <w:r>
        <w:rPr>
          <w:rFonts w:ascii="Times New Roman" w:eastAsia="Times New Roman" w:hAnsi="Times New Roman" w:cs="Times New Roman"/>
          <w:sz w:val="24"/>
          <w:szCs w:val="24"/>
        </w:rPr>
        <w:t>ad sobre las zonas de minería restringidas, esto es, que no es válida la autorización de autoridad competente para conceder contratos de exploración y explotación  minera ni de hidrocarburos en el paisaje Cultural Cafetero. Por último, se adiciona un régim</w:t>
      </w:r>
      <w:r>
        <w:rPr>
          <w:rFonts w:ascii="Times New Roman" w:eastAsia="Times New Roman" w:hAnsi="Times New Roman" w:cs="Times New Roman"/>
          <w:sz w:val="24"/>
          <w:szCs w:val="24"/>
        </w:rPr>
        <w:t xml:space="preserve">en de transición, con el propósito de no afectar derechos  adquiridos de terceros. </w:t>
      </w:r>
    </w:p>
    <w:p w:rsidR="002F65B8" w:rsidRDefault="002F65B8">
      <w:pPr>
        <w:pStyle w:val="Ttulo1"/>
        <w:keepNext w:val="0"/>
        <w:keepLines w:val="0"/>
        <w:widowControl w:val="0"/>
        <w:tabs>
          <w:tab w:val="left" w:pos="401"/>
        </w:tabs>
        <w:spacing w:before="200" w:after="0" w:line="240" w:lineRule="auto"/>
        <w:jc w:val="both"/>
        <w:rPr>
          <w:rFonts w:ascii="Times New Roman" w:eastAsia="Times New Roman" w:hAnsi="Times New Roman" w:cs="Times New Roman"/>
          <w:b/>
          <w:sz w:val="24"/>
          <w:szCs w:val="24"/>
        </w:rPr>
      </w:pPr>
      <w:bookmarkStart w:id="6" w:name="_dvuekeav2rp7" w:colFirst="0" w:colLast="0"/>
      <w:bookmarkEnd w:id="6"/>
    </w:p>
    <w:p w:rsidR="002F65B8" w:rsidRDefault="000424E9">
      <w:pPr>
        <w:pStyle w:val="Ttulo1"/>
        <w:keepNext w:val="0"/>
        <w:keepLines w:val="0"/>
        <w:widowControl w:val="0"/>
        <w:tabs>
          <w:tab w:val="left" w:pos="401"/>
        </w:tabs>
        <w:spacing w:before="200" w:after="0" w:line="240" w:lineRule="auto"/>
        <w:jc w:val="both"/>
        <w:rPr>
          <w:rFonts w:ascii="Times New Roman" w:eastAsia="Times New Roman" w:hAnsi="Times New Roman" w:cs="Times New Roman"/>
          <w:b/>
          <w:sz w:val="24"/>
          <w:szCs w:val="24"/>
        </w:rPr>
      </w:pPr>
      <w:bookmarkStart w:id="7" w:name="_t2gvtcv97fb" w:colFirst="0" w:colLast="0"/>
      <w:bookmarkEnd w:id="7"/>
      <w:r>
        <w:rPr>
          <w:rFonts w:ascii="Times New Roman" w:eastAsia="Times New Roman" w:hAnsi="Times New Roman" w:cs="Times New Roman"/>
          <w:b/>
          <w:sz w:val="22"/>
          <w:szCs w:val="22"/>
        </w:rPr>
        <w:t>7. CONFLICTO DE INTERESES</w:t>
      </w:r>
      <w:r>
        <w:rPr>
          <w:rFonts w:ascii="Times New Roman" w:eastAsia="Times New Roman" w:hAnsi="Times New Roman" w:cs="Times New Roman"/>
          <w:b/>
          <w:sz w:val="24"/>
          <w:szCs w:val="24"/>
        </w:rPr>
        <w:t xml:space="preserve"> </w:t>
      </w:r>
    </w:p>
    <w:p w:rsidR="002F65B8" w:rsidRDefault="002F65B8">
      <w:pPr>
        <w:tabs>
          <w:tab w:val="left" w:pos="401"/>
        </w:tabs>
        <w:rPr>
          <w:rFonts w:ascii="Times New Roman" w:eastAsia="Times New Roman" w:hAnsi="Times New Roman" w:cs="Times New Roman"/>
        </w:rPr>
      </w:pPr>
    </w:p>
    <w:p w:rsidR="002F65B8" w:rsidRDefault="000424E9">
      <w:pPr>
        <w:tabs>
          <w:tab w:val="left" w:pos="401"/>
        </w:tabs>
        <w:jc w:val="both"/>
        <w:rPr>
          <w:rFonts w:ascii="Times New Roman" w:eastAsia="Times New Roman" w:hAnsi="Times New Roman" w:cs="Times New Roman"/>
        </w:rPr>
      </w:pPr>
      <w:r>
        <w:rPr>
          <w:rFonts w:ascii="Times New Roman" w:eastAsia="Times New Roman" w:hAnsi="Times New Roman" w:cs="Times New Roman"/>
        </w:rPr>
        <w:t>De conformidad con el artículo 3 de la Ley 2003 del 19 de noviembre de 2019, “</w:t>
      </w:r>
      <w:r>
        <w:rPr>
          <w:rFonts w:ascii="Times New Roman" w:eastAsia="Times New Roman" w:hAnsi="Times New Roman" w:cs="Times New Roman"/>
          <w:i/>
        </w:rPr>
        <w:t>Por la cual se modifica parcialmente la Ley 5 de 1992 y se dictan</w:t>
      </w:r>
      <w:r>
        <w:rPr>
          <w:rFonts w:ascii="Times New Roman" w:eastAsia="Times New Roman" w:hAnsi="Times New Roman" w:cs="Times New Roman"/>
          <w:i/>
        </w:rPr>
        <w:t xml:space="preserve"> otras disposiciones”</w:t>
      </w:r>
      <w:r>
        <w:rPr>
          <w:rFonts w:ascii="Times New Roman" w:eastAsia="Times New Roman" w:hAnsi="Times New Roman" w:cs="Times New Roman"/>
        </w:rPr>
        <w:t>, que establece que tanto el autor del proyecto y el ponente dentro de la exposición de motivos, deberán incluir un acápite que describa las circunstancias o eventos que podrían generar un conflicto de interés para la discusión y votac</w:t>
      </w:r>
      <w:r>
        <w:rPr>
          <w:rFonts w:ascii="Times New Roman" w:eastAsia="Times New Roman" w:hAnsi="Times New Roman" w:cs="Times New Roman"/>
        </w:rPr>
        <w:t>ión del proyecto, sirviendo de guía para que los otros congresistas tomen una decisión en torno, si se encuentran incursos en una causal de impedimento, no obstante, otras causales que el Congresista pueda encontrar.</w:t>
      </w:r>
    </w:p>
    <w:p w:rsidR="002F65B8" w:rsidRDefault="002F65B8">
      <w:pPr>
        <w:tabs>
          <w:tab w:val="left" w:pos="401"/>
        </w:tabs>
        <w:jc w:val="both"/>
        <w:rPr>
          <w:rFonts w:ascii="Times New Roman" w:eastAsia="Times New Roman" w:hAnsi="Times New Roman" w:cs="Times New Roman"/>
        </w:rPr>
      </w:pPr>
    </w:p>
    <w:p w:rsidR="002F65B8" w:rsidRDefault="000424E9">
      <w:pPr>
        <w:tabs>
          <w:tab w:val="left" w:pos="401"/>
        </w:tabs>
        <w:jc w:val="both"/>
        <w:rPr>
          <w:rFonts w:ascii="Times New Roman" w:eastAsia="Times New Roman" w:hAnsi="Times New Roman" w:cs="Times New Roman"/>
        </w:rPr>
      </w:pPr>
      <w:r>
        <w:rPr>
          <w:rFonts w:ascii="Times New Roman" w:eastAsia="Times New Roman" w:hAnsi="Times New Roman" w:cs="Times New Roman"/>
        </w:rPr>
        <w:t>En ese orden de ideas, el presente pro</w:t>
      </w:r>
      <w:r>
        <w:rPr>
          <w:rFonts w:ascii="Times New Roman" w:eastAsia="Times New Roman" w:hAnsi="Times New Roman" w:cs="Times New Roman"/>
        </w:rPr>
        <w:t>yecto de ley, por ser de carácter general, no configura un beneficio particular, actual y directo para ningún congresista, teniendo en cuenta que, la propuesta versa sobre protección del Paisaje Cultural Cafetero, como patrimonio cultura de la humanidad, e</w:t>
      </w:r>
      <w:r>
        <w:rPr>
          <w:rFonts w:ascii="Times New Roman" w:eastAsia="Times New Roman" w:hAnsi="Times New Roman" w:cs="Times New Roman"/>
        </w:rPr>
        <w:t>s de interés general que no beneficiaría a ningún congresista de forma particular, actual y directa.</w:t>
      </w:r>
    </w:p>
    <w:p w:rsidR="002F65B8" w:rsidRDefault="002F65B8">
      <w:pPr>
        <w:tabs>
          <w:tab w:val="left" w:pos="401"/>
        </w:tabs>
        <w:jc w:val="both"/>
        <w:rPr>
          <w:rFonts w:ascii="Times New Roman" w:eastAsia="Times New Roman" w:hAnsi="Times New Roman" w:cs="Times New Roman"/>
        </w:rPr>
      </w:pPr>
    </w:p>
    <w:p w:rsidR="002F65B8" w:rsidRDefault="000424E9">
      <w:pPr>
        <w:tabs>
          <w:tab w:val="left" w:pos="401"/>
        </w:tabs>
        <w:jc w:val="both"/>
        <w:rPr>
          <w:rFonts w:ascii="Times New Roman" w:eastAsia="Times New Roman" w:hAnsi="Times New Roman" w:cs="Times New Roman"/>
        </w:rPr>
      </w:pPr>
      <w:r>
        <w:rPr>
          <w:rFonts w:ascii="Times New Roman" w:eastAsia="Times New Roman" w:hAnsi="Times New Roman" w:cs="Times New Roman"/>
        </w:rPr>
        <w:t>Finalmente, sobre los conflictos de interés resulta importante recordar lo señalado por el Consejo de Estado que, en la Sala Plena Contenciosa Administrat</w:t>
      </w:r>
      <w:r>
        <w:rPr>
          <w:rFonts w:ascii="Times New Roman" w:eastAsia="Times New Roman" w:hAnsi="Times New Roman" w:cs="Times New Roman"/>
        </w:rPr>
        <w:t>iva, mediante Sentencia 02830 del 16 de julio de 2019, M.P. Carlos Enrique Moreno Rubio, señaló que:</w:t>
      </w:r>
    </w:p>
    <w:p w:rsidR="002F65B8" w:rsidRDefault="002F65B8">
      <w:pPr>
        <w:tabs>
          <w:tab w:val="left" w:pos="401"/>
        </w:tabs>
        <w:jc w:val="both"/>
        <w:rPr>
          <w:rFonts w:ascii="Times New Roman" w:eastAsia="Times New Roman" w:hAnsi="Times New Roman" w:cs="Times New Roman"/>
        </w:rPr>
      </w:pPr>
    </w:p>
    <w:p w:rsidR="002F65B8" w:rsidRDefault="000424E9">
      <w:pPr>
        <w:tabs>
          <w:tab w:val="left" w:pos="401"/>
        </w:tabs>
        <w:jc w:val="both"/>
        <w:rPr>
          <w:rFonts w:ascii="Times New Roman" w:eastAsia="Times New Roman" w:hAnsi="Times New Roman" w:cs="Times New Roman"/>
        </w:rPr>
      </w:pPr>
      <w:r>
        <w:rPr>
          <w:rFonts w:ascii="Times New Roman" w:eastAsia="Times New Roman" w:hAnsi="Times New Roman" w:cs="Times New Roman"/>
        </w:rPr>
        <w:t>“No cualquier interés configura la causal de desinvestidura en comento, pues se sabe que sólo lo será aquél del que se pueda predicar que es directo, esto</w:t>
      </w:r>
      <w:r>
        <w:rPr>
          <w:rFonts w:ascii="Times New Roman" w:eastAsia="Times New Roman" w:hAnsi="Times New Roman" w:cs="Times New Roman"/>
        </w:rPr>
        <w:t xml:space="preserve"> es, que per se el alegado beneficio, provecho o utilidad encuentre su fuente en el asunto que fue conocido por el legislador; particular, que el mismo sea específico o personal, bien para el congresista o quienes se encuentren relacionados con él; y actua</w:t>
      </w:r>
      <w:r>
        <w:rPr>
          <w:rFonts w:ascii="Times New Roman" w:eastAsia="Times New Roman" w:hAnsi="Times New Roman" w:cs="Times New Roman"/>
        </w:rPr>
        <w:t>l o inmediato, que concurra para el momento en que ocurrió la participación o votación del congresista, lo que excluye sucesos contingentes, futuros o imprevisibles. También se tiene noticia que el interés puede ser de cualquier naturaleza, esto es, económ</w:t>
      </w:r>
      <w:r>
        <w:rPr>
          <w:rFonts w:ascii="Times New Roman" w:eastAsia="Times New Roman" w:hAnsi="Times New Roman" w:cs="Times New Roman"/>
        </w:rPr>
        <w:t>ico o moral, sin distinción alguna”.</w:t>
      </w:r>
    </w:p>
    <w:p w:rsidR="002F65B8" w:rsidRDefault="002F65B8">
      <w:pPr>
        <w:tabs>
          <w:tab w:val="left" w:pos="401"/>
        </w:tabs>
        <w:jc w:val="both"/>
        <w:rPr>
          <w:rFonts w:ascii="Times New Roman" w:eastAsia="Times New Roman" w:hAnsi="Times New Roman" w:cs="Times New Roman"/>
        </w:rPr>
      </w:pPr>
    </w:p>
    <w:p w:rsidR="002F65B8" w:rsidRDefault="000424E9">
      <w:pPr>
        <w:tabs>
          <w:tab w:val="left" w:pos="401"/>
        </w:tabs>
        <w:jc w:val="both"/>
        <w:rPr>
          <w:rFonts w:ascii="Times New Roman" w:eastAsia="Times New Roman" w:hAnsi="Times New Roman" w:cs="Times New Roman"/>
        </w:rPr>
      </w:pPr>
      <w:r>
        <w:rPr>
          <w:rFonts w:ascii="Times New Roman" w:eastAsia="Times New Roman" w:hAnsi="Times New Roman" w:cs="Times New Roman"/>
        </w:rPr>
        <w:t xml:space="preserve">En el mismo sentido, es pertinente señalar lo que la Ley 5 de 1992 dispone sobre la materia en el artículo 286, modificado por el artículo 1 de la Ley 2003 de 2019: </w:t>
      </w:r>
    </w:p>
    <w:p w:rsidR="002F65B8" w:rsidRDefault="002F65B8">
      <w:pPr>
        <w:tabs>
          <w:tab w:val="left" w:pos="401"/>
        </w:tabs>
        <w:jc w:val="both"/>
        <w:rPr>
          <w:rFonts w:ascii="Times New Roman" w:eastAsia="Times New Roman" w:hAnsi="Times New Roman" w:cs="Times New Roman"/>
        </w:rPr>
      </w:pPr>
    </w:p>
    <w:p w:rsidR="002F65B8" w:rsidRDefault="000424E9">
      <w:pPr>
        <w:tabs>
          <w:tab w:val="left" w:pos="401"/>
        </w:tabs>
        <w:jc w:val="both"/>
        <w:rPr>
          <w:rFonts w:ascii="Times New Roman" w:eastAsia="Times New Roman" w:hAnsi="Times New Roman" w:cs="Times New Roman"/>
          <w:i/>
        </w:rPr>
      </w:pPr>
      <w:r>
        <w:rPr>
          <w:rFonts w:ascii="Times New Roman" w:eastAsia="Times New Roman" w:hAnsi="Times New Roman" w:cs="Times New Roman"/>
        </w:rPr>
        <w:t>“</w:t>
      </w:r>
      <w:r>
        <w:rPr>
          <w:rFonts w:ascii="Times New Roman" w:eastAsia="Times New Roman" w:hAnsi="Times New Roman" w:cs="Times New Roman"/>
          <w:i/>
        </w:rPr>
        <w:t>Se entiende como conflicto de interés una situación donde la discusión o votación de un proyecto de ley o acto legislativo o artículo, pueda resultar en un beneficio particular, actual y directo a favor del congresista.</w:t>
      </w:r>
    </w:p>
    <w:p w:rsidR="002F65B8" w:rsidRDefault="000424E9">
      <w:pPr>
        <w:tabs>
          <w:tab w:val="left" w:pos="401"/>
        </w:tabs>
        <w:jc w:val="both"/>
        <w:rPr>
          <w:rFonts w:ascii="Times New Roman" w:eastAsia="Times New Roman" w:hAnsi="Times New Roman" w:cs="Times New Roman"/>
          <w:i/>
        </w:rPr>
      </w:pPr>
      <w:r>
        <w:rPr>
          <w:rFonts w:ascii="Times New Roman" w:eastAsia="Times New Roman" w:hAnsi="Times New Roman" w:cs="Times New Roman"/>
          <w:i/>
        </w:rPr>
        <w:t>a) Beneficio particular: aquel que o</w:t>
      </w:r>
      <w:r>
        <w:rPr>
          <w:rFonts w:ascii="Times New Roman" w:eastAsia="Times New Roman" w:hAnsi="Times New Roman" w:cs="Times New Roman"/>
          <w:i/>
        </w:rPr>
        <w:t>torga un privilegio o genera ganancias o crea indemnizaciones económicas o elimina obligaciones a favor del congresista de las que no gozan el resto de los ciudadanos. Modifique normas que afecten investigaciones penales, disciplinarias, fiscales o adminis</w:t>
      </w:r>
      <w:r>
        <w:rPr>
          <w:rFonts w:ascii="Times New Roman" w:eastAsia="Times New Roman" w:hAnsi="Times New Roman" w:cs="Times New Roman"/>
          <w:i/>
        </w:rPr>
        <w:t xml:space="preserve">trativas a las que se encuentre formalmente vinculado. </w:t>
      </w:r>
    </w:p>
    <w:p w:rsidR="002F65B8" w:rsidRDefault="000424E9">
      <w:pPr>
        <w:tabs>
          <w:tab w:val="left" w:pos="401"/>
        </w:tabs>
        <w:jc w:val="both"/>
        <w:rPr>
          <w:rFonts w:ascii="Times New Roman" w:eastAsia="Times New Roman" w:hAnsi="Times New Roman" w:cs="Times New Roman"/>
          <w:i/>
        </w:rPr>
      </w:pPr>
      <w:r>
        <w:rPr>
          <w:rFonts w:ascii="Times New Roman" w:eastAsia="Times New Roman" w:hAnsi="Times New Roman" w:cs="Times New Roman"/>
          <w:i/>
        </w:rPr>
        <w:t xml:space="preserve">b) Beneficio actual: aquel que efectivamente se configura en las circunstancias presentes y existentes al momento en el que el congresista participa de la decisión. </w:t>
      </w:r>
    </w:p>
    <w:p w:rsidR="002F65B8" w:rsidRDefault="000424E9">
      <w:pPr>
        <w:tabs>
          <w:tab w:val="left" w:pos="401"/>
        </w:tabs>
        <w:jc w:val="both"/>
        <w:rPr>
          <w:rFonts w:ascii="Times New Roman" w:eastAsia="Times New Roman" w:hAnsi="Times New Roman" w:cs="Times New Roman"/>
          <w:i/>
        </w:rPr>
      </w:pPr>
      <w:r>
        <w:rPr>
          <w:rFonts w:ascii="Times New Roman" w:eastAsia="Times New Roman" w:hAnsi="Times New Roman" w:cs="Times New Roman"/>
          <w:i/>
        </w:rPr>
        <w:t xml:space="preserve">c) Beneficio directo: aquel que se produzca de forma específica respecto del congresista, </w:t>
      </w:r>
      <w:r>
        <w:rPr>
          <w:rFonts w:ascii="Times New Roman" w:eastAsia="Times New Roman" w:hAnsi="Times New Roman" w:cs="Times New Roman"/>
          <w:i/>
        </w:rPr>
        <w:t>de su cónyuge, compañero o compañera permanente, o parientes dentro del segundo grado de consanguinidad, segundo de afinidad o primero civil.”</w:t>
      </w:r>
    </w:p>
    <w:p w:rsidR="002F65B8" w:rsidRDefault="002F65B8">
      <w:pPr>
        <w:tabs>
          <w:tab w:val="left" w:pos="401"/>
        </w:tabs>
        <w:jc w:val="both"/>
        <w:rPr>
          <w:rFonts w:ascii="Times New Roman" w:eastAsia="Times New Roman" w:hAnsi="Times New Roman" w:cs="Times New Roman"/>
          <w:i/>
        </w:rPr>
      </w:pPr>
    </w:p>
    <w:p w:rsidR="002F65B8" w:rsidRDefault="000424E9">
      <w:pPr>
        <w:tabs>
          <w:tab w:val="left" w:pos="401"/>
        </w:tabs>
        <w:jc w:val="both"/>
        <w:rPr>
          <w:rFonts w:ascii="Times New Roman" w:eastAsia="Times New Roman" w:hAnsi="Times New Roman" w:cs="Times New Roman"/>
        </w:rPr>
      </w:pPr>
      <w:r>
        <w:rPr>
          <w:rFonts w:ascii="Times New Roman" w:eastAsia="Times New Roman" w:hAnsi="Times New Roman" w:cs="Times New Roman"/>
        </w:rPr>
        <w:t>Es de aclarar que, la descripción de los posibles conflictos de interés que se puedan presentar frente al trámit</w:t>
      </w:r>
      <w:r>
        <w:rPr>
          <w:rFonts w:ascii="Times New Roman" w:eastAsia="Times New Roman" w:hAnsi="Times New Roman" w:cs="Times New Roman"/>
        </w:rPr>
        <w:t>e del presente proyecto de ley, conforme a lo dispuesto en el artículo 291 de la Ley 5 de 1992, no exime del deber del Congresista de identificar otras causales adicionales.</w:t>
      </w:r>
    </w:p>
    <w:p w:rsidR="002F65B8" w:rsidRDefault="002F65B8">
      <w:pPr>
        <w:tabs>
          <w:tab w:val="left" w:pos="4927"/>
        </w:tabs>
        <w:rPr>
          <w:rFonts w:ascii="Times New Roman" w:eastAsia="Times New Roman" w:hAnsi="Times New Roman" w:cs="Times New Roman"/>
        </w:rPr>
      </w:pPr>
    </w:p>
    <w:p w:rsidR="002F65B8" w:rsidRDefault="002F65B8">
      <w:pPr>
        <w:tabs>
          <w:tab w:val="left" w:pos="4927"/>
        </w:tabs>
        <w:rPr>
          <w:rFonts w:ascii="Times New Roman" w:eastAsia="Times New Roman" w:hAnsi="Times New Roman" w:cs="Times New Roman"/>
        </w:rPr>
      </w:pPr>
    </w:p>
    <w:p w:rsidR="002F65B8" w:rsidRDefault="002F65B8">
      <w:pPr>
        <w:tabs>
          <w:tab w:val="left" w:pos="401"/>
        </w:tabs>
        <w:jc w:val="both"/>
        <w:rPr>
          <w:rFonts w:ascii="Times New Roman" w:eastAsia="Times New Roman" w:hAnsi="Times New Roman" w:cs="Times New Roman"/>
        </w:rPr>
      </w:pPr>
    </w:p>
    <w:p w:rsidR="002F65B8" w:rsidRDefault="002F65B8">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sz w:val="24"/>
          <w:szCs w:val="24"/>
        </w:rPr>
      </w:pPr>
    </w:p>
    <w:p w:rsidR="002F65B8" w:rsidRDefault="002F65B8">
      <w:pPr>
        <w:tabs>
          <w:tab w:val="left" w:pos="401"/>
        </w:tabs>
        <w:jc w:val="both"/>
        <w:rPr>
          <w:rFonts w:ascii="Times New Roman" w:eastAsia="Times New Roman" w:hAnsi="Times New Roman" w:cs="Times New Roman"/>
        </w:rPr>
      </w:pPr>
    </w:p>
    <w:p w:rsidR="002F65B8" w:rsidRDefault="000424E9">
      <w:pPr>
        <w:widowControl w:val="0"/>
        <w:tabs>
          <w:tab w:val="left" w:pos="401"/>
        </w:tabs>
        <w:spacing w:after="200" w:line="360" w:lineRule="auto"/>
        <w:jc w:val="both"/>
        <w:rPr>
          <w:rFonts w:ascii="Times New Roman" w:eastAsia="Times New Roman" w:hAnsi="Times New Roman" w:cs="Times New Roman"/>
          <w:b/>
        </w:rPr>
      </w:pPr>
      <w:r>
        <w:rPr>
          <w:rFonts w:ascii="Times New Roman" w:eastAsia="Times New Roman" w:hAnsi="Times New Roman" w:cs="Times New Roman"/>
          <w:b/>
        </w:rPr>
        <w:t>Referencias</w:t>
      </w:r>
    </w:p>
    <w:p w:rsidR="002F65B8" w:rsidRDefault="000424E9">
      <w:pPr>
        <w:widowControl w:val="0"/>
        <w:tabs>
          <w:tab w:val="left" w:pos="401"/>
        </w:tabs>
        <w:spacing w:after="200" w:line="360" w:lineRule="auto"/>
        <w:jc w:val="both"/>
        <w:rPr>
          <w:rFonts w:ascii="Times New Roman" w:eastAsia="Times New Roman" w:hAnsi="Times New Roman" w:cs="Times New Roman"/>
        </w:rPr>
      </w:pPr>
      <w:r>
        <w:rPr>
          <w:rFonts w:ascii="Times New Roman" w:eastAsia="Times New Roman" w:hAnsi="Times New Roman" w:cs="Times New Roman"/>
        </w:rPr>
        <w:t>Ministerio de Cultura. (2011). Paisaje Cultural Cafetero: Un Pais</w:t>
      </w:r>
      <w:r>
        <w:rPr>
          <w:rFonts w:ascii="Times New Roman" w:eastAsia="Times New Roman" w:hAnsi="Times New Roman" w:cs="Times New Roman"/>
        </w:rPr>
        <w:t xml:space="preserve">aje Cultural Productivo En Permanente Desarrollo. Paisaje Cultural Cafetero. </w:t>
      </w:r>
      <w:hyperlink r:id="rId13">
        <w:r>
          <w:rPr>
            <w:rFonts w:ascii="Times New Roman" w:eastAsia="Times New Roman" w:hAnsi="Times New Roman" w:cs="Times New Roman"/>
            <w:color w:val="1155CC"/>
            <w:u w:val="single"/>
          </w:rPr>
          <w:t>http://paisajeculturalcafetero.org.co/static/files/cartillaministerio.pdf.pdf</w:t>
        </w:r>
      </w:hyperlink>
    </w:p>
    <w:p w:rsidR="002F65B8" w:rsidRDefault="000424E9">
      <w:pPr>
        <w:widowControl w:val="0"/>
        <w:tabs>
          <w:tab w:val="left" w:pos="401"/>
        </w:tabs>
        <w:spacing w:after="200" w:line="360" w:lineRule="auto"/>
        <w:jc w:val="both"/>
        <w:rPr>
          <w:rFonts w:ascii="Times New Roman" w:eastAsia="Times New Roman" w:hAnsi="Times New Roman" w:cs="Times New Roman"/>
        </w:rPr>
      </w:pPr>
      <w:r>
        <w:rPr>
          <w:rFonts w:ascii="Times New Roman" w:eastAsia="Times New Roman" w:hAnsi="Times New Roman" w:cs="Times New Roman"/>
        </w:rPr>
        <w:t>Sald</w:t>
      </w:r>
      <w:r>
        <w:rPr>
          <w:rFonts w:ascii="Times New Roman" w:eastAsia="Times New Roman" w:hAnsi="Times New Roman" w:cs="Times New Roman"/>
        </w:rPr>
        <w:t xml:space="preserve">arriaga, C. (2009). : Re-ordenar el Paisaje Cultural Cafetero – un modelo para el desarrollo rural integral desde los valores productivos, sociales, culturales y ambientales del territorio. Universidad Católica De Pereira. </w:t>
      </w:r>
      <w:hyperlink r:id="rId14">
        <w:r>
          <w:rPr>
            <w:rFonts w:ascii="Times New Roman" w:eastAsia="Times New Roman" w:hAnsi="Times New Roman" w:cs="Times New Roman"/>
            <w:color w:val="1155CC"/>
            <w:u w:val="single"/>
          </w:rPr>
          <w:t>http://hdl.handle.net/10785/539</w:t>
        </w:r>
      </w:hyperlink>
      <w:r>
        <w:rPr>
          <w:rFonts w:ascii="Times New Roman" w:eastAsia="Times New Roman" w:hAnsi="Times New Roman" w:cs="Times New Roman"/>
        </w:rPr>
        <w:t xml:space="preserve"> </w:t>
      </w:r>
    </w:p>
    <w:p w:rsidR="002F65B8" w:rsidRDefault="000424E9">
      <w:pPr>
        <w:widowControl w:val="0"/>
        <w:tabs>
          <w:tab w:val="left" w:pos="401"/>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Insuasty, A., Grisales, D., &amp; Gutierrez, E. M. (2013). CONFLICTOS ASOCIADOS A LA GRAN MINERÍA EN ANTIOQUIA. Scielo. </w:t>
      </w:r>
      <w:hyperlink r:id="rId15">
        <w:r>
          <w:rPr>
            <w:rFonts w:ascii="Times New Roman" w:eastAsia="Times New Roman" w:hAnsi="Times New Roman" w:cs="Times New Roman"/>
            <w:color w:val="1155CC"/>
            <w:sz w:val="24"/>
            <w:szCs w:val="24"/>
            <w:u w:val="single"/>
          </w:rPr>
          <w:t>http://www.scielo.org.co/scielo.php?script=sci_arttext&amp;pid=S1657-80312013000200004</w:t>
        </w:r>
      </w:hyperlink>
      <w:r>
        <w:rPr>
          <w:rFonts w:ascii="Times New Roman" w:eastAsia="Times New Roman" w:hAnsi="Times New Roman" w:cs="Times New Roman"/>
          <w:sz w:val="24"/>
          <w:szCs w:val="24"/>
        </w:rPr>
        <w:t xml:space="preserve"> </w:t>
      </w:r>
    </w:p>
    <w:p w:rsidR="002F65B8" w:rsidRDefault="000424E9">
      <w:pPr>
        <w:widowControl w:val="0"/>
        <w:tabs>
          <w:tab w:val="left" w:pos="401"/>
        </w:tabs>
        <w:spacing w:after="200" w:line="360" w:lineRule="auto"/>
        <w:jc w:val="both"/>
        <w:rPr>
          <w:rFonts w:ascii="Times New Roman" w:eastAsia="Times New Roman" w:hAnsi="Times New Roman" w:cs="Times New Roman"/>
        </w:rPr>
      </w:pPr>
      <w:r>
        <w:rPr>
          <w:rFonts w:ascii="Times New Roman" w:eastAsia="Times New Roman" w:hAnsi="Times New Roman" w:cs="Times New Roman"/>
          <w:sz w:val="24"/>
          <w:szCs w:val="24"/>
          <w:highlight w:val="white"/>
        </w:rPr>
        <w:t>Min. Cultura</w:t>
      </w:r>
      <w:r>
        <w:rPr>
          <w:rFonts w:ascii="Times New Roman" w:eastAsia="Times New Roman" w:hAnsi="Times New Roman" w:cs="Times New Roman"/>
        </w:rPr>
        <w:t xml:space="preserve"> (s.f.) Lista Patrimonio Mundial Retrieved October 24, 2022, from </w:t>
      </w:r>
      <w:hyperlink r:id="rId16">
        <w:r>
          <w:rPr>
            <w:rFonts w:ascii="Times New Roman" w:eastAsia="Times New Roman" w:hAnsi="Times New Roman" w:cs="Times New Roman"/>
            <w:color w:val="1155CC"/>
            <w:u w:val="single"/>
          </w:rPr>
          <w:t>https://www.mincultura.gov.co/areas/patrimonio/unesco/lista-patrimonio-mundial/Paginas/default.asp</w:t>
        </w:r>
      </w:hyperlink>
      <w:r>
        <w:rPr>
          <w:rFonts w:ascii="Times New Roman" w:eastAsia="Times New Roman" w:hAnsi="Times New Roman" w:cs="Times New Roman"/>
        </w:rPr>
        <w:t xml:space="preserve"> </w:t>
      </w:r>
    </w:p>
    <w:sectPr w:rsidR="002F65B8">
      <w:head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0424E9">
      <w:pPr>
        <w:spacing w:line="240" w:lineRule="auto"/>
      </w:pPr>
      <w:r>
        <w:separator/>
      </w:r>
    </w:p>
  </w:endnote>
  <w:endnote w:type="continuationSeparator" w:id="0">
    <w:p w:rsidR="00000000" w:rsidRDefault="000424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0424E9">
      <w:pPr>
        <w:spacing w:line="240" w:lineRule="auto"/>
      </w:pPr>
      <w:r>
        <w:separator/>
      </w:r>
    </w:p>
  </w:footnote>
  <w:footnote w:type="continuationSeparator" w:id="0">
    <w:p w:rsidR="00000000" w:rsidRDefault="000424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65B8" w:rsidRDefault="000424E9">
    <w:r>
      <w:rPr>
        <w:noProof/>
      </w:rPr>
      <w:drawing>
        <wp:anchor distT="0" distB="0" distL="0" distR="0" simplePos="0" relativeHeight="251658240" behindDoc="1" locked="0" layoutInCell="1" hidden="0" allowOverlap="1">
          <wp:simplePos x="0" y="0"/>
          <wp:positionH relativeFrom="column">
            <wp:posOffset>4600575</wp:posOffset>
          </wp:positionH>
          <wp:positionV relativeFrom="paragraph">
            <wp:posOffset>-451484</wp:posOffset>
          </wp:positionV>
          <wp:extent cx="1203960" cy="1051219"/>
          <wp:effectExtent l="0" t="0" r="0" b="0"/>
          <wp:wrapNone/>
          <wp:docPr id="4" name="image3.jpg" descr="Imagen que contiene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magen que contiene Aplicación&#10;&#10;Descripción generada automáticamente"/>
                  <pic:cNvPicPr preferRelativeResize="0"/>
                </pic:nvPicPr>
                <pic:blipFill>
                  <a:blip r:embed="rId1"/>
                  <a:srcRect l="68390" t="1457" r="3386" b="79550"/>
                  <a:stretch>
                    <a:fillRect/>
                  </a:stretch>
                </pic:blipFill>
                <pic:spPr>
                  <a:xfrm>
                    <a:off x="0" y="0"/>
                    <a:ext cx="1203960" cy="1051219"/>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simplePos x="0" y="0"/>
          <wp:positionH relativeFrom="column">
            <wp:posOffset>-123824</wp:posOffset>
          </wp:positionH>
          <wp:positionV relativeFrom="paragraph">
            <wp:posOffset>-342899</wp:posOffset>
          </wp:positionV>
          <wp:extent cx="2028892" cy="709613"/>
          <wp:effectExtent l="0" t="0" r="0" b="0"/>
          <wp:wrapNone/>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2028892" cy="7096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96890"/>
    <w:multiLevelType w:val="multilevel"/>
    <w:tmpl w:val="FFFFFFFF"/>
    <w:lvl w:ilvl="0">
      <w:start w:val="1"/>
      <w:numFmt w:val="decimal"/>
      <w:lvlText w:val="%1."/>
      <w:lvlJc w:val="left"/>
      <w:pPr>
        <w:ind w:left="340" w:hanging="240"/>
      </w:pPr>
      <w:rPr>
        <w:rFonts w:ascii="Times New Roman" w:eastAsia="Times New Roman" w:hAnsi="Times New Roman" w:cs="Times New Roman"/>
        <w:b/>
        <w:sz w:val="24"/>
        <w:szCs w:val="24"/>
      </w:rPr>
    </w:lvl>
    <w:lvl w:ilvl="1">
      <w:start w:val="1"/>
      <w:numFmt w:val="decimal"/>
      <w:lvlText w:val="%1.%2"/>
      <w:lvlJc w:val="left"/>
      <w:pPr>
        <w:ind w:left="460" w:hanging="360"/>
      </w:pPr>
      <w:rPr>
        <w:rFonts w:ascii="Times New Roman" w:eastAsia="Times New Roman" w:hAnsi="Times New Roman" w:cs="Times New Roman"/>
        <w:b/>
        <w:sz w:val="24"/>
        <w:szCs w:val="24"/>
      </w:rPr>
    </w:lvl>
    <w:lvl w:ilvl="2">
      <w:numFmt w:val="bullet"/>
      <w:lvlText w:val="•"/>
      <w:lvlJc w:val="left"/>
      <w:pPr>
        <w:ind w:left="1472" w:hanging="360"/>
      </w:pPr>
    </w:lvl>
    <w:lvl w:ilvl="3">
      <w:numFmt w:val="bullet"/>
      <w:lvlText w:val="•"/>
      <w:lvlJc w:val="left"/>
      <w:pPr>
        <w:ind w:left="2484" w:hanging="360"/>
      </w:pPr>
    </w:lvl>
    <w:lvl w:ilvl="4">
      <w:numFmt w:val="bullet"/>
      <w:lvlText w:val="•"/>
      <w:lvlJc w:val="left"/>
      <w:pPr>
        <w:ind w:left="3496" w:hanging="360"/>
      </w:pPr>
    </w:lvl>
    <w:lvl w:ilvl="5">
      <w:numFmt w:val="bullet"/>
      <w:lvlText w:val="•"/>
      <w:lvlJc w:val="left"/>
      <w:pPr>
        <w:ind w:left="4508" w:hanging="360"/>
      </w:pPr>
    </w:lvl>
    <w:lvl w:ilvl="6">
      <w:numFmt w:val="bullet"/>
      <w:lvlText w:val="•"/>
      <w:lvlJc w:val="left"/>
      <w:pPr>
        <w:ind w:left="5521" w:hanging="360"/>
      </w:pPr>
    </w:lvl>
    <w:lvl w:ilvl="7">
      <w:numFmt w:val="bullet"/>
      <w:lvlText w:val="•"/>
      <w:lvlJc w:val="left"/>
      <w:pPr>
        <w:ind w:left="6533" w:hanging="360"/>
      </w:pPr>
    </w:lvl>
    <w:lvl w:ilvl="8">
      <w:numFmt w:val="bullet"/>
      <w:lvlText w:val="•"/>
      <w:lvlJc w:val="left"/>
      <w:pPr>
        <w:ind w:left="7545" w:hanging="360"/>
      </w:pPr>
    </w:lvl>
  </w:abstractNum>
  <w:abstractNum w:abstractNumId="1" w15:restartNumberingAfterBreak="0">
    <w:nsid w:val="32092F8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3868">
    <w:abstractNumId w:val="1"/>
  </w:num>
  <w:num w:numId="2" w16cid:durableId="1286725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5B8"/>
    <w:rsid w:val="000424E9"/>
    <w:rsid w:val="002F65B8"/>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5:docId w15:val="{D603B9BD-9C56-804E-A9B2-F5A82024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http://paisajeculturalcafetero.org.co/static/files/cartillaministerio.pdf.pdf" TargetMode="External"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header" Target="header1.xml" /><Relationship Id="rId2" Type="http://schemas.openxmlformats.org/officeDocument/2006/relationships/styles" Target="styles.xml" /><Relationship Id="rId16" Type="http://schemas.openxmlformats.org/officeDocument/2006/relationships/hyperlink" Target="https://www.mincultura.gov.co/areas/patrimonio/unesco/lista-patrimonio-mundial/Paginas/default.asp"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hyperlink" Target="http://www.scielo.org.co/scielo.php?script=sci_arttext&amp;pid=S1657-80312013000200004" TargetMode="External" /><Relationship Id="rId10" Type="http://schemas.openxmlformats.org/officeDocument/2006/relationships/image" Target="media/image4.jp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hyperlink" Target="http://hdl.handle.net/10785/539" TargetMode="External" /></Relationships>
</file>

<file path=word/_rels/header1.xml.rels><?xml version="1.0" encoding="UTF-8" standalone="yes"?>
<Relationships xmlns="http://schemas.openxmlformats.org/package/2006/relationships"><Relationship Id="rId2" Type="http://schemas.openxmlformats.org/officeDocument/2006/relationships/image" Target="media/image8.png" /><Relationship Id="rId1" Type="http://schemas.openxmlformats.org/officeDocument/2006/relationships/image" Target="media/image7.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5890</Words>
  <Characters>32401</Characters>
  <Application>Microsoft Office Word</Application>
  <DocSecurity>0</DocSecurity>
  <Lines>270</Lines>
  <Paragraphs>76</Paragraphs>
  <ScaleCrop>false</ScaleCrop>
  <Company/>
  <LinksUpToDate>false</LinksUpToDate>
  <CharactersWithSpaces>38215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Carolina Linero Flórez</cp:lastModifiedBy>
  <cp:revision>2</cp:revision>
  <dcterms:created xsi:type="dcterms:W3CDTF">2022-10-26T19:25:00Z</dcterms:created>
  <dcterms:modified xsi:type="dcterms:W3CDTF">2022-10-26T19:25:00Z</dcterms:modified>
</cp:coreProperties>
</file>