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4C4E6" w14:textId="1B1264EE" w:rsidR="003C6930" w:rsidRDefault="003C6930" w:rsidP="003C6930">
      <w:pPr>
        <w:spacing w:after="160"/>
        <w:rPr>
          <w:rFonts w:ascii="Arial" w:eastAsia="Calibri" w:hAnsi="Arial" w:cs="Arial"/>
          <w:b/>
          <w:bCs/>
        </w:rPr>
      </w:pPr>
      <w:r>
        <w:rPr>
          <w:rFonts w:ascii="Arial" w:eastAsia="Calibri" w:hAnsi="Arial" w:cs="Arial"/>
          <w:b/>
          <w:bCs/>
        </w:rPr>
        <w:t>Bogotá, 3 de octubre de 2022</w:t>
      </w:r>
    </w:p>
    <w:p w14:paraId="2BB6AEA4" w14:textId="1A569B8D" w:rsidR="003C6930" w:rsidRDefault="003C6930" w:rsidP="003C6930">
      <w:pPr>
        <w:spacing w:after="160"/>
        <w:rPr>
          <w:rFonts w:ascii="Arial" w:eastAsia="Calibri" w:hAnsi="Arial" w:cs="Arial"/>
          <w:b/>
          <w:bCs/>
        </w:rPr>
      </w:pPr>
    </w:p>
    <w:p w14:paraId="079A3F20" w14:textId="4DCBDBB5" w:rsidR="003C6930" w:rsidRDefault="003C6930" w:rsidP="003C6930">
      <w:pPr>
        <w:spacing w:after="160"/>
        <w:rPr>
          <w:rFonts w:ascii="Arial" w:eastAsia="Calibri" w:hAnsi="Arial" w:cs="Arial"/>
          <w:b/>
          <w:bCs/>
        </w:rPr>
      </w:pPr>
      <w:r>
        <w:rPr>
          <w:rFonts w:ascii="Arial" w:eastAsia="Calibri" w:hAnsi="Arial" w:cs="Arial"/>
          <w:b/>
          <w:bCs/>
        </w:rPr>
        <w:t>Doctor</w:t>
      </w:r>
    </w:p>
    <w:p w14:paraId="20B88419" w14:textId="27A8C482" w:rsidR="003C6930" w:rsidRDefault="003C6930" w:rsidP="003C6930">
      <w:pPr>
        <w:rPr>
          <w:rFonts w:ascii="Arial" w:eastAsia="Calibri" w:hAnsi="Arial" w:cs="Arial"/>
          <w:b/>
          <w:bCs/>
        </w:rPr>
      </w:pPr>
      <w:r>
        <w:rPr>
          <w:rFonts w:ascii="Arial" w:eastAsia="Calibri" w:hAnsi="Arial" w:cs="Arial"/>
          <w:b/>
          <w:bCs/>
        </w:rPr>
        <w:t>JAIME LUIS LACOUTURE</w:t>
      </w:r>
    </w:p>
    <w:p w14:paraId="1087706B" w14:textId="4AFFF4F6" w:rsidR="003C6930" w:rsidRDefault="003C6930" w:rsidP="003C6930">
      <w:pPr>
        <w:rPr>
          <w:rFonts w:ascii="Arial" w:eastAsia="Calibri" w:hAnsi="Arial" w:cs="Arial"/>
          <w:b/>
          <w:bCs/>
        </w:rPr>
      </w:pPr>
      <w:r>
        <w:rPr>
          <w:rFonts w:ascii="Arial" w:eastAsia="Calibri" w:hAnsi="Arial" w:cs="Arial"/>
          <w:b/>
          <w:bCs/>
        </w:rPr>
        <w:t>Secretario General</w:t>
      </w:r>
    </w:p>
    <w:p w14:paraId="5865586F" w14:textId="519065A5" w:rsidR="003C6930" w:rsidRDefault="003C6930" w:rsidP="003C6930">
      <w:pPr>
        <w:rPr>
          <w:rFonts w:ascii="Arial" w:eastAsia="Calibri" w:hAnsi="Arial" w:cs="Arial"/>
          <w:b/>
          <w:bCs/>
        </w:rPr>
      </w:pPr>
      <w:r>
        <w:rPr>
          <w:rFonts w:ascii="Arial" w:eastAsia="Calibri" w:hAnsi="Arial" w:cs="Arial"/>
          <w:b/>
          <w:bCs/>
        </w:rPr>
        <w:t>Cámara de Representantes</w:t>
      </w:r>
    </w:p>
    <w:p w14:paraId="2B9844C8" w14:textId="56A789D0" w:rsidR="003C6930" w:rsidRDefault="003C6930" w:rsidP="003C6930">
      <w:pPr>
        <w:rPr>
          <w:rFonts w:ascii="Arial" w:eastAsia="Calibri" w:hAnsi="Arial" w:cs="Arial"/>
          <w:b/>
          <w:bCs/>
        </w:rPr>
      </w:pPr>
      <w:r>
        <w:rPr>
          <w:rFonts w:ascii="Arial" w:eastAsia="Calibri" w:hAnsi="Arial" w:cs="Arial"/>
          <w:b/>
          <w:bCs/>
        </w:rPr>
        <w:t>Ciudad</w:t>
      </w:r>
    </w:p>
    <w:p w14:paraId="7A4E054B" w14:textId="77777777" w:rsidR="006D0176" w:rsidRDefault="006D0176" w:rsidP="003C6930">
      <w:pPr>
        <w:spacing w:after="160"/>
        <w:rPr>
          <w:rFonts w:ascii="Arial" w:eastAsia="Calibri" w:hAnsi="Arial" w:cs="Arial"/>
          <w:b/>
          <w:bCs/>
        </w:rPr>
      </w:pPr>
    </w:p>
    <w:p w14:paraId="047CBBCB" w14:textId="5A0CD3CD" w:rsidR="00494F92" w:rsidRDefault="003C6930" w:rsidP="00494F92">
      <w:pPr>
        <w:tabs>
          <w:tab w:val="left" w:pos="2565"/>
        </w:tabs>
        <w:spacing w:after="160"/>
        <w:ind w:left="907" w:hanging="907"/>
        <w:jc w:val="both"/>
        <w:rPr>
          <w:rFonts w:ascii="Arial" w:eastAsia="Calibri" w:hAnsi="Arial" w:cs="Arial"/>
          <w:b/>
          <w:i/>
        </w:rPr>
      </w:pPr>
      <w:r>
        <w:rPr>
          <w:rFonts w:ascii="Arial" w:eastAsia="Calibri" w:hAnsi="Arial" w:cs="Arial"/>
          <w:b/>
          <w:bCs/>
        </w:rPr>
        <w:t xml:space="preserve">Asunto: RADICACIÓN </w:t>
      </w:r>
      <w:r w:rsidR="00494F92">
        <w:rPr>
          <w:rFonts w:ascii="Arial" w:eastAsia="Calibri" w:hAnsi="Arial" w:cs="Arial"/>
          <w:b/>
          <w:bCs/>
        </w:rPr>
        <w:t xml:space="preserve">DEL PROYECTO DE LEY No. _____ DE 2022 CÁMARA, </w:t>
      </w:r>
      <w:r w:rsidR="00494F92" w:rsidRPr="00561D0F">
        <w:rPr>
          <w:rFonts w:ascii="Arial" w:eastAsia="Calibri" w:hAnsi="Arial" w:cs="Arial"/>
          <w:b/>
        </w:rPr>
        <w:t>“</w:t>
      </w:r>
      <w:r w:rsidR="00494F92" w:rsidRPr="00561D0F">
        <w:rPr>
          <w:rFonts w:ascii="Arial" w:eastAsia="Calibri" w:hAnsi="Arial" w:cs="Arial"/>
          <w:b/>
          <w:bCs/>
          <w:iCs/>
        </w:rPr>
        <w:t xml:space="preserve">POR EL CUAL SE </w:t>
      </w:r>
      <w:r w:rsidR="00494F92">
        <w:rPr>
          <w:rFonts w:ascii="Arial" w:eastAsia="Calibri" w:hAnsi="Arial" w:cs="Arial"/>
          <w:b/>
          <w:bCs/>
          <w:iCs/>
        </w:rPr>
        <w:t>MODIFICA LA LEY GENERAL DEL TURISMO Y SE DICTAN OTRAS DISPOSICIONES</w:t>
      </w:r>
      <w:r w:rsidR="00494F92" w:rsidRPr="00561D0F">
        <w:rPr>
          <w:rFonts w:ascii="Arial" w:eastAsia="Calibri" w:hAnsi="Arial" w:cs="Arial"/>
          <w:b/>
          <w:i/>
        </w:rPr>
        <w:t>”</w:t>
      </w:r>
    </w:p>
    <w:p w14:paraId="16215905" w14:textId="063C8317" w:rsidR="003C6930" w:rsidRDefault="00494F92" w:rsidP="003C6930">
      <w:pPr>
        <w:spacing w:after="160"/>
        <w:rPr>
          <w:rFonts w:ascii="Arial" w:eastAsia="Calibri" w:hAnsi="Arial" w:cs="Arial"/>
          <w:b/>
          <w:bCs/>
        </w:rPr>
      </w:pPr>
      <w:r>
        <w:rPr>
          <w:rFonts w:ascii="Arial" w:eastAsia="Calibri" w:hAnsi="Arial" w:cs="Arial"/>
          <w:b/>
          <w:bCs/>
        </w:rPr>
        <w:t xml:space="preserve"> </w:t>
      </w:r>
    </w:p>
    <w:p w14:paraId="5A7DAA79" w14:textId="77777777" w:rsidR="00494F92" w:rsidRDefault="00494F92" w:rsidP="003C6930">
      <w:pPr>
        <w:spacing w:after="160"/>
        <w:rPr>
          <w:rFonts w:ascii="Arial" w:eastAsia="Calibri" w:hAnsi="Arial" w:cs="Arial"/>
          <w:b/>
          <w:bCs/>
        </w:rPr>
      </w:pPr>
    </w:p>
    <w:p w14:paraId="197A2010" w14:textId="7AC1AB2E" w:rsidR="003C6930" w:rsidRDefault="00494F92" w:rsidP="003C6930">
      <w:pPr>
        <w:spacing w:after="160"/>
        <w:rPr>
          <w:rFonts w:ascii="Arial" w:eastAsia="Calibri" w:hAnsi="Arial" w:cs="Arial"/>
        </w:rPr>
      </w:pPr>
      <w:r w:rsidRPr="00494F92">
        <w:rPr>
          <w:rFonts w:ascii="Arial" w:eastAsia="Calibri" w:hAnsi="Arial" w:cs="Arial"/>
        </w:rPr>
        <w:t>R</w:t>
      </w:r>
      <w:r>
        <w:rPr>
          <w:rFonts w:ascii="Arial" w:eastAsia="Calibri" w:hAnsi="Arial" w:cs="Arial"/>
        </w:rPr>
        <w:t xml:space="preserve">espetado Doctor Lacouture, </w:t>
      </w:r>
    </w:p>
    <w:p w14:paraId="72D0F154" w14:textId="54C719D4" w:rsidR="00494F92" w:rsidRDefault="00494F92" w:rsidP="003C6930">
      <w:pPr>
        <w:spacing w:after="160"/>
        <w:rPr>
          <w:rFonts w:ascii="Arial" w:eastAsia="Calibri" w:hAnsi="Arial" w:cs="Arial"/>
        </w:rPr>
      </w:pPr>
    </w:p>
    <w:p w14:paraId="7536ACA9" w14:textId="2307710A" w:rsidR="00494F92" w:rsidRDefault="00494F92" w:rsidP="00494F92">
      <w:pPr>
        <w:spacing w:after="160"/>
        <w:jc w:val="both"/>
        <w:rPr>
          <w:rFonts w:ascii="Arial" w:eastAsia="Calibri" w:hAnsi="Arial" w:cs="Arial"/>
        </w:rPr>
      </w:pPr>
      <w:r>
        <w:rPr>
          <w:rFonts w:ascii="Arial" w:eastAsia="Calibri" w:hAnsi="Arial" w:cs="Arial"/>
        </w:rPr>
        <w:t xml:space="preserve">En cumplimiento de mi deber constitucional y legal, en consecuencia, con lo establecido en la Ley 5 de 1992 y en mi calidad de Congresista de la República, radico ante su despacho el proyecto de ley por medio del cual se modifica la ley general de turismo y se dictan otras disposiciones. </w:t>
      </w:r>
    </w:p>
    <w:p w14:paraId="6F884847" w14:textId="5A49ACC0" w:rsidR="00494F92" w:rsidRDefault="00494F92" w:rsidP="003C6930">
      <w:pPr>
        <w:spacing w:after="160"/>
        <w:rPr>
          <w:rFonts w:ascii="Arial" w:eastAsia="Calibri" w:hAnsi="Arial" w:cs="Arial"/>
        </w:rPr>
      </w:pPr>
    </w:p>
    <w:p w14:paraId="57751D63" w14:textId="42F53E6C" w:rsidR="00494F92" w:rsidRDefault="00494F92" w:rsidP="003C6930">
      <w:pPr>
        <w:spacing w:after="160"/>
        <w:rPr>
          <w:rFonts w:ascii="Arial" w:eastAsia="Calibri" w:hAnsi="Arial" w:cs="Arial"/>
        </w:rPr>
      </w:pPr>
    </w:p>
    <w:p w14:paraId="55689ECF" w14:textId="39E83568" w:rsidR="00494F92" w:rsidRDefault="00494F92" w:rsidP="003C6930">
      <w:pPr>
        <w:spacing w:after="160"/>
        <w:rPr>
          <w:rFonts w:ascii="Arial" w:eastAsia="Calibri" w:hAnsi="Arial" w:cs="Arial"/>
        </w:rPr>
      </w:pPr>
      <w:r>
        <w:rPr>
          <w:rFonts w:ascii="Arial" w:eastAsia="Calibri" w:hAnsi="Arial" w:cs="Arial"/>
        </w:rPr>
        <w:t xml:space="preserve">Cordialmente, </w:t>
      </w:r>
    </w:p>
    <w:p w14:paraId="1C55AE60" w14:textId="40E03C70" w:rsidR="00494F92" w:rsidRDefault="00494F92" w:rsidP="003C6930">
      <w:pPr>
        <w:spacing w:after="160"/>
        <w:rPr>
          <w:rFonts w:ascii="Arial" w:eastAsia="Calibri" w:hAnsi="Arial" w:cs="Arial"/>
        </w:rPr>
      </w:pPr>
    </w:p>
    <w:p w14:paraId="757B6515" w14:textId="20996BF5" w:rsidR="00494F92" w:rsidRDefault="00494F92" w:rsidP="003C6930">
      <w:pPr>
        <w:spacing w:after="160"/>
        <w:rPr>
          <w:rFonts w:ascii="Arial" w:eastAsia="Calibri" w:hAnsi="Arial" w:cs="Arial"/>
        </w:rPr>
      </w:pPr>
    </w:p>
    <w:p w14:paraId="38CF5D56" w14:textId="77777777" w:rsidR="00494F92" w:rsidRDefault="00494F92" w:rsidP="003C6930">
      <w:pPr>
        <w:spacing w:after="160"/>
        <w:rPr>
          <w:rFonts w:ascii="Arial" w:eastAsia="Calibri" w:hAnsi="Arial" w:cs="Arial"/>
        </w:rPr>
      </w:pPr>
    </w:p>
    <w:p w14:paraId="5DA562B0" w14:textId="77777777" w:rsidR="00494F92" w:rsidRPr="006B3D41" w:rsidRDefault="00494F92" w:rsidP="00494F92">
      <w:pPr>
        <w:pStyle w:val="NormalWeb"/>
        <w:spacing w:before="0" w:beforeAutospacing="0" w:after="0" w:afterAutospacing="0" w:line="270" w:lineRule="atLeast"/>
        <w:jc w:val="both"/>
        <w:rPr>
          <w:rFonts w:ascii="Arial" w:hAnsi="Arial" w:cs="Arial"/>
          <w:b/>
          <w:bCs/>
        </w:rPr>
      </w:pPr>
      <w:r w:rsidRPr="006B3D41">
        <w:rPr>
          <w:rFonts w:ascii="Arial" w:hAnsi="Arial" w:cs="Arial"/>
          <w:b/>
          <w:bCs/>
        </w:rPr>
        <w:t>JUAN LORETO GÓMEZ SOTO</w:t>
      </w:r>
    </w:p>
    <w:p w14:paraId="2CC7DB6C" w14:textId="77777777" w:rsidR="00494F92" w:rsidRDefault="00494F92" w:rsidP="00494F92">
      <w:pPr>
        <w:pStyle w:val="NormalWeb"/>
        <w:spacing w:before="0" w:beforeAutospacing="0" w:after="0" w:afterAutospacing="0" w:line="270" w:lineRule="atLeast"/>
        <w:jc w:val="both"/>
        <w:rPr>
          <w:rFonts w:ascii="Arial" w:hAnsi="Arial" w:cs="Arial"/>
        </w:rPr>
      </w:pPr>
      <w:r>
        <w:rPr>
          <w:rFonts w:ascii="Arial" w:hAnsi="Arial" w:cs="Arial"/>
        </w:rPr>
        <w:t>Representante a la Cámara por La Guajira</w:t>
      </w:r>
    </w:p>
    <w:p w14:paraId="0A397DC7" w14:textId="77777777" w:rsidR="00494F92" w:rsidRDefault="00494F92" w:rsidP="00494F92">
      <w:pPr>
        <w:pStyle w:val="NormalWeb"/>
        <w:spacing w:before="0" w:beforeAutospacing="0" w:after="0" w:afterAutospacing="0" w:line="270" w:lineRule="atLeast"/>
        <w:jc w:val="both"/>
        <w:rPr>
          <w:rFonts w:ascii="Arial" w:hAnsi="Arial" w:cs="Arial"/>
        </w:rPr>
      </w:pPr>
      <w:r>
        <w:rPr>
          <w:rFonts w:ascii="Arial" w:hAnsi="Arial" w:cs="Arial"/>
        </w:rPr>
        <w:t xml:space="preserve">Partido Conservador </w:t>
      </w:r>
    </w:p>
    <w:p w14:paraId="0768E1A6" w14:textId="5A9AEFF7" w:rsidR="00494F92" w:rsidRDefault="00494F92" w:rsidP="003C6930">
      <w:pPr>
        <w:spacing w:after="160"/>
        <w:rPr>
          <w:rFonts w:ascii="Arial" w:eastAsia="Calibri" w:hAnsi="Arial" w:cs="Arial"/>
        </w:rPr>
      </w:pPr>
    </w:p>
    <w:p w14:paraId="5B6DDBE3" w14:textId="77777777" w:rsidR="00494F92" w:rsidRPr="00494F92" w:rsidRDefault="00494F92" w:rsidP="003C6930">
      <w:pPr>
        <w:spacing w:after="160"/>
        <w:rPr>
          <w:rFonts w:ascii="Arial" w:eastAsia="Calibri" w:hAnsi="Arial" w:cs="Arial"/>
        </w:rPr>
      </w:pPr>
    </w:p>
    <w:p w14:paraId="554C1B7E" w14:textId="2922B85B" w:rsidR="006D0176" w:rsidRDefault="006D0176" w:rsidP="003C6930">
      <w:pPr>
        <w:spacing w:after="160"/>
        <w:rPr>
          <w:rFonts w:ascii="Arial" w:eastAsia="Calibri" w:hAnsi="Arial" w:cs="Arial"/>
          <w:b/>
          <w:bCs/>
        </w:rPr>
      </w:pPr>
    </w:p>
    <w:p w14:paraId="34074BE8" w14:textId="77777777" w:rsidR="0088627D" w:rsidRDefault="0088627D" w:rsidP="003C6930">
      <w:pPr>
        <w:spacing w:after="160"/>
        <w:rPr>
          <w:rFonts w:ascii="Arial" w:eastAsia="Calibri" w:hAnsi="Arial" w:cs="Arial"/>
          <w:b/>
          <w:bCs/>
        </w:rPr>
      </w:pPr>
    </w:p>
    <w:p w14:paraId="670CA30A" w14:textId="77777777" w:rsidR="00B93DF9" w:rsidRDefault="00B93DF9" w:rsidP="003C6930">
      <w:pPr>
        <w:spacing w:after="160"/>
        <w:jc w:val="center"/>
        <w:rPr>
          <w:rFonts w:ascii="Arial" w:eastAsia="Calibri" w:hAnsi="Arial" w:cs="Arial"/>
          <w:b/>
          <w:bCs/>
        </w:rPr>
      </w:pPr>
    </w:p>
    <w:p w14:paraId="2C59C676" w14:textId="77777777" w:rsidR="00B93DF9" w:rsidRDefault="00B93DF9" w:rsidP="003C6930">
      <w:pPr>
        <w:spacing w:after="160"/>
        <w:jc w:val="center"/>
        <w:rPr>
          <w:rFonts w:ascii="Arial" w:eastAsia="Calibri" w:hAnsi="Arial" w:cs="Arial"/>
          <w:b/>
          <w:bCs/>
        </w:rPr>
      </w:pPr>
    </w:p>
    <w:p w14:paraId="4C850431" w14:textId="77777777" w:rsidR="00B93DF9" w:rsidRDefault="00B93DF9" w:rsidP="003C6930">
      <w:pPr>
        <w:spacing w:after="160"/>
        <w:jc w:val="center"/>
        <w:rPr>
          <w:rFonts w:ascii="Arial" w:eastAsia="Calibri" w:hAnsi="Arial" w:cs="Arial"/>
          <w:b/>
          <w:bCs/>
        </w:rPr>
      </w:pPr>
    </w:p>
    <w:p w14:paraId="5A3FF26A" w14:textId="0B1F5824" w:rsidR="003C6930" w:rsidRPr="00561D0F" w:rsidRDefault="003C6930" w:rsidP="003C6930">
      <w:pPr>
        <w:spacing w:after="160"/>
        <w:jc w:val="center"/>
        <w:rPr>
          <w:rFonts w:ascii="Arial" w:eastAsia="Calibri" w:hAnsi="Arial" w:cs="Arial"/>
          <w:b/>
          <w:bCs/>
        </w:rPr>
      </w:pPr>
      <w:r w:rsidRPr="00561D0F">
        <w:rPr>
          <w:rFonts w:ascii="Arial" w:eastAsia="Calibri" w:hAnsi="Arial" w:cs="Arial"/>
          <w:b/>
          <w:bCs/>
        </w:rPr>
        <w:t>PROYECTO DE LEY No</w:t>
      </w:r>
      <w:r>
        <w:rPr>
          <w:rFonts w:ascii="Arial" w:eastAsia="Calibri" w:hAnsi="Arial" w:cs="Arial"/>
          <w:b/>
          <w:bCs/>
        </w:rPr>
        <w:t>. ______</w:t>
      </w:r>
      <w:r w:rsidRPr="00561D0F">
        <w:rPr>
          <w:rFonts w:ascii="Arial" w:eastAsia="Calibri" w:hAnsi="Arial" w:cs="Arial"/>
          <w:b/>
          <w:bCs/>
        </w:rPr>
        <w:t xml:space="preserve"> DE 2022 CAMARA</w:t>
      </w:r>
    </w:p>
    <w:p w14:paraId="6243B2A2" w14:textId="26FD8526" w:rsidR="003C6930" w:rsidRDefault="003C6930" w:rsidP="003C6930">
      <w:pPr>
        <w:tabs>
          <w:tab w:val="left" w:pos="2565"/>
        </w:tabs>
        <w:spacing w:after="160"/>
        <w:jc w:val="center"/>
        <w:rPr>
          <w:rFonts w:ascii="Arial" w:eastAsia="Calibri" w:hAnsi="Arial" w:cs="Arial"/>
          <w:b/>
          <w:i/>
        </w:rPr>
      </w:pPr>
      <w:r w:rsidRPr="00561D0F">
        <w:rPr>
          <w:rFonts w:ascii="Arial" w:eastAsia="Calibri" w:hAnsi="Arial" w:cs="Arial"/>
          <w:b/>
        </w:rPr>
        <w:t xml:space="preserve"> “</w:t>
      </w:r>
      <w:r w:rsidRPr="00561D0F">
        <w:rPr>
          <w:rFonts w:ascii="Arial" w:eastAsia="Calibri" w:hAnsi="Arial" w:cs="Arial"/>
          <w:b/>
          <w:bCs/>
          <w:iCs/>
        </w:rPr>
        <w:t xml:space="preserve">POR EL CUAL SE </w:t>
      </w:r>
      <w:r>
        <w:rPr>
          <w:rFonts w:ascii="Arial" w:eastAsia="Calibri" w:hAnsi="Arial" w:cs="Arial"/>
          <w:b/>
          <w:bCs/>
          <w:iCs/>
        </w:rPr>
        <w:t>MODIFICA LA LEY GENERAL DEL TURISMO Y SE DICTAN OTRAS DISPOSICIONES</w:t>
      </w:r>
      <w:r w:rsidRPr="00561D0F">
        <w:rPr>
          <w:rFonts w:ascii="Arial" w:eastAsia="Calibri" w:hAnsi="Arial" w:cs="Arial"/>
          <w:b/>
          <w:i/>
        </w:rPr>
        <w:t>”</w:t>
      </w:r>
    </w:p>
    <w:p w14:paraId="66E9C1AB" w14:textId="77777777" w:rsidR="003C6930" w:rsidRDefault="003C6930" w:rsidP="003C6930">
      <w:pPr>
        <w:tabs>
          <w:tab w:val="left" w:pos="2565"/>
        </w:tabs>
        <w:spacing w:after="160"/>
        <w:jc w:val="center"/>
        <w:rPr>
          <w:rFonts w:ascii="Arial" w:eastAsia="Calibri" w:hAnsi="Arial" w:cs="Arial"/>
          <w:b/>
          <w:i/>
        </w:rPr>
      </w:pPr>
    </w:p>
    <w:p w14:paraId="2900489A" w14:textId="3C873C8D" w:rsidR="003C6930" w:rsidRDefault="003C6930" w:rsidP="003C6930">
      <w:pPr>
        <w:tabs>
          <w:tab w:val="left" w:pos="2565"/>
        </w:tabs>
        <w:spacing w:after="160"/>
        <w:jc w:val="center"/>
        <w:rPr>
          <w:rFonts w:ascii="Arial" w:eastAsia="Calibri" w:hAnsi="Arial" w:cs="Arial"/>
          <w:b/>
          <w:iCs/>
        </w:rPr>
      </w:pPr>
      <w:r>
        <w:rPr>
          <w:rFonts w:ascii="Arial" w:eastAsia="Calibri" w:hAnsi="Arial" w:cs="Arial"/>
          <w:b/>
          <w:iCs/>
        </w:rPr>
        <w:t>EXPOSICIÓN DE MOTIVOS</w:t>
      </w:r>
    </w:p>
    <w:p w14:paraId="57E8401E" w14:textId="346D2E42" w:rsidR="00316E61" w:rsidRPr="006D0176" w:rsidRDefault="00D23181" w:rsidP="006D0176">
      <w:pPr>
        <w:tabs>
          <w:tab w:val="left" w:pos="2565"/>
        </w:tabs>
        <w:spacing w:after="160"/>
        <w:jc w:val="both"/>
        <w:rPr>
          <w:rFonts w:ascii="Arial" w:hAnsi="Arial" w:cs="Arial"/>
        </w:rPr>
      </w:pPr>
      <w:r w:rsidRPr="006D0176">
        <w:rPr>
          <w:rFonts w:ascii="Arial" w:hAnsi="Arial" w:cs="Arial"/>
        </w:rPr>
        <w:t xml:space="preserve">El turismo es </w:t>
      </w:r>
      <w:r w:rsidR="00316E61" w:rsidRPr="006D0176">
        <w:rPr>
          <w:rFonts w:ascii="Arial" w:hAnsi="Arial" w:cs="Arial"/>
        </w:rPr>
        <w:t xml:space="preserve">una práctica social que surge como respuesta a la necesidad de comprender el mundo, esta práctica permite que las personas se relacionen con el entorno y se ha desarrollado conforme a las formas de valoración sobre los lugares turísticos (Rozo, 2019). La industria turística ha tenido un notorio crecimiento </w:t>
      </w:r>
      <w:r w:rsidR="006D0176" w:rsidRPr="006D0176">
        <w:rPr>
          <w:rFonts w:ascii="Arial" w:hAnsi="Arial" w:cs="Arial"/>
        </w:rPr>
        <w:t xml:space="preserve">en los últimos años, representando una fuente de ingresos relevante y describiendo la calidad de vida de la población (CCG, 2019). </w:t>
      </w:r>
    </w:p>
    <w:p w14:paraId="210DE1E7" w14:textId="2B314E73" w:rsidR="006D0176" w:rsidRPr="007D5A75" w:rsidRDefault="00D23181" w:rsidP="00664ED5">
      <w:pPr>
        <w:tabs>
          <w:tab w:val="left" w:pos="2565"/>
        </w:tabs>
        <w:spacing w:after="160"/>
        <w:jc w:val="both"/>
        <w:rPr>
          <w:rFonts w:ascii="Arial" w:hAnsi="Arial" w:cs="Arial"/>
        </w:rPr>
      </w:pPr>
      <w:r w:rsidRPr="007D5A75">
        <w:rPr>
          <w:rFonts w:ascii="Arial" w:hAnsi="Arial" w:cs="Arial"/>
        </w:rPr>
        <w:t xml:space="preserve">Los ingresos por turismo (excluido el transporte) </w:t>
      </w:r>
      <w:r w:rsidR="006D0176" w:rsidRPr="007D5A75">
        <w:rPr>
          <w:rFonts w:ascii="Arial" w:hAnsi="Arial" w:cs="Arial"/>
        </w:rPr>
        <w:t>representa</w:t>
      </w:r>
      <w:r w:rsidR="00EE7A0B" w:rsidRPr="007D5A75">
        <w:rPr>
          <w:rFonts w:ascii="Arial" w:hAnsi="Arial" w:cs="Arial"/>
        </w:rPr>
        <w:t>ba</w:t>
      </w:r>
      <w:r w:rsidR="006D0176" w:rsidRPr="007D5A75">
        <w:rPr>
          <w:rFonts w:ascii="Arial" w:hAnsi="Arial" w:cs="Arial"/>
        </w:rPr>
        <w:t>n</w:t>
      </w:r>
      <w:r w:rsidRPr="007D5A75">
        <w:rPr>
          <w:rFonts w:ascii="Arial" w:hAnsi="Arial" w:cs="Arial"/>
        </w:rPr>
        <w:t xml:space="preserve"> un tercio del valor de los intercambios Mundiales, lo que en cifras </w:t>
      </w:r>
      <w:r w:rsidR="006D0176" w:rsidRPr="007D5A75">
        <w:rPr>
          <w:rFonts w:ascii="Arial" w:hAnsi="Arial" w:cs="Arial"/>
        </w:rPr>
        <w:t xml:space="preserve">enmarca </w:t>
      </w:r>
      <w:r w:rsidRPr="007D5A75">
        <w:rPr>
          <w:rFonts w:ascii="Arial" w:hAnsi="Arial" w:cs="Arial"/>
        </w:rPr>
        <w:t>el 8% de</w:t>
      </w:r>
      <w:r w:rsidR="006D0176" w:rsidRPr="007D5A75">
        <w:rPr>
          <w:rFonts w:ascii="Arial" w:hAnsi="Arial" w:cs="Arial"/>
        </w:rPr>
        <w:t xml:space="preserve"> </w:t>
      </w:r>
      <w:r w:rsidRPr="007D5A75">
        <w:rPr>
          <w:rFonts w:ascii="Arial" w:hAnsi="Arial" w:cs="Arial"/>
        </w:rPr>
        <w:t>l</w:t>
      </w:r>
      <w:r w:rsidR="006D0176" w:rsidRPr="007D5A75">
        <w:rPr>
          <w:rFonts w:ascii="Arial" w:hAnsi="Arial" w:cs="Arial"/>
        </w:rPr>
        <w:t>as exportaciones de bienes mundiales</w:t>
      </w:r>
      <w:r w:rsidR="00664ED5" w:rsidRPr="007D5A75">
        <w:rPr>
          <w:rFonts w:ascii="Arial" w:hAnsi="Arial" w:cs="Arial"/>
        </w:rPr>
        <w:t xml:space="preserve"> y el 35% de las exportaciones de servicios mundiales </w:t>
      </w:r>
      <w:r w:rsidR="00EE7A0B" w:rsidRPr="007D5A75">
        <w:rPr>
          <w:rFonts w:ascii="Arial" w:hAnsi="Arial" w:cs="Arial"/>
        </w:rPr>
        <w:t xml:space="preserve">en cifras del 2018 </w:t>
      </w:r>
      <w:r w:rsidR="00664ED5" w:rsidRPr="007D5A75">
        <w:rPr>
          <w:rFonts w:ascii="Arial" w:hAnsi="Arial" w:cs="Arial"/>
        </w:rPr>
        <w:t>(CCG, 2019)</w:t>
      </w:r>
      <w:r w:rsidR="006D0176" w:rsidRPr="007D5A75">
        <w:rPr>
          <w:rFonts w:ascii="Arial" w:hAnsi="Arial" w:cs="Arial"/>
        </w:rPr>
        <w:t xml:space="preserve">. </w:t>
      </w:r>
      <w:r w:rsidRPr="007D5A75">
        <w:rPr>
          <w:rFonts w:ascii="Arial" w:hAnsi="Arial" w:cs="Arial"/>
        </w:rPr>
        <w:t>E</w:t>
      </w:r>
      <w:r w:rsidR="00664ED5" w:rsidRPr="007D5A75">
        <w:rPr>
          <w:rFonts w:ascii="Arial" w:hAnsi="Arial" w:cs="Arial"/>
        </w:rPr>
        <w:t>llo resalta</w:t>
      </w:r>
      <w:r w:rsidRPr="007D5A75">
        <w:rPr>
          <w:rFonts w:ascii="Arial" w:hAnsi="Arial" w:cs="Arial"/>
        </w:rPr>
        <w:t xml:space="preserve"> la importancia económica del sector</w:t>
      </w:r>
      <w:r w:rsidR="00664ED5" w:rsidRPr="007D5A75">
        <w:rPr>
          <w:rFonts w:ascii="Arial" w:hAnsi="Arial" w:cs="Arial"/>
        </w:rPr>
        <w:t xml:space="preserve"> turístico en el</w:t>
      </w:r>
      <w:r w:rsidRPr="007D5A75">
        <w:rPr>
          <w:rFonts w:ascii="Arial" w:hAnsi="Arial" w:cs="Arial"/>
        </w:rPr>
        <w:t xml:space="preserve"> mund</w:t>
      </w:r>
      <w:r w:rsidR="00664ED5" w:rsidRPr="007D5A75">
        <w:rPr>
          <w:rFonts w:ascii="Arial" w:hAnsi="Arial" w:cs="Arial"/>
        </w:rPr>
        <w:t>o</w:t>
      </w:r>
      <w:r w:rsidRPr="007D5A75">
        <w:rPr>
          <w:rFonts w:ascii="Arial" w:hAnsi="Arial" w:cs="Arial"/>
        </w:rPr>
        <w:t xml:space="preserve">. </w:t>
      </w:r>
    </w:p>
    <w:p w14:paraId="00F5EBC9" w14:textId="05BB5010" w:rsidR="003D222B" w:rsidRPr="007D5A75" w:rsidRDefault="003D222B" w:rsidP="005E22DD">
      <w:pPr>
        <w:tabs>
          <w:tab w:val="left" w:pos="2565"/>
        </w:tabs>
        <w:spacing w:after="160"/>
        <w:jc w:val="both"/>
        <w:rPr>
          <w:rFonts w:ascii="Arial" w:hAnsi="Arial" w:cs="Arial"/>
        </w:rPr>
      </w:pPr>
      <w:r w:rsidRPr="007D5A75">
        <w:rPr>
          <w:rFonts w:ascii="Arial" w:hAnsi="Arial" w:cs="Arial"/>
        </w:rPr>
        <w:t>El turismo fue uno de los sectores más afectados con la propagación del SAR-</w:t>
      </w:r>
      <w:proofErr w:type="spellStart"/>
      <w:r w:rsidRPr="007D5A75">
        <w:rPr>
          <w:rFonts w:ascii="Arial" w:hAnsi="Arial" w:cs="Arial"/>
        </w:rPr>
        <w:t>CoV</w:t>
      </w:r>
      <w:proofErr w:type="spellEnd"/>
      <w:r w:rsidRPr="007D5A75">
        <w:rPr>
          <w:rFonts w:ascii="Arial" w:hAnsi="Arial" w:cs="Arial"/>
        </w:rPr>
        <w:t xml:space="preserve"> 19, debido a las restricciones de desplazamiento y aforo. Para antes de la pandemia del 2020, </w:t>
      </w:r>
      <w:r w:rsidR="00D23181" w:rsidRPr="007D5A75">
        <w:rPr>
          <w:rFonts w:ascii="Arial" w:hAnsi="Arial" w:cs="Arial"/>
        </w:rPr>
        <w:t>el turismo aporta</w:t>
      </w:r>
      <w:r w:rsidRPr="007D5A75">
        <w:rPr>
          <w:rFonts w:ascii="Arial" w:hAnsi="Arial" w:cs="Arial"/>
        </w:rPr>
        <w:t>ba el</w:t>
      </w:r>
      <w:r w:rsidR="00D23181" w:rsidRPr="007D5A75">
        <w:rPr>
          <w:rFonts w:ascii="Arial" w:hAnsi="Arial" w:cs="Arial"/>
        </w:rPr>
        <w:t xml:space="preserve"> 9% </w:t>
      </w:r>
      <w:r w:rsidRPr="007D5A75">
        <w:rPr>
          <w:rFonts w:ascii="Arial" w:hAnsi="Arial" w:cs="Arial"/>
        </w:rPr>
        <w:t>de</w:t>
      </w:r>
      <w:r w:rsidR="00D23181" w:rsidRPr="007D5A75">
        <w:rPr>
          <w:rFonts w:ascii="Arial" w:hAnsi="Arial" w:cs="Arial"/>
        </w:rPr>
        <w:t>l PIB mundial, genera</w:t>
      </w:r>
      <w:r w:rsidRPr="007D5A75">
        <w:rPr>
          <w:rFonts w:ascii="Arial" w:hAnsi="Arial" w:cs="Arial"/>
        </w:rPr>
        <w:t>ba</w:t>
      </w:r>
      <w:r w:rsidR="00D23181" w:rsidRPr="007D5A75">
        <w:rPr>
          <w:rFonts w:ascii="Arial" w:hAnsi="Arial" w:cs="Arial"/>
        </w:rPr>
        <w:t xml:space="preserve"> 1 de cada 11 empleos, </w:t>
      </w:r>
      <w:r w:rsidRPr="007D5A75">
        <w:rPr>
          <w:rFonts w:ascii="Arial" w:hAnsi="Arial" w:cs="Arial"/>
        </w:rPr>
        <w:t>producía</w:t>
      </w:r>
      <w:r w:rsidR="00D23181" w:rsidRPr="007D5A75">
        <w:rPr>
          <w:rFonts w:ascii="Arial" w:hAnsi="Arial" w:cs="Arial"/>
        </w:rPr>
        <w:t xml:space="preserve"> 1,5 billones de dólares de exportaciones</w:t>
      </w:r>
      <w:r w:rsidRPr="007D5A75">
        <w:rPr>
          <w:rFonts w:ascii="Arial" w:hAnsi="Arial" w:cs="Arial"/>
        </w:rPr>
        <w:t xml:space="preserve"> y</w:t>
      </w:r>
      <w:r w:rsidR="00D23181" w:rsidRPr="007D5A75">
        <w:rPr>
          <w:rFonts w:ascii="Arial" w:hAnsi="Arial" w:cs="Arial"/>
        </w:rPr>
        <w:t xml:space="preserve"> </w:t>
      </w:r>
      <w:r w:rsidRPr="007D5A75">
        <w:rPr>
          <w:rFonts w:ascii="Arial" w:hAnsi="Arial" w:cs="Arial"/>
        </w:rPr>
        <w:t>movía</w:t>
      </w:r>
      <w:r w:rsidR="00D23181" w:rsidRPr="007D5A75">
        <w:rPr>
          <w:rFonts w:ascii="Arial" w:hAnsi="Arial" w:cs="Arial"/>
        </w:rPr>
        <w:t xml:space="preserve"> el 6% del comercio internacional</w:t>
      </w:r>
      <w:r w:rsidRPr="007D5A75">
        <w:rPr>
          <w:rFonts w:ascii="Arial" w:hAnsi="Arial" w:cs="Arial"/>
        </w:rPr>
        <w:t xml:space="preserve"> (CCG, 2019)</w:t>
      </w:r>
      <w:r w:rsidR="00664ED5" w:rsidRPr="007D5A75">
        <w:rPr>
          <w:rFonts w:ascii="Arial" w:hAnsi="Arial" w:cs="Arial"/>
        </w:rPr>
        <w:t>.</w:t>
      </w:r>
      <w:r w:rsidRPr="007D5A75">
        <w:rPr>
          <w:rFonts w:ascii="Arial" w:hAnsi="Arial" w:cs="Arial"/>
        </w:rPr>
        <w:t xml:space="preserve"> Según datos de la Organización Mundial del Turismo, el sector</w:t>
      </w:r>
      <w:r w:rsidR="00EE7A0B" w:rsidRPr="007D5A75">
        <w:rPr>
          <w:rFonts w:ascii="Arial" w:hAnsi="Arial" w:cs="Arial"/>
        </w:rPr>
        <w:t xml:space="preserve"> </w:t>
      </w:r>
      <w:r w:rsidRPr="007D5A75">
        <w:rPr>
          <w:rFonts w:ascii="Arial" w:hAnsi="Arial" w:cs="Arial"/>
        </w:rPr>
        <w:t xml:space="preserve">ha recuperado cerca del 46% de los niveles anteriores a pandemia. Dicha organización </w:t>
      </w:r>
      <w:r w:rsidR="00EE7A0B" w:rsidRPr="007D5A75">
        <w:rPr>
          <w:rFonts w:ascii="Arial" w:hAnsi="Arial" w:cs="Arial"/>
        </w:rPr>
        <w:t xml:space="preserve">muestra que </w:t>
      </w:r>
      <w:r w:rsidRPr="007D5A75">
        <w:rPr>
          <w:rFonts w:ascii="Arial" w:hAnsi="Arial" w:cs="Arial"/>
        </w:rPr>
        <w:t xml:space="preserve">para el primer semestre de 2021 </w:t>
      </w:r>
      <w:r w:rsidR="00EE7A0B" w:rsidRPr="007D5A75">
        <w:rPr>
          <w:rFonts w:ascii="Arial" w:hAnsi="Arial" w:cs="Arial"/>
        </w:rPr>
        <w:t>las llegadas internacionales representaron</w:t>
      </w:r>
      <w:r w:rsidRPr="007D5A75">
        <w:rPr>
          <w:rFonts w:ascii="Arial" w:hAnsi="Arial" w:cs="Arial"/>
        </w:rPr>
        <w:t xml:space="preserve"> cerca de 77 mil llegadas, mientras que para el primer semestre de 2022 </w:t>
      </w:r>
      <w:r w:rsidR="00EE7A0B" w:rsidRPr="007D5A75">
        <w:rPr>
          <w:rFonts w:ascii="Arial" w:hAnsi="Arial" w:cs="Arial"/>
        </w:rPr>
        <w:t>se situaron en</w:t>
      </w:r>
      <w:r w:rsidRPr="007D5A75">
        <w:rPr>
          <w:rFonts w:ascii="Arial" w:hAnsi="Arial" w:cs="Arial"/>
        </w:rPr>
        <w:t xml:space="preserve"> 250 mil llegadas</w:t>
      </w:r>
      <w:r w:rsidR="005E22DD" w:rsidRPr="007D5A75">
        <w:rPr>
          <w:rFonts w:ascii="Arial" w:hAnsi="Arial" w:cs="Arial"/>
        </w:rPr>
        <w:t xml:space="preserve"> y </w:t>
      </w:r>
      <w:r w:rsidRPr="007D5A75">
        <w:rPr>
          <w:rFonts w:ascii="Arial" w:hAnsi="Arial" w:cs="Arial"/>
        </w:rPr>
        <w:t>se espera que est</w:t>
      </w:r>
      <w:r w:rsidR="005E22DD" w:rsidRPr="007D5A75">
        <w:rPr>
          <w:rFonts w:ascii="Arial" w:hAnsi="Arial" w:cs="Arial"/>
        </w:rPr>
        <w:t xml:space="preserve">as </w:t>
      </w:r>
      <w:r w:rsidRPr="007D5A75">
        <w:rPr>
          <w:rFonts w:ascii="Arial" w:hAnsi="Arial" w:cs="Arial"/>
        </w:rPr>
        <w:t xml:space="preserve">llegadas </w:t>
      </w:r>
      <w:r w:rsidR="005E22DD" w:rsidRPr="007D5A75">
        <w:rPr>
          <w:rFonts w:ascii="Arial" w:hAnsi="Arial" w:cs="Arial"/>
        </w:rPr>
        <w:t>aumenten</w:t>
      </w:r>
      <w:r w:rsidRPr="007D5A75">
        <w:rPr>
          <w:rFonts w:ascii="Arial" w:hAnsi="Arial" w:cs="Arial"/>
        </w:rPr>
        <w:t xml:space="preserve"> a medida que los países han </w:t>
      </w:r>
      <w:r w:rsidR="005E22DD" w:rsidRPr="007D5A75">
        <w:rPr>
          <w:rFonts w:ascii="Arial" w:hAnsi="Arial" w:cs="Arial"/>
        </w:rPr>
        <w:t>levantado</w:t>
      </w:r>
      <w:r w:rsidRPr="007D5A75">
        <w:rPr>
          <w:rFonts w:ascii="Arial" w:hAnsi="Arial" w:cs="Arial"/>
        </w:rPr>
        <w:t xml:space="preserve"> sus restricciones. No obstante, este sector requiere una mirada especial porque mantiene riesgos latentes </w:t>
      </w:r>
      <w:r w:rsidR="005E22DD" w:rsidRPr="007D5A75">
        <w:rPr>
          <w:rFonts w:ascii="Arial" w:hAnsi="Arial" w:cs="Arial"/>
        </w:rPr>
        <w:t xml:space="preserve">en su crecimiento </w:t>
      </w:r>
      <w:r w:rsidRPr="007D5A75">
        <w:rPr>
          <w:rFonts w:ascii="Arial" w:hAnsi="Arial" w:cs="Arial"/>
        </w:rPr>
        <w:t xml:space="preserve">como lo son el aumento de la inflación y los tipos de interés, el conflicto en Ucrania y la </w:t>
      </w:r>
      <w:r w:rsidR="005E22DD" w:rsidRPr="007D5A75">
        <w:rPr>
          <w:rFonts w:ascii="Arial" w:hAnsi="Arial" w:cs="Arial"/>
        </w:rPr>
        <w:t>proyectada</w:t>
      </w:r>
      <w:r w:rsidRPr="007D5A75">
        <w:rPr>
          <w:rFonts w:ascii="Arial" w:hAnsi="Arial" w:cs="Arial"/>
        </w:rPr>
        <w:t xml:space="preserve"> desaceleración </w:t>
      </w:r>
      <w:r w:rsidR="005E22DD" w:rsidRPr="007D5A75">
        <w:rPr>
          <w:rFonts w:ascii="Arial" w:hAnsi="Arial" w:cs="Arial"/>
        </w:rPr>
        <w:t>económica</w:t>
      </w:r>
      <w:r w:rsidRPr="007D5A75">
        <w:rPr>
          <w:rFonts w:ascii="Arial" w:hAnsi="Arial" w:cs="Arial"/>
        </w:rPr>
        <w:t xml:space="preserve">. </w:t>
      </w:r>
    </w:p>
    <w:p w14:paraId="4201AC92" w14:textId="746567D6" w:rsidR="002C57D0" w:rsidRDefault="00D23181" w:rsidP="007D5A75">
      <w:pPr>
        <w:tabs>
          <w:tab w:val="left" w:pos="2565"/>
        </w:tabs>
        <w:spacing w:after="160"/>
        <w:jc w:val="both"/>
        <w:rPr>
          <w:rFonts w:ascii="Arial" w:hAnsi="Arial" w:cs="Arial"/>
        </w:rPr>
      </w:pPr>
      <w:r w:rsidRPr="007D5A75">
        <w:rPr>
          <w:rFonts w:ascii="Arial" w:hAnsi="Arial" w:cs="Arial"/>
        </w:rPr>
        <w:t>En</w:t>
      </w:r>
      <w:r w:rsidR="005E22DD" w:rsidRPr="007D5A75">
        <w:rPr>
          <w:rFonts w:ascii="Arial" w:hAnsi="Arial" w:cs="Arial"/>
        </w:rPr>
        <w:t xml:space="preserve"> este punto es conveniente analizar la situación de la industria turística antes de la pandemia</w:t>
      </w:r>
      <w:r w:rsidR="009B39C8" w:rsidRPr="007D5A75">
        <w:rPr>
          <w:rFonts w:ascii="Arial" w:hAnsi="Arial" w:cs="Arial"/>
        </w:rPr>
        <w:t>,</w:t>
      </w:r>
      <w:r w:rsidR="005E22DD" w:rsidRPr="007D5A75">
        <w:rPr>
          <w:rFonts w:ascii="Arial" w:hAnsi="Arial" w:cs="Arial"/>
        </w:rPr>
        <w:t xml:space="preserve"> debido a que </w:t>
      </w:r>
      <w:r w:rsidR="009B39C8" w:rsidRPr="007D5A75">
        <w:rPr>
          <w:rFonts w:ascii="Arial" w:hAnsi="Arial" w:cs="Arial"/>
        </w:rPr>
        <w:t xml:space="preserve">es la posición que </w:t>
      </w:r>
      <w:r w:rsidR="005E22DD" w:rsidRPr="007D5A75">
        <w:rPr>
          <w:rFonts w:ascii="Arial" w:hAnsi="Arial" w:cs="Arial"/>
        </w:rPr>
        <w:t>se desea alcanzar en los años cercanos y superar en los años próximos. En Colombia, “</w:t>
      </w:r>
      <w:r w:rsidRPr="007D5A75">
        <w:rPr>
          <w:rFonts w:ascii="Arial" w:hAnsi="Arial" w:cs="Arial"/>
        </w:rPr>
        <w:t>se recibieron en el año 2018 un total de 4.388.815 visitantes extranjeros, lo que significó un aumento del 10,4 % respecto al año anterior</w:t>
      </w:r>
      <w:r w:rsidR="005E22DD" w:rsidRPr="007D5A75">
        <w:rPr>
          <w:rFonts w:ascii="Arial" w:hAnsi="Arial" w:cs="Arial"/>
        </w:rPr>
        <w:t>” (CCG, 2019,</w:t>
      </w:r>
      <w:r w:rsidR="00C80E63">
        <w:rPr>
          <w:rFonts w:ascii="Arial" w:hAnsi="Arial" w:cs="Arial"/>
        </w:rPr>
        <w:t xml:space="preserve"> pp. 5</w:t>
      </w:r>
      <w:r w:rsidR="005E22DD" w:rsidRPr="007D5A75">
        <w:rPr>
          <w:rFonts w:ascii="Arial" w:hAnsi="Arial" w:cs="Arial"/>
        </w:rPr>
        <w:t>)</w:t>
      </w:r>
      <w:r w:rsidRPr="007D5A75">
        <w:rPr>
          <w:rFonts w:ascii="Arial" w:hAnsi="Arial" w:cs="Arial"/>
        </w:rPr>
        <w:t>. La tasa de crecimiento del número de visitantes extranjeros que llegaron a Colombia se mant</w:t>
      </w:r>
      <w:r w:rsidR="002C57D0" w:rsidRPr="007D5A75">
        <w:rPr>
          <w:rFonts w:ascii="Arial" w:hAnsi="Arial" w:cs="Arial"/>
        </w:rPr>
        <w:t xml:space="preserve">uvo </w:t>
      </w:r>
      <w:r w:rsidRPr="007D5A75">
        <w:rPr>
          <w:rFonts w:ascii="Arial" w:hAnsi="Arial" w:cs="Arial"/>
        </w:rPr>
        <w:t>en 8,4 % desde 2011</w:t>
      </w:r>
      <w:r w:rsidR="009B39C8" w:rsidRPr="007D5A75">
        <w:rPr>
          <w:rFonts w:ascii="Arial" w:hAnsi="Arial" w:cs="Arial"/>
        </w:rPr>
        <w:t xml:space="preserve"> hasta 2019</w:t>
      </w:r>
      <w:r w:rsidRPr="007D5A75">
        <w:rPr>
          <w:rFonts w:ascii="Arial" w:hAnsi="Arial" w:cs="Arial"/>
        </w:rPr>
        <w:t>.</w:t>
      </w:r>
      <w:r w:rsidR="002C57D0" w:rsidRPr="007D5A75">
        <w:rPr>
          <w:rFonts w:ascii="Arial" w:hAnsi="Arial" w:cs="Arial"/>
        </w:rPr>
        <w:t xml:space="preserve"> En especial, el caribe colombiano guarda un amplio patrimonio histórico y atractivos turísticos, sustentado</w:t>
      </w:r>
      <w:r w:rsidR="007D5A75" w:rsidRPr="007D5A75">
        <w:rPr>
          <w:rFonts w:ascii="Arial" w:hAnsi="Arial" w:cs="Arial"/>
        </w:rPr>
        <w:t>s</w:t>
      </w:r>
      <w:r w:rsidR="002C57D0" w:rsidRPr="007D5A75">
        <w:rPr>
          <w:rFonts w:ascii="Arial" w:hAnsi="Arial" w:cs="Arial"/>
        </w:rPr>
        <w:t xml:space="preserve"> en la disponibilidad de </w:t>
      </w:r>
      <w:r w:rsidR="002C57D0" w:rsidRPr="007D5A75">
        <w:rPr>
          <w:rFonts w:ascii="Arial" w:hAnsi="Arial" w:cs="Arial"/>
        </w:rPr>
        <w:lastRenderedPageBreak/>
        <w:t xml:space="preserve">playas, </w:t>
      </w:r>
      <w:r w:rsidR="00CF2622">
        <w:rPr>
          <w:rFonts w:ascii="Arial" w:hAnsi="Arial" w:cs="Arial"/>
        </w:rPr>
        <w:t xml:space="preserve">riqueza </w:t>
      </w:r>
      <w:r w:rsidR="002C57D0" w:rsidRPr="007D5A75">
        <w:rPr>
          <w:rFonts w:ascii="Arial" w:hAnsi="Arial" w:cs="Arial"/>
        </w:rPr>
        <w:t xml:space="preserve">cultura y </w:t>
      </w:r>
      <w:r w:rsidR="00CF2622">
        <w:rPr>
          <w:rFonts w:ascii="Arial" w:hAnsi="Arial" w:cs="Arial"/>
        </w:rPr>
        <w:t xml:space="preserve">conservación de </w:t>
      </w:r>
      <w:r w:rsidR="007D5A75" w:rsidRPr="007D5A75">
        <w:rPr>
          <w:rFonts w:ascii="Arial" w:hAnsi="Arial" w:cs="Arial"/>
        </w:rPr>
        <w:t xml:space="preserve">monumentos históricos. Según </w:t>
      </w:r>
      <w:r w:rsidRPr="007D5A75">
        <w:rPr>
          <w:rFonts w:ascii="Arial" w:hAnsi="Arial" w:cs="Arial"/>
        </w:rPr>
        <w:t>cifras del Centro de Información Turísticas de Colombia CITUR-MINCIT,</w:t>
      </w:r>
      <w:r w:rsidR="007D5A75" w:rsidRPr="007D5A75">
        <w:rPr>
          <w:rFonts w:ascii="Arial" w:hAnsi="Arial" w:cs="Arial"/>
        </w:rPr>
        <w:t xml:space="preserve"> el Caribe Colombiano</w:t>
      </w:r>
      <w:r w:rsidRPr="007D5A75">
        <w:rPr>
          <w:rFonts w:ascii="Arial" w:hAnsi="Arial" w:cs="Arial"/>
        </w:rPr>
        <w:t xml:space="preserve"> </w:t>
      </w:r>
      <w:r w:rsidR="002C57D0" w:rsidRPr="007D5A75">
        <w:rPr>
          <w:rFonts w:ascii="Arial" w:hAnsi="Arial" w:cs="Arial"/>
        </w:rPr>
        <w:t>es uno de los destinos preferidos por los visitantes extranjeros</w:t>
      </w:r>
      <w:r w:rsidR="007D5A75" w:rsidRPr="007D5A75">
        <w:rPr>
          <w:rFonts w:ascii="Arial" w:hAnsi="Arial" w:cs="Arial"/>
        </w:rPr>
        <w:t>. Para el año 2019, La Guajira recibió</w:t>
      </w:r>
      <w:r w:rsidR="002C57D0" w:rsidRPr="007D5A75">
        <w:rPr>
          <w:rFonts w:ascii="Arial" w:hAnsi="Arial" w:cs="Arial"/>
        </w:rPr>
        <w:t xml:space="preserve"> 3.015 visitantes extranjeros no residentes</w:t>
      </w:r>
      <w:r w:rsidR="007D5A75" w:rsidRPr="007D5A75">
        <w:rPr>
          <w:rFonts w:ascii="Arial" w:hAnsi="Arial" w:cs="Arial"/>
        </w:rPr>
        <w:t xml:space="preserve">, Magdalena recibió 31.618 visitantes extranjeros y Bolívar recibió 530.178 visitantes extranjeros, siendo en estos tres departamentos donde se encuentran los tres distritos turísticos principales para el desarrollo del sector en Colombia: Riohacha, Santa Marta y Cartagena. </w:t>
      </w:r>
    </w:p>
    <w:p w14:paraId="6331BA8D" w14:textId="77777777" w:rsidR="00C80E63" w:rsidRDefault="00C80E63" w:rsidP="007D5A75">
      <w:pPr>
        <w:tabs>
          <w:tab w:val="left" w:pos="2565"/>
        </w:tabs>
        <w:spacing w:after="160"/>
        <w:jc w:val="both"/>
        <w:rPr>
          <w:rFonts w:ascii="Arial" w:hAnsi="Arial" w:cs="Arial"/>
        </w:rPr>
      </w:pPr>
    </w:p>
    <w:p w14:paraId="5C6929A3" w14:textId="0EF57C35" w:rsidR="00C80E63" w:rsidRDefault="00C80E63" w:rsidP="00C80E63">
      <w:pPr>
        <w:tabs>
          <w:tab w:val="left" w:pos="2565"/>
        </w:tabs>
        <w:jc w:val="center"/>
        <w:rPr>
          <w:rFonts w:ascii="Arial" w:hAnsi="Arial" w:cs="Arial"/>
        </w:rPr>
      </w:pPr>
      <w:r>
        <w:rPr>
          <w:noProof/>
          <w:lang w:eastAsia="es-CO"/>
        </w:rPr>
        <w:drawing>
          <wp:inline distT="0" distB="0" distL="0" distR="0" wp14:anchorId="75C974F5" wp14:editId="52086DB0">
            <wp:extent cx="3960000" cy="2329732"/>
            <wp:effectExtent l="0" t="0" r="2540" b="13970"/>
            <wp:docPr id="1" name="Gráfico 1">
              <a:extLst xmlns:a="http://schemas.openxmlformats.org/drawingml/2006/main">
                <a:ext uri="{FF2B5EF4-FFF2-40B4-BE49-F238E27FC236}">
                  <a16:creationId xmlns:a16="http://schemas.microsoft.com/office/drawing/2014/main" id="{4FA1673B-E2C4-B886-5014-03C17D906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AAC003" w14:textId="7FA1D2F4" w:rsidR="00C80E63" w:rsidRDefault="00C80E63" w:rsidP="00C80E63">
      <w:pPr>
        <w:tabs>
          <w:tab w:val="left" w:pos="2565"/>
        </w:tabs>
        <w:spacing w:after="160"/>
        <w:jc w:val="center"/>
        <w:rPr>
          <w:rFonts w:ascii="Arial" w:hAnsi="Arial" w:cs="Arial"/>
          <w:i/>
          <w:iCs/>
          <w:color w:val="A6A6A6" w:themeColor="background1" w:themeShade="A6"/>
        </w:rPr>
      </w:pPr>
      <w:r w:rsidRPr="00C80E63">
        <w:rPr>
          <w:rFonts w:ascii="Arial" w:hAnsi="Arial" w:cs="Arial"/>
          <w:i/>
          <w:iCs/>
          <w:color w:val="A6A6A6" w:themeColor="background1" w:themeShade="A6"/>
        </w:rPr>
        <w:t>Fuente: CITUR-MINCIT</w:t>
      </w:r>
    </w:p>
    <w:p w14:paraId="7E26E674" w14:textId="77777777" w:rsidR="0067784F" w:rsidRPr="00C80E63" w:rsidRDefault="0067784F" w:rsidP="00C80E63">
      <w:pPr>
        <w:tabs>
          <w:tab w:val="left" w:pos="2565"/>
        </w:tabs>
        <w:spacing w:after="160"/>
        <w:jc w:val="center"/>
        <w:rPr>
          <w:rFonts w:ascii="Arial" w:hAnsi="Arial" w:cs="Arial"/>
          <w:i/>
          <w:iCs/>
          <w:color w:val="A6A6A6" w:themeColor="background1" w:themeShade="A6"/>
        </w:rPr>
      </w:pPr>
    </w:p>
    <w:p w14:paraId="3D265765" w14:textId="2DE8ED76" w:rsidR="00C80E63" w:rsidRDefault="00C80E63" w:rsidP="00C80E63">
      <w:pPr>
        <w:tabs>
          <w:tab w:val="left" w:pos="2565"/>
        </w:tabs>
        <w:jc w:val="center"/>
        <w:rPr>
          <w:rFonts w:ascii="Arial" w:hAnsi="Arial" w:cs="Arial"/>
        </w:rPr>
      </w:pPr>
      <w:r>
        <w:rPr>
          <w:noProof/>
          <w:lang w:eastAsia="es-CO"/>
        </w:rPr>
        <w:drawing>
          <wp:inline distT="0" distB="0" distL="0" distR="0" wp14:anchorId="0BCEF398" wp14:editId="465EDDB5">
            <wp:extent cx="3959860" cy="2329732"/>
            <wp:effectExtent l="0" t="0" r="2540" b="13970"/>
            <wp:docPr id="8" name="Gráfico 8">
              <a:extLst xmlns:a="http://schemas.openxmlformats.org/drawingml/2006/main">
                <a:ext uri="{FF2B5EF4-FFF2-40B4-BE49-F238E27FC236}">
                  <a16:creationId xmlns:a16="http://schemas.microsoft.com/office/drawing/2014/main" id="{4A301C8B-7805-1290-F92D-EF83E011E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02E8AE" w14:textId="768FCCEA" w:rsidR="00C80E63" w:rsidRDefault="00C80E63" w:rsidP="00C80E63">
      <w:pPr>
        <w:tabs>
          <w:tab w:val="left" w:pos="2565"/>
        </w:tabs>
        <w:spacing w:after="160"/>
        <w:jc w:val="center"/>
        <w:rPr>
          <w:rFonts w:ascii="Arial" w:hAnsi="Arial" w:cs="Arial"/>
          <w:i/>
          <w:iCs/>
          <w:color w:val="A6A6A6" w:themeColor="background1" w:themeShade="A6"/>
        </w:rPr>
      </w:pPr>
      <w:r w:rsidRPr="00C80E63">
        <w:rPr>
          <w:rFonts w:ascii="Arial" w:hAnsi="Arial" w:cs="Arial"/>
          <w:i/>
          <w:iCs/>
          <w:color w:val="A6A6A6" w:themeColor="background1" w:themeShade="A6"/>
        </w:rPr>
        <w:t>Fuente: CITUR-MINCIT</w:t>
      </w:r>
    </w:p>
    <w:p w14:paraId="05B524BF" w14:textId="3168BA86" w:rsidR="00B93DF9" w:rsidRDefault="00B93DF9" w:rsidP="00C80E63">
      <w:pPr>
        <w:tabs>
          <w:tab w:val="left" w:pos="2565"/>
        </w:tabs>
        <w:spacing w:after="160"/>
        <w:jc w:val="center"/>
        <w:rPr>
          <w:rFonts w:ascii="Arial" w:hAnsi="Arial" w:cs="Arial"/>
          <w:i/>
          <w:iCs/>
          <w:color w:val="A6A6A6" w:themeColor="background1" w:themeShade="A6"/>
        </w:rPr>
      </w:pPr>
    </w:p>
    <w:p w14:paraId="19C8817F" w14:textId="3C1C9E4F" w:rsidR="00B93DF9" w:rsidRDefault="00B93DF9" w:rsidP="00C80E63">
      <w:pPr>
        <w:tabs>
          <w:tab w:val="left" w:pos="2565"/>
        </w:tabs>
        <w:spacing w:after="160"/>
        <w:jc w:val="center"/>
        <w:rPr>
          <w:rFonts w:ascii="Arial" w:hAnsi="Arial" w:cs="Arial"/>
          <w:i/>
          <w:iCs/>
          <w:color w:val="A6A6A6" w:themeColor="background1" w:themeShade="A6"/>
        </w:rPr>
      </w:pPr>
    </w:p>
    <w:p w14:paraId="30F206E1" w14:textId="77777777" w:rsidR="00B93DF9" w:rsidRPr="00C80E63" w:rsidRDefault="00B93DF9" w:rsidP="00C80E63">
      <w:pPr>
        <w:tabs>
          <w:tab w:val="left" w:pos="2565"/>
        </w:tabs>
        <w:spacing w:after="160"/>
        <w:jc w:val="center"/>
        <w:rPr>
          <w:rFonts w:ascii="Arial" w:hAnsi="Arial" w:cs="Arial"/>
          <w:i/>
          <w:iCs/>
          <w:color w:val="A6A6A6" w:themeColor="background1" w:themeShade="A6"/>
        </w:rPr>
      </w:pPr>
    </w:p>
    <w:p w14:paraId="4D00C63E" w14:textId="272BEDBF" w:rsidR="00FB49D4" w:rsidRDefault="00C80E63" w:rsidP="00C80E63">
      <w:pPr>
        <w:tabs>
          <w:tab w:val="left" w:pos="2565"/>
        </w:tabs>
        <w:jc w:val="center"/>
      </w:pPr>
      <w:r>
        <w:rPr>
          <w:noProof/>
          <w:lang w:eastAsia="es-CO"/>
        </w:rPr>
        <w:drawing>
          <wp:inline distT="0" distB="0" distL="0" distR="0" wp14:anchorId="21E92A07" wp14:editId="2F699958">
            <wp:extent cx="3959860" cy="2449002"/>
            <wp:effectExtent l="0" t="0" r="2540" b="8890"/>
            <wp:docPr id="9" name="Gráfico 9">
              <a:extLst xmlns:a="http://schemas.openxmlformats.org/drawingml/2006/main">
                <a:ext uri="{FF2B5EF4-FFF2-40B4-BE49-F238E27FC236}">
                  <a16:creationId xmlns:a16="http://schemas.microsoft.com/office/drawing/2014/main" id="{D919B4B2-090B-6646-03B1-54929B544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CA03D6" w14:textId="77777777" w:rsidR="00C80E63" w:rsidRPr="00C80E63" w:rsidRDefault="00C80E63" w:rsidP="00C80E63">
      <w:pPr>
        <w:tabs>
          <w:tab w:val="left" w:pos="2565"/>
        </w:tabs>
        <w:spacing w:after="160"/>
        <w:jc w:val="center"/>
        <w:rPr>
          <w:rFonts w:ascii="Arial" w:hAnsi="Arial" w:cs="Arial"/>
          <w:i/>
          <w:iCs/>
          <w:color w:val="A6A6A6" w:themeColor="background1" w:themeShade="A6"/>
        </w:rPr>
      </w:pPr>
      <w:r w:rsidRPr="00C80E63">
        <w:rPr>
          <w:rFonts w:ascii="Arial" w:hAnsi="Arial" w:cs="Arial"/>
          <w:i/>
          <w:iCs/>
          <w:color w:val="A6A6A6" w:themeColor="background1" w:themeShade="A6"/>
        </w:rPr>
        <w:t>Fuente: CITUR-MINCIT</w:t>
      </w:r>
    </w:p>
    <w:p w14:paraId="34172268" w14:textId="77777777" w:rsidR="00B93DF9" w:rsidRDefault="00B93DF9" w:rsidP="00730CF8">
      <w:pPr>
        <w:tabs>
          <w:tab w:val="left" w:pos="2565"/>
        </w:tabs>
        <w:spacing w:after="160"/>
        <w:jc w:val="both"/>
        <w:rPr>
          <w:rFonts w:ascii="Arial" w:hAnsi="Arial" w:cs="Arial"/>
        </w:rPr>
      </w:pPr>
    </w:p>
    <w:p w14:paraId="4E71164A" w14:textId="25FE9E99" w:rsidR="00FB49D4" w:rsidRPr="00CF2622" w:rsidRDefault="00D23181" w:rsidP="00730CF8">
      <w:pPr>
        <w:tabs>
          <w:tab w:val="left" w:pos="2565"/>
        </w:tabs>
        <w:spacing w:after="160"/>
        <w:jc w:val="both"/>
        <w:rPr>
          <w:rFonts w:ascii="Arial" w:hAnsi="Arial" w:cs="Arial"/>
        </w:rPr>
      </w:pPr>
      <w:r w:rsidRPr="00CF2622">
        <w:rPr>
          <w:rFonts w:ascii="Arial" w:hAnsi="Arial" w:cs="Arial"/>
        </w:rPr>
        <w:t xml:space="preserve">Según información del CITUR en el año 2018, La Guajira </w:t>
      </w:r>
      <w:r w:rsidR="00FB49D4" w:rsidRPr="00CF2622">
        <w:rPr>
          <w:rFonts w:ascii="Arial" w:hAnsi="Arial" w:cs="Arial"/>
        </w:rPr>
        <w:t xml:space="preserve">fue uno de los departamentos con </w:t>
      </w:r>
      <w:r w:rsidRPr="00CF2622">
        <w:rPr>
          <w:rFonts w:ascii="Arial" w:hAnsi="Arial" w:cs="Arial"/>
        </w:rPr>
        <w:t>mayor crecimiento de visitantes no residentes</w:t>
      </w:r>
      <w:r w:rsidR="00FB49D4" w:rsidRPr="00CF2622">
        <w:rPr>
          <w:rFonts w:ascii="Arial" w:hAnsi="Arial" w:cs="Arial"/>
        </w:rPr>
        <w:t>, con un crecimiento en cifras del 119% (CCG, 2019)</w:t>
      </w:r>
      <w:r w:rsidRPr="00CF2622">
        <w:rPr>
          <w:rFonts w:ascii="Arial" w:hAnsi="Arial" w:cs="Arial"/>
        </w:rPr>
        <w:t>,</w:t>
      </w:r>
      <w:r w:rsidR="00FB49D4" w:rsidRPr="00CF2622">
        <w:rPr>
          <w:rFonts w:ascii="Arial" w:hAnsi="Arial" w:cs="Arial"/>
        </w:rPr>
        <w:t xml:space="preserve"> superando departamentos como </w:t>
      </w:r>
      <w:r w:rsidR="00730CF8" w:rsidRPr="00CF2622">
        <w:rPr>
          <w:rFonts w:ascii="Arial" w:hAnsi="Arial" w:cs="Arial"/>
        </w:rPr>
        <w:t xml:space="preserve">Antioquia, </w:t>
      </w:r>
      <w:r w:rsidR="00FB49D4" w:rsidRPr="00CF2622">
        <w:rPr>
          <w:rFonts w:ascii="Arial" w:hAnsi="Arial" w:cs="Arial"/>
        </w:rPr>
        <w:t>Bolívar</w:t>
      </w:r>
      <w:r w:rsidR="00CF2622" w:rsidRPr="00CF2622">
        <w:rPr>
          <w:rFonts w:ascii="Arial" w:hAnsi="Arial" w:cs="Arial"/>
        </w:rPr>
        <w:t>, Magdalena</w:t>
      </w:r>
      <w:r w:rsidR="00730CF8" w:rsidRPr="00CF2622">
        <w:rPr>
          <w:rFonts w:ascii="Arial" w:hAnsi="Arial" w:cs="Arial"/>
        </w:rPr>
        <w:t xml:space="preserve"> y San Andrés, Providencia y Santa Catalina. Esta información permite divisar el potencial turístico del departamento y la necesidad de llevar una mirada especial sobre el fomento del sector en el territorio. </w:t>
      </w:r>
    </w:p>
    <w:p w14:paraId="533F2203" w14:textId="31966E4F" w:rsidR="00730CF8" w:rsidRPr="00CF2622" w:rsidRDefault="000C09F7" w:rsidP="00730CF8">
      <w:pPr>
        <w:tabs>
          <w:tab w:val="left" w:pos="2565"/>
        </w:tabs>
        <w:spacing w:after="160"/>
        <w:jc w:val="both"/>
        <w:rPr>
          <w:rFonts w:ascii="Arial" w:hAnsi="Arial" w:cs="Arial"/>
        </w:rPr>
      </w:pPr>
      <w:r w:rsidRPr="00CF2622">
        <w:rPr>
          <w:rFonts w:ascii="Arial" w:hAnsi="Arial" w:cs="Arial"/>
        </w:rPr>
        <w:t>Ahora bien</w:t>
      </w:r>
      <w:r w:rsidR="00730CF8" w:rsidRPr="00CF2622">
        <w:rPr>
          <w:rFonts w:ascii="Arial" w:hAnsi="Arial" w:cs="Arial"/>
        </w:rPr>
        <w:t xml:space="preserve">, la Cámara de Comercio de La Guajira (2019) advierte que el </w:t>
      </w:r>
      <w:r w:rsidRPr="00CF2622">
        <w:rPr>
          <w:rFonts w:ascii="Arial" w:hAnsi="Arial" w:cs="Arial"/>
        </w:rPr>
        <w:t>número</w:t>
      </w:r>
      <w:r w:rsidR="00730CF8" w:rsidRPr="00CF2622">
        <w:rPr>
          <w:rFonts w:ascii="Arial" w:hAnsi="Arial" w:cs="Arial"/>
        </w:rPr>
        <w:t xml:space="preserve"> de visitas por </w:t>
      </w:r>
      <w:r w:rsidRPr="00CF2622">
        <w:rPr>
          <w:rFonts w:ascii="Arial" w:hAnsi="Arial" w:cs="Arial"/>
        </w:rPr>
        <w:t>extranjeros</w:t>
      </w:r>
      <w:r w:rsidR="00730CF8" w:rsidRPr="00CF2622">
        <w:rPr>
          <w:rFonts w:ascii="Arial" w:hAnsi="Arial" w:cs="Arial"/>
        </w:rPr>
        <w:t xml:space="preserve"> al departamento no debería medirse solo en llegadas de vuelos regulares</w:t>
      </w:r>
      <w:r w:rsidRPr="00CF2622">
        <w:rPr>
          <w:rFonts w:ascii="Arial" w:hAnsi="Arial" w:cs="Arial"/>
        </w:rPr>
        <w:t>. Lo anterior,</w:t>
      </w:r>
      <w:r w:rsidR="00730CF8" w:rsidRPr="00CF2622">
        <w:rPr>
          <w:rFonts w:ascii="Arial" w:hAnsi="Arial" w:cs="Arial"/>
        </w:rPr>
        <w:t xml:space="preserve"> debido a que durante</w:t>
      </w:r>
      <w:r w:rsidRPr="00CF2622">
        <w:rPr>
          <w:rFonts w:ascii="Arial" w:hAnsi="Arial" w:cs="Arial"/>
        </w:rPr>
        <w:t xml:space="preserve"> varios</w:t>
      </w:r>
      <w:r w:rsidR="00730CF8" w:rsidRPr="00CF2622">
        <w:rPr>
          <w:rFonts w:ascii="Arial" w:hAnsi="Arial" w:cs="Arial"/>
        </w:rPr>
        <w:t xml:space="preserve"> años La Guajira cont</w:t>
      </w:r>
      <w:r w:rsidRPr="00CF2622">
        <w:rPr>
          <w:rFonts w:ascii="Arial" w:hAnsi="Arial" w:cs="Arial"/>
        </w:rPr>
        <w:t>ó</w:t>
      </w:r>
      <w:r w:rsidR="00730CF8" w:rsidRPr="00CF2622">
        <w:rPr>
          <w:rFonts w:ascii="Arial" w:hAnsi="Arial" w:cs="Arial"/>
        </w:rPr>
        <w:t xml:space="preserve"> </w:t>
      </w:r>
      <w:r w:rsidRPr="00CF2622">
        <w:rPr>
          <w:rFonts w:ascii="Arial" w:hAnsi="Arial" w:cs="Arial"/>
        </w:rPr>
        <w:t xml:space="preserve">con el servicio de </w:t>
      </w:r>
      <w:r w:rsidR="00730CF8" w:rsidRPr="00CF2622">
        <w:rPr>
          <w:rFonts w:ascii="Arial" w:hAnsi="Arial" w:cs="Arial"/>
        </w:rPr>
        <w:t xml:space="preserve">una </w:t>
      </w:r>
      <w:r w:rsidRPr="00CF2622">
        <w:rPr>
          <w:rFonts w:ascii="Arial" w:hAnsi="Arial" w:cs="Arial"/>
        </w:rPr>
        <w:t>única</w:t>
      </w:r>
      <w:r w:rsidR="00730CF8" w:rsidRPr="00CF2622">
        <w:rPr>
          <w:rFonts w:ascii="Arial" w:hAnsi="Arial" w:cs="Arial"/>
        </w:rPr>
        <w:t xml:space="preserve"> aerolínea l</w:t>
      </w:r>
      <w:r w:rsidRPr="00CF2622">
        <w:rPr>
          <w:rFonts w:ascii="Arial" w:hAnsi="Arial" w:cs="Arial"/>
        </w:rPr>
        <w:t>o que</w:t>
      </w:r>
      <w:r w:rsidR="00730CF8" w:rsidRPr="00CF2622">
        <w:rPr>
          <w:rFonts w:ascii="Arial" w:hAnsi="Arial" w:cs="Arial"/>
        </w:rPr>
        <w:t xml:space="preserve"> </w:t>
      </w:r>
      <w:r w:rsidRPr="00CF2622">
        <w:rPr>
          <w:rFonts w:ascii="Arial" w:hAnsi="Arial" w:cs="Arial"/>
        </w:rPr>
        <w:t>permitió la generación de</w:t>
      </w:r>
      <w:r w:rsidR="00730CF8" w:rsidRPr="00CF2622">
        <w:rPr>
          <w:rFonts w:ascii="Arial" w:hAnsi="Arial" w:cs="Arial"/>
        </w:rPr>
        <w:t xml:space="preserve"> un monopolio en precios, </w:t>
      </w:r>
      <w:r w:rsidRPr="00CF2622">
        <w:rPr>
          <w:rFonts w:ascii="Arial" w:hAnsi="Arial" w:cs="Arial"/>
        </w:rPr>
        <w:t>a</w:t>
      </w:r>
      <w:r w:rsidR="00730CF8" w:rsidRPr="00CF2622">
        <w:rPr>
          <w:rFonts w:ascii="Arial" w:hAnsi="Arial" w:cs="Arial"/>
        </w:rPr>
        <w:t>demás de ser uno de los destinos con mayo</w:t>
      </w:r>
      <w:r w:rsidRPr="00CF2622">
        <w:rPr>
          <w:rFonts w:ascii="Arial" w:hAnsi="Arial" w:cs="Arial"/>
        </w:rPr>
        <w:t>r</w:t>
      </w:r>
      <w:r w:rsidR="00730CF8" w:rsidRPr="00CF2622">
        <w:rPr>
          <w:rFonts w:ascii="Arial" w:hAnsi="Arial" w:cs="Arial"/>
        </w:rPr>
        <w:t xml:space="preserve"> distancia desde la capital del país, por lo que era de esperar</w:t>
      </w:r>
      <w:r w:rsidRPr="00CF2622">
        <w:rPr>
          <w:rFonts w:ascii="Arial" w:hAnsi="Arial" w:cs="Arial"/>
        </w:rPr>
        <w:t>se</w:t>
      </w:r>
      <w:r w:rsidR="00730CF8" w:rsidRPr="00CF2622">
        <w:rPr>
          <w:rFonts w:ascii="Arial" w:hAnsi="Arial" w:cs="Arial"/>
        </w:rPr>
        <w:t xml:space="preserve"> que los tiquetes aéreos a esta zona oc</w:t>
      </w:r>
      <w:r w:rsidRPr="00CF2622">
        <w:rPr>
          <w:rFonts w:ascii="Arial" w:hAnsi="Arial" w:cs="Arial"/>
        </w:rPr>
        <w:t>u</w:t>
      </w:r>
      <w:r w:rsidR="00730CF8" w:rsidRPr="00CF2622">
        <w:rPr>
          <w:rFonts w:ascii="Arial" w:hAnsi="Arial" w:cs="Arial"/>
        </w:rPr>
        <w:t>paran los mayores costos, por la mayor distancia y mayores tiempos empleados</w:t>
      </w:r>
      <w:r w:rsidRPr="00CF2622">
        <w:rPr>
          <w:rFonts w:ascii="Arial" w:hAnsi="Arial" w:cs="Arial"/>
        </w:rPr>
        <w:t>. Así, la Cámara de Comercio de este departamento</w:t>
      </w:r>
      <w:r w:rsidR="00730CF8" w:rsidRPr="00CF2622">
        <w:rPr>
          <w:rFonts w:ascii="Arial" w:hAnsi="Arial" w:cs="Arial"/>
        </w:rPr>
        <w:t xml:space="preserve"> advierte que viajeros internacionales </w:t>
      </w:r>
      <w:r w:rsidRPr="00CF2622">
        <w:rPr>
          <w:rFonts w:ascii="Arial" w:hAnsi="Arial" w:cs="Arial"/>
        </w:rPr>
        <w:t>aterrizaban</w:t>
      </w:r>
      <w:r w:rsidR="00730CF8" w:rsidRPr="00CF2622">
        <w:rPr>
          <w:rFonts w:ascii="Arial" w:hAnsi="Arial" w:cs="Arial"/>
        </w:rPr>
        <w:t xml:space="preserve"> en ciudades cercanas como Valledupar o Santa Marta para continuar su transporte por </w:t>
      </w:r>
      <w:r w:rsidRPr="00CF2622">
        <w:rPr>
          <w:rFonts w:ascii="Arial" w:hAnsi="Arial" w:cs="Arial"/>
        </w:rPr>
        <w:t>vía</w:t>
      </w:r>
      <w:r w:rsidR="00730CF8" w:rsidRPr="00CF2622">
        <w:rPr>
          <w:rFonts w:ascii="Arial" w:hAnsi="Arial" w:cs="Arial"/>
        </w:rPr>
        <w:t xml:space="preserve"> terrestre. </w:t>
      </w:r>
      <w:r w:rsidRPr="00CF2622">
        <w:rPr>
          <w:rFonts w:ascii="Arial" w:hAnsi="Arial" w:cs="Arial"/>
        </w:rPr>
        <w:t>“</w:t>
      </w:r>
      <w:r w:rsidR="00730CF8" w:rsidRPr="00CF2622">
        <w:rPr>
          <w:rFonts w:ascii="Arial" w:hAnsi="Arial" w:cs="Arial"/>
        </w:rPr>
        <w:t xml:space="preserve">Esta entidad también resalta que </w:t>
      </w:r>
      <w:r w:rsidRPr="00CF2622">
        <w:rPr>
          <w:rFonts w:ascii="Arial" w:hAnsi="Arial" w:cs="Arial"/>
        </w:rPr>
        <w:t>u</w:t>
      </w:r>
      <w:r w:rsidR="00D23181" w:rsidRPr="00CF2622">
        <w:rPr>
          <w:rFonts w:ascii="Arial" w:hAnsi="Arial" w:cs="Arial"/>
        </w:rPr>
        <w:t>n gran número de viajeros extranjero</w:t>
      </w:r>
      <w:r w:rsidRPr="00CF2622">
        <w:rPr>
          <w:rFonts w:ascii="Arial" w:hAnsi="Arial" w:cs="Arial"/>
        </w:rPr>
        <w:t>s</w:t>
      </w:r>
      <w:r w:rsidR="00D23181" w:rsidRPr="00CF2622">
        <w:rPr>
          <w:rFonts w:ascii="Arial" w:hAnsi="Arial" w:cs="Arial"/>
        </w:rPr>
        <w:t xml:space="preserve"> llegan al destino de manera autónoma</w:t>
      </w:r>
      <w:r w:rsidRPr="00CF2622">
        <w:rPr>
          <w:rFonts w:ascii="Arial" w:hAnsi="Arial" w:cs="Arial"/>
        </w:rPr>
        <w:t xml:space="preserve"> y</w:t>
      </w:r>
      <w:r w:rsidR="00D23181" w:rsidRPr="00CF2622">
        <w:rPr>
          <w:rFonts w:ascii="Arial" w:hAnsi="Arial" w:cs="Arial"/>
        </w:rPr>
        <w:t xml:space="preserve"> lo hacen para alojarse principalmente en el corregimiento de Palomino</w:t>
      </w:r>
      <w:r w:rsidRPr="00CF2622">
        <w:rPr>
          <w:rFonts w:ascii="Arial" w:hAnsi="Arial" w:cs="Arial"/>
        </w:rPr>
        <w:t>,</w:t>
      </w:r>
      <w:r w:rsidR="00D23181" w:rsidRPr="00CF2622">
        <w:rPr>
          <w:rFonts w:ascii="Arial" w:hAnsi="Arial" w:cs="Arial"/>
        </w:rPr>
        <w:t xml:space="preserve"> ya reconocido por sus playas y en especial por las actividades recreativas que vinculan el río y el mar</w:t>
      </w:r>
      <w:r w:rsidRPr="00CF2622">
        <w:rPr>
          <w:rFonts w:ascii="Arial" w:hAnsi="Arial" w:cs="Arial"/>
        </w:rPr>
        <w:t xml:space="preserve">” (CCG, 2019, </w:t>
      </w:r>
      <w:r w:rsidR="00C80E63">
        <w:rPr>
          <w:rFonts w:ascii="Arial" w:hAnsi="Arial" w:cs="Arial"/>
        </w:rPr>
        <w:t>pp. 6</w:t>
      </w:r>
      <w:r w:rsidRPr="00CF2622">
        <w:rPr>
          <w:rFonts w:ascii="Arial" w:hAnsi="Arial" w:cs="Arial"/>
        </w:rPr>
        <w:t>)</w:t>
      </w:r>
      <w:r w:rsidR="00D23181" w:rsidRPr="00CF2622">
        <w:rPr>
          <w:rFonts w:ascii="Arial" w:hAnsi="Arial" w:cs="Arial"/>
        </w:rPr>
        <w:t xml:space="preserve">. </w:t>
      </w:r>
    </w:p>
    <w:p w14:paraId="23AA0CD4" w14:textId="24DD12E3" w:rsidR="000C09F7" w:rsidRPr="00CF2622" w:rsidRDefault="000C09F7" w:rsidP="001A5FBB">
      <w:pPr>
        <w:tabs>
          <w:tab w:val="left" w:pos="2565"/>
        </w:tabs>
        <w:spacing w:after="160"/>
        <w:rPr>
          <w:rFonts w:ascii="Arial" w:hAnsi="Arial" w:cs="Arial"/>
        </w:rPr>
      </w:pPr>
      <w:r w:rsidRPr="00CF2622">
        <w:rPr>
          <w:rFonts w:ascii="Arial" w:hAnsi="Arial" w:cs="Arial"/>
        </w:rPr>
        <w:t>Según datos de la Cámara de Comercio de La Guajira:</w:t>
      </w:r>
    </w:p>
    <w:p w14:paraId="50EA4277" w14:textId="2D40C000" w:rsidR="000C09F7" w:rsidRDefault="000C09F7" w:rsidP="00CF2622">
      <w:pPr>
        <w:tabs>
          <w:tab w:val="left" w:pos="2565"/>
        </w:tabs>
        <w:spacing w:after="160"/>
        <w:ind w:left="1134"/>
        <w:jc w:val="both"/>
        <w:rPr>
          <w:rFonts w:ascii="Arial" w:hAnsi="Arial" w:cs="Arial"/>
        </w:rPr>
      </w:pPr>
      <w:r w:rsidRPr="00CF2622">
        <w:rPr>
          <w:rFonts w:ascii="Arial" w:hAnsi="Arial" w:cs="Arial"/>
        </w:rPr>
        <w:t>“</w:t>
      </w:r>
      <w:r w:rsidR="00D23181" w:rsidRPr="00CF2622">
        <w:rPr>
          <w:rFonts w:ascii="Arial" w:hAnsi="Arial" w:cs="Arial"/>
        </w:rPr>
        <w:t xml:space="preserve">Al mirar el componente de prestadores de servicios turísticos activos (RNT) encontramos que para el 2015 no se presentó ninguna variación, conservando los mismo 170 prestadores registrados en el 2014, </w:t>
      </w:r>
      <w:r w:rsidR="00D23181" w:rsidRPr="00CF2622">
        <w:rPr>
          <w:rFonts w:ascii="Arial" w:hAnsi="Arial" w:cs="Arial"/>
        </w:rPr>
        <w:lastRenderedPageBreak/>
        <w:t>evidenciando un decrecimiento de la actividad turística. Esta cifra cambiaria para 2016 indicando un crecimiento del 25%, pasando de 170 a 212 empresas</w:t>
      </w:r>
      <w:r w:rsidRPr="00CF2622">
        <w:rPr>
          <w:rFonts w:ascii="Arial" w:hAnsi="Arial" w:cs="Arial"/>
        </w:rPr>
        <w:t xml:space="preserve"> </w:t>
      </w:r>
      <w:r w:rsidR="00D23181" w:rsidRPr="00CF2622">
        <w:rPr>
          <w:rFonts w:ascii="Arial" w:hAnsi="Arial" w:cs="Arial"/>
        </w:rPr>
        <w:t>prestadoras de servicios. La tendencia se mantuvo para el 2017, el crecimiento fue del 67% llegando a 355 prestadores de servicios turísticos</w:t>
      </w:r>
      <w:r w:rsidRPr="00CF2622">
        <w:rPr>
          <w:rFonts w:ascii="Arial" w:hAnsi="Arial" w:cs="Arial"/>
        </w:rPr>
        <w:t xml:space="preserve"> </w:t>
      </w:r>
      <w:r w:rsidR="00D23181" w:rsidRPr="00CF2622">
        <w:rPr>
          <w:rFonts w:ascii="Arial" w:hAnsi="Arial" w:cs="Arial"/>
        </w:rPr>
        <w:t>registrados. En el año 2018, según lo reportado por CINTUR y el MINCIT, el componente de prestadores de servicios turístico presenta un aumento de 12% alcanzando 396 prestadores de servicios y hasta mayo del 2019 están inscritos 342 prestadores</w:t>
      </w:r>
      <w:r w:rsidRPr="00CF2622">
        <w:rPr>
          <w:rFonts w:ascii="Arial" w:hAnsi="Arial" w:cs="Arial"/>
        </w:rPr>
        <w:t xml:space="preserve">.” (CCG, 2019, </w:t>
      </w:r>
      <w:r w:rsidR="00C80E63">
        <w:rPr>
          <w:rFonts w:ascii="Arial" w:hAnsi="Arial" w:cs="Arial"/>
        </w:rPr>
        <w:t>pp. 6</w:t>
      </w:r>
      <w:r w:rsidRPr="00CF2622">
        <w:rPr>
          <w:rFonts w:ascii="Arial" w:hAnsi="Arial" w:cs="Arial"/>
        </w:rPr>
        <w:t>)</w:t>
      </w:r>
      <w:r w:rsidR="00B93DF9">
        <w:rPr>
          <w:rFonts w:ascii="Arial" w:hAnsi="Arial" w:cs="Arial"/>
        </w:rPr>
        <w:t>.</w:t>
      </w:r>
    </w:p>
    <w:p w14:paraId="28129CD7" w14:textId="77777777" w:rsidR="00B93DF9" w:rsidRPr="00CF2622" w:rsidRDefault="00B93DF9" w:rsidP="00CF2622">
      <w:pPr>
        <w:tabs>
          <w:tab w:val="left" w:pos="2565"/>
        </w:tabs>
        <w:spacing w:after="160"/>
        <w:ind w:left="1134"/>
        <w:jc w:val="both"/>
        <w:rPr>
          <w:rFonts w:ascii="Arial" w:hAnsi="Arial" w:cs="Arial"/>
        </w:rPr>
      </w:pPr>
    </w:p>
    <w:p w14:paraId="5C06A8A4" w14:textId="365FDCD1" w:rsidR="002614DD" w:rsidRPr="00F97D19" w:rsidRDefault="002614DD" w:rsidP="00F97D19">
      <w:pPr>
        <w:tabs>
          <w:tab w:val="left" w:pos="2565"/>
        </w:tabs>
        <w:spacing w:after="160"/>
        <w:jc w:val="both"/>
        <w:rPr>
          <w:rFonts w:ascii="Arial" w:eastAsia="Calibri" w:hAnsi="Arial" w:cs="Arial"/>
        </w:rPr>
      </w:pPr>
      <w:r w:rsidRPr="00F97D19">
        <w:rPr>
          <w:rFonts w:ascii="Arial" w:eastAsia="Calibri" w:hAnsi="Arial" w:cs="Arial"/>
        </w:rPr>
        <w:t xml:space="preserve">Según datos del Ministerio de Comercio, Industria y Turismo (2022), el departamento de la Guajira cuenta con 534 prestadores del servicio turístico inscritos en el Registro Nacional de Turismo al 2020, 9.022 llegadas de pasajeros nacionales por modo aéreo acumulado a julio de 2021, 158 llegadas de pasajeros internacionales por modo aéreo acumulado a julio de 2021, 82 visitantes no residentes por modo aéreo y 5.075 habitaciones de alojamiento turístico al año 2020. Lo que permite divisar </w:t>
      </w:r>
      <w:r w:rsidR="000F7011" w:rsidRPr="00F97D19">
        <w:rPr>
          <w:rFonts w:ascii="Arial" w:eastAsia="Calibri" w:hAnsi="Arial" w:cs="Arial"/>
        </w:rPr>
        <w:t xml:space="preserve">-una vez más- </w:t>
      </w:r>
      <w:r w:rsidRPr="00F97D19">
        <w:rPr>
          <w:rFonts w:ascii="Arial" w:eastAsia="Calibri" w:hAnsi="Arial" w:cs="Arial"/>
        </w:rPr>
        <w:t xml:space="preserve">la necesidad de </w:t>
      </w:r>
      <w:r w:rsidR="000F7011" w:rsidRPr="00F97D19">
        <w:rPr>
          <w:rFonts w:ascii="Arial" w:eastAsia="Calibri" w:hAnsi="Arial" w:cs="Arial"/>
        </w:rPr>
        <w:t xml:space="preserve">reunir esfuerzos para lograr el </w:t>
      </w:r>
      <w:r w:rsidRPr="00F97D19">
        <w:rPr>
          <w:rFonts w:ascii="Arial" w:eastAsia="Calibri" w:hAnsi="Arial" w:cs="Arial"/>
        </w:rPr>
        <w:t xml:space="preserve">fortalecimiento </w:t>
      </w:r>
      <w:r w:rsidR="000F7011" w:rsidRPr="00F97D19">
        <w:rPr>
          <w:rFonts w:ascii="Arial" w:eastAsia="Calibri" w:hAnsi="Arial" w:cs="Arial"/>
        </w:rPr>
        <w:t>de</w:t>
      </w:r>
      <w:r w:rsidRPr="00F97D19">
        <w:rPr>
          <w:rFonts w:ascii="Arial" w:eastAsia="Calibri" w:hAnsi="Arial" w:cs="Arial"/>
        </w:rPr>
        <w:t>l sector,</w:t>
      </w:r>
      <w:r w:rsidR="000F7011" w:rsidRPr="00F97D19">
        <w:rPr>
          <w:rFonts w:ascii="Arial" w:eastAsia="Calibri" w:hAnsi="Arial" w:cs="Arial"/>
        </w:rPr>
        <w:t xml:space="preserve"> generar una </w:t>
      </w:r>
      <w:r w:rsidRPr="00F97D19">
        <w:rPr>
          <w:rFonts w:ascii="Arial" w:eastAsia="Calibri" w:hAnsi="Arial" w:cs="Arial"/>
        </w:rPr>
        <w:t>infraestructura</w:t>
      </w:r>
      <w:r w:rsidR="000F7011" w:rsidRPr="00F97D19">
        <w:rPr>
          <w:rFonts w:ascii="Arial" w:eastAsia="Calibri" w:hAnsi="Arial" w:cs="Arial"/>
        </w:rPr>
        <w:t xml:space="preserve"> robusta que albergue el crecimiento de esta industria</w:t>
      </w:r>
      <w:r w:rsidRPr="00F97D19">
        <w:rPr>
          <w:rFonts w:ascii="Arial" w:eastAsia="Calibri" w:hAnsi="Arial" w:cs="Arial"/>
        </w:rPr>
        <w:t xml:space="preserve"> y foment</w:t>
      </w:r>
      <w:r w:rsidR="000F7011" w:rsidRPr="00F97D19">
        <w:rPr>
          <w:rFonts w:ascii="Arial" w:eastAsia="Calibri" w:hAnsi="Arial" w:cs="Arial"/>
        </w:rPr>
        <w:t>ar</w:t>
      </w:r>
      <w:r w:rsidRPr="00F97D19">
        <w:rPr>
          <w:rFonts w:ascii="Arial" w:eastAsia="Calibri" w:hAnsi="Arial" w:cs="Arial"/>
        </w:rPr>
        <w:t xml:space="preserve"> la promoción</w:t>
      </w:r>
      <w:r w:rsidR="000F7011" w:rsidRPr="00F97D19">
        <w:rPr>
          <w:rFonts w:ascii="Arial" w:eastAsia="Calibri" w:hAnsi="Arial" w:cs="Arial"/>
        </w:rPr>
        <w:t xml:space="preserve"> del territorio como destino turístico</w:t>
      </w:r>
      <w:r w:rsidRPr="00F97D19">
        <w:rPr>
          <w:rFonts w:ascii="Arial" w:eastAsia="Calibri" w:hAnsi="Arial" w:cs="Arial"/>
        </w:rPr>
        <w:t xml:space="preserve">. </w:t>
      </w:r>
    </w:p>
    <w:p w14:paraId="17B2FAB5" w14:textId="6D17999A" w:rsidR="00063816" w:rsidRDefault="00063816" w:rsidP="00F97D19">
      <w:pPr>
        <w:tabs>
          <w:tab w:val="left" w:pos="2565"/>
        </w:tabs>
        <w:spacing w:after="160"/>
        <w:jc w:val="both"/>
        <w:rPr>
          <w:rFonts w:ascii="Arial" w:hAnsi="Arial" w:cs="Arial"/>
        </w:rPr>
      </w:pPr>
      <w:r w:rsidRPr="00F97D19">
        <w:rPr>
          <w:rFonts w:ascii="Arial" w:hAnsi="Arial" w:cs="Arial"/>
        </w:rPr>
        <w:t xml:space="preserve">Cabe añadir que, La Guajira cuenta con múltiples productos turísticos que aún no se han posicionado a nivel nacional. A nivel nacional se destacan Palomino, Cabo de la Vela y Punta Gallinas. Entre los demás atractivos turísticos no posicionados a nivel nacional, según la Cámara de Comercio de la Guajira, se encuentran: </w:t>
      </w:r>
    </w:p>
    <w:p w14:paraId="3D6C9D4F" w14:textId="77777777" w:rsidR="00B93DF9" w:rsidRPr="00F97D19" w:rsidRDefault="00B93DF9" w:rsidP="00F97D19">
      <w:pPr>
        <w:tabs>
          <w:tab w:val="left" w:pos="2565"/>
        </w:tabs>
        <w:spacing w:after="160"/>
        <w:jc w:val="both"/>
        <w:rPr>
          <w:rFonts w:ascii="Arial" w:hAnsi="Arial" w:cs="Arial"/>
        </w:rPr>
      </w:pPr>
    </w:p>
    <w:p w14:paraId="7A91DFA4" w14:textId="7511E1BA" w:rsidR="00063816" w:rsidRPr="00F97D19" w:rsidRDefault="00063816"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 xml:space="preserve">Desierto de la Guajira: Carrizal, Ahuyama, Las Dunas de Chimare, </w:t>
      </w:r>
      <w:proofErr w:type="spellStart"/>
      <w:r w:rsidRPr="00F97D19">
        <w:rPr>
          <w:rFonts w:ascii="Arial" w:hAnsi="Arial" w:cs="Arial"/>
        </w:rPr>
        <w:t>Taroa</w:t>
      </w:r>
      <w:proofErr w:type="spellEnd"/>
      <w:r w:rsidR="009E0F7B" w:rsidRPr="00F97D19">
        <w:rPr>
          <w:rFonts w:ascii="Arial" w:hAnsi="Arial" w:cs="Arial"/>
        </w:rPr>
        <w:t xml:space="preserve"> y </w:t>
      </w:r>
      <w:r w:rsidRPr="00F97D19">
        <w:rPr>
          <w:rFonts w:ascii="Arial" w:hAnsi="Arial" w:cs="Arial"/>
        </w:rPr>
        <w:t xml:space="preserve">Patos </w:t>
      </w:r>
    </w:p>
    <w:p w14:paraId="4BCFCB0D" w14:textId="4FEA1110" w:rsidR="00063816" w:rsidRPr="00F97D19" w:rsidRDefault="00063816"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 xml:space="preserve">Ecosistemas desérticos de playas: </w:t>
      </w:r>
      <w:r w:rsidR="009E0F7B" w:rsidRPr="00F97D19">
        <w:rPr>
          <w:rFonts w:ascii="Arial" w:hAnsi="Arial" w:cs="Arial"/>
        </w:rPr>
        <w:t>Serranías</w:t>
      </w:r>
      <w:r w:rsidRPr="00F97D19">
        <w:rPr>
          <w:rFonts w:ascii="Arial" w:hAnsi="Arial" w:cs="Arial"/>
        </w:rPr>
        <w:t xml:space="preserve"> de Cocinas, </w:t>
      </w:r>
      <w:proofErr w:type="spellStart"/>
      <w:r w:rsidRPr="00F97D19">
        <w:rPr>
          <w:rFonts w:ascii="Arial" w:hAnsi="Arial" w:cs="Arial"/>
        </w:rPr>
        <w:t>Jarara</w:t>
      </w:r>
      <w:proofErr w:type="spellEnd"/>
      <w:r w:rsidRPr="00F97D19">
        <w:rPr>
          <w:rFonts w:ascii="Arial" w:hAnsi="Arial" w:cs="Arial"/>
        </w:rPr>
        <w:t xml:space="preserve"> y Carpintero.</w:t>
      </w:r>
    </w:p>
    <w:p w14:paraId="073B5637" w14:textId="6EB8A32B" w:rsidR="00063816" w:rsidRPr="00F97D19" w:rsidRDefault="009E0F7B"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 xml:space="preserve">Lagunas costera y estuarios: Bahía Portete, Bahía Honda, Bahía Hondita, </w:t>
      </w:r>
      <w:proofErr w:type="spellStart"/>
      <w:r w:rsidRPr="00F97D19">
        <w:rPr>
          <w:rFonts w:ascii="Arial" w:hAnsi="Arial" w:cs="Arial"/>
        </w:rPr>
        <w:t>Tucacas</w:t>
      </w:r>
      <w:proofErr w:type="spellEnd"/>
      <w:r w:rsidRPr="00F97D19">
        <w:rPr>
          <w:rFonts w:ascii="Arial" w:hAnsi="Arial" w:cs="Arial"/>
        </w:rPr>
        <w:t xml:space="preserve">, Cocinetas y Puerto López. </w:t>
      </w:r>
    </w:p>
    <w:p w14:paraId="5C937AEB" w14:textId="1B274800" w:rsidR="009E0F7B" w:rsidRPr="00F97D19" w:rsidRDefault="009E0F7B"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 xml:space="preserve">Áreas naturales protegidas: Parque Nacional Natural </w:t>
      </w:r>
      <w:proofErr w:type="spellStart"/>
      <w:r w:rsidRPr="00F97D19">
        <w:rPr>
          <w:rFonts w:ascii="Arial" w:hAnsi="Arial" w:cs="Arial"/>
        </w:rPr>
        <w:t>Macuira</w:t>
      </w:r>
      <w:proofErr w:type="spellEnd"/>
      <w:r w:rsidRPr="00F97D19">
        <w:rPr>
          <w:rFonts w:ascii="Arial" w:hAnsi="Arial" w:cs="Arial"/>
        </w:rPr>
        <w:t xml:space="preserve">, Santuario de Fauna y Flora Los Flamencos, Laguna </w:t>
      </w:r>
      <w:proofErr w:type="spellStart"/>
      <w:r w:rsidRPr="00F97D19">
        <w:rPr>
          <w:rFonts w:ascii="Arial" w:hAnsi="Arial" w:cs="Arial"/>
        </w:rPr>
        <w:t>Salá</w:t>
      </w:r>
      <w:proofErr w:type="spellEnd"/>
      <w:r w:rsidRPr="00F97D19">
        <w:rPr>
          <w:rFonts w:ascii="Arial" w:hAnsi="Arial" w:cs="Arial"/>
        </w:rPr>
        <w:t xml:space="preserve">, </w:t>
      </w:r>
      <w:proofErr w:type="spellStart"/>
      <w:r w:rsidRPr="00F97D19">
        <w:rPr>
          <w:rFonts w:ascii="Arial" w:hAnsi="Arial" w:cs="Arial"/>
        </w:rPr>
        <w:t>Musichi</w:t>
      </w:r>
      <w:proofErr w:type="spellEnd"/>
      <w:r w:rsidRPr="00F97D19">
        <w:rPr>
          <w:rFonts w:ascii="Arial" w:hAnsi="Arial" w:cs="Arial"/>
        </w:rPr>
        <w:t xml:space="preserve"> y Sierra Nevada de Santa Marta.</w:t>
      </w:r>
    </w:p>
    <w:p w14:paraId="4D01E597" w14:textId="6FF38D9D" w:rsidR="009E0F7B" w:rsidRPr="00F97D19" w:rsidRDefault="009E0F7B"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 xml:space="preserve">Territorio Minero Energético: Minas de Carbón del Cerrejón, Salinas de Manaure, Plataformas marinas y Parque Eólico </w:t>
      </w:r>
      <w:proofErr w:type="spellStart"/>
      <w:r w:rsidRPr="00F97D19">
        <w:rPr>
          <w:rFonts w:ascii="Arial" w:hAnsi="Arial" w:cs="Arial"/>
        </w:rPr>
        <w:t>Jepirachi</w:t>
      </w:r>
      <w:proofErr w:type="spellEnd"/>
      <w:r w:rsidRPr="00F97D19">
        <w:rPr>
          <w:rFonts w:ascii="Arial" w:hAnsi="Arial" w:cs="Arial"/>
        </w:rPr>
        <w:t xml:space="preserve">. </w:t>
      </w:r>
    </w:p>
    <w:p w14:paraId="77A9F81A" w14:textId="4F285AB0" w:rsidR="009E0F7B" w:rsidRPr="00F97D19" w:rsidRDefault="009E0F7B"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 xml:space="preserve">Etnia </w:t>
      </w:r>
      <w:proofErr w:type="spellStart"/>
      <w:r w:rsidRPr="00F97D19">
        <w:rPr>
          <w:rFonts w:ascii="Arial" w:hAnsi="Arial" w:cs="Arial"/>
        </w:rPr>
        <w:t>Wayúu</w:t>
      </w:r>
      <w:proofErr w:type="spellEnd"/>
      <w:r w:rsidRPr="00F97D19">
        <w:rPr>
          <w:rFonts w:ascii="Arial" w:hAnsi="Arial" w:cs="Arial"/>
        </w:rPr>
        <w:t xml:space="preserve">: tradición cultural, producción artesanal, gastronomía y el </w:t>
      </w:r>
      <w:proofErr w:type="spellStart"/>
      <w:r w:rsidRPr="00F97D19">
        <w:rPr>
          <w:rFonts w:ascii="Arial" w:hAnsi="Arial" w:cs="Arial"/>
        </w:rPr>
        <w:t>plaabrero</w:t>
      </w:r>
      <w:proofErr w:type="spellEnd"/>
      <w:r w:rsidRPr="00F97D19">
        <w:rPr>
          <w:rFonts w:ascii="Arial" w:hAnsi="Arial" w:cs="Arial"/>
        </w:rPr>
        <w:t xml:space="preserve"> como Patrimonio Inmaterial de la Humanidad declarado por la UNESCO. </w:t>
      </w:r>
    </w:p>
    <w:p w14:paraId="5A2C0181" w14:textId="425BF9A3" w:rsidR="009E0F7B" w:rsidRPr="00F97D19" w:rsidRDefault="009E0F7B"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Deportes extremos: Kitesurf y Windsurf.</w:t>
      </w:r>
    </w:p>
    <w:p w14:paraId="149D8D62" w14:textId="530A1EC5" w:rsidR="00D23181" w:rsidRDefault="009E0F7B" w:rsidP="00F97D19">
      <w:pPr>
        <w:pStyle w:val="Prrafodelista"/>
        <w:numPr>
          <w:ilvl w:val="0"/>
          <w:numId w:val="2"/>
        </w:numPr>
        <w:tabs>
          <w:tab w:val="left" w:pos="2565"/>
        </w:tabs>
        <w:spacing w:after="160"/>
        <w:jc w:val="both"/>
        <w:rPr>
          <w:rFonts w:ascii="Arial" w:hAnsi="Arial" w:cs="Arial"/>
        </w:rPr>
      </w:pPr>
      <w:r w:rsidRPr="00F97D19">
        <w:rPr>
          <w:rFonts w:ascii="Arial" w:hAnsi="Arial" w:cs="Arial"/>
        </w:rPr>
        <w:t>Ferias, fiestas y festivales vallenatos</w:t>
      </w:r>
    </w:p>
    <w:p w14:paraId="2AEDEEDB" w14:textId="77777777" w:rsidR="00B93DF9" w:rsidRDefault="00B93DF9" w:rsidP="002833F4">
      <w:pPr>
        <w:tabs>
          <w:tab w:val="left" w:pos="2565"/>
        </w:tabs>
        <w:spacing w:after="160"/>
        <w:jc w:val="both"/>
        <w:rPr>
          <w:rFonts w:ascii="Arial" w:hAnsi="Arial" w:cs="Arial"/>
        </w:rPr>
      </w:pPr>
    </w:p>
    <w:p w14:paraId="4ECD600A" w14:textId="0ADBBCFD" w:rsidR="00857AED" w:rsidRPr="002833F4" w:rsidRDefault="007617FC" w:rsidP="002833F4">
      <w:pPr>
        <w:tabs>
          <w:tab w:val="left" w:pos="2565"/>
        </w:tabs>
        <w:spacing w:after="160"/>
        <w:jc w:val="both"/>
        <w:rPr>
          <w:rFonts w:ascii="Arial" w:hAnsi="Arial" w:cs="Arial"/>
        </w:rPr>
      </w:pPr>
      <w:r>
        <w:rPr>
          <w:rFonts w:ascii="Arial" w:hAnsi="Arial" w:cs="Arial"/>
        </w:rPr>
        <w:t>Las diferentes áreas naturales protegidas en la Guajira más los territorios que no han sido explorados por el hombre en el departamento, revelan el potencial para ecoturismo</w:t>
      </w:r>
      <w:r w:rsidR="002833F4">
        <w:rPr>
          <w:rFonts w:ascii="Arial" w:hAnsi="Arial" w:cs="Arial"/>
        </w:rPr>
        <w:t xml:space="preserve"> disponible en este territorio y la relevancia de fomentar la conservación de la biodiversidad en esta población. Por su parte, con este proyecto de Ley se pretende que los prestadores de servicios turísticos den a conocer las listas de precio antes del inicio de la prestación de servicio. Lo anterior en pro de conservar la dignidad del consumidor y prevalecer sus derechos. </w:t>
      </w:r>
    </w:p>
    <w:p w14:paraId="31E014A0" w14:textId="77777777" w:rsidR="00B93DF9" w:rsidRDefault="00B93DF9" w:rsidP="00F97D19">
      <w:pPr>
        <w:tabs>
          <w:tab w:val="left" w:pos="2565"/>
        </w:tabs>
        <w:spacing w:after="160"/>
        <w:jc w:val="center"/>
        <w:rPr>
          <w:rFonts w:ascii="Arial" w:eastAsia="Calibri" w:hAnsi="Arial" w:cs="Arial"/>
          <w:b/>
          <w:iCs/>
        </w:rPr>
      </w:pPr>
    </w:p>
    <w:p w14:paraId="6D44B3D2" w14:textId="04F12333" w:rsidR="003C6930" w:rsidRPr="00F97D19" w:rsidRDefault="003C6930" w:rsidP="00F97D19">
      <w:pPr>
        <w:tabs>
          <w:tab w:val="left" w:pos="2565"/>
        </w:tabs>
        <w:spacing w:after="160"/>
        <w:jc w:val="center"/>
        <w:rPr>
          <w:rFonts w:ascii="Arial" w:eastAsia="Calibri" w:hAnsi="Arial" w:cs="Arial"/>
          <w:iCs/>
        </w:rPr>
      </w:pPr>
      <w:r>
        <w:rPr>
          <w:rFonts w:ascii="Arial" w:eastAsia="Calibri" w:hAnsi="Arial" w:cs="Arial"/>
          <w:b/>
          <w:iCs/>
        </w:rPr>
        <w:t>MARCO JURÍDICO</w:t>
      </w:r>
    </w:p>
    <w:p w14:paraId="17CB4294" w14:textId="7E49F5E0" w:rsidR="00B16B14" w:rsidRPr="00EC33AC" w:rsidRDefault="00B16B14" w:rsidP="00EC33AC">
      <w:pPr>
        <w:spacing w:after="160"/>
        <w:jc w:val="both"/>
        <w:rPr>
          <w:rFonts w:ascii="Arial" w:hAnsi="Arial" w:cs="Arial"/>
          <w:b/>
          <w:bCs/>
        </w:rPr>
      </w:pPr>
      <w:r w:rsidRPr="00EC33AC">
        <w:rPr>
          <w:rFonts w:ascii="Arial" w:eastAsia="Calibri" w:hAnsi="Arial" w:cs="Arial"/>
          <w:b/>
          <w:bCs/>
        </w:rPr>
        <w:t>Ley 2068 de 2022 “</w:t>
      </w:r>
      <w:r w:rsidRPr="00EC33AC">
        <w:rPr>
          <w:rFonts w:ascii="Arial" w:hAnsi="Arial" w:cs="Arial"/>
          <w:b/>
          <w:bCs/>
          <w:i/>
          <w:iCs/>
        </w:rPr>
        <w:t>Por el cual se modifica la Ley General de Turismo y se dictan otras disposiciones</w:t>
      </w:r>
      <w:r w:rsidRPr="00EC33AC">
        <w:rPr>
          <w:rFonts w:ascii="Arial" w:hAnsi="Arial" w:cs="Arial"/>
          <w:b/>
          <w:bCs/>
        </w:rPr>
        <w:t>”</w:t>
      </w:r>
    </w:p>
    <w:p w14:paraId="766A8E9A" w14:textId="3BA8421B" w:rsidR="00B16B14" w:rsidRPr="00EC33AC" w:rsidRDefault="00EC33AC" w:rsidP="00EC33AC">
      <w:pPr>
        <w:spacing w:after="160"/>
        <w:jc w:val="both"/>
        <w:rPr>
          <w:rFonts w:ascii="Arial" w:hAnsi="Arial" w:cs="Arial"/>
        </w:rPr>
      </w:pPr>
      <w:r w:rsidRPr="00EC33AC">
        <w:rPr>
          <w:rFonts w:ascii="Arial" w:hAnsi="Arial" w:cs="Arial"/>
        </w:rPr>
        <w:t>“</w:t>
      </w:r>
      <w:r w:rsidR="00B16B14" w:rsidRPr="00EC33AC">
        <w:rPr>
          <w:rFonts w:ascii="Arial" w:hAnsi="Arial" w:cs="Arial"/>
        </w:rPr>
        <w:t>La presente ley tiene por objeto fomentar la sostenibilidad e implementar mecanismos para la conservación, protección y aprovechamiento de los destinos y atractivos turísticos, así como fortalecer la formalización y la competitividad del sector y promover la recuperación de la industria turística, a través de la creación de incentivos, el fortalecimiento de la calidad y la adopción de medidas para impulsar la transformación y las oportunidades del sector.</w:t>
      </w:r>
      <w:r w:rsidRPr="00EC33AC">
        <w:rPr>
          <w:rFonts w:ascii="Arial" w:hAnsi="Arial" w:cs="Arial"/>
        </w:rPr>
        <w:t>” (Congreso de la República, 2022)</w:t>
      </w:r>
    </w:p>
    <w:p w14:paraId="599D4084" w14:textId="6E453E1E" w:rsidR="00B16B14" w:rsidRPr="00EC33AC" w:rsidRDefault="00B16B14" w:rsidP="00EC33AC">
      <w:pPr>
        <w:spacing w:after="160"/>
        <w:jc w:val="both"/>
        <w:rPr>
          <w:rFonts w:ascii="Arial" w:hAnsi="Arial" w:cs="Arial"/>
          <w:b/>
          <w:bCs/>
        </w:rPr>
      </w:pPr>
      <w:r w:rsidRPr="00EC33AC">
        <w:rPr>
          <w:rFonts w:ascii="Arial" w:hAnsi="Arial" w:cs="Arial"/>
          <w:b/>
          <w:bCs/>
        </w:rPr>
        <w:t xml:space="preserve">Ley 1558 de 2012 </w:t>
      </w:r>
      <w:r w:rsidR="00EC33AC" w:rsidRPr="00EC33AC">
        <w:rPr>
          <w:rFonts w:ascii="Arial" w:hAnsi="Arial" w:cs="Arial"/>
          <w:b/>
          <w:bCs/>
        </w:rPr>
        <w:t>“</w:t>
      </w:r>
      <w:r w:rsidRPr="00EC33AC">
        <w:rPr>
          <w:rFonts w:ascii="Arial" w:hAnsi="Arial" w:cs="Arial"/>
          <w:b/>
          <w:bCs/>
          <w:i/>
          <w:iCs/>
        </w:rPr>
        <w:t>Por la cual se modifica la Ley 300 de 1996 -Ley General de Turismo, la Ley 1101 de 2006 y se dictan otras disposiciones</w:t>
      </w:r>
      <w:r w:rsidR="00EC33AC" w:rsidRPr="00EC33AC">
        <w:rPr>
          <w:rFonts w:ascii="Arial" w:hAnsi="Arial" w:cs="Arial"/>
          <w:b/>
          <w:bCs/>
        </w:rPr>
        <w:t>”</w:t>
      </w:r>
    </w:p>
    <w:p w14:paraId="3450407C" w14:textId="572E1E7D" w:rsidR="00B16B14" w:rsidRPr="00EC33AC" w:rsidRDefault="00EC33AC" w:rsidP="00EC33AC">
      <w:pPr>
        <w:spacing w:after="160"/>
        <w:jc w:val="both"/>
        <w:rPr>
          <w:rFonts w:ascii="Arial" w:hAnsi="Arial" w:cs="Arial"/>
        </w:rPr>
      </w:pPr>
      <w:r>
        <w:rPr>
          <w:rFonts w:ascii="Arial" w:hAnsi="Arial" w:cs="Arial"/>
        </w:rPr>
        <w:t>“</w:t>
      </w:r>
      <w:r w:rsidR="00B16B14" w:rsidRPr="00EC33AC">
        <w:rPr>
          <w:rFonts w:ascii="Arial" w:hAnsi="Arial" w:cs="Arial"/>
        </w:rPr>
        <w:t>La presente ley tiene por objeto el fomento, el desarrollo, la promoción, la competitividad del sector y la regulación de la actividad turística, a través de los mecanismos necesarios para la creación, conservación, protección y aprovechamiento de los recursos y atractivos turísticos nacionales, resguardando el desarrollo sostenible y sustentable y la optimización de la calidad, estableciendo los mecanismos de participación y concertación de los sectores público y privado en la actividad</w:t>
      </w:r>
      <w:r>
        <w:rPr>
          <w:rFonts w:ascii="Arial" w:hAnsi="Arial" w:cs="Arial"/>
        </w:rPr>
        <w:t>” (Congreso de la República, 2012)</w:t>
      </w:r>
    </w:p>
    <w:p w14:paraId="18C366B0" w14:textId="6DE38990" w:rsidR="00B16B14" w:rsidRPr="00EC33AC" w:rsidRDefault="00B16B14" w:rsidP="00EC33AC">
      <w:pPr>
        <w:spacing w:after="160"/>
        <w:jc w:val="both"/>
        <w:rPr>
          <w:rFonts w:ascii="Arial" w:hAnsi="Arial" w:cs="Arial"/>
          <w:b/>
          <w:bCs/>
        </w:rPr>
      </w:pPr>
      <w:r w:rsidRPr="00EC33AC">
        <w:rPr>
          <w:rFonts w:ascii="Arial" w:hAnsi="Arial" w:cs="Arial"/>
          <w:b/>
          <w:bCs/>
        </w:rPr>
        <w:t xml:space="preserve">Ley 1101 de 2006 </w:t>
      </w:r>
      <w:r w:rsidR="00EC33AC">
        <w:rPr>
          <w:rFonts w:ascii="Arial" w:hAnsi="Arial" w:cs="Arial"/>
          <w:b/>
          <w:bCs/>
        </w:rPr>
        <w:t>“</w:t>
      </w:r>
      <w:r w:rsidRPr="00EC33AC">
        <w:rPr>
          <w:rFonts w:ascii="Arial" w:hAnsi="Arial" w:cs="Arial"/>
          <w:b/>
          <w:bCs/>
          <w:i/>
          <w:iCs/>
        </w:rPr>
        <w:t>Por la cual se modifica la Ley 300 de 1996 - Ley General de Turismo y se dictan otras disposiciones</w:t>
      </w:r>
      <w:r w:rsidR="00EC33AC">
        <w:rPr>
          <w:rFonts w:ascii="Arial" w:hAnsi="Arial" w:cs="Arial"/>
          <w:b/>
          <w:bCs/>
        </w:rPr>
        <w:t>”</w:t>
      </w:r>
    </w:p>
    <w:p w14:paraId="623B802A" w14:textId="15F077A0" w:rsidR="00B16B14" w:rsidRPr="00EC33AC" w:rsidRDefault="00B16B14" w:rsidP="00EC33AC">
      <w:pPr>
        <w:spacing w:after="160"/>
        <w:jc w:val="both"/>
        <w:rPr>
          <w:rFonts w:ascii="Arial" w:eastAsia="Calibri" w:hAnsi="Arial" w:cs="Arial"/>
          <w:b/>
          <w:bCs/>
        </w:rPr>
      </w:pPr>
      <w:r w:rsidRPr="00EC33AC">
        <w:rPr>
          <w:rFonts w:ascii="Arial" w:eastAsia="Calibri" w:hAnsi="Arial" w:cs="Arial"/>
          <w:b/>
          <w:bCs/>
        </w:rPr>
        <w:t xml:space="preserve">Ley 300 de 1996 </w:t>
      </w:r>
      <w:r w:rsidR="00EC33AC">
        <w:rPr>
          <w:rFonts w:ascii="Arial" w:eastAsia="Calibri" w:hAnsi="Arial" w:cs="Arial"/>
          <w:b/>
          <w:bCs/>
        </w:rPr>
        <w:t>“</w:t>
      </w:r>
      <w:r w:rsidRPr="00EC33AC">
        <w:rPr>
          <w:rFonts w:ascii="Arial" w:hAnsi="Arial" w:cs="Arial"/>
          <w:b/>
          <w:bCs/>
          <w:i/>
          <w:iCs/>
        </w:rPr>
        <w:t>Por la cual se expide la Ley General de Turismo y se dictan otras disposiciones</w:t>
      </w:r>
      <w:r w:rsidR="00EC33AC">
        <w:rPr>
          <w:rFonts w:ascii="Arial" w:hAnsi="Arial" w:cs="Arial"/>
          <w:b/>
          <w:bCs/>
        </w:rPr>
        <w:t>”</w:t>
      </w:r>
      <w:r w:rsidRPr="00EC33AC">
        <w:rPr>
          <w:rFonts w:ascii="Arial" w:hAnsi="Arial" w:cs="Arial"/>
          <w:b/>
          <w:bCs/>
        </w:rPr>
        <w:t xml:space="preserve"> </w:t>
      </w:r>
    </w:p>
    <w:p w14:paraId="76843911" w14:textId="1A3AA265" w:rsidR="00B16B14" w:rsidRPr="00EC33AC" w:rsidRDefault="00EC33AC" w:rsidP="00EC33AC">
      <w:pPr>
        <w:spacing w:after="160"/>
        <w:jc w:val="both"/>
        <w:rPr>
          <w:rFonts w:ascii="Arial" w:hAnsi="Arial" w:cs="Arial"/>
        </w:rPr>
      </w:pPr>
      <w:r>
        <w:rPr>
          <w:rFonts w:ascii="Arial" w:hAnsi="Arial" w:cs="Arial"/>
        </w:rPr>
        <w:t>“</w:t>
      </w:r>
      <w:r w:rsidR="00B16B14" w:rsidRPr="00EC33AC">
        <w:rPr>
          <w:rFonts w:ascii="Arial" w:hAnsi="Arial" w:cs="Arial"/>
        </w:rPr>
        <w:t xml:space="preserve">El turismo es una industria esencial para el desarrollo del país y en especial de las diferentes entidades territoriales y cumple una función social. Como industria que es, las tasas aplicables a los prestadores de servicios turísticos en materia </w:t>
      </w:r>
      <w:r w:rsidRPr="00EC33AC">
        <w:rPr>
          <w:rFonts w:ascii="Arial" w:hAnsi="Arial" w:cs="Arial"/>
        </w:rPr>
        <w:t>impositiva</w:t>
      </w:r>
      <w:r>
        <w:rPr>
          <w:rFonts w:ascii="Arial" w:hAnsi="Arial" w:cs="Arial"/>
        </w:rPr>
        <w:t>,</w:t>
      </w:r>
      <w:r w:rsidR="00B16B14" w:rsidRPr="00EC33AC">
        <w:rPr>
          <w:rFonts w:ascii="Arial" w:hAnsi="Arial" w:cs="Arial"/>
        </w:rPr>
        <w:t xml:space="preserve"> serán las que correspondan a la actividad industrial o comercial si le es más favorable. El Estado le dará especial protección en razón de su importancia para el desarrollo nacional</w:t>
      </w:r>
      <w:r>
        <w:rPr>
          <w:rFonts w:ascii="Arial" w:hAnsi="Arial" w:cs="Arial"/>
        </w:rPr>
        <w:t>” (Congreso de la República, 1996)</w:t>
      </w:r>
    </w:p>
    <w:p w14:paraId="4056B0EC" w14:textId="77777777" w:rsidR="00B93DF9" w:rsidRDefault="00B93DF9" w:rsidP="00EC33AC">
      <w:pPr>
        <w:spacing w:after="160"/>
        <w:jc w:val="both"/>
        <w:rPr>
          <w:rFonts w:ascii="Arial" w:hAnsi="Arial" w:cs="Arial"/>
          <w:b/>
          <w:bCs/>
        </w:rPr>
      </w:pPr>
    </w:p>
    <w:p w14:paraId="5D558BC4" w14:textId="2BC504D2" w:rsidR="00B16B14" w:rsidRPr="00EC33AC" w:rsidRDefault="00B16B14" w:rsidP="00EC33AC">
      <w:pPr>
        <w:spacing w:after="160"/>
        <w:jc w:val="both"/>
        <w:rPr>
          <w:rFonts w:ascii="Arial" w:hAnsi="Arial" w:cs="Arial"/>
          <w:b/>
          <w:bCs/>
        </w:rPr>
      </w:pPr>
      <w:r w:rsidRPr="00EC33AC">
        <w:rPr>
          <w:rFonts w:ascii="Arial" w:hAnsi="Arial" w:cs="Arial"/>
          <w:b/>
          <w:bCs/>
        </w:rPr>
        <w:t>Declaración Universal de Derechos Humanos</w:t>
      </w:r>
      <w:r w:rsidR="00EC33AC" w:rsidRPr="00EC33AC">
        <w:rPr>
          <w:rFonts w:ascii="Arial" w:hAnsi="Arial" w:cs="Arial"/>
          <w:b/>
          <w:bCs/>
        </w:rPr>
        <w:t xml:space="preserve">, </w:t>
      </w:r>
      <w:r w:rsidR="00EC33AC" w:rsidRPr="00EC33AC">
        <w:rPr>
          <w:rFonts w:ascii="Arial" w:hAnsi="Arial" w:cs="Arial"/>
          <w:b/>
          <w:bCs/>
          <w:i/>
          <w:iCs/>
        </w:rPr>
        <w:t>Artículo 24</w:t>
      </w:r>
    </w:p>
    <w:p w14:paraId="396D7BBE" w14:textId="2C2A3639" w:rsidR="00B16B14" w:rsidRPr="00EC33AC" w:rsidRDefault="00EC33AC" w:rsidP="00EC33AC">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t>“</w:t>
      </w:r>
      <w:r w:rsidR="00B16B14" w:rsidRPr="00EC33AC">
        <w:rPr>
          <w:rFonts w:ascii="Arial" w:hAnsi="Arial" w:cs="Arial"/>
        </w:rPr>
        <w:t>Toda persona tiene derecho al descanso, al disfrute del tiempo libre, a una limitación razonable de la duración del trabajo y a vacaciones periódicas pagadas</w:t>
      </w:r>
      <w:r>
        <w:rPr>
          <w:rFonts w:ascii="Arial" w:hAnsi="Arial" w:cs="Arial"/>
        </w:rPr>
        <w:t xml:space="preserve">” (Asamblea General de la ONU, 1948). </w:t>
      </w:r>
    </w:p>
    <w:p w14:paraId="3AAEF7B2" w14:textId="77777777" w:rsidR="00EC33AC" w:rsidRDefault="00EC33AC" w:rsidP="00EC33AC">
      <w:pPr>
        <w:spacing w:after="160"/>
        <w:jc w:val="both"/>
        <w:rPr>
          <w:rFonts w:ascii="Arial" w:eastAsia="Calibri" w:hAnsi="Arial" w:cs="Arial"/>
          <w:b/>
          <w:bCs/>
        </w:rPr>
      </w:pPr>
    </w:p>
    <w:p w14:paraId="2D4D5257" w14:textId="23E24648" w:rsidR="00B16B14" w:rsidRPr="00EC33AC" w:rsidRDefault="00B16B14" w:rsidP="00EC33AC">
      <w:pPr>
        <w:spacing w:after="160"/>
        <w:jc w:val="both"/>
        <w:rPr>
          <w:rFonts w:ascii="Arial" w:hAnsi="Arial" w:cs="Arial"/>
          <w:b/>
          <w:bCs/>
        </w:rPr>
      </w:pPr>
      <w:r w:rsidRPr="00EC33AC">
        <w:rPr>
          <w:rFonts w:ascii="Arial" w:eastAsia="Calibri" w:hAnsi="Arial" w:cs="Arial"/>
          <w:b/>
          <w:bCs/>
        </w:rPr>
        <w:t xml:space="preserve">Ley 1480 de 2011, </w:t>
      </w:r>
      <w:r w:rsidR="00EC33AC" w:rsidRPr="00EC33AC">
        <w:rPr>
          <w:rFonts w:ascii="Arial" w:eastAsia="Calibri" w:hAnsi="Arial" w:cs="Arial"/>
          <w:b/>
          <w:bCs/>
        </w:rPr>
        <w:t>“</w:t>
      </w:r>
      <w:r w:rsidRPr="00EC33AC">
        <w:rPr>
          <w:rFonts w:ascii="Arial" w:hAnsi="Arial" w:cs="Arial"/>
          <w:b/>
          <w:bCs/>
          <w:i/>
          <w:iCs/>
        </w:rPr>
        <w:t>Por medio de la cual se expide el Estatuto del Consumidor y se dictan otras disposiciones</w:t>
      </w:r>
      <w:r w:rsidR="00EC33AC" w:rsidRPr="00EC33AC">
        <w:rPr>
          <w:rFonts w:ascii="Arial" w:hAnsi="Arial" w:cs="Arial"/>
          <w:b/>
          <w:bCs/>
        </w:rPr>
        <w:t>”</w:t>
      </w:r>
    </w:p>
    <w:p w14:paraId="7C6426CE" w14:textId="23A9D3D0" w:rsidR="007101CB" w:rsidRPr="00EC33AC" w:rsidRDefault="00EC33AC" w:rsidP="00EC33AC">
      <w:pPr>
        <w:pStyle w:val="NormalWeb"/>
        <w:jc w:val="both"/>
        <w:rPr>
          <w:rFonts w:ascii="Arial" w:hAnsi="Arial" w:cs="Arial"/>
        </w:rPr>
      </w:pPr>
      <w:r>
        <w:rPr>
          <w:rFonts w:ascii="Arial" w:hAnsi="Arial" w:cs="Arial"/>
        </w:rPr>
        <w:t>“</w:t>
      </w:r>
      <w:r w:rsidR="007101CB" w:rsidRPr="00EC33AC">
        <w:rPr>
          <w:rFonts w:ascii="Arial" w:hAnsi="Arial" w:cs="Arial"/>
        </w:rPr>
        <w:t>Esta ley tiene como objetivos proteger, promover y garantizar la efectividad y el libre ejercicio de los derechos de los consumidores, así como amparar el respeto a su dignidad y a sus intereses económicos, en especial, lo referente a:</w:t>
      </w:r>
    </w:p>
    <w:p w14:paraId="29319C1C" w14:textId="77777777" w:rsidR="007101CB" w:rsidRPr="00EC33AC" w:rsidRDefault="007101CB" w:rsidP="00EC33AC">
      <w:pPr>
        <w:pStyle w:val="NormalWeb"/>
        <w:jc w:val="both"/>
        <w:rPr>
          <w:rFonts w:ascii="Arial" w:hAnsi="Arial" w:cs="Arial"/>
        </w:rPr>
      </w:pPr>
      <w:r w:rsidRPr="00EC33AC">
        <w:rPr>
          <w:rFonts w:ascii="Arial" w:hAnsi="Arial" w:cs="Arial"/>
        </w:rPr>
        <w:t>1. La protección de los consumidores frente a los riesgos para su salud y seguridad.</w:t>
      </w:r>
    </w:p>
    <w:p w14:paraId="6F3E9E88" w14:textId="46030FAB" w:rsidR="007101CB" w:rsidRPr="00EC33AC" w:rsidRDefault="007101CB" w:rsidP="00EC33AC">
      <w:pPr>
        <w:pStyle w:val="NormalWeb"/>
        <w:jc w:val="both"/>
        <w:rPr>
          <w:rFonts w:ascii="Arial" w:hAnsi="Arial" w:cs="Arial"/>
        </w:rPr>
      </w:pPr>
      <w:r w:rsidRPr="00EC33AC">
        <w:rPr>
          <w:rFonts w:ascii="Arial" w:hAnsi="Arial" w:cs="Arial"/>
        </w:rPr>
        <w:t>2. El acceso de los consumidores a una información adecuada, de acuerdo con los términos de esta ley, que les permita hacer elecciones bien fundadas.</w:t>
      </w:r>
    </w:p>
    <w:p w14:paraId="5054C8BB" w14:textId="77777777" w:rsidR="007101CB" w:rsidRPr="00EC33AC" w:rsidRDefault="007101CB" w:rsidP="00EC33AC">
      <w:pPr>
        <w:pStyle w:val="NormalWeb"/>
        <w:jc w:val="both"/>
        <w:rPr>
          <w:rFonts w:ascii="Arial" w:hAnsi="Arial" w:cs="Arial"/>
        </w:rPr>
      </w:pPr>
      <w:r w:rsidRPr="00EC33AC">
        <w:rPr>
          <w:rFonts w:ascii="Arial" w:hAnsi="Arial" w:cs="Arial"/>
        </w:rPr>
        <w:t>3. La educación del consumidor.</w:t>
      </w:r>
    </w:p>
    <w:p w14:paraId="5FA59B8D" w14:textId="77777777" w:rsidR="007101CB" w:rsidRPr="00EC33AC" w:rsidRDefault="007101CB" w:rsidP="00EC33AC">
      <w:pPr>
        <w:pStyle w:val="NormalWeb"/>
        <w:jc w:val="both"/>
        <w:rPr>
          <w:rFonts w:ascii="Arial" w:hAnsi="Arial" w:cs="Arial"/>
        </w:rPr>
      </w:pPr>
      <w:r w:rsidRPr="00EC33AC">
        <w:rPr>
          <w:rFonts w:ascii="Arial" w:hAnsi="Arial" w:cs="Arial"/>
        </w:rPr>
        <w:t>4. La libertad de constituir organizaciones de consumidores y la oportunidad para esas organizaciones de hacer oír sus opiniones en los procesos de adopción de decisiones que las afecten.</w:t>
      </w:r>
    </w:p>
    <w:p w14:paraId="68090E43" w14:textId="167F38DD" w:rsidR="00B93DF9" w:rsidRDefault="007101CB" w:rsidP="00EC33AC">
      <w:pPr>
        <w:pStyle w:val="NormalWeb"/>
        <w:jc w:val="both"/>
        <w:rPr>
          <w:rFonts w:ascii="Arial" w:hAnsi="Arial" w:cs="Arial"/>
        </w:rPr>
      </w:pPr>
      <w:r w:rsidRPr="00EC33AC">
        <w:rPr>
          <w:rFonts w:ascii="Arial" w:hAnsi="Arial" w:cs="Arial"/>
        </w:rPr>
        <w:t>5. La protección especial a los niños, niñas y adolescentes, en su calidad de consumidores, de acuerdo con lo establecido en el Código de la Infancia y la Adolescencia</w:t>
      </w:r>
      <w:r w:rsidR="00EC33AC">
        <w:rPr>
          <w:rFonts w:ascii="Arial" w:hAnsi="Arial" w:cs="Arial"/>
        </w:rPr>
        <w:t>.” (Congreso de la República, 2011)</w:t>
      </w:r>
    </w:p>
    <w:p w14:paraId="29B5414A" w14:textId="77777777" w:rsidR="00B93DF9" w:rsidRPr="00EC33AC" w:rsidRDefault="00B93DF9" w:rsidP="00EC33AC">
      <w:pPr>
        <w:pStyle w:val="NormalWeb"/>
        <w:jc w:val="both"/>
        <w:rPr>
          <w:rFonts w:ascii="Arial" w:hAnsi="Arial" w:cs="Arial"/>
        </w:rPr>
      </w:pPr>
    </w:p>
    <w:p w14:paraId="4CC07E4B" w14:textId="1FD546B1" w:rsidR="003C6930" w:rsidRDefault="007101CB" w:rsidP="007101CB">
      <w:pPr>
        <w:spacing w:after="160"/>
        <w:rPr>
          <w:rFonts w:ascii="Arial" w:eastAsia="Calibri" w:hAnsi="Arial" w:cs="Arial"/>
          <w:b/>
          <w:bCs/>
        </w:rPr>
      </w:pPr>
      <w:r>
        <w:rPr>
          <w:rFonts w:ascii="Arial" w:eastAsia="Calibri" w:hAnsi="Arial" w:cs="Arial"/>
          <w:b/>
          <w:bCs/>
        </w:rPr>
        <w:t xml:space="preserve">Referencias </w:t>
      </w:r>
    </w:p>
    <w:p w14:paraId="7533822A" w14:textId="4D37AB42" w:rsidR="00C27191" w:rsidRDefault="00C27191" w:rsidP="00BC116A">
      <w:pPr>
        <w:spacing w:after="160"/>
        <w:ind w:hanging="709"/>
        <w:rPr>
          <w:rFonts w:ascii="Arial" w:eastAsia="Calibri" w:hAnsi="Arial" w:cs="Arial"/>
        </w:rPr>
      </w:pPr>
      <w:r w:rsidRPr="00BC116A">
        <w:rPr>
          <w:rFonts w:ascii="Arial" w:eastAsia="Calibri" w:hAnsi="Arial" w:cs="Arial"/>
        </w:rPr>
        <w:t>Asamblea General de la ONU. (1948). Declaración Universal de los Derechos humanos. (217 [III] A). Paris.</w:t>
      </w:r>
    </w:p>
    <w:p w14:paraId="202C3E37" w14:textId="77777777" w:rsidR="00BC116A" w:rsidRDefault="00BC116A" w:rsidP="00BC116A">
      <w:pPr>
        <w:spacing w:after="160"/>
        <w:ind w:hanging="709"/>
        <w:rPr>
          <w:rFonts w:ascii="Arial" w:eastAsia="Calibri" w:hAnsi="Arial" w:cs="Arial"/>
        </w:rPr>
      </w:pPr>
      <w:r>
        <w:rPr>
          <w:rFonts w:ascii="Arial" w:eastAsia="Calibri" w:hAnsi="Arial" w:cs="Arial"/>
        </w:rPr>
        <w:t>Centro de Información Turística de Colombia CITUR. (</w:t>
      </w:r>
      <w:proofErr w:type="spellStart"/>
      <w:r>
        <w:rPr>
          <w:rFonts w:ascii="Arial" w:eastAsia="Calibri" w:hAnsi="Arial" w:cs="Arial"/>
        </w:rPr>
        <w:t>n.d</w:t>
      </w:r>
      <w:proofErr w:type="spellEnd"/>
      <w:r>
        <w:rPr>
          <w:rFonts w:ascii="Arial" w:eastAsia="Calibri" w:hAnsi="Arial" w:cs="Arial"/>
        </w:rPr>
        <w:t xml:space="preserve">.). Ministerio de Comercio, Industria y Turismo, </w:t>
      </w:r>
      <w:proofErr w:type="spellStart"/>
      <w:r>
        <w:rPr>
          <w:rFonts w:ascii="Arial" w:eastAsia="Calibri" w:hAnsi="Arial" w:cs="Arial"/>
        </w:rPr>
        <w:t>MinComercio</w:t>
      </w:r>
      <w:proofErr w:type="spellEnd"/>
      <w:r>
        <w:rPr>
          <w:rFonts w:ascii="Arial" w:eastAsia="Calibri" w:hAnsi="Arial" w:cs="Arial"/>
        </w:rPr>
        <w:t xml:space="preserve">. Disponible en </w:t>
      </w:r>
      <w:hyperlink r:id="rId11" w:anchor="gsc.tab=0" w:history="1">
        <w:r w:rsidRPr="00D0019B">
          <w:rPr>
            <w:rStyle w:val="Hipervnculo"/>
            <w:rFonts w:ascii="Arial" w:eastAsia="Calibri" w:hAnsi="Arial" w:cs="Arial"/>
          </w:rPr>
          <w:t>https://www.citur.gov.co/#gsc.tab=0</w:t>
        </w:r>
      </w:hyperlink>
    </w:p>
    <w:p w14:paraId="5C5B7C66" w14:textId="04A6FC82" w:rsidR="00BC116A" w:rsidRPr="00C27191" w:rsidRDefault="00BC116A" w:rsidP="00BC116A">
      <w:pPr>
        <w:spacing w:after="160"/>
        <w:ind w:hanging="709"/>
        <w:rPr>
          <w:rFonts w:ascii="Arial" w:eastAsia="Calibri" w:hAnsi="Arial" w:cs="Arial"/>
          <w:b/>
          <w:bCs/>
        </w:rPr>
      </w:pPr>
      <w:r>
        <w:rPr>
          <w:rFonts w:ascii="Arial" w:eastAsia="Calibri" w:hAnsi="Arial" w:cs="Arial"/>
        </w:rPr>
        <w:t xml:space="preserve">El Turismo Internacional consolida su fuerte recuperación en medio de crecientes desafíos. (1 de agosto de 2022). Organización Mundial del turismo. Recuperado de </w:t>
      </w:r>
      <w:hyperlink r:id="rId12" w:history="1">
        <w:r w:rsidR="00957568" w:rsidRPr="00D0019B">
          <w:rPr>
            <w:rStyle w:val="Hipervnculo"/>
            <w:rFonts w:ascii="Arial" w:eastAsia="Calibri" w:hAnsi="Arial" w:cs="Arial"/>
          </w:rPr>
          <w:t>https://www.unwto.org/es/news/el-turismo-internacional-consolida-su-fuerte-recuperacion-en-medio-de-crecientes-desafios</w:t>
        </w:r>
      </w:hyperlink>
      <w:r w:rsidR="00957568">
        <w:rPr>
          <w:rFonts w:ascii="Arial" w:eastAsia="Calibri" w:hAnsi="Arial" w:cs="Arial"/>
        </w:rPr>
        <w:t xml:space="preserve"> </w:t>
      </w:r>
    </w:p>
    <w:p w14:paraId="7E353CC9" w14:textId="77777777" w:rsidR="00B93DF9" w:rsidRDefault="00B93DF9" w:rsidP="00BC116A">
      <w:pPr>
        <w:tabs>
          <w:tab w:val="left" w:pos="0"/>
        </w:tabs>
        <w:ind w:hanging="709"/>
        <w:jc w:val="both"/>
        <w:rPr>
          <w:rFonts w:ascii="Arial" w:hAnsi="Arial" w:cs="Arial"/>
        </w:rPr>
      </w:pPr>
    </w:p>
    <w:p w14:paraId="6BB1D459" w14:textId="37B6E328" w:rsidR="00BC116A" w:rsidRPr="00BC116A" w:rsidRDefault="00BC116A" w:rsidP="00BC116A">
      <w:pPr>
        <w:tabs>
          <w:tab w:val="left" w:pos="0"/>
        </w:tabs>
        <w:ind w:hanging="709"/>
        <w:jc w:val="both"/>
        <w:rPr>
          <w:rFonts w:ascii="Arial" w:hAnsi="Arial" w:cs="Arial"/>
        </w:rPr>
      </w:pPr>
      <w:r w:rsidRPr="00BC116A">
        <w:rPr>
          <w:rFonts w:ascii="Arial" w:hAnsi="Arial" w:cs="Arial"/>
        </w:rPr>
        <w:t xml:space="preserve">Informe Análisis y Desarrollo del Sector Turismo de La Guajira. (2019). Cámara de Comercio de la Guajira. Recuperado de </w:t>
      </w:r>
      <w:hyperlink r:id="rId13" w:history="1">
        <w:r w:rsidRPr="00BC116A">
          <w:rPr>
            <w:rStyle w:val="Hipervnculo"/>
            <w:rFonts w:ascii="Arial" w:hAnsi="Arial" w:cs="Arial"/>
          </w:rPr>
          <w:t>https://www.camaraguajira.org/publicaciones/informes/informe-sector-turismo-de-la-guajira-diciembre-2019.pdf</w:t>
        </w:r>
      </w:hyperlink>
    </w:p>
    <w:p w14:paraId="245AB1A3" w14:textId="77777777" w:rsidR="00C27191" w:rsidRPr="00BC116A" w:rsidRDefault="00C27191" w:rsidP="00BC116A">
      <w:pPr>
        <w:spacing w:after="160"/>
        <w:ind w:hanging="709"/>
        <w:rPr>
          <w:rFonts w:ascii="Arial" w:eastAsia="Calibri" w:hAnsi="Arial" w:cs="Arial"/>
        </w:rPr>
      </w:pPr>
      <w:r w:rsidRPr="00BC116A">
        <w:rPr>
          <w:rFonts w:ascii="Arial" w:eastAsia="Calibri" w:hAnsi="Arial" w:cs="Arial"/>
        </w:rPr>
        <w:t xml:space="preserve">Ley 300 de 1996: Ley General del Turismo. </w:t>
      </w:r>
      <w:proofErr w:type="spellStart"/>
      <w:r w:rsidRPr="00BC116A">
        <w:rPr>
          <w:rFonts w:ascii="Arial" w:eastAsia="Calibri" w:hAnsi="Arial" w:cs="Arial"/>
        </w:rPr>
        <w:t>Cong</w:t>
      </w:r>
      <w:proofErr w:type="spellEnd"/>
      <w:r w:rsidRPr="00BC116A">
        <w:rPr>
          <w:rFonts w:ascii="Arial" w:eastAsia="Calibri" w:hAnsi="Arial" w:cs="Arial"/>
        </w:rPr>
        <w:t>. (30 de julio de 1996)</w:t>
      </w:r>
    </w:p>
    <w:p w14:paraId="2F70EEBB" w14:textId="77777777" w:rsidR="00C27191" w:rsidRPr="00BC116A" w:rsidRDefault="00C27191" w:rsidP="00BC116A">
      <w:pPr>
        <w:spacing w:after="160"/>
        <w:ind w:hanging="709"/>
        <w:rPr>
          <w:rFonts w:ascii="Arial" w:hAnsi="Arial" w:cs="Arial"/>
        </w:rPr>
      </w:pPr>
      <w:r w:rsidRPr="00BC116A">
        <w:rPr>
          <w:rFonts w:ascii="Arial" w:hAnsi="Arial" w:cs="Arial"/>
        </w:rPr>
        <w:t xml:space="preserve">Ley 1101 de 2006: Ley General del Turismo. </w:t>
      </w:r>
      <w:proofErr w:type="spellStart"/>
      <w:r w:rsidRPr="00BC116A">
        <w:rPr>
          <w:rFonts w:ascii="Arial" w:hAnsi="Arial" w:cs="Arial"/>
        </w:rPr>
        <w:t>Cong</w:t>
      </w:r>
      <w:proofErr w:type="spellEnd"/>
      <w:r w:rsidRPr="00BC116A">
        <w:rPr>
          <w:rFonts w:ascii="Arial" w:hAnsi="Arial" w:cs="Arial"/>
        </w:rPr>
        <w:t>. (23 de noviembre 2006)</w:t>
      </w:r>
    </w:p>
    <w:p w14:paraId="3C2DB6B7" w14:textId="77777777" w:rsidR="00C27191" w:rsidRPr="00BC116A" w:rsidRDefault="00C27191" w:rsidP="00BC116A">
      <w:pPr>
        <w:spacing w:after="160"/>
        <w:ind w:hanging="709"/>
        <w:rPr>
          <w:rFonts w:ascii="Arial" w:eastAsia="Calibri" w:hAnsi="Arial" w:cs="Arial"/>
        </w:rPr>
      </w:pPr>
      <w:r w:rsidRPr="00BC116A">
        <w:rPr>
          <w:rFonts w:ascii="Arial" w:eastAsia="Calibri" w:hAnsi="Arial" w:cs="Arial"/>
        </w:rPr>
        <w:t xml:space="preserve">Ley 1558 de 2012: Ley General del Turismo. </w:t>
      </w:r>
      <w:proofErr w:type="spellStart"/>
      <w:r w:rsidRPr="00BC116A">
        <w:rPr>
          <w:rFonts w:ascii="Arial" w:eastAsia="Calibri" w:hAnsi="Arial" w:cs="Arial"/>
        </w:rPr>
        <w:t>Cong</w:t>
      </w:r>
      <w:proofErr w:type="spellEnd"/>
      <w:r w:rsidRPr="00BC116A">
        <w:rPr>
          <w:rFonts w:ascii="Arial" w:eastAsia="Calibri" w:hAnsi="Arial" w:cs="Arial"/>
        </w:rPr>
        <w:t>. (10 de julio de 2012)</w:t>
      </w:r>
    </w:p>
    <w:p w14:paraId="5405C599" w14:textId="1EB1C18B" w:rsidR="007101CB" w:rsidRPr="00BC116A" w:rsidRDefault="00C27191" w:rsidP="00BC116A">
      <w:pPr>
        <w:spacing w:after="160"/>
        <w:ind w:hanging="709"/>
        <w:rPr>
          <w:rFonts w:ascii="Arial" w:eastAsia="Calibri" w:hAnsi="Arial" w:cs="Arial"/>
        </w:rPr>
      </w:pPr>
      <w:r w:rsidRPr="00BC116A">
        <w:rPr>
          <w:rFonts w:ascii="Arial" w:eastAsia="Calibri" w:hAnsi="Arial" w:cs="Arial"/>
        </w:rPr>
        <w:t xml:space="preserve">Ley 2068 de 2020: Ley General del Turismo. </w:t>
      </w:r>
      <w:r w:rsidRPr="00BC116A">
        <w:rPr>
          <w:rFonts w:ascii="Arial" w:eastAsia="Calibri" w:hAnsi="Arial" w:cs="Arial"/>
          <w:lang w:val="en-US"/>
        </w:rPr>
        <w:t xml:space="preserve">Cong. </w:t>
      </w:r>
      <w:r w:rsidRPr="00BC116A">
        <w:rPr>
          <w:rFonts w:ascii="Arial" w:eastAsia="Calibri" w:hAnsi="Arial" w:cs="Arial"/>
        </w:rPr>
        <w:t>(31 de diciembre de 2020)</w:t>
      </w:r>
    </w:p>
    <w:p w14:paraId="063E0442" w14:textId="77777777" w:rsidR="007617FC" w:rsidRDefault="00C27191" w:rsidP="007617FC">
      <w:pPr>
        <w:spacing w:after="160"/>
        <w:ind w:hanging="709"/>
        <w:rPr>
          <w:rFonts w:ascii="Arial" w:eastAsia="Calibri" w:hAnsi="Arial" w:cs="Arial"/>
        </w:rPr>
      </w:pPr>
      <w:r w:rsidRPr="00BC116A">
        <w:rPr>
          <w:rFonts w:ascii="Arial" w:eastAsia="Calibri" w:hAnsi="Arial" w:cs="Arial"/>
        </w:rPr>
        <w:t xml:space="preserve">Ley 1480 de 2011: Estatuto del Consumidor. </w:t>
      </w:r>
      <w:proofErr w:type="spellStart"/>
      <w:r w:rsidRPr="00BC116A">
        <w:rPr>
          <w:rFonts w:ascii="Arial" w:eastAsia="Calibri" w:hAnsi="Arial" w:cs="Arial"/>
        </w:rPr>
        <w:t>Cong</w:t>
      </w:r>
      <w:proofErr w:type="spellEnd"/>
      <w:r w:rsidRPr="00BC116A">
        <w:rPr>
          <w:rFonts w:ascii="Arial" w:eastAsia="Calibri" w:hAnsi="Arial" w:cs="Arial"/>
        </w:rPr>
        <w:t>. (</w:t>
      </w:r>
      <w:r w:rsidR="00BC116A" w:rsidRPr="00BC116A">
        <w:rPr>
          <w:rFonts w:ascii="Arial" w:eastAsia="Calibri" w:hAnsi="Arial" w:cs="Arial"/>
        </w:rPr>
        <w:t>12 de octubre de 2011)</w:t>
      </w:r>
    </w:p>
    <w:p w14:paraId="70E8AC31" w14:textId="3DDC6095" w:rsidR="0088627D" w:rsidRDefault="007617FC" w:rsidP="0088627D">
      <w:pPr>
        <w:spacing w:after="160"/>
        <w:ind w:hanging="709"/>
        <w:rPr>
          <w:rFonts w:ascii="Arial" w:eastAsia="Calibri" w:hAnsi="Arial" w:cs="Arial"/>
          <w:b/>
          <w:bCs/>
        </w:rPr>
      </w:pPr>
      <w:r w:rsidRPr="005630E1">
        <w:rPr>
          <w:rFonts w:ascii="Arial" w:hAnsi="Arial" w:cs="Arial"/>
        </w:rPr>
        <w:t xml:space="preserve">Rozo, E. (2019). Proceso Histórico del Turismo. En edición. </w:t>
      </w:r>
    </w:p>
    <w:p w14:paraId="0EC22FA7" w14:textId="77777777" w:rsidR="00B93DF9" w:rsidRDefault="00B93DF9" w:rsidP="00941ED3">
      <w:pPr>
        <w:spacing w:after="160"/>
        <w:jc w:val="center"/>
        <w:rPr>
          <w:rFonts w:ascii="Arial" w:eastAsia="Calibri" w:hAnsi="Arial" w:cs="Arial"/>
          <w:b/>
          <w:bCs/>
        </w:rPr>
      </w:pPr>
    </w:p>
    <w:p w14:paraId="143105C4" w14:textId="77777777" w:rsidR="00B93DF9" w:rsidRDefault="00B93DF9" w:rsidP="00941ED3">
      <w:pPr>
        <w:spacing w:after="160"/>
        <w:jc w:val="center"/>
        <w:rPr>
          <w:rFonts w:ascii="Arial" w:eastAsia="Calibri" w:hAnsi="Arial" w:cs="Arial"/>
          <w:b/>
          <w:bCs/>
        </w:rPr>
      </w:pPr>
    </w:p>
    <w:p w14:paraId="324D1F50" w14:textId="4AAAC414" w:rsidR="00941ED3" w:rsidRPr="00561D0F" w:rsidRDefault="00941ED3" w:rsidP="00941ED3">
      <w:pPr>
        <w:spacing w:after="160"/>
        <w:jc w:val="center"/>
        <w:rPr>
          <w:rFonts w:ascii="Arial" w:eastAsia="Calibri" w:hAnsi="Arial" w:cs="Arial"/>
          <w:b/>
          <w:bCs/>
        </w:rPr>
      </w:pPr>
      <w:r w:rsidRPr="00561D0F">
        <w:rPr>
          <w:rFonts w:ascii="Arial" w:eastAsia="Calibri" w:hAnsi="Arial" w:cs="Arial"/>
          <w:b/>
          <w:bCs/>
        </w:rPr>
        <w:t>PROYECTO DE LEY No</w:t>
      </w:r>
      <w:r>
        <w:rPr>
          <w:rFonts w:ascii="Arial" w:eastAsia="Calibri" w:hAnsi="Arial" w:cs="Arial"/>
          <w:b/>
          <w:bCs/>
        </w:rPr>
        <w:t>. ______</w:t>
      </w:r>
      <w:r w:rsidRPr="00561D0F">
        <w:rPr>
          <w:rFonts w:ascii="Arial" w:eastAsia="Calibri" w:hAnsi="Arial" w:cs="Arial"/>
          <w:b/>
          <w:bCs/>
        </w:rPr>
        <w:t xml:space="preserve"> DE 2022 CAMARA</w:t>
      </w:r>
    </w:p>
    <w:p w14:paraId="53B70658" w14:textId="57105D00" w:rsidR="00941ED3" w:rsidRPr="00561D0F" w:rsidRDefault="00941ED3" w:rsidP="00941ED3">
      <w:pPr>
        <w:tabs>
          <w:tab w:val="left" w:pos="2565"/>
        </w:tabs>
        <w:spacing w:after="160"/>
        <w:jc w:val="center"/>
        <w:rPr>
          <w:rFonts w:ascii="Arial" w:eastAsia="Calibri" w:hAnsi="Arial" w:cs="Arial"/>
          <w:i/>
        </w:rPr>
      </w:pPr>
      <w:r w:rsidRPr="00561D0F">
        <w:rPr>
          <w:rFonts w:ascii="Arial" w:eastAsia="Calibri" w:hAnsi="Arial" w:cs="Arial"/>
          <w:b/>
        </w:rPr>
        <w:t xml:space="preserve"> “</w:t>
      </w:r>
      <w:r w:rsidRPr="00561D0F">
        <w:rPr>
          <w:rFonts w:ascii="Arial" w:eastAsia="Calibri" w:hAnsi="Arial" w:cs="Arial"/>
          <w:b/>
          <w:bCs/>
          <w:iCs/>
        </w:rPr>
        <w:t xml:space="preserve">POR EL CUAL SE </w:t>
      </w:r>
      <w:r>
        <w:rPr>
          <w:rFonts w:ascii="Arial" w:eastAsia="Calibri" w:hAnsi="Arial" w:cs="Arial"/>
          <w:b/>
          <w:bCs/>
          <w:iCs/>
        </w:rPr>
        <w:t>MODIFICA LA LEY GENERAL DEL TURISMO Y SE DICTAN OTRAS DISPOSICIONES</w:t>
      </w:r>
      <w:r w:rsidRPr="00561D0F">
        <w:rPr>
          <w:rFonts w:ascii="Arial" w:eastAsia="Calibri" w:hAnsi="Arial" w:cs="Arial"/>
          <w:b/>
          <w:i/>
        </w:rPr>
        <w:t>”</w:t>
      </w:r>
    </w:p>
    <w:p w14:paraId="2F7B4658" w14:textId="77777777" w:rsidR="00941ED3" w:rsidRPr="00561D0F" w:rsidRDefault="00941ED3" w:rsidP="00941ED3">
      <w:pPr>
        <w:tabs>
          <w:tab w:val="left" w:pos="2565"/>
        </w:tabs>
        <w:jc w:val="center"/>
        <w:rPr>
          <w:rFonts w:ascii="Arial" w:eastAsia="Calibri" w:hAnsi="Arial" w:cs="Arial"/>
          <w:b/>
        </w:rPr>
      </w:pPr>
      <w:r w:rsidRPr="00561D0F">
        <w:rPr>
          <w:rFonts w:ascii="Arial" w:eastAsia="Calibri" w:hAnsi="Arial" w:cs="Arial"/>
          <w:b/>
        </w:rPr>
        <w:t>EL CONGRESO DE COLOMBIA</w:t>
      </w:r>
    </w:p>
    <w:p w14:paraId="274678C9" w14:textId="77777777" w:rsidR="00941ED3" w:rsidRPr="00561D0F" w:rsidRDefault="00941ED3" w:rsidP="00941ED3">
      <w:pPr>
        <w:tabs>
          <w:tab w:val="left" w:pos="2565"/>
        </w:tabs>
        <w:jc w:val="center"/>
        <w:rPr>
          <w:rFonts w:ascii="Arial" w:eastAsia="Calibri" w:hAnsi="Arial" w:cs="Arial"/>
          <w:b/>
        </w:rPr>
      </w:pPr>
    </w:p>
    <w:p w14:paraId="55947030" w14:textId="694A6693" w:rsidR="00941ED3" w:rsidRDefault="00941ED3" w:rsidP="00941ED3">
      <w:pPr>
        <w:tabs>
          <w:tab w:val="left" w:pos="2565"/>
        </w:tabs>
        <w:jc w:val="center"/>
        <w:rPr>
          <w:rFonts w:ascii="Arial" w:eastAsia="Calibri" w:hAnsi="Arial" w:cs="Arial"/>
          <w:b/>
        </w:rPr>
      </w:pPr>
      <w:r w:rsidRPr="00561D0F">
        <w:rPr>
          <w:rFonts w:ascii="Arial" w:eastAsia="Calibri" w:hAnsi="Arial" w:cs="Arial"/>
          <w:b/>
        </w:rPr>
        <w:t>DECRETA:</w:t>
      </w:r>
    </w:p>
    <w:p w14:paraId="664E0318" w14:textId="77777777" w:rsidR="00B93DF9" w:rsidRPr="00561D0F" w:rsidRDefault="00B93DF9" w:rsidP="00941ED3">
      <w:pPr>
        <w:tabs>
          <w:tab w:val="left" w:pos="2565"/>
        </w:tabs>
        <w:jc w:val="center"/>
        <w:rPr>
          <w:rFonts w:ascii="Arial" w:eastAsia="Calibri" w:hAnsi="Arial" w:cs="Arial"/>
          <w:b/>
        </w:rPr>
      </w:pPr>
    </w:p>
    <w:p w14:paraId="46A45D47" w14:textId="77777777" w:rsidR="00941ED3" w:rsidRPr="00561D0F" w:rsidRDefault="00941ED3" w:rsidP="00941ED3">
      <w:pPr>
        <w:tabs>
          <w:tab w:val="left" w:pos="2565"/>
        </w:tabs>
        <w:jc w:val="center"/>
        <w:rPr>
          <w:rFonts w:ascii="Arial" w:eastAsia="Calibri" w:hAnsi="Arial" w:cs="Arial"/>
          <w:b/>
        </w:rPr>
      </w:pPr>
    </w:p>
    <w:p w14:paraId="0B2170FC" w14:textId="0FDCC689" w:rsidR="00941ED3" w:rsidRDefault="00941ED3" w:rsidP="005D66FB">
      <w:pPr>
        <w:spacing w:after="160"/>
        <w:jc w:val="both"/>
        <w:rPr>
          <w:rFonts w:ascii="Arial" w:eastAsia="Calibri" w:hAnsi="Arial" w:cs="Arial"/>
        </w:rPr>
      </w:pPr>
      <w:r w:rsidRPr="00561D0F">
        <w:rPr>
          <w:rFonts w:ascii="Arial" w:eastAsia="Calibri" w:hAnsi="Arial" w:cs="Arial"/>
          <w:b/>
          <w:bCs/>
        </w:rPr>
        <w:t>Artículo 1. O</w:t>
      </w:r>
      <w:r w:rsidR="00690D96" w:rsidRPr="00561D0F">
        <w:rPr>
          <w:rFonts w:ascii="Arial" w:eastAsia="Calibri" w:hAnsi="Arial" w:cs="Arial"/>
          <w:b/>
          <w:bCs/>
        </w:rPr>
        <w:t>BJETO</w:t>
      </w:r>
      <w:r w:rsidRPr="00561D0F">
        <w:rPr>
          <w:rFonts w:ascii="Arial" w:eastAsia="Calibri" w:hAnsi="Arial" w:cs="Arial"/>
          <w:b/>
          <w:bCs/>
        </w:rPr>
        <w:t>.</w:t>
      </w:r>
      <w:r w:rsidRPr="00561D0F">
        <w:rPr>
          <w:rFonts w:ascii="Arial" w:eastAsia="Calibri" w:hAnsi="Arial" w:cs="Arial"/>
        </w:rPr>
        <w:t xml:space="preserve"> La presente ley tiene por objeto </w:t>
      </w:r>
      <w:r w:rsidR="00913237">
        <w:rPr>
          <w:rFonts w:ascii="Arial" w:eastAsia="Calibri" w:hAnsi="Arial" w:cs="Arial"/>
        </w:rPr>
        <w:t>fomentar la sostenibilidad de los destinos y atractivos turísticos</w:t>
      </w:r>
      <w:r w:rsidR="005D66FB">
        <w:rPr>
          <w:rFonts w:ascii="Arial" w:eastAsia="Calibri" w:hAnsi="Arial" w:cs="Arial"/>
        </w:rPr>
        <w:t>, fortaleciendo la competitividad y calidad del sector. Así también, pretende impulsar la promoción, transformación y oportunidades de la industria turística.</w:t>
      </w:r>
    </w:p>
    <w:p w14:paraId="0ECBC795" w14:textId="77777777" w:rsidR="00B93DF9" w:rsidRDefault="00941ED3" w:rsidP="008C6FDC">
      <w:pPr>
        <w:spacing w:after="160"/>
        <w:jc w:val="both"/>
        <w:rPr>
          <w:rFonts w:ascii="Arial" w:hAnsi="Arial" w:cs="Arial"/>
        </w:rPr>
      </w:pPr>
      <w:r w:rsidRPr="005D66FB">
        <w:rPr>
          <w:rFonts w:ascii="Arial" w:eastAsia="Calibri" w:hAnsi="Arial" w:cs="Arial"/>
          <w:b/>
          <w:bCs/>
        </w:rPr>
        <w:t xml:space="preserve">Artículo </w:t>
      </w:r>
      <w:r w:rsidR="005D66FB" w:rsidRPr="005D66FB">
        <w:rPr>
          <w:rFonts w:ascii="Arial" w:eastAsia="Calibri" w:hAnsi="Arial" w:cs="Arial"/>
          <w:b/>
          <w:bCs/>
        </w:rPr>
        <w:t>2</w:t>
      </w:r>
      <w:r w:rsidRPr="005D66FB">
        <w:rPr>
          <w:rFonts w:ascii="Arial" w:eastAsia="Calibri" w:hAnsi="Arial" w:cs="Arial"/>
          <w:b/>
          <w:bCs/>
        </w:rPr>
        <w:t>. PROMOCIÓN Y DESARROLLO TUR</w:t>
      </w:r>
      <w:r w:rsidR="002D4F5B" w:rsidRPr="005D66FB">
        <w:rPr>
          <w:rFonts w:ascii="Arial" w:eastAsia="Calibri" w:hAnsi="Arial" w:cs="Arial"/>
          <w:b/>
          <w:bCs/>
        </w:rPr>
        <w:t>Í</w:t>
      </w:r>
      <w:r w:rsidRPr="005D66FB">
        <w:rPr>
          <w:rFonts w:ascii="Arial" w:eastAsia="Calibri" w:hAnsi="Arial" w:cs="Arial"/>
          <w:b/>
          <w:bCs/>
        </w:rPr>
        <w:t xml:space="preserve">STICO </w:t>
      </w:r>
      <w:r w:rsidR="002D4F5B" w:rsidRPr="005D66FB">
        <w:rPr>
          <w:rFonts w:ascii="Arial" w:eastAsia="Calibri" w:hAnsi="Arial" w:cs="Arial"/>
          <w:b/>
          <w:bCs/>
        </w:rPr>
        <w:t>DEL CARIBE COLOMBIANO</w:t>
      </w:r>
      <w:r w:rsidR="00DE1819" w:rsidRPr="005D66FB">
        <w:rPr>
          <w:rFonts w:ascii="Arial" w:eastAsia="Calibri" w:hAnsi="Arial" w:cs="Arial"/>
          <w:b/>
          <w:bCs/>
        </w:rPr>
        <w:t>.</w:t>
      </w:r>
      <w:r w:rsidR="00913237" w:rsidRPr="00391BD0">
        <w:rPr>
          <w:rFonts w:ascii="Arial" w:eastAsia="Calibri" w:hAnsi="Arial" w:cs="Arial"/>
        </w:rPr>
        <w:t xml:space="preserve"> </w:t>
      </w:r>
      <w:r w:rsidR="00913237" w:rsidRPr="00391BD0">
        <w:rPr>
          <w:rFonts w:ascii="Arial" w:hAnsi="Arial" w:cs="Arial"/>
        </w:rPr>
        <w:t xml:space="preserve">El Ministerio de Comercio, Industria y Turismo, elaborará en el próximo Plan Sectorial de Turismo y en los siguientes Planes sectoriales de Turismo, un capítulo especial </w:t>
      </w:r>
      <w:r w:rsidR="009150B2" w:rsidRPr="00391BD0">
        <w:rPr>
          <w:rFonts w:ascii="Arial" w:hAnsi="Arial" w:cs="Arial"/>
        </w:rPr>
        <w:t>sobre</w:t>
      </w:r>
      <w:r w:rsidR="00913237" w:rsidRPr="00391BD0">
        <w:rPr>
          <w:rFonts w:ascii="Arial" w:hAnsi="Arial" w:cs="Arial"/>
        </w:rPr>
        <w:t xml:space="preserve"> las condiciones del turismo en los municipios colindantes con el océano caribe, tales como </w:t>
      </w:r>
      <w:r w:rsidR="00D857D4" w:rsidRPr="00391BD0">
        <w:rPr>
          <w:rFonts w:ascii="Arial" w:hAnsi="Arial" w:cs="Arial"/>
        </w:rPr>
        <w:t xml:space="preserve">Uribia, Manaure, Riohacha, Dibulla, Santa Marta, </w:t>
      </w:r>
      <w:r w:rsidR="00DB3E2C" w:rsidRPr="00391BD0">
        <w:rPr>
          <w:rFonts w:ascii="Arial" w:hAnsi="Arial" w:cs="Arial"/>
        </w:rPr>
        <w:t>Ciénaga</w:t>
      </w:r>
      <w:r w:rsidR="00D857D4" w:rsidRPr="00391BD0">
        <w:rPr>
          <w:rFonts w:ascii="Arial" w:hAnsi="Arial" w:cs="Arial"/>
        </w:rPr>
        <w:t xml:space="preserve">, Pueblo Viejo, </w:t>
      </w:r>
      <w:r w:rsidR="00DB3E2C" w:rsidRPr="00391BD0">
        <w:rPr>
          <w:rFonts w:ascii="Arial" w:hAnsi="Arial" w:cs="Arial"/>
        </w:rPr>
        <w:t>Barranquilla, Puerto Colombia, Tubará, Jua</w:t>
      </w:r>
      <w:r w:rsidR="009150B2" w:rsidRPr="00391BD0">
        <w:rPr>
          <w:rFonts w:ascii="Arial" w:hAnsi="Arial" w:cs="Arial"/>
        </w:rPr>
        <w:t>n</w:t>
      </w:r>
      <w:r w:rsidR="00DB3E2C" w:rsidRPr="00391BD0">
        <w:rPr>
          <w:rFonts w:ascii="Arial" w:hAnsi="Arial" w:cs="Arial"/>
        </w:rPr>
        <w:t xml:space="preserve"> de Acosta, Santa Catalina, Cartagena </w:t>
      </w:r>
      <w:r w:rsidR="00AA02CD" w:rsidRPr="00391BD0">
        <w:rPr>
          <w:rFonts w:ascii="Arial" w:hAnsi="Arial" w:cs="Arial"/>
        </w:rPr>
        <w:t>de Indias, San Onofre, Tolú, San Antero, San Bernardo del Viento, Moñitos, Puerto Escondido, Las Córdobas, Arboletes, San Juan de Urabá, Necoclí y Turbo</w:t>
      </w:r>
      <w:r w:rsidR="005E78AA">
        <w:rPr>
          <w:rFonts w:ascii="Arial" w:hAnsi="Arial" w:cs="Arial"/>
        </w:rPr>
        <w:t>. E</w:t>
      </w:r>
      <w:r w:rsidR="00913237" w:rsidRPr="00391BD0">
        <w:rPr>
          <w:rFonts w:ascii="Arial" w:hAnsi="Arial" w:cs="Arial"/>
        </w:rPr>
        <w:t>l resultado de este capítulo especial será identificar la situación actual e</w:t>
      </w:r>
      <w:r w:rsidR="005E78AA">
        <w:rPr>
          <w:rFonts w:ascii="Arial" w:hAnsi="Arial" w:cs="Arial"/>
        </w:rPr>
        <w:t>n</w:t>
      </w:r>
      <w:r w:rsidR="00913237" w:rsidRPr="00391BD0">
        <w:rPr>
          <w:rFonts w:ascii="Arial" w:hAnsi="Arial" w:cs="Arial"/>
        </w:rPr>
        <w:t xml:space="preserve"> dichos territorios frente al desarrollo turístico y las acciones a realizar</w:t>
      </w:r>
      <w:r w:rsidR="009150B2" w:rsidRPr="00391BD0">
        <w:rPr>
          <w:rFonts w:ascii="Arial" w:hAnsi="Arial" w:cs="Arial"/>
        </w:rPr>
        <w:t xml:space="preserve">. A partir de las acciones identificadas se </w:t>
      </w:r>
      <w:r w:rsidR="00913237" w:rsidRPr="00391BD0">
        <w:rPr>
          <w:rFonts w:ascii="Arial" w:hAnsi="Arial" w:cs="Arial"/>
        </w:rPr>
        <w:t>generar</w:t>
      </w:r>
      <w:r w:rsidR="009150B2" w:rsidRPr="00391BD0">
        <w:rPr>
          <w:rFonts w:ascii="Arial" w:hAnsi="Arial" w:cs="Arial"/>
        </w:rPr>
        <w:t>á</w:t>
      </w:r>
      <w:r w:rsidR="00913237" w:rsidRPr="00391BD0">
        <w:rPr>
          <w:rFonts w:ascii="Arial" w:hAnsi="Arial" w:cs="Arial"/>
        </w:rPr>
        <w:t xml:space="preserve"> un desarrollo organizado del turismo</w:t>
      </w:r>
      <w:r w:rsidR="008C6FDC" w:rsidRPr="00391BD0">
        <w:rPr>
          <w:rFonts w:ascii="Arial" w:hAnsi="Arial" w:cs="Arial"/>
        </w:rPr>
        <w:t>,</w:t>
      </w:r>
      <w:r w:rsidR="00913237" w:rsidRPr="00391BD0">
        <w:rPr>
          <w:rFonts w:ascii="Arial" w:hAnsi="Arial" w:cs="Arial"/>
        </w:rPr>
        <w:t xml:space="preserve"> que permita el aprovechamiento de las oportunidades de </w:t>
      </w:r>
    </w:p>
    <w:p w14:paraId="3475831A" w14:textId="77777777" w:rsidR="00B93DF9" w:rsidRDefault="00B93DF9" w:rsidP="008C6FDC">
      <w:pPr>
        <w:spacing w:after="160"/>
        <w:jc w:val="both"/>
        <w:rPr>
          <w:rFonts w:ascii="Arial" w:hAnsi="Arial" w:cs="Arial"/>
        </w:rPr>
      </w:pPr>
    </w:p>
    <w:p w14:paraId="1782AE3C" w14:textId="529F6082" w:rsidR="00B93DF9" w:rsidRDefault="00B93DF9" w:rsidP="008C6FDC">
      <w:pPr>
        <w:spacing w:after="160"/>
        <w:jc w:val="both"/>
        <w:rPr>
          <w:rFonts w:ascii="Arial" w:hAnsi="Arial" w:cs="Arial"/>
        </w:rPr>
      </w:pPr>
    </w:p>
    <w:p w14:paraId="73A1D21B" w14:textId="22064C46" w:rsidR="00B93DF9" w:rsidRDefault="00B93DF9" w:rsidP="008C6FDC">
      <w:pPr>
        <w:spacing w:after="160"/>
        <w:jc w:val="both"/>
        <w:rPr>
          <w:rFonts w:ascii="Arial" w:hAnsi="Arial" w:cs="Arial"/>
        </w:rPr>
      </w:pPr>
      <w:bookmarkStart w:id="0" w:name="_GoBack"/>
      <w:bookmarkEnd w:id="0"/>
    </w:p>
    <w:p w14:paraId="6DA26AD7" w14:textId="77777777" w:rsidR="00B93DF9" w:rsidRDefault="00B93DF9" w:rsidP="008C6FDC">
      <w:pPr>
        <w:spacing w:after="160"/>
        <w:jc w:val="both"/>
        <w:rPr>
          <w:rFonts w:ascii="Arial" w:hAnsi="Arial" w:cs="Arial"/>
        </w:rPr>
      </w:pPr>
    </w:p>
    <w:p w14:paraId="307D8E35" w14:textId="0B62F01E" w:rsidR="00913237" w:rsidRPr="00391BD0" w:rsidRDefault="00913237" w:rsidP="008C6FDC">
      <w:pPr>
        <w:spacing w:after="160"/>
        <w:jc w:val="both"/>
        <w:rPr>
          <w:rFonts w:ascii="Arial" w:hAnsi="Arial" w:cs="Arial"/>
        </w:rPr>
      </w:pPr>
      <w:r w:rsidRPr="00391BD0">
        <w:rPr>
          <w:rFonts w:ascii="Arial" w:hAnsi="Arial" w:cs="Arial"/>
        </w:rPr>
        <w:t xml:space="preserve">fortalecimiento institucional en materia de turismo y </w:t>
      </w:r>
      <w:r w:rsidR="008C6FDC" w:rsidRPr="00391BD0">
        <w:rPr>
          <w:rFonts w:ascii="Arial" w:hAnsi="Arial" w:cs="Arial"/>
        </w:rPr>
        <w:t xml:space="preserve">promueva </w:t>
      </w:r>
      <w:r w:rsidRPr="00391BD0">
        <w:rPr>
          <w:rFonts w:ascii="Arial" w:hAnsi="Arial" w:cs="Arial"/>
        </w:rPr>
        <w:t>esos territorios como destinos turísticos.</w:t>
      </w:r>
    </w:p>
    <w:p w14:paraId="790F81F1" w14:textId="79EB43A7" w:rsidR="002D4F5B" w:rsidRPr="00391BD0" w:rsidRDefault="002D4F5B" w:rsidP="00941ED3">
      <w:pPr>
        <w:spacing w:after="160"/>
        <w:rPr>
          <w:rFonts w:ascii="Arial" w:eastAsia="Calibri" w:hAnsi="Arial" w:cs="Arial"/>
        </w:rPr>
      </w:pPr>
      <w:r w:rsidRPr="005E78AA">
        <w:rPr>
          <w:rFonts w:ascii="Arial" w:eastAsia="Calibri" w:hAnsi="Arial" w:cs="Arial"/>
          <w:b/>
          <w:bCs/>
        </w:rPr>
        <w:t xml:space="preserve">Artículo </w:t>
      </w:r>
      <w:r w:rsidR="00690D96">
        <w:rPr>
          <w:rFonts w:ascii="Arial" w:eastAsia="Calibri" w:hAnsi="Arial" w:cs="Arial"/>
          <w:b/>
          <w:bCs/>
        </w:rPr>
        <w:t>3</w:t>
      </w:r>
      <w:r w:rsidRPr="005E78AA">
        <w:rPr>
          <w:rFonts w:ascii="Arial" w:eastAsia="Calibri" w:hAnsi="Arial" w:cs="Arial"/>
          <w:b/>
          <w:bCs/>
        </w:rPr>
        <w:t xml:space="preserve">. MODIFICACIÓN </w:t>
      </w:r>
      <w:r w:rsidR="008C6FDC" w:rsidRPr="005E78AA">
        <w:rPr>
          <w:rFonts w:ascii="Arial" w:eastAsia="Calibri" w:hAnsi="Arial" w:cs="Arial"/>
          <w:b/>
          <w:bCs/>
        </w:rPr>
        <w:t>DE</w:t>
      </w:r>
      <w:r w:rsidRPr="005E78AA">
        <w:rPr>
          <w:rFonts w:ascii="Arial" w:eastAsia="Calibri" w:hAnsi="Arial" w:cs="Arial"/>
          <w:b/>
          <w:bCs/>
        </w:rPr>
        <w:t>L ARTICULO 16 DE LA LEY 2068 DE 2020</w:t>
      </w:r>
      <w:r w:rsidR="008C6FDC" w:rsidRPr="005E78AA">
        <w:rPr>
          <w:rFonts w:ascii="Arial" w:eastAsia="Calibri" w:hAnsi="Arial" w:cs="Arial"/>
          <w:b/>
          <w:bCs/>
        </w:rPr>
        <w:t xml:space="preserve">. </w:t>
      </w:r>
      <w:r w:rsidR="008C6FDC" w:rsidRPr="00391BD0">
        <w:rPr>
          <w:rFonts w:ascii="Arial" w:eastAsia="Calibri" w:hAnsi="Arial" w:cs="Arial"/>
        </w:rPr>
        <w:t xml:space="preserve">Modifíquese el artículo 16 de la Ley 2068 de 2020, el cual quedará así: </w:t>
      </w:r>
    </w:p>
    <w:p w14:paraId="425A2775" w14:textId="6A1A9A92" w:rsidR="008C6FDC" w:rsidRPr="00391BD0" w:rsidRDefault="008C6FDC" w:rsidP="008C6FDC">
      <w:pPr>
        <w:pStyle w:val="NormalWeb"/>
        <w:spacing w:line="270" w:lineRule="atLeast"/>
        <w:jc w:val="both"/>
        <w:rPr>
          <w:rFonts w:ascii="Arial" w:hAnsi="Arial" w:cs="Arial"/>
        </w:rPr>
      </w:pPr>
      <w:bookmarkStart w:id="1" w:name="16"/>
      <w:r w:rsidRPr="00391BD0">
        <w:rPr>
          <w:rStyle w:val="baj"/>
          <w:rFonts w:ascii="Arial" w:hAnsi="Arial" w:cs="Arial"/>
          <w:b/>
          <w:bCs/>
        </w:rPr>
        <w:t>“ARTÍCULO 16. FOMENTO DEL ECOTURISMO.</w:t>
      </w:r>
      <w:bookmarkEnd w:id="1"/>
      <w:r w:rsidRPr="00391BD0">
        <w:rPr>
          <w:rStyle w:val="baj"/>
          <w:rFonts w:ascii="Arial" w:hAnsi="Arial" w:cs="Arial"/>
          <w:b/>
          <w:bCs/>
        </w:rPr>
        <w:t> </w:t>
      </w:r>
      <w:r w:rsidRPr="00391BD0">
        <w:rPr>
          <w:rFonts w:ascii="Arial" w:hAnsi="Arial" w:cs="Arial"/>
        </w:rPr>
        <w:t xml:space="preserve">El Gobierno nacional, implementará planes y programas orientados al fomento y desarrollo del turismo ecológico o ecoturismo en sus territorios, de conformidad </w:t>
      </w:r>
      <w:r w:rsidR="00690D96" w:rsidRPr="00690D96">
        <w:rPr>
          <w:rFonts w:ascii="Arial" w:hAnsi="Arial" w:cs="Arial"/>
          <w:b/>
          <w:bCs/>
          <w:strike/>
        </w:rPr>
        <w:t>a</w:t>
      </w:r>
      <w:r w:rsidR="00690D96">
        <w:rPr>
          <w:rFonts w:ascii="Arial" w:hAnsi="Arial" w:cs="Arial"/>
        </w:rPr>
        <w:t xml:space="preserve"> </w:t>
      </w:r>
      <w:r w:rsidRPr="00391BD0">
        <w:rPr>
          <w:rFonts w:ascii="Arial" w:hAnsi="Arial" w:cs="Arial"/>
        </w:rPr>
        <w:t>geográfica y diversidad de sus territorios.</w:t>
      </w:r>
    </w:p>
    <w:p w14:paraId="3FA967F8" w14:textId="4EC0B9A9" w:rsidR="00B93DF9" w:rsidRPr="00391BD0" w:rsidRDefault="008C6FDC" w:rsidP="00E2759D">
      <w:pPr>
        <w:pStyle w:val="NormalWeb"/>
        <w:spacing w:line="270" w:lineRule="atLeast"/>
        <w:jc w:val="both"/>
        <w:rPr>
          <w:rFonts w:ascii="Arial" w:hAnsi="Arial" w:cs="Arial"/>
        </w:rPr>
      </w:pPr>
      <w:r w:rsidRPr="00391BD0">
        <w:rPr>
          <w:rStyle w:val="baj"/>
          <w:rFonts w:ascii="Arial" w:hAnsi="Arial" w:cs="Arial"/>
          <w:b/>
          <w:bCs/>
        </w:rPr>
        <w:t>PARÁGRAFO.</w:t>
      </w:r>
      <w:r w:rsidRPr="00391BD0">
        <w:rPr>
          <w:rFonts w:ascii="Arial" w:hAnsi="Arial" w:cs="Arial"/>
        </w:rPr>
        <w:t> El Gobierno nacional y los entes territoriales priorizarán la implementación de programas de ecoturismo en los departamentos de San Andrés, Providencia y Santa Catalina, Bolívar</w:t>
      </w:r>
      <w:r w:rsidRPr="00391BD0">
        <w:rPr>
          <w:rFonts w:ascii="Arial" w:hAnsi="Arial" w:cs="Arial"/>
          <w:b/>
          <w:bCs/>
          <w:u w:val="single"/>
        </w:rPr>
        <w:t>,</w:t>
      </w:r>
      <w:r w:rsidRPr="00391BD0">
        <w:rPr>
          <w:rFonts w:ascii="Arial" w:hAnsi="Arial" w:cs="Arial"/>
        </w:rPr>
        <w:t xml:space="preserve"> </w:t>
      </w:r>
      <w:r w:rsidRPr="00391BD0">
        <w:rPr>
          <w:rFonts w:ascii="Arial" w:hAnsi="Arial" w:cs="Arial"/>
          <w:b/>
          <w:bCs/>
          <w:strike/>
        </w:rPr>
        <w:t>y</w:t>
      </w:r>
      <w:r w:rsidRPr="00391BD0">
        <w:rPr>
          <w:rFonts w:ascii="Arial" w:hAnsi="Arial" w:cs="Arial"/>
        </w:rPr>
        <w:t xml:space="preserve"> Chocó</w:t>
      </w:r>
      <w:r w:rsidRPr="00391BD0">
        <w:rPr>
          <w:rFonts w:ascii="Arial" w:hAnsi="Arial" w:cs="Arial"/>
          <w:b/>
          <w:bCs/>
          <w:strike/>
        </w:rPr>
        <w:t>.</w:t>
      </w:r>
      <w:r w:rsidRPr="00391BD0">
        <w:rPr>
          <w:rFonts w:ascii="Arial" w:hAnsi="Arial" w:cs="Arial"/>
          <w:b/>
          <w:bCs/>
          <w:u w:val="single"/>
        </w:rPr>
        <w:t>, y La Guajira.</w:t>
      </w:r>
      <w:r w:rsidR="00E2759D" w:rsidRPr="00391BD0">
        <w:rPr>
          <w:rFonts w:ascii="Arial" w:hAnsi="Arial" w:cs="Arial"/>
        </w:rPr>
        <w:t>”</w:t>
      </w:r>
    </w:p>
    <w:p w14:paraId="3C072153" w14:textId="63B43951" w:rsidR="002D4F5B" w:rsidRDefault="002D4F5B" w:rsidP="00941ED3">
      <w:pPr>
        <w:spacing w:after="160"/>
        <w:rPr>
          <w:rFonts w:ascii="Arial" w:eastAsia="Calibri" w:hAnsi="Arial" w:cs="Arial"/>
        </w:rPr>
      </w:pPr>
      <w:r w:rsidRPr="00494F92">
        <w:rPr>
          <w:rFonts w:ascii="Arial" w:eastAsia="Calibri" w:hAnsi="Arial" w:cs="Arial"/>
          <w:b/>
          <w:bCs/>
        </w:rPr>
        <w:t xml:space="preserve">Artículo </w:t>
      </w:r>
      <w:r w:rsidR="00690D96" w:rsidRPr="00494F92">
        <w:rPr>
          <w:rFonts w:ascii="Arial" w:eastAsia="Calibri" w:hAnsi="Arial" w:cs="Arial"/>
          <w:b/>
          <w:bCs/>
        </w:rPr>
        <w:t>4</w:t>
      </w:r>
      <w:r w:rsidRPr="00494F92">
        <w:rPr>
          <w:rFonts w:ascii="Arial" w:eastAsia="Calibri" w:hAnsi="Arial" w:cs="Arial"/>
          <w:b/>
          <w:bCs/>
        </w:rPr>
        <w:t xml:space="preserve">. </w:t>
      </w:r>
      <w:r w:rsidR="00E63AA3" w:rsidRPr="00494F92">
        <w:rPr>
          <w:rFonts w:ascii="Arial" w:eastAsia="Calibri" w:hAnsi="Arial" w:cs="Arial"/>
          <w:b/>
          <w:bCs/>
        </w:rPr>
        <w:t xml:space="preserve">ADICIÓN DEL </w:t>
      </w:r>
      <w:r w:rsidR="0021441A">
        <w:rPr>
          <w:rFonts w:ascii="Arial" w:eastAsia="Calibri" w:hAnsi="Arial" w:cs="Arial"/>
          <w:b/>
          <w:bCs/>
        </w:rPr>
        <w:t>NUMERAL</w:t>
      </w:r>
      <w:r w:rsidR="00E63AA3" w:rsidRPr="00494F92">
        <w:rPr>
          <w:rFonts w:ascii="Arial" w:eastAsia="Calibri" w:hAnsi="Arial" w:cs="Arial"/>
          <w:b/>
          <w:bCs/>
        </w:rPr>
        <w:t xml:space="preserve"> 10 A</w:t>
      </w:r>
      <w:r w:rsidRPr="00494F92">
        <w:rPr>
          <w:rFonts w:ascii="Arial" w:eastAsia="Calibri" w:hAnsi="Arial" w:cs="Arial"/>
          <w:b/>
          <w:bCs/>
        </w:rPr>
        <w:t>L ARTICULO 71 DE LA LEY 300 DE 1996</w:t>
      </w:r>
      <w:r w:rsidR="00E2759D" w:rsidRPr="00494F92">
        <w:rPr>
          <w:rFonts w:ascii="Arial" w:eastAsia="Calibri" w:hAnsi="Arial" w:cs="Arial"/>
          <w:b/>
          <w:bCs/>
        </w:rPr>
        <w:t>.</w:t>
      </w:r>
      <w:r w:rsidR="00E2759D" w:rsidRPr="00391BD0">
        <w:rPr>
          <w:rFonts w:ascii="Arial" w:eastAsia="Calibri" w:hAnsi="Arial" w:cs="Arial"/>
        </w:rPr>
        <w:t xml:space="preserve"> Modifíquese el artículo 71 de la Ley 300 de 1996,</w:t>
      </w:r>
      <w:r w:rsidR="00E63AA3">
        <w:rPr>
          <w:rFonts w:ascii="Arial" w:eastAsia="Calibri" w:hAnsi="Arial" w:cs="Arial"/>
        </w:rPr>
        <w:t xml:space="preserve"> </w:t>
      </w:r>
      <w:r w:rsidR="00494F92">
        <w:rPr>
          <w:rFonts w:ascii="Arial" w:eastAsia="Calibri" w:hAnsi="Arial" w:cs="Arial"/>
        </w:rPr>
        <w:t xml:space="preserve">modificado por el artículo 28 de la </w:t>
      </w:r>
      <w:r w:rsidR="00E63AA3">
        <w:rPr>
          <w:rFonts w:ascii="Arial" w:eastAsia="Calibri" w:hAnsi="Arial" w:cs="Arial"/>
        </w:rPr>
        <w:t>Ley 2068 de 2020,</w:t>
      </w:r>
      <w:r w:rsidR="00E2759D" w:rsidRPr="00391BD0">
        <w:rPr>
          <w:rFonts w:ascii="Arial" w:eastAsia="Calibri" w:hAnsi="Arial" w:cs="Arial"/>
        </w:rPr>
        <w:t xml:space="preserve"> el cual quedará así:</w:t>
      </w:r>
    </w:p>
    <w:p w14:paraId="27E1C278" w14:textId="4ACFC82B" w:rsidR="00494F92" w:rsidRDefault="00494F92" w:rsidP="00941ED3">
      <w:pPr>
        <w:spacing w:after="160"/>
        <w:rPr>
          <w:rFonts w:ascii="Arial" w:eastAsia="Calibri" w:hAnsi="Arial" w:cs="Arial"/>
        </w:rPr>
      </w:pPr>
      <w:r>
        <w:rPr>
          <w:rFonts w:ascii="Arial" w:eastAsia="Calibri" w:hAnsi="Arial" w:cs="Arial"/>
        </w:rPr>
        <w:t xml:space="preserve">10. Brindar información respecto a precios o cobertura del servicio turístico solo al finalizar el servicio ofrecido. </w:t>
      </w:r>
    </w:p>
    <w:p w14:paraId="6B7C86FF" w14:textId="392526DB" w:rsidR="002D4F5B" w:rsidRPr="00391BD0" w:rsidRDefault="002D4F5B" w:rsidP="00AB4127">
      <w:pPr>
        <w:spacing w:after="160"/>
        <w:jc w:val="both"/>
        <w:rPr>
          <w:rFonts w:ascii="Arial" w:eastAsia="Calibri" w:hAnsi="Arial" w:cs="Arial"/>
        </w:rPr>
      </w:pPr>
      <w:r w:rsidRPr="00690D96">
        <w:rPr>
          <w:rFonts w:ascii="Arial" w:eastAsia="Calibri" w:hAnsi="Arial" w:cs="Arial"/>
          <w:b/>
          <w:bCs/>
        </w:rPr>
        <w:t xml:space="preserve">Artículo </w:t>
      </w:r>
      <w:r w:rsidR="00690D96" w:rsidRPr="00690D96">
        <w:rPr>
          <w:rFonts w:ascii="Arial" w:eastAsia="Calibri" w:hAnsi="Arial" w:cs="Arial"/>
          <w:b/>
          <w:bCs/>
        </w:rPr>
        <w:t>5</w:t>
      </w:r>
      <w:r w:rsidRPr="00690D96">
        <w:rPr>
          <w:rFonts w:ascii="Arial" w:eastAsia="Calibri" w:hAnsi="Arial" w:cs="Arial"/>
          <w:b/>
          <w:bCs/>
        </w:rPr>
        <w:t>. PROMOCIÓN Y FORTALECIMIENTO DEL DEPARTAMENTO DE LA GUAJIRA</w:t>
      </w:r>
      <w:r w:rsidR="00B114EE" w:rsidRPr="00690D96">
        <w:rPr>
          <w:rFonts w:ascii="Arial" w:eastAsia="Calibri" w:hAnsi="Arial" w:cs="Arial"/>
          <w:b/>
          <w:bCs/>
        </w:rPr>
        <w:t>.</w:t>
      </w:r>
      <w:r w:rsidR="00B114EE" w:rsidRPr="00391BD0">
        <w:rPr>
          <w:rFonts w:ascii="Arial" w:eastAsia="Calibri" w:hAnsi="Arial" w:cs="Arial"/>
        </w:rPr>
        <w:t xml:space="preserve"> </w:t>
      </w:r>
      <w:r w:rsidR="00B114EE" w:rsidRPr="00391BD0">
        <w:rPr>
          <w:rFonts w:ascii="Arial" w:hAnsi="Arial" w:cs="Arial"/>
        </w:rPr>
        <w:t>De cada impuesto nacional con destino al turismo como inversión social recaudado, el Fondo Nacional del Turismo ejecutará</w:t>
      </w:r>
      <w:r w:rsidR="002642E5" w:rsidRPr="00391BD0">
        <w:rPr>
          <w:rFonts w:ascii="Arial" w:hAnsi="Arial" w:cs="Arial"/>
        </w:rPr>
        <w:t xml:space="preserve"> el 4% </w:t>
      </w:r>
      <w:r w:rsidR="00B114EE" w:rsidRPr="00391BD0">
        <w:rPr>
          <w:rFonts w:ascii="Arial" w:hAnsi="Arial" w:cs="Arial"/>
        </w:rPr>
        <w:t>con destino a infraestructura, promoción y fortalecimiento de la competitividad</w:t>
      </w:r>
      <w:r w:rsidR="00AB4127" w:rsidRPr="00391BD0">
        <w:rPr>
          <w:rFonts w:ascii="Arial" w:hAnsi="Arial" w:cs="Arial"/>
        </w:rPr>
        <w:t xml:space="preserve"> </w:t>
      </w:r>
      <w:r w:rsidR="00690D96">
        <w:rPr>
          <w:rFonts w:ascii="Arial" w:hAnsi="Arial" w:cs="Arial"/>
        </w:rPr>
        <w:t xml:space="preserve">turística </w:t>
      </w:r>
      <w:r w:rsidR="00AB4127" w:rsidRPr="00391BD0">
        <w:rPr>
          <w:rFonts w:ascii="Arial" w:hAnsi="Arial" w:cs="Arial"/>
        </w:rPr>
        <w:t>en el departamento de La Guajira.</w:t>
      </w:r>
    </w:p>
    <w:p w14:paraId="177D7610" w14:textId="64D73C3C" w:rsidR="00656826" w:rsidRPr="00391BD0" w:rsidRDefault="008C5CED" w:rsidP="00941ED3">
      <w:pPr>
        <w:spacing w:after="160"/>
        <w:rPr>
          <w:rFonts w:ascii="Arial" w:eastAsia="Calibri" w:hAnsi="Arial" w:cs="Arial"/>
        </w:rPr>
      </w:pPr>
      <w:r w:rsidRPr="00690D96">
        <w:rPr>
          <w:rFonts w:ascii="Arial" w:eastAsia="Calibri" w:hAnsi="Arial" w:cs="Arial"/>
          <w:b/>
          <w:bCs/>
        </w:rPr>
        <w:t xml:space="preserve">Artículo </w:t>
      </w:r>
      <w:r w:rsidR="006B3D41">
        <w:rPr>
          <w:rFonts w:ascii="Arial" w:eastAsia="Calibri" w:hAnsi="Arial" w:cs="Arial"/>
          <w:b/>
          <w:bCs/>
        </w:rPr>
        <w:t>6</w:t>
      </w:r>
      <w:r w:rsidRPr="00690D96">
        <w:rPr>
          <w:rFonts w:ascii="Arial" w:eastAsia="Calibri" w:hAnsi="Arial" w:cs="Arial"/>
          <w:b/>
          <w:bCs/>
        </w:rPr>
        <w:t xml:space="preserve">. </w:t>
      </w:r>
      <w:r w:rsidR="00656826" w:rsidRPr="00690D96">
        <w:rPr>
          <w:rFonts w:ascii="Arial" w:eastAsia="Calibri" w:hAnsi="Arial" w:cs="Arial"/>
          <w:b/>
          <w:bCs/>
        </w:rPr>
        <w:t>MODIF</w:t>
      </w:r>
      <w:r w:rsidR="00957568">
        <w:rPr>
          <w:rFonts w:ascii="Arial" w:eastAsia="Calibri" w:hAnsi="Arial" w:cs="Arial"/>
          <w:b/>
          <w:bCs/>
        </w:rPr>
        <w:t>I</w:t>
      </w:r>
      <w:r w:rsidR="00656826" w:rsidRPr="00690D96">
        <w:rPr>
          <w:rFonts w:ascii="Arial" w:eastAsia="Calibri" w:hAnsi="Arial" w:cs="Arial"/>
          <w:b/>
          <w:bCs/>
        </w:rPr>
        <w:t>CACIÓN AL PARAGRAFO 1 DEL ART</w:t>
      </w:r>
      <w:r w:rsidR="00957568">
        <w:rPr>
          <w:rFonts w:ascii="Arial" w:eastAsia="Calibri" w:hAnsi="Arial" w:cs="Arial"/>
          <w:b/>
          <w:bCs/>
        </w:rPr>
        <w:t>Í</w:t>
      </w:r>
      <w:r w:rsidR="00656826" w:rsidRPr="00690D96">
        <w:rPr>
          <w:rFonts w:ascii="Arial" w:eastAsia="Calibri" w:hAnsi="Arial" w:cs="Arial"/>
          <w:b/>
          <w:bCs/>
        </w:rPr>
        <w:t>CULO 18 DE LA LEY 1101 DE 2006.</w:t>
      </w:r>
      <w:r w:rsidR="00656826" w:rsidRPr="00391BD0">
        <w:rPr>
          <w:rFonts w:ascii="Arial" w:eastAsia="Calibri" w:hAnsi="Arial" w:cs="Arial"/>
        </w:rPr>
        <w:t xml:space="preserve"> </w:t>
      </w:r>
      <w:r w:rsidR="00D96AD2" w:rsidRPr="00391BD0">
        <w:rPr>
          <w:rFonts w:ascii="Arial" w:eastAsia="Calibri" w:hAnsi="Arial" w:cs="Arial"/>
        </w:rPr>
        <w:t>Modifíquese</w:t>
      </w:r>
      <w:r w:rsidR="00656826" w:rsidRPr="00391BD0">
        <w:rPr>
          <w:rFonts w:ascii="Arial" w:eastAsia="Calibri" w:hAnsi="Arial" w:cs="Arial"/>
        </w:rPr>
        <w:t xml:space="preserve"> el parágrafo 1 del artículo 18 de la Ley 1101 de 2006, modificad</w:t>
      </w:r>
      <w:r w:rsidR="00690D96">
        <w:rPr>
          <w:rFonts w:ascii="Arial" w:eastAsia="Calibri" w:hAnsi="Arial" w:cs="Arial"/>
        </w:rPr>
        <w:t>o</w:t>
      </w:r>
      <w:r w:rsidR="00656826" w:rsidRPr="00391BD0">
        <w:rPr>
          <w:rFonts w:ascii="Arial" w:eastAsia="Calibri" w:hAnsi="Arial" w:cs="Arial"/>
        </w:rPr>
        <w:t xml:space="preserve"> por el art</w:t>
      </w:r>
      <w:r w:rsidR="00690D96">
        <w:rPr>
          <w:rFonts w:ascii="Arial" w:eastAsia="Calibri" w:hAnsi="Arial" w:cs="Arial"/>
        </w:rPr>
        <w:t>í</w:t>
      </w:r>
      <w:r w:rsidR="00656826" w:rsidRPr="00391BD0">
        <w:rPr>
          <w:rFonts w:ascii="Arial" w:eastAsia="Calibri" w:hAnsi="Arial" w:cs="Arial"/>
        </w:rPr>
        <w:t xml:space="preserve">culo 51 de la Ley 2068 de 2020, </w:t>
      </w:r>
      <w:r w:rsidR="00690D96">
        <w:rPr>
          <w:rFonts w:ascii="Arial" w:eastAsia="Calibri" w:hAnsi="Arial" w:cs="Arial"/>
        </w:rPr>
        <w:t xml:space="preserve">también </w:t>
      </w:r>
      <w:r w:rsidR="00656826" w:rsidRPr="00391BD0">
        <w:rPr>
          <w:rFonts w:ascii="Arial" w:eastAsia="Calibri" w:hAnsi="Arial" w:cs="Arial"/>
        </w:rPr>
        <w:t>modificad</w:t>
      </w:r>
      <w:r w:rsidR="00690D96">
        <w:rPr>
          <w:rFonts w:ascii="Arial" w:eastAsia="Calibri" w:hAnsi="Arial" w:cs="Arial"/>
        </w:rPr>
        <w:t>o</w:t>
      </w:r>
      <w:r w:rsidR="00656826" w:rsidRPr="00391BD0">
        <w:rPr>
          <w:rFonts w:ascii="Arial" w:eastAsia="Calibri" w:hAnsi="Arial" w:cs="Arial"/>
        </w:rPr>
        <w:t xml:space="preserve"> por el art</w:t>
      </w:r>
      <w:r w:rsidR="00690D96">
        <w:rPr>
          <w:rFonts w:ascii="Arial" w:eastAsia="Calibri" w:hAnsi="Arial" w:cs="Arial"/>
        </w:rPr>
        <w:t>í</w:t>
      </w:r>
      <w:r w:rsidR="00656826" w:rsidRPr="00391BD0">
        <w:rPr>
          <w:rFonts w:ascii="Arial" w:eastAsia="Calibri" w:hAnsi="Arial" w:cs="Arial"/>
        </w:rPr>
        <w:t xml:space="preserve">culo 23 de la Ley 1558 de 2012, el cual quedará así: </w:t>
      </w:r>
    </w:p>
    <w:p w14:paraId="576B990D" w14:textId="353EEC6B" w:rsidR="00656826" w:rsidRDefault="00656826" w:rsidP="00656826">
      <w:pPr>
        <w:pStyle w:val="NormalWeb"/>
        <w:spacing w:line="270" w:lineRule="atLeast"/>
        <w:jc w:val="both"/>
        <w:rPr>
          <w:rFonts w:ascii="Arial" w:hAnsi="Arial" w:cs="Arial"/>
        </w:rPr>
      </w:pPr>
      <w:r w:rsidRPr="00391BD0">
        <w:rPr>
          <w:rFonts w:ascii="Arial" w:eastAsia="Calibri" w:hAnsi="Arial" w:cs="Arial"/>
        </w:rPr>
        <w:t>“</w:t>
      </w:r>
      <w:r w:rsidRPr="00391BD0">
        <w:rPr>
          <w:rStyle w:val="baj"/>
          <w:rFonts w:ascii="Arial" w:hAnsi="Arial" w:cs="Arial"/>
          <w:b/>
          <w:bCs/>
        </w:rPr>
        <w:t>Parágrafo 1. </w:t>
      </w:r>
      <w:r w:rsidRPr="00391BD0">
        <w:rPr>
          <w:rFonts w:ascii="Arial" w:hAnsi="Arial" w:cs="Arial"/>
        </w:rPr>
        <w:t xml:space="preserve">Los proyectos provenientes de </w:t>
      </w:r>
      <w:proofErr w:type="spellStart"/>
      <w:r w:rsidRPr="00196294">
        <w:rPr>
          <w:rFonts w:ascii="Arial" w:hAnsi="Arial" w:cs="Arial"/>
          <w:b/>
          <w:bCs/>
          <w:strike/>
        </w:rPr>
        <w:t>T</w:t>
      </w:r>
      <w:r w:rsidR="00067057">
        <w:rPr>
          <w:rFonts w:ascii="Arial" w:hAnsi="Arial" w:cs="Arial"/>
          <w:b/>
          <w:bCs/>
          <w:u w:val="single"/>
        </w:rPr>
        <w:t>l</w:t>
      </w:r>
      <w:r w:rsidRPr="00391BD0">
        <w:rPr>
          <w:rFonts w:ascii="Arial" w:hAnsi="Arial" w:cs="Arial"/>
        </w:rPr>
        <w:t>os</w:t>
      </w:r>
      <w:proofErr w:type="spellEnd"/>
      <w:r w:rsidRPr="00391BD0">
        <w:rPr>
          <w:rFonts w:ascii="Arial" w:hAnsi="Arial" w:cs="Arial"/>
        </w:rPr>
        <w:t xml:space="preserve"> departamentos del Guaviare, Vaupés, Putumayo, Amazonas, Vichada, Caquetá, Guainía, el Chocó biogeográfico por poseer y comprometerse a preservar su rica biodiversidad</w:t>
      </w:r>
      <w:r w:rsidR="00B615D1" w:rsidRPr="00B615D1">
        <w:rPr>
          <w:rFonts w:ascii="Arial" w:hAnsi="Arial" w:cs="Arial"/>
          <w:b/>
          <w:bCs/>
          <w:u w:val="single"/>
        </w:rPr>
        <w:t>,</w:t>
      </w:r>
      <w:r w:rsidRPr="00391BD0">
        <w:rPr>
          <w:rFonts w:ascii="Arial" w:hAnsi="Arial" w:cs="Arial"/>
        </w:rPr>
        <w:t xml:space="preserve"> </w:t>
      </w:r>
      <w:r w:rsidRPr="00B615D1">
        <w:rPr>
          <w:rFonts w:ascii="Arial" w:hAnsi="Arial" w:cs="Arial"/>
          <w:b/>
          <w:bCs/>
          <w:strike/>
        </w:rPr>
        <w:t>y</w:t>
      </w:r>
      <w:r w:rsidRPr="00391BD0">
        <w:rPr>
          <w:rFonts w:ascii="Arial" w:hAnsi="Arial" w:cs="Arial"/>
        </w:rPr>
        <w:t xml:space="preserve"> los municipios de sexta categoría de San Agustín e Isnos en el departamento del Hu</w:t>
      </w:r>
      <w:r w:rsidR="00196294">
        <w:rPr>
          <w:rFonts w:ascii="Arial" w:hAnsi="Arial" w:cs="Arial"/>
        </w:rPr>
        <w:t>i</w:t>
      </w:r>
      <w:r w:rsidRPr="00391BD0">
        <w:rPr>
          <w:rFonts w:ascii="Arial" w:hAnsi="Arial" w:cs="Arial"/>
        </w:rPr>
        <w:t xml:space="preserve">la, </w:t>
      </w:r>
      <w:proofErr w:type="spellStart"/>
      <w:r w:rsidRPr="00391BD0">
        <w:rPr>
          <w:rFonts w:ascii="Arial" w:hAnsi="Arial" w:cs="Arial"/>
        </w:rPr>
        <w:t>Inzá</w:t>
      </w:r>
      <w:proofErr w:type="spellEnd"/>
      <w:r w:rsidRPr="00391BD0">
        <w:rPr>
          <w:rFonts w:ascii="Arial" w:hAnsi="Arial" w:cs="Arial"/>
        </w:rPr>
        <w:t xml:space="preserve"> (</w:t>
      </w:r>
      <w:proofErr w:type="spellStart"/>
      <w:r w:rsidRPr="00391BD0">
        <w:rPr>
          <w:rFonts w:ascii="Arial" w:hAnsi="Arial" w:cs="Arial"/>
        </w:rPr>
        <w:t>Tierradentro</w:t>
      </w:r>
      <w:proofErr w:type="spellEnd"/>
      <w:r w:rsidRPr="00391BD0">
        <w:rPr>
          <w:rFonts w:ascii="Arial" w:hAnsi="Arial" w:cs="Arial"/>
        </w:rPr>
        <w:t>) en el Departamento del Cauca</w:t>
      </w:r>
      <w:r w:rsidR="00196294">
        <w:rPr>
          <w:rFonts w:ascii="Arial" w:hAnsi="Arial" w:cs="Arial"/>
        </w:rPr>
        <w:t xml:space="preserve"> </w:t>
      </w:r>
      <w:r w:rsidRPr="00391BD0">
        <w:rPr>
          <w:rFonts w:ascii="Arial" w:hAnsi="Arial" w:cs="Arial"/>
        </w:rPr>
        <w:t xml:space="preserve">y Mompox en el Departamento de Bolívar declarados patrimonio histórico de la humanidad por la </w:t>
      </w:r>
      <w:r w:rsidR="006B3D41" w:rsidRPr="00391BD0">
        <w:rPr>
          <w:rFonts w:ascii="Arial" w:hAnsi="Arial" w:cs="Arial"/>
        </w:rPr>
        <w:t>UNESCO</w:t>
      </w:r>
      <w:r w:rsidR="00196294">
        <w:rPr>
          <w:rFonts w:ascii="Arial" w:hAnsi="Arial" w:cs="Arial"/>
        </w:rPr>
        <w:t>,</w:t>
      </w:r>
      <w:r w:rsidR="006B3D41">
        <w:rPr>
          <w:rFonts w:ascii="Arial" w:hAnsi="Arial" w:cs="Arial"/>
        </w:rPr>
        <w:t xml:space="preserve"> </w:t>
      </w:r>
      <w:r w:rsidR="00196294" w:rsidRPr="006B3D41">
        <w:rPr>
          <w:rFonts w:ascii="Arial" w:hAnsi="Arial" w:cs="Arial"/>
          <w:b/>
          <w:bCs/>
          <w:u w:val="single"/>
        </w:rPr>
        <w:t>el departamento de La Guajira</w:t>
      </w:r>
      <w:r w:rsidR="00067057" w:rsidRPr="006B3D41">
        <w:rPr>
          <w:rFonts w:ascii="Arial" w:hAnsi="Arial" w:cs="Arial"/>
          <w:b/>
          <w:bCs/>
          <w:u w:val="single"/>
        </w:rPr>
        <w:t xml:space="preserve"> </w:t>
      </w:r>
      <w:r w:rsidR="006B3D41" w:rsidRPr="006B3D41">
        <w:rPr>
          <w:rFonts w:ascii="Arial" w:hAnsi="Arial" w:cs="Arial"/>
          <w:b/>
          <w:bCs/>
          <w:u w:val="single"/>
        </w:rPr>
        <w:t xml:space="preserve">por </w:t>
      </w:r>
      <w:r w:rsidR="00067057" w:rsidRPr="006B3D41">
        <w:rPr>
          <w:rFonts w:ascii="Arial" w:hAnsi="Arial" w:cs="Arial"/>
          <w:b/>
          <w:bCs/>
          <w:u w:val="single"/>
        </w:rPr>
        <w:t>la protección de</w:t>
      </w:r>
      <w:r w:rsidR="00B615D1" w:rsidRPr="006B3D41">
        <w:rPr>
          <w:rFonts w:ascii="Arial" w:hAnsi="Arial" w:cs="Arial"/>
          <w:b/>
          <w:bCs/>
          <w:u w:val="single"/>
        </w:rPr>
        <w:t xml:space="preserve"> la cultura del palabrero </w:t>
      </w:r>
      <w:proofErr w:type="spellStart"/>
      <w:r w:rsidR="00B615D1" w:rsidRPr="006B3D41">
        <w:rPr>
          <w:rFonts w:ascii="Arial" w:hAnsi="Arial" w:cs="Arial"/>
          <w:b/>
          <w:bCs/>
          <w:u w:val="single"/>
        </w:rPr>
        <w:t>Way</w:t>
      </w:r>
      <w:r w:rsidR="006B3D41">
        <w:rPr>
          <w:rFonts w:ascii="Arial" w:hAnsi="Arial" w:cs="Arial"/>
          <w:b/>
          <w:bCs/>
          <w:u w:val="single"/>
        </w:rPr>
        <w:t>ú</w:t>
      </w:r>
      <w:r w:rsidR="00B615D1" w:rsidRPr="006B3D41">
        <w:rPr>
          <w:rFonts w:ascii="Arial" w:hAnsi="Arial" w:cs="Arial"/>
          <w:b/>
          <w:bCs/>
          <w:u w:val="single"/>
        </w:rPr>
        <w:t>u</w:t>
      </w:r>
      <w:proofErr w:type="spellEnd"/>
      <w:r w:rsidR="00B615D1" w:rsidRPr="006B3D41">
        <w:rPr>
          <w:rFonts w:ascii="Arial" w:hAnsi="Arial" w:cs="Arial"/>
          <w:b/>
          <w:bCs/>
          <w:u w:val="single"/>
        </w:rPr>
        <w:t xml:space="preserve"> </w:t>
      </w:r>
      <w:r w:rsidR="006B3D41" w:rsidRPr="006B3D41">
        <w:rPr>
          <w:rFonts w:ascii="Arial" w:hAnsi="Arial" w:cs="Arial"/>
          <w:b/>
          <w:bCs/>
          <w:u w:val="single"/>
        </w:rPr>
        <w:t>reconocida</w:t>
      </w:r>
      <w:r w:rsidR="00B615D1" w:rsidRPr="006B3D41">
        <w:rPr>
          <w:rFonts w:ascii="Arial" w:hAnsi="Arial" w:cs="Arial"/>
          <w:b/>
          <w:bCs/>
          <w:u w:val="single"/>
        </w:rPr>
        <w:t xml:space="preserve"> por la UNESCO como </w:t>
      </w:r>
      <w:r w:rsidR="006B3D41" w:rsidRPr="006B3D41">
        <w:rPr>
          <w:rFonts w:ascii="Arial" w:hAnsi="Arial" w:cs="Arial"/>
          <w:b/>
          <w:bCs/>
          <w:u w:val="single"/>
        </w:rPr>
        <w:t xml:space="preserve">de </w:t>
      </w:r>
      <w:r w:rsidR="00B615D1" w:rsidRPr="006B3D41">
        <w:rPr>
          <w:rFonts w:ascii="Arial" w:hAnsi="Arial" w:cs="Arial"/>
          <w:b/>
          <w:bCs/>
          <w:u w:val="single"/>
        </w:rPr>
        <w:t>vital importancia</w:t>
      </w:r>
      <w:r w:rsidRPr="006B3D41">
        <w:rPr>
          <w:rFonts w:ascii="Arial" w:hAnsi="Arial" w:cs="Arial"/>
          <w:b/>
          <w:bCs/>
          <w:u w:val="single"/>
        </w:rPr>
        <w:t xml:space="preserve"> </w:t>
      </w:r>
      <w:r w:rsidRPr="00391BD0">
        <w:rPr>
          <w:rFonts w:ascii="Arial" w:hAnsi="Arial" w:cs="Arial"/>
        </w:rPr>
        <w:t xml:space="preserve">y el Departamento </w:t>
      </w:r>
      <w:r w:rsidRPr="00391BD0">
        <w:rPr>
          <w:rFonts w:ascii="Arial" w:hAnsi="Arial" w:cs="Arial"/>
        </w:rPr>
        <w:lastRenderedPageBreak/>
        <w:t>Archipiélago de San Andrés, Providencia y Santa Catalina por sus características Insulares, en pro de la conservación de la Reserva de Biosfera Declarada por la UNESCO y la cultura raizal incentivando la sostenibilidad del destino dada la dependencia económica a este sector, quedan excluidos de los aportes de cofinanciación de que tratan los numerales 2 y 3 del presente artículo."</w:t>
      </w:r>
    </w:p>
    <w:p w14:paraId="4A0090D9" w14:textId="314809CF" w:rsidR="006B3D41" w:rsidRDefault="006B3D41" w:rsidP="00656826">
      <w:pPr>
        <w:pStyle w:val="NormalWeb"/>
        <w:spacing w:line="270" w:lineRule="atLeast"/>
        <w:jc w:val="both"/>
        <w:rPr>
          <w:rFonts w:ascii="Arial" w:hAnsi="Arial" w:cs="Arial"/>
        </w:rPr>
      </w:pPr>
      <w:r w:rsidRPr="006B3D41">
        <w:rPr>
          <w:rFonts w:ascii="Arial" w:hAnsi="Arial" w:cs="Arial"/>
          <w:b/>
          <w:bCs/>
        </w:rPr>
        <w:t>Artículo 7. Vigencia y derogatorias</w:t>
      </w:r>
      <w:r>
        <w:rPr>
          <w:rFonts w:ascii="Arial" w:hAnsi="Arial" w:cs="Arial"/>
        </w:rPr>
        <w:t>. La presente ley rige a partir de la fecha de su publicación y deroga las disposiciones que le sean contrarias.</w:t>
      </w:r>
    </w:p>
    <w:p w14:paraId="33AD0F0F" w14:textId="5FB56DA5" w:rsidR="006B3D41" w:rsidRDefault="006B3D41" w:rsidP="00656826">
      <w:pPr>
        <w:pStyle w:val="NormalWeb"/>
        <w:spacing w:line="270" w:lineRule="atLeast"/>
        <w:jc w:val="both"/>
        <w:rPr>
          <w:rFonts w:ascii="Arial" w:hAnsi="Arial" w:cs="Arial"/>
        </w:rPr>
      </w:pPr>
    </w:p>
    <w:p w14:paraId="4E3C4A9A" w14:textId="77777777" w:rsidR="006B3D41" w:rsidRDefault="006B3D41" w:rsidP="00656826">
      <w:pPr>
        <w:pStyle w:val="NormalWeb"/>
        <w:spacing w:line="270" w:lineRule="atLeast"/>
        <w:jc w:val="both"/>
        <w:rPr>
          <w:rFonts w:ascii="Arial" w:hAnsi="Arial" w:cs="Arial"/>
        </w:rPr>
      </w:pPr>
    </w:p>
    <w:p w14:paraId="34D36957" w14:textId="130C7371" w:rsidR="006B3D41" w:rsidRPr="006B3D41" w:rsidRDefault="006B3D41" w:rsidP="006B3D41">
      <w:pPr>
        <w:pStyle w:val="NormalWeb"/>
        <w:spacing w:before="0" w:beforeAutospacing="0" w:after="0" w:afterAutospacing="0" w:line="270" w:lineRule="atLeast"/>
        <w:jc w:val="both"/>
        <w:rPr>
          <w:rFonts w:ascii="Arial" w:hAnsi="Arial" w:cs="Arial"/>
          <w:b/>
          <w:bCs/>
        </w:rPr>
      </w:pPr>
      <w:r w:rsidRPr="006B3D41">
        <w:rPr>
          <w:rFonts w:ascii="Arial" w:hAnsi="Arial" w:cs="Arial"/>
          <w:b/>
          <w:bCs/>
        </w:rPr>
        <w:t>JUAN LORETO GÓMEZ SOTO</w:t>
      </w:r>
    </w:p>
    <w:p w14:paraId="6418D4E1" w14:textId="0172AABA" w:rsidR="006B3D41" w:rsidRDefault="006B3D41" w:rsidP="006B3D41">
      <w:pPr>
        <w:pStyle w:val="NormalWeb"/>
        <w:spacing w:before="0" w:beforeAutospacing="0" w:after="0" w:afterAutospacing="0" w:line="270" w:lineRule="atLeast"/>
        <w:jc w:val="both"/>
        <w:rPr>
          <w:rFonts w:ascii="Arial" w:hAnsi="Arial" w:cs="Arial"/>
        </w:rPr>
      </w:pPr>
      <w:r>
        <w:rPr>
          <w:rFonts w:ascii="Arial" w:hAnsi="Arial" w:cs="Arial"/>
        </w:rPr>
        <w:t>Representante a la Cámara por La Guajira</w:t>
      </w:r>
    </w:p>
    <w:p w14:paraId="270C405E" w14:textId="760A665C" w:rsidR="006B3D41" w:rsidRDefault="006B3D41" w:rsidP="006B3D41">
      <w:pPr>
        <w:pStyle w:val="NormalWeb"/>
        <w:spacing w:before="0" w:beforeAutospacing="0" w:after="0" w:afterAutospacing="0" w:line="270" w:lineRule="atLeast"/>
        <w:jc w:val="both"/>
        <w:rPr>
          <w:rFonts w:ascii="Arial" w:hAnsi="Arial" w:cs="Arial"/>
        </w:rPr>
      </w:pPr>
      <w:r>
        <w:rPr>
          <w:rFonts w:ascii="Arial" w:hAnsi="Arial" w:cs="Arial"/>
        </w:rPr>
        <w:t xml:space="preserve">Partido Conservador </w:t>
      </w:r>
    </w:p>
    <w:p w14:paraId="04FD06C7" w14:textId="77777777" w:rsidR="00067057" w:rsidRDefault="00067057" w:rsidP="00656826">
      <w:pPr>
        <w:rPr>
          <w:rFonts w:ascii="Arial Narrow" w:hAnsi="Arial Narrow"/>
          <w:b/>
        </w:rPr>
      </w:pPr>
    </w:p>
    <w:p w14:paraId="7E0C73AA" w14:textId="77777777" w:rsidR="00196294" w:rsidRDefault="00196294" w:rsidP="00656826">
      <w:pPr>
        <w:rPr>
          <w:rFonts w:ascii="Arial Narrow" w:hAnsi="Arial Narrow"/>
          <w:b/>
        </w:rPr>
      </w:pPr>
    </w:p>
    <w:p w14:paraId="261B82B2" w14:textId="75F854A2" w:rsidR="00196294" w:rsidRDefault="00196294" w:rsidP="00656826">
      <w:pPr>
        <w:rPr>
          <w:rFonts w:ascii="Arial Narrow" w:hAnsi="Arial Narrow"/>
          <w:b/>
        </w:rPr>
      </w:pPr>
    </w:p>
    <w:p w14:paraId="52D3C908" w14:textId="21D40D40" w:rsidR="003C6930" w:rsidRDefault="003C6930" w:rsidP="00656826">
      <w:pPr>
        <w:rPr>
          <w:rFonts w:ascii="Arial Narrow" w:hAnsi="Arial Narrow"/>
          <w:b/>
        </w:rPr>
      </w:pPr>
    </w:p>
    <w:p w14:paraId="5EE98C93" w14:textId="40C2D42B" w:rsidR="003C6930" w:rsidRDefault="003C6930" w:rsidP="00656826">
      <w:pPr>
        <w:rPr>
          <w:rFonts w:ascii="Arial Narrow" w:hAnsi="Arial Narrow"/>
          <w:b/>
        </w:rPr>
      </w:pPr>
    </w:p>
    <w:p w14:paraId="0D525DA0" w14:textId="2BDE7B19" w:rsidR="003C6930" w:rsidRDefault="003C6930" w:rsidP="00656826">
      <w:pPr>
        <w:rPr>
          <w:rFonts w:ascii="Arial Narrow" w:hAnsi="Arial Narrow"/>
          <w:b/>
        </w:rPr>
      </w:pPr>
    </w:p>
    <w:p w14:paraId="16DECB7D" w14:textId="1D04BC44" w:rsidR="00656826" w:rsidRPr="0081327E" w:rsidRDefault="00656826" w:rsidP="00656826">
      <w:pPr>
        <w:rPr>
          <w:rFonts w:ascii="Arial Narrow" w:hAnsi="Arial Narrow"/>
          <w:b/>
        </w:rPr>
      </w:pPr>
      <w:r>
        <w:rPr>
          <w:rFonts w:ascii="Arial Narrow" w:hAnsi="Arial Narrow"/>
          <w:b/>
        </w:rPr>
        <w:t xml:space="preserve"> </w:t>
      </w:r>
    </w:p>
    <w:sectPr w:rsidR="00656826" w:rsidRPr="0081327E" w:rsidSect="0088627D">
      <w:headerReference w:type="default" r:id="rId14"/>
      <w:footerReference w:type="default" r:id="rId15"/>
      <w:pgSz w:w="12240" w:h="15840"/>
      <w:pgMar w:top="1701" w:right="1701" w:bottom="1701"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75B1F" w14:textId="77777777" w:rsidR="00EE4FF4" w:rsidRDefault="00EE4FF4" w:rsidP="004C05F1">
      <w:r>
        <w:separator/>
      </w:r>
    </w:p>
  </w:endnote>
  <w:endnote w:type="continuationSeparator" w:id="0">
    <w:p w14:paraId="45FE5259" w14:textId="77777777" w:rsidR="00EE4FF4" w:rsidRDefault="00EE4FF4" w:rsidP="004C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0B64" w14:textId="77777777" w:rsidR="00C87A43" w:rsidRPr="00AC3735" w:rsidRDefault="00C87A43" w:rsidP="00C87A43">
    <w:pPr>
      <w:spacing w:line="240" w:lineRule="atLeast"/>
      <w:contextualSpacing/>
      <w:jc w:val="center"/>
      <w:rPr>
        <w:b/>
        <w:bCs/>
        <w:sz w:val="20"/>
      </w:rPr>
    </w:pPr>
    <w:r w:rsidRPr="00AC3735">
      <w:rPr>
        <w:b/>
        <w:bCs/>
        <w:sz w:val="20"/>
      </w:rPr>
      <w:t xml:space="preserve">Edificio Nuevo del Congreso: Carrera 7 N° 8 – 68 </w:t>
    </w:r>
    <w:proofErr w:type="spellStart"/>
    <w:r>
      <w:rPr>
        <w:b/>
        <w:bCs/>
        <w:sz w:val="20"/>
      </w:rPr>
      <w:t>Mezzanine</w:t>
    </w:r>
    <w:proofErr w:type="spellEnd"/>
    <w:r>
      <w:rPr>
        <w:b/>
        <w:bCs/>
        <w:sz w:val="20"/>
      </w:rPr>
      <w:t xml:space="preserve"> Sur </w:t>
    </w:r>
    <w:r w:rsidRPr="00AC3735">
      <w:rPr>
        <w:b/>
        <w:bCs/>
        <w:sz w:val="20"/>
      </w:rPr>
      <w:t>Oficina</w:t>
    </w:r>
    <w:r>
      <w:rPr>
        <w:b/>
        <w:bCs/>
        <w:sz w:val="20"/>
      </w:rPr>
      <w:t xml:space="preserve"> 102</w:t>
    </w:r>
  </w:p>
  <w:p w14:paraId="2167C1FD" w14:textId="77777777" w:rsidR="00C87A43" w:rsidRDefault="00C87A43" w:rsidP="00C87A43">
    <w:pPr>
      <w:spacing w:line="240" w:lineRule="atLeast"/>
      <w:contextualSpacing/>
      <w:jc w:val="center"/>
      <w:rPr>
        <w:b/>
        <w:bCs/>
        <w:sz w:val="20"/>
      </w:rPr>
    </w:pPr>
    <w:r>
      <w:rPr>
        <w:b/>
        <w:bCs/>
        <w:sz w:val="20"/>
      </w:rPr>
      <w:t>Tel</w:t>
    </w:r>
    <w:r w:rsidRPr="00AC3735">
      <w:rPr>
        <w:b/>
        <w:bCs/>
        <w:sz w:val="20"/>
      </w:rPr>
      <w:t xml:space="preserve">: </w:t>
    </w:r>
    <w:r>
      <w:rPr>
        <w:b/>
        <w:bCs/>
        <w:sz w:val="20"/>
      </w:rPr>
      <w:t>3904050</w:t>
    </w:r>
    <w:r w:rsidRPr="00AC3735">
      <w:rPr>
        <w:b/>
        <w:bCs/>
        <w:sz w:val="20"/>
      </w:rPr>
      <w:t xml:space="preserve"> -  Extensiones </w:t>
    </w:r>
    <w:r>
      <w:rPr>
        <w:b/>
        <w:bCs/>
        <w:sz w:val="20"/>
      </w:rPr>
      <w:t>4468</w:t>
    </w:r>
    <w:r w:rsidRPr="00AC3735">
      <w:rPr>
        <w:b/>
        <w:bCs/>
        <w:sz w:val="20"/>
      </w:rPr>
      <w:t>-</w:t>
    </w:r>
    <w:r>
      <w:rPr>
        <w:b/>
        <w:bCs/>
        <w:sz w:val="20"/>
      </w:rPr>
      <w:t>4467</w:t>
    </w:r>
  </w:p>
  <w:p w14:paraId="2489C567" w14:textId="77777777" w:rsidR="00C87A43" w:rsidRPr="004C05F1" w:rsidRDefault="00C87A43" w:rsidP="00C87A43">
    <w:pPr>
      <w:spacing w:line="240" w:lineRule="atLeast"/>
      <w:contextualSpacing/>
      <w:jc w:val="center"/>
      <w:rPr>
        <w:b/>
        <w:bCs/>
        <w:sz w:val="20"/>
      </w:rPr>
    </w:pPr>
    <w:r w:rsidRPr="00AC3735">
      <w:rPr>
        <w:b/>
        <w:bCs/>
        <w:sz w:val="20"/>
      </w:rPr>
      <w:t xml:space="preserve">Correo Electrónico: </w:t>
    </w:r>
    <w:hyperlink r:id="rId1" w:history="1">
      <w:r w:rsidRPr="00E04D8B">
        <w:rPr>
          <w:rStyle w:val="Hipervnculo"/>
          <w:b/>
          <w:bCs/>
          <w:sz w:val="20"/>
        </w:rPr>
        <w:t>juanl.gomez@camara.gov.co</w:t>
      </w:r>
    </w:hyperlink>
  </w:p>
  <w:p w14:paraId="5C33DC4A" w14:textId="482456B6" w:rsidR="004C05F1" w:rsidRPr="004C05F1" w:rsidRDefault="004C05F1" w:rsidP="004C05F1">
    <w:pPr>
      <w:spacing w:line="240" w:lineRule="atLeast"/>
      <w:contextualSpacing/>
      <w:jc w:val="center"/>
      <w:rPr>
        <w:b/>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16D6" w14:textId="77777777" w:rsidR="00EE4FF4" w:rsidRDefault="00EE4FF4" w:rsidP="004C05F1">
      <w:r>
        <w:separator/>
      </w:r>
    </w:p>
  </w:footnote>
  <w:footnote w:type="continuationSeparator" w:id="0">
    <w:p w14:paraId="46C198F8" w14:textId="77777777" w:rsidR="00EE4FF4" w:rsidRDefault="00EE4FF4" w:rsidP="004C0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A454" w14:textId="6E96EE50" w:rsidR="004C05F1" w:rsidRDefault="00C87A43" w:rsidP="00B93DF9">
    <w:pPr>
      <w:pStyle w:val="Encabezado"/>
    </w:pPr>
    <w:r>
      <w:rPr>
        <w:noProof/>
        <w:lang w:eastAsia="es-CO"/>
      </w:rPr>
      <w:drawing>
        <wp:anchor distT="0" distB="0" distL="114300" distR="114300" simplePos="0" relativeHeight="251658240" behindDoc="0" locked="0" layoutInCell="1" allowOverlap="1" wp14:anchorId="7EF4BA54" wp14:editId="19715393">
          <wp:simplePos x="0" y="0"/>
          <wp:positionH relativeFrom="margin">
            <wp:align>center</wp:align>
          </wp:positionH>
          <wp:positionV relativeFrom="page">
            <wp:align>top</wp:align>
          </wp:positionV>
          <wp:extent cx="4540649" cy="799447"/>
          <wp:effectExtent l="0" t="0" r="0" b="1270"/>
          <wp:wrapSquare wrapText="bothSides"/>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649" cy="7994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7C8D"/>
    <w:multiLevelType w:val="hybridMultilevel"/>
    <w:tmpl w:val="2168FA6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6923BA"/>
    <w:multiLevelType w:val="hybridMultilevel"/>
    <w:tmpl w:val="84A6782E"/>
    <w:lvl w:ilvl="0" w:tplc="5D68BAF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CO"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17"/>
    <w:rsid w:val="00001A56"/>
    <w:rsid w:val="00047A87"/>
    <w:rsid w:val="00053A57"/>
    <w:rsid w:val="00063816"/>
    <w:rsid w:val="00067057"/>
    <w:rsid w:val="0008209C"/>
    <w:rsid w:val="0008389F"/>
    <w:rsid w:val="000910A6"/>
    <w:rsid w:val="00096DE1"/>
    <w:rsid w:val="000B0C4B"/>
    <w:rsid w:val="000C09F7"/>
    <w:rsid w:val="000E65E5"/>
    <w:rsid w:val="000F7011"/>
    <w:rsid w:val="00114B71"/>
    <w:rsid w:val="0012009F"/>
    <w:rsid w:val="0012192D"/>
    <w:rsid w:val="00124C98"/>
    <w:rsid w:val="00140D00"/>
    <w:rsid w:val="00151550"/>
    <w:rsid w:val="00157B52"/>
    <w:rsid w:val="00175967"/>
    <w:rsid w:val="00196294"/>
    <w:rsid w:val="001A5FBB"/>
    <w:rsid w:val="001C4CDD"/>
    <w:rsid w:val="001C5876"/>
    <w:rsid w:val="001D32B1"/>
    <w:rsid w:val="001E3182"/>
    <w:rsid w:val="001E6DE0"/>
    <w:rsid w:val="001F3845"/>
    <w:rsid w:val="0020531A"/>
    <w:rsid w:val="00207FC4"/>
    <w:rsid w:val="0021441A"/>
    <w:rsid w:val="0025032A"/>
    <w:rsid w:val="00251F8E"/>
    <w:rsid w:val="002614DD"/>
    <w:rsid w:val="002641B4"/>
    <w:rsid w:val="002642E5"/>
    <w:rsid w:val="00275DBF"/>
    <w:rsid w:val="002833F4"/>
    <w:rsid w:val="0028423A"/>
    <w:rsid w:val="002C57D0"/>
    <w:rsid w:val="002D48A6"/>
    <w:rsid w:val="002D4F5B"/>
    <w:rsid w:val="002D6385"/>
    <w:rsid w:val="002E21DC"/>
    <w:rsid w:val="00316E61"/>
    <w:rsid w:val="00326C77"/>
    <w:rsid w:val="0033527C"/>
    <w:rsid w:val="00347330"/>
    <w:rsid w:val="00365BA1"/>
    <w:rsid w:val="00370629"/>
    <w:rsid w:val="00384485"/>
    <w:rsid w:val="00391BD0"/>
    <w:rsid w:val="003A7ECB"/>
    <w:rsid w:val="003C57D2"/>
    <w:rsid w:val="003C6930"/>
    <w:rsid w:val="003D222B"/>
    <w:rsid w:val="003D628C"/>
    <w:rsid w:val="003F34CD"/>
    <w:rsid w:val="0040189F"/>
    <w:rsid w:val="00406A9C"/>
    <w:rsid w:val="00422417"/>
    <w:rsid w:val="00440367"/>
    <w:rsid w:val="00455ED3"/>
    <w:rsid w:val="004645EE"/>
    <w:rsid w:val="00465EDB"/>
    <w:rsid w:val="0048090B"/>
    <w:rsid w:val="00483741"/>
    <w:rsid w:val="00483D9B"/>
    <w:rsid w:val="00494F92"/>
    <w:rsid w:val="004952AE"/>
    <w:rsid w:val="004B0519"/>
    <w:rsid w:val="004C05F1"/>
    <w:rsid w:val="004C7FB5"/>
    <w:rsid w:val="004E45CB"/>
    <w:rsid w:val="005130D9"/>
    <w:rsid w:val="00572F48"/>
    <w:rsid w:val="0057406D"/>
    <w:rsid w:val="005A2E17"/>
    <w:rsid w:val="005A4A4B"/>
    <w:rsid w:val="005D66FB"/>
    <w:rsid w:val="005E22DD"/>
    <w:rsid w:val="005E78AA"/>
    <w:rsid w:val="00604460"/>
    <w:rsid w:val="00626BCB"/>
    <w:rsid w:val="00627C41"/>
    <w:rsid w:val="00656826"/>
    <w:rsid w:val="00660D38"/>
    <w:rsid w:val="00664E4A"/>
    <w:rsid w:val="00664ED5"/>
    <w:rsid w:val="0067784F"/>
    <w:rsid w:val="006867E0"/>
    <w:rsid w:val="00690D96"/>
    <w:rsid w:val="006B3D41"/>
    <w:rsid w:val="006B75E0"/>
    <w:rsid w:val="006C34F4"/>
    <w:rsid w:val="006D0176"/>
    <w:rsid w:val="006D509B"/>
    <w:rsid w:val="006D5851"/>
    <w:rsid w:val="006F13A7"/>
    <w:rsid w:val="0070347A"/>
    <w:rsid w:val="00707C99"/>
    <w:rsid w:val="007101CB"/>
    <w:rsid w:val="00721FD7"/>
    <w:rsid w:val="00723271"/>
    <w:rsid w:val="00730CF8"/>
    <w:rsid w:val="00743875"/>
    <w:rsid w:val="00747004"/>
    <w:rsid w:val="007617FC"/>
    <w:rsid w:val="00770BFC"/>
    <w:rsid w:val="00782F27"/>
    <w:rsid w:val="00784889"/>
    <w:rsid w:val="0079415E"/>
    <w:rsid w:val="00797F62"/>
    <w:rsid w:val="007B1515"/>
    <w:rsid w:val="007C39F5"/>
    <w:rsid w:val="007C5A11"/>
    <w:rsid w:val="007D5A75"/>
    <w:rsid w:val="007F3EE3"/>
    <w:rsid w:val="007F5738"/>
    <w:rsid w:val="00801762"/>
    <w:rsid w:val="00812D8E"/>
    <w:rsid w:val="0081327E"/>
    <w:rsid w:val="0083221A"/>
    <w:rsid w:val="00844190"/>
    <w:rsid w:val="0084761E"/>
    <w:rsid w:val="00847BCA"/>
    <w:rsid w:val="00857AED"/>
    <w:rsid w:val="008674BE"/>
    <w:rsid w:val="00871634"/>
    <w:rsid w:val="00877F60"/>
    <w:rsid w:val="00881B12"/>
    <w:rsid w:val="0088627D"/>
    <w:rsid w:val="008C5CED"/>
    <w:rsid w:val="008C6FDC"/>
    <w:rsid w:val="008C7902"/>
    <w:rsid w:val="008D7599"/>
    <w:rsid w:val="008E11D0"/>
    <w:rsid w:val="008E571F"/>
    <w:rsid w:val="008F4AAD"/>
    <w:rsid w:val="00900C13"/>
    <w:rsid w:val="00900E94"/>
    <w:rsid w:val="00904DD7"/>
    <w:rsid w:val="00913237"/>
    <w:rsid w:val="009150B2"/>
    <w:rsid w:val="00915D19"/>
    <w:rsid w:val="00941ED3"/>
    <w:rsid w:val="00957568"/>
    <w:rsid w:val="0096286D"/>
    <w:rsid w:val="009749F6"/>
    <w:rsid w:val="0098680A"/>
    <w:rsid w:val="009B39C8"/>
    <w:rsid w:val="009D18AE"/>
    <w:rsid w:val="009E0F7B"/>
    <w:rsid w:val="009E5DBA"/>
    <w:rsid w:val="00A033A2"/>
    <w:rsid w:val="00A22310"/>
    <w:rsid w:val="00A96115"/>
    <w:rsid w:val="00A970A8"/>
    <w:rsid w:val="00AA02CD"/>
    <w:rsid w:val="00AB4127"/>
    <w:rsid w:val="00AC27A6"/>
    <w:rsid w:val="00AD68BF"/>
    <w:rsid w:val="00AE036D"/>
    <w:rsid w:val="00B114EE"/>
    <w:rsid w:val="00B1420C"/>
    <w:rsid w:val="00B16B14"/>
    <w:rsid w:val="00B17442"/>
    <w:rsid w:val="00B615D1"/>
    <w:rsid w:val="00B7007F"/>
    <w:rsid w:val="00B82373"/>
    <w:rsid w:val="00B9224B"/>
    <w:rsid w:val="00B93DF9"/>
    <w:rsid w:val="00B94560"/>
    <w:rsid w:val="00BA0E59"/>
    <w:rsid w:val="00BA2E7B"/>
    <w:rsid w:val="00BB6CEF"/>
    <w:rsid w:val="00BC116A"/>
    <w:rsid w:val="00BC40EF"/>
    <w:rsid w:val="00BC7708"/>
    <w:rsid w:val="00BF0CF2"/>
    <w:rsid w:val="00BF1E1C"/>
    <w:rsid w:val="00C230AB"/>
    <w:rsid w:val="00C27191"/>
    <w:rsid w:val="00C426E6"/>
    <w:rsid w:val="00C42DE4"/>
    <w:rsid w:val="00C449A5"/>
    <w:rsid w:val="00C62F95"/>
    <w:rsid w:val="00C80E63"/>
    <w:rsid w:val="00C83BDD"/>
    <w:rsid w:val="00C87A43"/>
    <w:rsid w:val="00C92143"/>
    <w:rsid w:val="00CD4706"/>
    <w:rsid w:val="00CE295B"/>
    <w:rsid w:val="00CF1DAE"/>
    <w:rsid w:val="00CF2622"/>
    <w:rsid w:val="00CF2E7F"/>
    <w:rsid w:val="00CF56F9"/>
    <w:rsid w:val="00CF6AC6"/>
    <w:rsid w:val="00D000CC"/>
    <w:rsid w:val="00D02DEF"/>
    <w:rsid w:val="00D2006D"/>
    <w:rsid w:val="00D23181"/>
    <w:rsid w:val="00D46E7B"/>
    <w:rsid w:val="00D4791F"/>
    <w:rsid w:val="00D50033"/>
    <w:rsid w:val="00D51313"/>
    <w:rsid w:val="00D525BE"/>
    <w:rsid w:val="00D62F46"/>
    <w:rsid w:val="00D64A75"/>
    <w:rsid w:val="00D807D6"/>
    <w:rsid w:val="00D857D4"/>
    <w:rsid w:val="00D9362A"/>
    <w:rsid w:val="00D96AD2"/>
    <w:rsid w:val="00DB3E2C"/>
    <w:rsid w:val="00DE1819"/>
    <w:rsid w:val="00DF0F68"/>
    <w:rsid w:val="00DF5631"/>
    <w:rsid w:val="00E13A52"/>
    <w:rsid w:val="00E23B6A"/>
    <w:rsid w:val="00E248D9"/>
    <w:rsid w:val="00E2759D"/>
    <w:rsid w:val="00E43CF8"/>
    <w:rsid w:val="00E63AA3"/>
    <w:rsid w:val="00E64063"/>
    <w:rsid w:val="00E64D3E"/>
    <w:rsid w:val="00E706EA"/>
    <w:rsid w:val="00EA69C1"/>
    <w:rsid w:val="00EC33AC"/>
    <w:rsid w:val="00EE4FF4"/>
    <w:rsid w:val="00EE7A0B"/>
    <w:rsid w:val="00EF5893"/>
    <w:rsid w:val="00F11877"/>
    <w:rsid w:val="00F15CEF"/>
    <w:rsid w:val="00F30D1E"/>
    <w:rsid w:val="00F97D19"/>
    <w:rsid w:val="00FB2701"/>
    <w:rsid w:val="00FB49D4"/>
    <w:rsid w:val="00FC48E1"/>
    <w:rsid w:val="00FD7280"/>
    <w:rsid w:val="00FD7352"/>
    <w:rsid w:val="00FE00AB"/>
    <w:rsid w:val="00FE7155"/>
    <w:rsid w:val="00FF3B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92B1D"/>
  <w15:chartTrackingRefBased/>
  <w15:docId w15:val="{17D351E8-7640-164F-B8ED-B38DEEA8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F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24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C05F1"/>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C05F1"/>
    <w:rPr>
      <w:sz w:val="22"/>
      <w:szCs w:val="22"/>
    </w:rPr>
  </w:style>
  <w:style w:type="paragraph" w:styleId="Piedepgina">
    <w:name w:val="footer"/>
    <w:basedOn w:val="Normal"/>
    <w:link w:val="PiedepginaCar"/>
    <w:uiPriority w:val="99"/>
    <w:unhideWhenUsed/>
    <w:rsid w:val="004C05F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C05F1"/>
    <w:rPr>
      <w:sz w:val="22"/>
      <w:szCs w:val="22"/>
    </w:rPr>
  </w:style>
  <w:style w:type="character" w:styleId="Hipervnculo">
    <w:name w:val="Hyperlink"/>
    <w:basedOn w:val="Fuentedeprrafopredeter"/>
    <w:uiPriority w:val="99"/>
    <w:unhideWhenUsed/>
    <w:rsid w:val="004C05F1"/>
    <w:rPr>
      <w:color w:val="0563C1" w:themeColor="hyperlink"/>
      <w:u w:val="single"/>
    </w:rPr>
  </w:style>
  <w:style w:type="paragraph" w:customStyle="1" w:styleId="yiv6816543764msonormal">
    <w:name w:val="yiv6816543764msonormal"/>
    <w:basedOn w:val="Normal"/>
    <w:rsid w:val="00A970A8"/>
    <w:pPr>
      <w:spacing w:before="100" w:beforeAutospacing="1" w:after="100" w:afterAutospacing="1"/>
    </w:pPr>
    <w:rPr>
      <w:lang w:val="es-ES" w:eastAsia="es-ES"/>
    </w:rPr>
  </w:style>
  <w:style w:type="character" w:customStyle="1" w:styleId="UnresolvedMention">
    <w:name w:val="Unresolved Mention"/>
    <w:basedOn w:val="Fuentedeprrafopredeter"/>
    <w:uiPriority w:val="99"/>
    <w:semiHidden/>
    <w:unhideWhenUsed/>
    <w:rsid w:val="008D7599"/>
    <w:rPr>
      <w:color w:val="605E5C"/>
      <w:shd w:val="clear" w:color="auto" w:fill="E1DFDD"/>
    </w:rPr>
  </w:style>
  <w:style w:type="character" w:customStyle="1" w:styleId="baj">
    <w:name w:val="b_aj"/>
    <w:basedOn w:val="Fuentedeprrafopredeter"/>
    <w:rsid w:val="003F34CD"/>
  </w:style>
  <w:style w:type="paragraph" w:styleId="NormalWeb">
    <w:name w:val="Normal (Web)"/>
    <w:basedOn w:val="Normal"/>
    <w:uiPriority w:val="99"/>
    <w:unhideWhenUsed/>
    <w:rsid w:val="008C6FDC"/>
    <w:pPr>
      <w:spacing w:before="100" w:beforeAutospacing="1" w:after="100" w:afterAutospacing="1"/>
    </w:pPr>
    <w:rPr>
      <w:lang w:eastAsia="es-CO"/>
    </w:rPr>
  </w:style>
  <w:style w:type="paragraph" w:styleId="Prrafodelista">
    <w:name w:val="List Paragraph"/>
    <w:basedOn w:val="Normal"/>
    <w:uiPriority w:val="34"/>
    <w:qFormat/>
    <w:rsid w:val="00063816"/>
    <w:pPr>
      <w:ind w:left="720"/>
      <w:contextualSpacing/>
    </w:pPr>
  </w:style>
  <w:style w:type="character" w:styleId="nfasis">
    <w:name w:val="Emphasis"/>
    <w:basedOn w:val="Fuentedeprrafopredeter"/>
    <w:uiPriority w:val="20"/>
    <w:qFormat/>
    <w:rsid w:val="00B16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280">
      <w:bodyDiv w:val="1"/>
      <w:marLeft w:val="0"/>
      <w:marRight w:val="0"/>
      <w:marTop w:val="0"/>
      <w:marBottom w:val="0"/>
      <w:divBdr>
        <w:top w:val="none" w:sz="0" w:space="0" w:color="auto"/>
        <w:left w:val="none" w:sz="0" w:space="0" w:color="auto"/>
        <w:bottom w:val="none" w:sz="0" w:space="0" w:color="auto"/>
        <w:right w:val="none" w:sz="0" w:space="0" w:color="auto"/>
      </w:divBdr>
    </w:div>
    <w:div w:id="155145874">
      <w:bodyDiv w:val="1"/>
      <w:marLeft w:val="0"/>
      <w:marRight w:val="0"/>
      <w:marTop w:val="0"/>
      <w:marBottom w:val="0"/>
      <w:divBdr>
        <w:top w:val="none" w:sz="0" w:space="0" w:color="auto"/>
        <w:left w:val="none" w:sz="0" w:space="0" w:color="auto"/>
        <w:bottom w:val="none" w:sz="0" w:space="0" w:color="auto"/>
        <w:right w:val="none" w:sz="0" w:space="0" w:color="auto"/>
      </w:divBdr>
    </w:div>
    <w:div w:id="280384578">
      <w:bodyDiv w:val="1"/>
      <w:marLeft w:val="0"/>
      <w:marRight w:val="0"/>
      <w:marTop w:val="0"/>
      <w:marBottom w:val="0"/>
      <w:divBdr>
        <w:top w:val="none" w:sz="0" w:space="0" w:color="auto"/>
        <w:left w:val="none" w:sz="0" w:space="0" w:color="auto"/>
        <w:bottom w:val="none" w:sz="0" w:space="0" w:color="auto"/>
        <w:right w:val="none" w:sz="0" w:space="0" w:color="auto"/>
      </w:divBdr>
    </w:div>
    <w:div w:id="293952184">
      <w:bodyDiv w:val="1"/>
      <w:marLeft w:val="0"/>
      <w:marRight w:val="0"/>
      <w:marTop w:val="0"/>
      <w:marBottom w:val="0"/>
      <w:divBdr>
        <w:top w:val="none" w:sz="0" w:space="0" w:color="auto"/>
        <w:left w:val="none" w:sz="0" w:space="0" w:color="auto"/>
        <w:bottom w:val="none" w:sz="0" w:space="0" w:color="auto"/>
        <w:right w:val="none" w:sz="0" w:space="0" w:color="auto"/>
      </w:divBdr>
    </w:div>
    <w:div w:id="652951349">
      <w:bodyDiv w:val="1"/>
      <w:marLeft w:val="0"/>
      <w:marRight w:val="0"/>
      <w:marTop w:val="0"/>
      <w:marBottom w:val="0"/>
      <w:divBdr>
        <w:top w:val="none" w:sz="0" w:space="0" w:color="auto"/>
        <w:left w:val="none" w:sz="0" w:space="0" w:color="auto"/>
        <w:bottom w:val="none" w:sz="0" w:space="0" w:color="auto"/>
        <w:right w:val="none" w:sz="0" w:space="0" w:color="auto"/>
      </w:divBdr>
    </w:div>
    <w:div w:id="752167951">
      <w:bodyDiv w:val="1"/>
      <w:marLeft w:val="0"/>
      <w:marRight w:val="0"/>
      <w:marTop w:val="0"/>
      <w:marBottom w:val="0"/>
      <w:divBdr>
        <w:top w:val="none" w:sz="0" w:space="0" w:color="auto"/>
        <w:left w:val="none" w:sz="0" w:space="0" w:color="auto"/>
        <w:bottom w:val="none" w:sz="0" w:space="0" w:color="auto"/>
        <w:right w:val="none" w:sz="0" w:space="0" w:color="auto"/>
      </w:divBdr>
    </w:div>
    <w:div w:id="789085888">
      <w:bodyDiv w:val="1"/>
      <w:marLeft w:val="0"/>
      <w:marRight w:val="0"/>
      <w:marTop w:val="0"/>
      <w:marBottom w:val="0"/>
      <w:divBdr>
        <w:top w:val="none" w:sz="0" w:space="0" w:color="auto"/>
        <w:left w:val="none" w:sz="0" w:space="0" w:color="auto"/>
        <w:bottom w:val="none" w:sz="0" w:space="0" w:color="auto"/>
        <w:right w:val="none" w:sz="0" w:space="0" w:color="auto"/>
      </w:divBdr>
    </w:div>
    <w:div w:id="859323258">
      <w:bodyDiv w:val="1"/>
      <w:marLeft w:val="0"/>
      <w:marRight w:val="0"/>
      <w:marTop w:val="0"/>
      <w:marBottom w:val="0"/>
      <w:divBdr>
        <w:top w:val="none" w:sz="0" w:space="0" w:color="auto"/>
        <w:left w:val="none" w:sz="0" w:space="0" w:color="auto"/>
        <w:bottom w:val="none" w:sz="0" w:space="0" w:color="auto"/>
        <w:right w:val="none" w:sz="0" w:space="0" w:color="auto"/>
      </w:divBdr>
    </w:div>
    <w:div w:id="940572781">
      <w:bodyDiv w:val="1"/>
      <w:marLeft w:val="0"/>
      <w:marRight w:val="0"/>
      <w:marTop w:val="0"/>
      <w:marBottom w:val="0"/>
      <w:divBdr>
        <w:top w:val="none" w:sz="0" w:space="0" w:color="auto"/>
        <w:left w:val="none" w:sz="0" w:space="0" w:color="auto"/>
        <w:bottom w:val="none" w:sz="0" w:space="0" w:color="auto"/>
        <w:right w:val="none" w:sz="0" w:space="0" w:color="auto"/>
      </w:divBdr>
    </w:div>
    <w:div w:id="965892466">
      <w:bodyDiv w:val="1"/>
      <w:marLeft w:val="0"/>
      <w:marRight w:val="0"/>
      <w:marTop w:val="0"/>
      <w:marBottom w:val="0"/>
      <w:divBdr>
        <w:top w:val="none" w:sz="0" w:space="0" w:color="auto"/>
        <w:left w:val="none" w:sz="0" w:space="0" w:color="auto"/>
        <w:bottom w:val="none" w:sz="0" w:space="0" w:color="auto"/>
        <w:right w:val="none" w:sz="0" w:space="0" w:color="auto"/>
      </w:divBdr>
    </w:div>
    <w:div w:id="1182276533">
      <w:bodyDiv w:val="1"/>
      <w:marLeft w:val="0"/>
      <w:marRight w:val="0"/>
      <w:marTop w:val="0"/>
      <w:marBottom w:val="0"/>
      <w:divBdr>
        <w:top w:val="none" w:sz="0" w:space="0" w:color="auto"/>
        <w:left w:val="none" w:sz="0" w:space="0" w:color="auto"/>
        <w:bottom w:val="none" w:sz="0" w:space="0" w:color="auto"/>
        <w:right w:val="none" w:sz="0" w:space="0" w:color="auto"/>
      </w:divBdr>
    </w:div>
    <w:div w:id="1316690896">
      <w:bodyDiv w:val="1"/>
      <w:marLeft w:val="0"/>
      <w:marRight w:val="0"/>
      <w:marTop w:val="0"/>
      <w:marBottom w:val="0"/>
      <w:divBdr>
        <w:top w:val="none" w:sz="0" w:space="0" w:color="auto"/>
        <w:left w:val="none" w:sz="0" w:space="0" w:color="auto"/>
        <w:bottom w:val="none" w:sz="0" w:space="0" w:color="auto"/>
        <w:right w:val="none" w:sz="0" w:space="0" w:color="auto"/>
      </w:divBdr>
    </w:div>
    <w:div w:id="1447964898">
      <w:bodyDiv w:val="1"/>
      <w:marLeft w:val="0"/>
      <w:marRight w:val="0"/>
      <w:marTop w:val="0"/>
      <w:marBottom w:val="0"/>
      <w:divBdr>
        <w:top w:val="none" w:sz="0" w:space="0" w:color="auto"/>
        <w:left w:val="none" w:sz="0" w:space="0" w:color="auto"/>
        <w:bottom w:val="none" w:sz="0" w:space="0" w:color="auto"/>
        <w:right w:val="none" w:sz="0" w:space="0" w:color="auto"/>
      </w:divBdr>
    </w:div>
    <w:div w:id="1498955094">
      <w:bodyDiv w:val="1"/>
      <w:marLeft w:val="0"/>
      <w:marRight w:val="0"/>
      <w:marTop w:val="0"/>
      <w:marBottom w:val="0"/>
      <w:divBdr>
        <w:top w:val="none" w:sz="0" w:space="0" w:color="auto"/>
        <w:left w:val="none" w:sz="0" w:space="0" w:color="auto"/>
        <w:bottom w:val="none" w:sz="0" w:space="0" w:color="auto"/>
        <w:right w:val="none" w:sz="0" w:space="0" w:color="auto"/>
      </w:divBdr>
    </w:div>
    <w:div w:id="1517843822">
      <w:bodyDiv w:val="1"/>
      <w:marLeft w:val="0"/>
      <w:marRight w:val="0"/>
      <w:marTop w:val="0"/>
      <w:marBottom w:val="0"/>
      <w:divBdr>
        <w:top w:val="none" w:sz="0" w:space="0" w:color="auto"/>
        <w:left w:val="none" w:sz="0" w:space="0" w:color="auto"/>
        <w:bottom w:val="none" w:sz="0" w:space="0" w:color="auto"/>
        <w:right w:val="none" w:sz="0" w:space="0" w:color="auto"/>
      </w:divBdr>
    </w:div>
    <w:div w:id="1640837268">
      <w:bodyDiv w:val="1"/>
      <w:marLeft w:val="0"/>
      <w:marRight w:val="0"/>
      <w:marTop w:val="0"/>
      <w:marBottom w:val="0"/>
      <w:divBdr>
        <w:top w:val="none" w:sz="0" w:space="0" w:color="auto"/>
        <w:left w:val="none" w:sz="0" w:space="0" w:color="auto"/>
        <w:bottom w:val="none" w:sz="0" w:space="0" w:color="auto"/>
        <w:right w:val="none" w:sz="0" w:space="0" w:color="auto"/>
      </w:divBdr>
    </w:div>
    <w:div w:id="1655916745">
      <w:bodyDiv w:val="1"/>
      <w:marLeft w:val="0"/>
      <w:marRight w:val="0"/>
      <w:marTop w:val="0"/>
      <w:marBottom w:val="0"/>
      <w:divBdr>
        <w:top w:val="none" w:sz="0" w:space="0" w:color="auto"/>
        <w:left w:val="none" w:sz="0" w:space="0" w:color="auto"/>
        <w:bottom w:val="none" w:sz="0" w:space="0" w:color="auto"/>
        <w:right w:val="none" w:sz="0" w:space="0" w:color="auto"/>
      </w:divBdr>
    </w:div>
    <w:div w:id="19221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amaraguajira.org/publicaciones/informes/informe-sector-turismo-de-la-guajira-diciembre-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wto.org/es/news/el-turismo-internacional-consolida-su-fuerte-recuperacion-en-medio-de-crecientes-desafi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ur.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uanl.gomez@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LLEGADA DE VISITANTES</a:t>
            </a:r>
            <a:r>
              <a:rPr lang="en-US" baseline="0"/>
              <a:t> EXTRANJEROS NO RESIDENTES </a:t>
            </a:r>
            <a:r>
              <a:rPr lang="en-US"/>
              <a:t>LA GUAJIRA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Hoja2!$B$3</c:f>
              <c:strCache>
                <c:ptCount val="1"/>
                <c:pt idx="0">
                  <c:v>LA GUAJIRA</c:v>
                </c:pt>
              </c:strCache>
            </c:strRef>
          </c:tx>
          <c:spPr>
            <a:solidFill>
              <a:schemeClr val="accent1"/>
            </a:solidFill>
            <a:ln>
              <a:noFill/>
            </a:ln>
            <a:effectLst/>
          </c:spPr>
          <c:invertIfNegative val="0"/>
          <c:cat>
            <c:numRef>
              <c:f>Hoja2!$C$2:$G$2</c:f>
              <c:numCache>
                <c:formatCode>General</c:formatCode>
                <c:ptCount val="5"/>
                <c:pt idx="0">
                  <c:v>2017</c:v>
                </c:pt>
                <c:pt idx="1">
                  <c:v>2018</c:v>
                </c:pt>
                <c:pt idx="2">
                  <c:v>2019</c:v>
                </c:pt>
                <c:pt idx="3">
                  <c:v>2020</c:v>
                </c:pt>
                <c:pt idx="4">
                  <c:v>2021</c:v>
                </c:pt>
              </c:numCache>
            </c:numRef>
          </c:cat>
          <c:val>
            <c:numRef>
              <c:f>Hoja2!$C$3:$G$3</c:f>
              <c:numCache>
                <c:formatCode>General</c:formatCode>
                <c:ptCount val="5"/>
                <c:pt idx="0">
                  <c:v>2473</c:v>
                </c:pt>
                <c:pt idx="1">
                  <c:v>2248</c:v>
                </c:pt>
                <c:pt idx="2">
                  <c:v>3015</c:v>
                </c:pt>
                <c:pt idx="3">
                  <c:v>1070</c:v>
                </c:pt>
                <c:pt idx="4">
                  <c:v>1558</c:v>
                </c:pt>
              </c:numCache>
            </c:numRef>
          </c:val>
          <c:extLst>
            <c:ext xmlns:c16="http://schemas.microsoft.com/office/drawing/2014/chart" uri="{C3380CC4-5D6E-409C-BE32-E72D297353CC}">
              <c16:uniqueId val="{00000000-F740-4BA4-B3E8-08C1B8A52835}"/>
            </c:ext>
          </c:extLst>
        </c:ser>
        <c:dLbls>
          <c:showLegendKey val="0"/>
          <c:showVal val="0"/>
          <c:showCatName val="0"/>
          <c:showSerName val="0"/>
          <c:showPercent val="0"/>
          <c:showBubbleSize val="0"/>
        </c:dLbls>
        <c:gapWidth val="219"/>
        <c:overlap val="-27"/>
        <c:axId val="432789903"/>
        <c:axId val="432789071"/>
      </c:barChart>
      <c:catAx>
        <c:axId val="4327899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2789071"/>
        <c:crosses val="autoZero"/>
        <c:auto val="1"/>
        <c:lblAlgn val="ctr"/>
        <c:lblOffset val="100"/>
        <c:noMultiLvlLbl val="0"/>
      </c:catAx>
      <c:valAx>
        <c:axId val="432789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vISITANTES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27899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LLEGADA DE VISITANTES EXTRANJEROS NO RESIDENTES </a:t>
            </a:r>
            <a:r>
              <a:rPr lang="en-US"/>
              <a:t>MAGDALENA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Hoja2!$B$7</c:f>
              <c:strCache>
                <c:ptCount val="1"/>
                <c:pt idx="0">
                  <c:v>MAGDALENA</c:v>
                </c:pt>
              </c:strCache>
            </c:strRef>
          </c:tx>
          <c:spPr>
            <a:solidFill>
              <a:schemeClr val="accent1"/>
            </a:solidFill>
            <a:ln>
              <a:noFill/>
            </a:ln>
            <a:effectLst/>
          </c:spPr>
          <c:invertIfNegative val="0"/>
          <c:cat>
            <c:numRef>
              <c:f>Hoja2!$C$6:$G$6</c:f>
              <c:numCache>
                <c:formatCode>General</c:formatCode>
                <c:ptCount val="5"/>
                <c:pt idx="0">
                  <c:v>2017</c:v>
                </c:pt>
                <c:pt idx="1">
                  <c:v>2018</c:v>
                </c:pt>
                <c:pt idx="2">
                  <c:v>2019</c:v>
                </c:pt>
                <c:pt idx="3">
                  <c:v>2020</c:v>
                </c:pt>
                <c:pt idx="4">
                  <c:v>2021</c:v>
                </c:pt>
              </c:numCache>
            </c:numRef>
          </c:cat>
          <c:val>
            <c:numRef>
              <c:f>Hoja2!$C$7:$G$7</c:f>
              <c:numCache>
                <c:formatCode>General</c:formatCode>
                <c:ptCount val="5"/>
                <c:pt idx="0">
                  <c:v>30655</c:v>
                </c:pt>
                <c:pt idx="1">
                  <c:v>30941</c:v>
                </c:pt>
                <c:pt idx="2">
                  <c:v>31618</c:v>
                </c:pt>
                <c:pt idx="3">
                  <c:v>9799</c:v>
                </c:pt>
                <c:pt idx="4">
                  <c:v>10966</c:v>
                </c:pt>
              </c:numCache>
            </c:numRef>
          </c:val>
          <c:extLst>
            <c:ext xmlns:c16="http://schemas.microsoft.com/office/drawing/2014/chart" uri="{C3380CC4-5D6E-409C-BE32-E72D297353CC}">
              <c16:uniqueId val="{00000000-E5DF-4A9A-A7BF-869E48C1FCB6}"/>
            </c:ext>
          </c:extLst>
        </c:ser>
        <c:dLbls>
          <c:showLegendKey val="0"/>
          <c:showVal val="0"/>
          <c:showCatName val="0"/>
          <c:showSerName val="0"/>
          <c:showPercent val="0"/>
          <c:showBubbleSize val="0"/>
        </c:dLbls>
        <c:gapWidth val="219"/>
        <c:overlap val="-27"/>
        <c:axId val="165978847"/>
        <c:axId val="165975519"/>
      </c:barChart>
      <c:catAx>
        <c:axId val="1659788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5975519"/>
        <c:crosses val="autoZero"/>
        <c:auto val="1"/>
        <c:lblAlgn val="ctr"/>
        <c:lblOffset val="100"/>
        <c:noMultiLvlLbl val="0"/>
      </c:catAx>
      <c:valAx>
        <c:axId val="165975519"/>
        <c:scaling>
          <c:orientation val="minMax"/>
          <c:max val="32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vISITANTES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597884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LLEGADA DE VISITANTES EXTRANJEROS NO RESIDENTES </a:t>
            </a:r>
            <a:r>
              <a:rPr lang="en-US"/>
              <a:t>BOLÍVAR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Hoja2!$B$10</c:f>
              <c:strCache>
                <c:ptCount val="1"/>
                <c:pt idx="0">
                  <c:v>BOLÍVAR</c:v>
                </c:pt>
              </c:strCache>
            </c:strRef>
          </c:tx>
          <c:spPr>
            <a:solidFill>
              <a:schemeClr val="accent1"/>
            </a:solidFill>
            <a:ln>
              <a:noFill/>
            </a:ln>
            <a:effectLst/>
          </c:spPr>
          <c:invertIfNegative val="0"/>
          <c:cat>
            <c:numRef>
              <c:f>Hoja2!$C$9:$G$9</c:f>
              <c:numCache>
                <c:formatCode>General</c:formatCode>
                <c:ptCount val="5"/>
                <c:pt idx="0">
                  <c:v>2017</c:v>
                </c:pt>
                <c:pt idx="1">
                  <c:v>2018</c:v>
                </c:pt>
                <c:pt idx="2">
                  <c:v>2019</c:v>
                </c:pt>
                <c:pt idx="3">
                  <c:v>2020</c:v>
                </c:pt>
                <c:pt idx="4">
                  <c:v>2021</c:v>
                </c:pt>
              </c:numCache>
            </c:numRef>
          </c:cat>
          <c:val>
            <c:numRef>
              <c:f>Hoja2!$C$10:$G$10</c:f>
              <c:numCache>
                <c:formatCode>General</c:formatCode>
                <c:ptCount val="5"/>
                <c:pt idx="0">
                  <c:v>420534</c:v>
                </c:pt>
                <c:pt idx="1">
                  <c:v>511900</c:v>
                </c:pt>
                <c:pt idx="2">
                  <c:v>530178</c:v>
                </c:pt>
                <c:pt idx="3">
                  <c:v>154669</c:v>
                </c:pt>
                <c:pt idx="4">
                  <c:v>161284</c:v>
                </c:pt>
              </c:numCache>
            </c:numRef>
          </c:val>
          <c:extLst>
            <c:ext xmlns:c16="http://schemas.microsoft.com/office/drawing/2014/chart" uri="{C3380CC4-5D6E-409C-BE32-E72D297353CC}">
              <c16:uniqueId val="{00000000-31AC-4D2B-BA6E-10DE5A44B274}"/>
            </c:ext>
          </c:extLst>
        </c:ser>
        <c:dLbls>
          <c:showLegendKey val="0"/>
          <c:showVal val="0"/>
          <c:showCatName val="0"/>
          <c:showSerName val="0"/>
          <c:showPercent val="0"/>
          <c:showBubbleSize val="0"/>
        </c:dLbls>
        <c:gapWidth val="219"/>
        <c:overlap val="-27"/>
        <c:axId val="266275263"/>
        <c:axId val="266274431"/>
      </c:barChart>
      <c:catAx>
        <c:axId val="2662752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66274431"/>
        <c:crosses val="autoZero"/>
        <c:auto val="1"/>
        <c:lblAlgn val="ctr"/>
        <c:lblOffset val="100"/>
        <c:noMultiLvlLbl val="0"/>
      </c:catAx>
      <c:valAx>
        <c:axId val="2662744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VISITANTES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6627526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E728-C2C1-4E3C-9618-1CB5EE71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2724</Words>
  <Characters>14984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Betancourt Hernandez</dc:creator>
  <cp:keywords/>
  <dc:description/>
  <cp:lastModifiedBy>Letty Eloísa Perez Ucros</cp:lastModifiedBy>
  <cp:revision>2</cp:revision>
  <cp:lastPrinted>2022-09-12T22:19:00Z</cp:lastPrinted>
  <dcterms:created xsi:type="dcterms:W3CDTF">2022-10-05T16:02:00Z</dcterms:created>
  <dcterms:modified xsi:type="dcterms:W3CDTF">2022-10-05T16:02:00Z</dcterms:modified>
</cp:coreProperties>
</file>