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A947" w14:textId="4394C1E8" w:rsidR="00561D0F" w:rsidRPr="00ED1AE6" w:rsidRDefault="00B936F6" w:rsidP="00561D0F">
      <w:pPr>
        <w:spacing w:after="0" w:line="240" w:lineRule="auto"/>
        <w:jc w:val="both"/>
        <w:rPr>
          <w:rFonts w:eastAsia="Calibri" w:cstheme="minorHAnsi"/>
          <w:sz w:val="24"/>
          <w:szCs w:val="24"/>
          <w:lang w:val="es-ES_tradnl" w:eastAsia="es-CO"/>
        </w:rPr>
      </w:pPr>
      <w:bookmarkStart w:id="0" w:name="_GoBack"/>
      <w:bookmarkEnd w:id="0"/>
      <w:r>
        <w:rPr>
          <w:rFonts w:eastAsia="Calibri" w:cstheme="minorHAnsi"/>
          <w:sz w:val="24"/>
          <w:szCs w:val="24"/>
          <w:lang w:val="es-ES_tradnl" w:eastAsia="es-CO"/>
        </w:rPr>
        <w:t>Bogotá, 2</w:t>
      </w:r>
      <w:r w:rsidR="00561D0F" w:rsidRPr="00ED1AE6">
        <w:rPr>
          <w:rFonts w:eastAsia="Calibri" w:cstheme="minorHAnsi"/>
          <w:sz w:val="24"/>
          <w:szCs w:val="24"/>
          <w:lang w:val="es-ES_tradnl" w:eastAsia="es-CO"/>
        </w:rPr>
        <w:t xml:space="preserve"> de </w:t>
      </w:r>
      <w:proofErr w:type="gramStart"/>
      <w:r w:rsidR="00567AEF">
        <w:rPr>
          <w:rFonts w:eastAsia="Calibri" w:cstheme="minorHAnsi"/>
          <w:sz w:val="24"/>
          <w:szCs w:val="24"/>
          <w:lang w:val="es-ES_tradnl" w:eastAsia="es-CO"/>
        </w:rPr>
        <w:t>Agosto</w:t>
      </w:r>
      <w:proofErr w:type="gramEnd"/>
      <w:r w:rsidR="00561D0F" w:rsidRPr="00ED1AE6">
        <w:rPr>
          <w:rFonts w:eastAsia="Calibri" w:cstheme="minorHAnsi"/>
          <w:sz w:val="24"/>
          <w:szCs w:val="24"/>
          <w:lang w:val="es-ES_tradnl" w:eastAsia="es-CO"/>
        </w:rPr>
        <w:t xml:space="preserve"> de 2022</w:t>
      </w:r>
    </w:p>
    <w:p w14:paraId="7264DA50"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221820E1"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12B22E49" w14:textId="77777777" w:rsidR="00561D0F" w:rsidRPr="00ED1AE6" w:rsidRDefault="00561D0F" w:rsidP="00561D0F">
      <w:pPr>
        <w:spacing w:after="0" w:line="240" w:lineRule="auto"/>
        <w:jc w:val="both"/>
        <w:rPr>
          <w:rFonts w:eastAsia="Calibri" w:cstheme="minorHAnsi"/>
          <w:sz w:val="24"/>
          <w:szCs w:val="24"/>
          <w:lang w:val="es-ES_tradnl" w:eastAsia="es-CO"/>
        </w:rPr>
      </w:pPr>
      <w:r w:rsidRPr="00ED1AE6">
        <w:rPr>
          <w:rFonts w:eastAsia="Calibri" w:cstheme="minorHAnsi"/>
          <w:sz w:val="24"/>
          <w:szCs w:val="24"/>
          <w:lang w:val="es-ES_tradnl" w:eastAsia="es-CO"/>
        </w:rPr>
        <w:t>Doctor</w:t>
      </w:r>
    </w:p>
    <w:p w14:paraId="58A65220" w14:textId="6085EB10" w:rsidR="00561D0F" w:rsidRPr="00ED1AE6" w:rsidRDefault="000A3F7E" w:rsidP="00561D0F">
      <w:pPr>
        <w:spacing w:after="0" w:line="240" w:lineRule="auto"/>
        <w:jc w:val="both"/>
        <w:rPr>
          <w:rFonts w:eastAsia="Calibri" w:cstheme="minorHAnsi"/>
          <w:b/>
          <w:sz w:val="24"/>
          <w:szCs w:val="24"/>
          <w:lang w:val="es-ES_tradnl" w:eastAsia="es-CO"/>
        </w:rPr>
      </w:pPr>
      <w:r>
        <w:rPr>
          <w:rFonts w:eastAsia="Calibri" w:cstheme="minorHAnsi"/>
          <w:b/>
          <w:sz w:val="24"/>
          <w:szCs w:val="24"/>
          <w:lang w:val="es-ES_tradnl" w:eastAsia="es-CO"/>
        </w:rPr>
        <w:t>JAIME LUIS LACOUTURE</w:t>
      </w:r>
    </w:p>
    <w:p w14:paraId="7FA98AE2" w14:textId="77777777" w:rsidR="00561D0F" w:rsidRPr="00ED1AE6" w:rsidRDefault="00561D0F" w:rsidP="00561D0F">
      <w:pPr>
        <w:spacing w:after="0" w:line="240" w:lineRule="auto"/>
        <w:jc w:val="both"/>
        <w:rPr>
          <w:rFonts w:eastAsia="Calibri" w:cstheme="minorHAnsi"/>
          <w:sz w:val="24"/>
          <w:szCs w:val="24"/>
          <w:lang w:val="es-ES_tradnl" w:eastAsia="es-CO"/>
        </w:rPr>
      </w:pPr>
      <w:r w:rsidRPr="00ED1AE6">
        <w:rPr>
          <w:rFonts w:eastAsia="Calibri" w:cstheme="minorHAnsi"/>
          <w:sz w:val="24"/>
          <w:szCs w:val="24"/>
          <w:lang w:val="es-ES_tradnl" w:eastAsia="es-CO"/>
        </w:rPr>
        <w:t>Secretario General</w:t>
      </w:r>
    </w:p>
    <w:p w14:paraId="26420A92" w14:textId="77777777" w:rsidR="00561D0F" w:rsidRPr="00ED1AE6" w:rsidRDefault="00561D0F" w:rsidP="00561D0F">
      <w:pPr>
        <w:spacing w:after="0" w:line="240" w:lineRule="auto"/>
        <w:jc w:val="both"/>
        <w:rPr>
          <w:rFonts w:eastAsia="Calibri" w:cstheme="minorHAnsi"/>
          <w:sz w:val="24"/>
          <w:szCs w:val="24"/>
          <w:lang w:val="es-ES_tradnl" w:eastAsia="es-CO"/>
        </w:rPr>
      </w:pPr>
      <w:r w:rsidRPr="00ED1AE6">
        <w:rPr>
          <w:rFonts w:eastAsia="Calibri" w:cstheme="minorHAnsi"/>
          <w:sz w:val="24"/>
          <w:szCs w:val="24"/>
          <w:lang w:val="es-ES_tradnl" w:eastAsia="es-CO"/>
        </w:rPr>
        <w:t>Cámara de Representantes</w:t>
      </w:r>
    </w:p>
    <w:p w14:paraId="4E9C504A" w14:textId="77777777" w:rsidR="00561D0F" w:rsidRPr="00ED1AE6" w:rsidRDefault="00561D0F" w:rsidP="00561D0F">
      <w:pPr>
        <w:spacing w:after="0" w:line="240" w:lineRule="auto"/>
        <w:jc w:val="both"/>
        <w:rPr>
          <w:rFonts w:eastAsia="Calibri" w:cstheme="minorHAnsi"/>
          <w:sz w:val="24"/>
          <w:szCs w:val="24"/>
          <w:lang w:val="es-ES_tradnl" w:eastAsia="es-CO"/>
        </w:rPr>
      </w:pPr>
      <w:r w:rsidRPr="00ED1AE6">
        <w:rPr>
          <w:rFonts w:eastAsia="Calibri" w:cstheme="minorHAnsi"/>
          <w:sz w:val="24"/>
          <w:szCs w:val="24"/>
          <w:lang w:val="es-ES_tradnl" w:eastAsia="es-CO"/>
        </w:rPr>
        <w:t xml:space="preserve">Ciudad </w:t>
      </w:r>
    </w:p>
    <w:p w14:paraId="5DC10B23"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51D518E7"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772931ED" w14:textId="09AF4B19" w:rsidR="00561D0F" w:rsidRPr="00ED1AE6" w:rsidRDefault="00561D0F" w:rsidP="00561D0F">
      <w:pPr>
        <w:spacing w:after="0" w:line="240" w:lineRule="auto"/>
        <w:ind w:left="1410" w:hanging="1410"/>
        <w:jc w:val="both"/>
        <w:rPr>
          <w:rFonts w:eastAsia="Calibri" w:cstheme="minorHAnsi"/>
          <w:b/>
          <w:i/>
          <w:sz w:val="24"/>
          <w:szCs w:val="24"/>
          <w:lang w:val="es-ES_tradnl" w:eastAsia="es-CO"/>
        </w:rPr>
      </w:pPr>
      <w:r w:rsidRPr="00ED1AE6">
        <w:rPr>
          <w:rFonts w:eastAsia="Calibri" w:cstheme="minorHAnsi"/>
          <w:b/>
          <w:sz w:val="24"/>
          <w:szCs w:val="24"/>
          <w:lang w:val="es-ES_tradnl" w:eastAsia="es-CO"/>
        </w:rPr>
        <w:t xml:space="preserve">Asunto: </w:t>
      </w:r>
      <w:r w:rsidRPr="00ED1AE6">
        <w:rPr>
          <w:rFonts w:eastAsia="Calibri" w:cstheme="minorHAnsi"/>
          <w:b/>
          <w:sz w:val="24"/>
          <w:szCs w:val="24"/>
          <w:lang w:val="es-ES_tradnl" w:eastAsia="es-CO"/>
        </w:rPr>
        <w:tab/>
      </w:r>
      <w:r w:rsidR="00EC069E" w:rsidRPr="00ED1AE6">
        <w:rPr>
          <w:rFonts w:eastAsia="Calibri" w:cstheme="minorHAnsi"/>
          <w:b/>
          <w:sz w:val="24"/>
          <w:szCs w:val="24"/>
          <w:lang w:val="es-ES_tradnl" w:eastAsia="es-CO"/>
        </w:rPr>
        <w:t>Radicación de</w:t>
      </w:r>
      <w:r w:rsidR="00ED1AE6">
        <w:rPr>
          <w:rFonts w:eastAsia="Calibri" w:cstheme="minorHAnsi"/>
          <w:b/>
          <w:sz w:val="24"/>
          <w:szCs w:val="24"/>
          <w:lang w:val="es-ES_tradnl" w:eastAsia="es-CO"/>
        </w:rPr>
        <w:t>l</w:t>
      </w:r>
      <w:r w:rsidR="00EC069E" w:rsidRPr="00ED1AE6">
        <w:rPr>
          <w:rFonts w:eastAsia="Calibri" w:cstheme="minorHAnsi"/>
          <w:b/>
          <w:sz w:val="24"/>
          <w:szCs w:val="24"/>
          <w:lang w:val="es-ES_tradnl" w:eastAsia="es-CO"/>
        </w:rPr>
        <w:t xml:space="preserve"> proyecto de ley </w:t>
      </w:r>
      <w:r w:rsidRPr="00ED1AE6">
        <w:rPr>
          <w:rFonts w:eastAsia="Calibri" w:cstheme="minorHAnsi"/>
          <w:b/>
          <w:sz w:val="24"/>
          <w:szCs w:val="24"/>
          <w:lang w:val="es-ES_tradnl" w:eastAsia="es-CO"/>
        </w:rPr>
        <w:t>No. __ de 2022 Cámara, “</w:t>
      </w:r>
      <w:r w:rsidRPr="00ED1AE6">
        <w:rPr>
          <w:rFonts w:eastAsia="Calibri" w:cstheme="minorHAnsi"/>
          <w:b/>
          <w:bCs/>
          <w:iCs/>
          <w:sz w:val="24"/>
          <w:szCs w:val="24"/>
        </w:rPr>
        <w:t>POR EL</w:t>
      </w:r>
      <w:r w:rsidR="00920FB0" w:rsidRPr="00ED1AE6">
        <w:rPr>
          <w:rFonts w:eastAsia="Calibri" w:cstheme="minorHAnsi"/>
          <w:b/>
          <w:bCs/>
          <w:iCs/>
          <w:sz w:val="24"/>
          <w:szCs w:val="24"/>
        </w:rPr>
        <w:t xml:space="preserve"> CUAL EL PROGRAMA DE ALIMENTACIÓN ESCOLAR – PAE, SE CONVIERTE EN POLITICA PUBLICA DE ESTADO</w:t>
      </w:r>
      <w:r w:rsidRPr="00ED1AE6">
        <w:rPr>
          <w:rFonts w:eastAsia="Calibri" w:cstheme="minorHAnsi"/>
          <w:b/>
          <w:sz w:val="24"/>
          <w:szCs w:val="24"/>
          <w:lang w:val="es-ES_tradnl"/>
        </w:rPr>
        <w:t>”</w:t>
      </w:r>
    </w:p>
    <w:p w14:paraId="026D5367"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37254519"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2BD8B025" w14:textId="78A09934" w:rsidR="00561D0F" w:rsidRPr="00ED1AE6" w:rsidRDefault="00561D0F" w:rsidP="00561D0F">
      <w:pPr>
        <w:spacing w:after="0" w:line="240" w:lineRule="auto"/>
        <w:jc w:val="both"/>
        <w:rPr>
          <w:rFonts w:eastAsia="Calibri" w:cstheme="minorHAnsi"/>
          <w:sz w:val="24"/>
          <w:szCs w:val="24"/>
          <w:lang w:val="es-ES_tradnl" w:eastAsia="es-CO"/>
        </w:rPr>
      </w:pPr>
      <w:r w:rsidRPr="00ED1AE6">
        <w:rPr>
          <w:rFonts w:eastAsia="Calibri" w:cstheme="minorHAnsi"/>
          <w:sz w:val="24"/>
          <w:szCs w:val="24"/>
          <w:lang w:val="es-ES_tradnl" w:eastAsia="es-CO"/>
        </w:rPr>
        <w:t xml:space="preserve">Respetado Doctor </w:t>
      </w:r>
      <w:r w:rsidR="006031ED">
        <w:rPr>
          <w:rFonts w:eastAsia="Calibri" w:cstheme="minorHAnsi"/>
          <w:sz w:val="24"/>
          <w:szCs w:val="24"/>
          <w:lang w:val="es-ES_tradnl" w:eastAsia="es-CO"/>
        </w:rPr>
        <w:t>Lacouture</w:t>
      </w:r>
      <w:r w:rsidRPr="00ED1AE6">
        <w:rPr>
          <w:rFonts w:eastAsia="Calibri" w:cstheme="minorHAnsi"/>
          <w:sz w:val="24"/>
          <w:szCs w:val="24"/>
          <w:lang w:val="es-ES_tradnl" w:eastAsia="es-CO"/>
        </w:rPr>
        <w:t>:</w:t>
      </w:r>
    </w:p>
    <w:p w14:paraId="32EA40AD"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5FC00064"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087446EC" w14:textId="4C501E46" w:rsidR="00920FB0" w:rsidRPr="00ED1AE6" w:rsidRDefault="00561D0F" w:rsidP="00920FB0">
      <w:pPr>
        <w:spacing w:after="0" w:line="240" w:lineRule="auto"/>
        <w:jc w:val="both"/>
        <w:rPr>
          <w:rFonts w:eastAsia="Calibri" w:cstheme="minorHAnsi"/>
          <w:i/>
          <w:sz w:val="24"/>
          <w:szCs w:val="24"/>
          <w:lang w:val="es-ES_tradnl" w:eastAsia="es-CO"/>
        </w:rPr>
      </w:pPr>
      <w:r w:rsidRPr="00ED1AE6">
        <w:rPr>
          <w:rFonts w:eastAsia="Calibri" w:cstheme="minorHAnsi"/>
          <w:sz w:val="24"/>
          <w:szCs w:val="24"/>
          <w:lang w:val="es-ES_tradnl" w:eastAsia="es-CO"/>
        </w:rPr>
        <w:t xml:space="preserve">En cumplimiento de mi deber constitucional y legal, y particular actuando en consecuencia con lo establecido en la Ley 5 de 1992 (reglamento del Congreso de la República), en mi calidad de Congresista de la República, radicó ante su despacho el proyecto de ley No. __ de 2022 Cámara, </w:t>
      </w:r>
      <w:r w:rsidR="00920FB0" w:rsidRPr="00ED1AE6">
        <w:rPr>
          <w:rFonts w:eastAsia="Calibri" w:cstheme="minorHAnsi"/>
          <w:i/>
          <w:sz w:val="24"/>
          <w:szCs w:val="24"/>
          <w:lang w:val="es-ES_tradnl" w:eastAsia="es-CO"/>
        </w:rPr>
        <w:t>“</w:t>
      </w:r>
      <w:r w:rsidR="00920FB0" w:rsidRPr="00ED1AE6">
        <w:rPr>
          <w:rFonts w:eastAsia="Calibri" w:cstheme="minorHAnsi"/>
          <w:bCs/>
          <w:i/>
          <w:iCs/>
          <w:sz w:val="24"/>
          <w:szCs w:val="24"/>
          <w:lang w:eastAsia="es-CO"/>
        </w:rPr>
        <w:t xml:space="preserve">Por el cual el programa de alimentación escolar – PAE, se convierte en política </w:t>
      </w:r>
      <w:proofErr w:type="spellStart"/>
      <w:r w:rsidR="00920FB0" w:rsidRPr="00ED1AE6">
        <w:rPr>
          <w:rFonts w:eastAsia="Calibri" w:cstheme="minorHAnsi"/>
          <w:bCs/>
          <w:i/>
          <w:iCs/>
          <w:sz w:val="24"/>
          <w:szCs w:val="24"/>
          <w:lang w:eastAsia="es-CO"/>
        </w:rPr>
        <w:t>publica</w:t>
      </w:r>
      <w:proofErr w:type="spellEnd"/>
      <w:r w:rsidR="00920FB0" w:rsidRPr="00ED1AE6">
        <w:rPr>
          <w:rFonts w:eastAsia="Calibri" w:cstheme="minorHAnsi"/>
          <w:bCs/>
          <w:i/>
          <w:iCs/>
          <w:sz w:val="24"/>
          <w:szCs w:val="24"/>
          <w:lang w:eastAsia="es-CO"/>
        </w:rPr>
        <w:t xml:space="preserve"> de estado</w:t>
      </w:r>
      <w:r w:rsidR="00920FB0" w:rsidRPr="00ED1AE6">
        <w:rPr>
          <w:rFonts w:eastAsia="Calibri" w:cstheme="minorHAnsi"/>
          <w:i/>
          <w:sz w:val="24"/>
          <w:szCs w:val="24"/>
          <w:lang w:val="es-ES_tradnl" w:eastAsia="es-CO"/>
        </w:rPr>
        <w:t>”</w:t>
      </w:r>
    </w:p>
    <w:p w14:paraId="63DBEA79" w14:textId="2EA80A5B" w:rsidR="00561D0F" w:rsidRPr="00ED1AE6" w:rsidRDefault="00561D0F" w:rsidP="00561D0F">
      <w:pPr>
        <w:spacing w:after="0" w:line="240" w:lineRule="auto"/>
        <w:jc w:val="both"/>
        <w:rPr>
          <w:rFonts w:eastAsia="Calibri" w:cstheme="minorHAnsi"/>
          <w:i/>
          <w:sz w:val="24"/>
          <w:szCs w:val="24"/>
          <w:lang w:val="es-ES_tradnl" w:eastAsia="es-CO"/>
        </w:rPr>
      </w:pPr>
    </w:p>
    <w:p w14:paraId="06BEFE40" w14:textId="77777777" w:rsidR="00561D0F" w:rsidRPr="00ED1AE6" w:rsidRDefault="00561D0F" w:rsidP="00561D0F">
      <w:pPr>
        <w:spacing w:after="0" w:line="240" w:lineRule="auto"/>
        <w:jc w:val="both"/>
        <w:rPr>
          <w:rFonts w:eastAsia="Calibri" w:cstheme="minorHAnsi"/>
          <w:i/>
          <w:sz w:val="24"/>
          <w:szCs w:val="24"/>
          <w:lang w:val="es-ES_tradnl" w:eastAsia="es-CO"/>
        </w:rPr>
      </w:pPr>
    </w:p>
    <w:p w14:paraId="682C8C01" w14:textId="77777777" w:rsidR="00561D0F" w:rsidRPr="00ED1AE6" w:rsidRDefault="00561D0F" w:rsidP="00561D0F">
      <w:pPr>
        <w:spacing w:after="0" w:line="240" w:lineRule="auto"/>
        <w:jc w:val="both"/>
        <w:rPr>
          <w:rFonts w:eastAsia="Calibri" w:cstheme="minorHAnsi"/>
          <w:i/>
          <w:sz w:val="24"/>
          <w:szCs w:val="24"/>
          <w:lang w:val="es-ES_tradnl" w:eastAsia="es-CO"/>
        </w:rPr>
      </w:pPr>
    </w:p>
    <w:p w14:paraId="1003E965" w14:textId="77777777" w:rsidR="00561D0F" w:rsidRPr="00ED1AE6" w:rsidRDefault="00561D0F" w:rsidP="00561D0F">
      <w:pPr>
        <w:spacing w:after="0" w:line="240" w:lineRule="auto"/>
        <w:jc w:val="both"/>
        <w:rPr>
          <w:rFonts w:eastAsia="Calibri" w:cstheme="minorHAnsi"/>
          <w:sz w:val="24"/>
          <w:szCs w:val="24"/>
          <w:lang w:val="es-ES_tradnl" w:eastAsia="es-CO"/>
        </w:rPr>
      </w:pPr>
    </w:p>
    <w:p w14:paraId="011D71CE" w14:textId="77777777" w:rsidR="00561D0F" w:rsidRPr="00ED1AE6" w:rsidRDefault="00561D0F" w:rsidP="00561D0F">
      <w:pPr>
        <w:spacing w:after="0" w:line="240" w:lineRule="auto"/>
        <w:jc w:val="both"/>
        <w:rPr>
          <w:rFonts w:eastAsia="Calibri" w:cstheme="minorHAnsi"/>
          <w:sz w:val="24"/>
          <w:szCs w:val="24"/>
          <w:lang w:val="es-ES_tradnl" w:eastAsia="es-CO"/>
        </w:rPr>
      </w:pPr>
      <w:r w:rsidRPr="00ED1AE6">
        <w:rPr>
          <w:rFonts w:eastAsia="Calibri" w:cstheme="minorHAnsi"/>
          <w:sz w:val="24"/>
          <w:szCs w:val="24"/>
          <w:lang w:val="es-ES_tradnl" w:eastAsia="es-CO"/>
        </w:rPr>
        <w:t>Cordialmente,</w:t>
      </w:r>
    </w:p>
    <w:p w14:paraId="61A3A275" w14:textId="77777777" w:rsidR="00561D0F" w:rsidRPr="00ED1AE6" w:rsidRDefault="00561D0F" w:rsidP="00561D0F">
      <w:pPr>
        <w:spacing w:after="160" w:line="256" w:lineRule="auto"/>
        <w:rPr>
          <w:rFonts w:eastAsia="Calibri" w:cstheme="minorHAnsi"/>
          <w:b/>
          <w:bCs/>
          <w:sz w:val="24"/>
          <w:szCs w:val="24"/>
        </w:rPr>
      </w:pPr>
    </w:p>
    <w:p w14:paraId="5D9C4C4D" w14:textId="77777777" w:rsidR="00561D0F" w:rsidRPr="00ED1AE6" w:rsidRDefault="00561D0F" w:rsidP="00561D0F">
      <w:pPr>
        <w:spacing w:after="160" w:line="256" w:lineRule="auto"/>
        <w:rPr>
          <w:rFonts w:eastAsia="Calibri" w:cstheme="minorHAnsi"/>
          <w:bCs/>
          <w:sz w:val="24"/>
          <w:szCs w:val="24"/>
        </w:rPr>
      </w:pPr>
    </w:p>
    <w:p w14:paraId="50281D8F" w14:textId="3D107C98" w:rsidR="00561D0F" w:rsidRPr="00ED1AE6" w:rsidRDefault="00561D0F" w:rsidP="00561D0F">
      <w:pPr>
        <w:spacing w:after="160" w:line="256" w:lineRule="auto"/>
        <w:rPr>
          <w:rFonts w:eastAsia="Calibri" w:cstheme="minorHAnsi"/>
          <w:sz w:val="24"/>
          <w:szCs w:val="24"/>
        </w:rPr>
      </w:pPr>
      <w:r w:rsidRPr="00ED1AE6">
        <w:rPr>
          <w:rFonts w:eastAsia="Calibri" w:cstheme="minorHAnsi"/>
          <w:bCs/>
          <w:sz w:val="24"/>
          <w:szCs w:val="24"/>
        </w:rPr>
        <w:t>________________________</w:t>
      </w:r>
      <w:r w:rsidRPr="00ED1AE6">
        <w:rPr>
          <w:rFonts w:eastAsia="Calibri" w:cstheme="minorHAnsi"/>
          <w:b/>
          <w:bCs/>
          <w:sz w:val="24"/>
          <w:szCs w:val="24"/>
        </w:rPr>
        <w:t xml:space="preserve">    </w:t>
      </w:r>
      <w:r w:rsidRPr="00ED1AE6">
        <w:rPr>
          <w:rFonts w:eastAsia="Calibri" w:cstheme="minorHAnsi"/>
          <w:b/>
          <w:bCs/>
          <w:sz w:val="24"/>
          <w:szCs w:val="24"/>
        </w:rPr>
        <w:tab/>
      </w:r>
      <w:r w:rsidRPr="00ED1AE6">
        <w:rPr>
          <w:rFonts w:eastAsia="Calibri" w:cstheme="minorHAnsi"/>
          <w:b/>
          <w:bCs/>
          <w:sz w:val="24"/>
          <w:szCs w:val="24"/>
        </w:rPr>
        <w:tab/>
      </w:r>
      <w:r w:rsidRPr="00ED1AE6">
        <w:rPr>
          <w:rFonts w:eastAsia="Calibri" w:cstheme="minorHAnsi"/>
          <w:b/>
          <w:bCs/>
          <w:sz w:val="24"/>
          <w:szCs w:val="24"/>
        </w:rPr>
        <w:tab/>
      </w:r>
    </w:p>
    <w:p w14:paraId="2E02CCE5" w14:textId="09A68A93" w:rsidR="00561D0F" w:rsidRPr="00ED1AE6" w:rsidRDefault="00EC069E" w:rsidP="00F02C19">
      <w:pPr>
        <w:spacing w:after="0" w:line="240" w:lineRule="auto"/>
        <w:rPr>
          <w:rFonts w:eastAsia="Calibri" w:cstheme="minorHAnsi"/>
          <w:b/>
          <w:sz w:val="24"/>
          <w:szCs w:val="24"/>
        </w:rPr>
      </w:pPr>
      <w:r w:rsidRPr="00ED1AE6">
        <w:rPr>
          <w:rFonts w:eastAsia="Calibri" w:cstheme="minorHAnsi"/>
          <w:b/>
          <w:sz w:val="24"/>
          <w:szCs w:val="24"/>
        </w:rPr>
        <w:t>JUAN LORETO GOMEZ</w:t>
      </w:r>
      <w:r w:rsidR="000A3F7E">
        <w:rPr>
          <w:rFonts w:eastAsia="Calibri" w:cstheme="minorHAnsi"/>
          <w:b/>
          <w:sz w:val="24"/>
          <w:szCs w:val="24"/>
        </w:rPr>
        <w:t xml:space="preserve"> SOTO</w:t>
      </w:r>
    </w:p>
    <w:p w14:paraId="1D181421" w14:textId="02636E98" w:rsidR="00F02C19" w:rsidRPr="00ED1AE6" w:rsidRDefault="00F02C19" w:rsidP="00F02C19">
      <w:pPr>
        <w:spacing w:after="0" w:line="240" w:lineRule="auto"/>
        <w:rPr>
          <w:rFonts w:eastAsia="Calibri" w:cstheme="minorHAnsi"/>
          <w:b/>
          <w:sz w:val="24"/>
          <w:szCs w:val="24"/>
        </w:rPr>
      </w:pPr>
      <w:r w:rsidRPr="00ED1AE6">
        <w:rPr>
          <w:rFonts w:eastAsia="Calibri" w:cstheme="minorHAnsi"/>
          <w:b/>
          <w:sz w:val="24"/>
          <w:szCs w:val="24"/>
        </w:rPr>
        <w:t>Partido Conservador</w:t>
      </w:r>
    </w:p>
    <w:p w14:paraId="3C7B2DC8"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
          <w:bCs/>
          <w:sz w:val="24"/>
          <w:szCs w:val="24"/>
        </w:rPr>
        <w:t xml:space="preserve">                                  </w:t>
      </w:r>
    </w:p>
    <w:p w14:paraId="5C981B29" w14:textId="3E8F4C6F" w:rsidR="00561D0F" w:rsidRPr="00ED1AE6" w:rsidRDefault="00561D0F" w:rsidP="00561D0F">
      <w:pPr>
        <w:spacing w:after="160" w:line="256" w:lineRule="auto"/>
        <w:rPr>
          <w:rFonts w:eastAsia="Calibri" w:cstheme="minorHAnsi"/>
          <w:b/>
          <w:bCs/>
          <w:sz w:val="24"/>
          <w:szCs w:val="24"/>
        </w:rPr>
      </w:pPr>
      <w:r w:rsidRPr="00ED1AE6">
        <w:rPr>
          <w:rFonts w:eastAsia="Calibri" w:cstheme="minorHAnsi"/>
          <w:b/>
          <w:bCs/>
          <w:sz w:val="24"/>
          <w:szCs w:val="24"/>
        </w:rPr>
        <w:t xml:space="preserve"> </w:t>
      </w:r>
    </w:p>
    <w:p w14:paraId="24DC592E" w14:textId="77777777" w:rsidR="00ED1AE6" w:rsidRPr="00ED1AE6" w:rsidRDefault="00ED1AE6" w:rsidP="00EC069E">
      <w:pPr>
        <w:spacing w:after="160" w:line="256" w:lineRule="auto"/>
        <w:jc w:val="both"/>
        <w:rPr>
          <w:rFonts w:eastAsia="Calibri" w:cstheme="minorHAnsi"/>
          <w:b/>
          <w:sz w:val="24"/>
          <w:szCs w:val="24"/>
          <w:lang w:val="es-ES_tradnl" w:eastAsia="es-CO"/>
        </w:rPr>
      </w:pPr>
    </w:p>
    <w:p w14:paraId="5F7EDBD9" w14:textId="77777777" w:rsidR="00ED1AE6" w:rsidRPr="00ED1AE6" w:rsidRDefault="00ED1AE6" w:rsidP="00EC069E">
      <w:pPr>
        <w:spacing w:after="160" w:line="256" w:lineRule="auto"/>
        <w:jc w:val="both"/>
        <w:rPr>
          <w:rFonts w:eastAsia="Calibri" w:cstheme="minorHAnsi"/>
          <w:b/>
          <w:sz w:val="24"/>
          <w:szCs w:val="24"/>
          <w:lang w:val="es-ES_tradnl" w:eastAsia="es-CO"/>
        </w:rPr>
      </w:pPr>
    </w:p>
    <w:p w14:paraId="5256D500" w14:textId="4717E9C9" w:rsidR="00561D0F" w:rsidRPr="00ED1AE6" w:rsidRDefault="00EC069E" w:rsidP="00ED1AE6">
      <w:pPr>
        <w:spacing w:after="160" w:line="256" w:lineRule="auto"/>
        <w:jc w:val="center"/>
        <w:rPr>
          <w:rFonts w:eastAsia="Calibri" w:cstheme="minorHAnsi"/>
          <w:b/>
          <w:bCs/>
          <w:i/>
          <w:iCs/>
          <w:sz w:val="24"/>
          <w:szCs w:val="24"/>
          <w:lang w:val="es-ES_tradnl"/>
        </w:rPr>
      </w:pPr>
      <w:r w:rsidRPr="00ED1AE6">
        <w:rPr>
          <w:rFonts w:eastAsia="Calibri" w:cstheme="minorHAnsi"/>
          <w:b/>
          <w:sz w:val="24"/>
          <w:szCs w:val="24"/>
          <w:lang w:val="es-ES_tradnl" w:eastAsia="es-CO"/>
        </w:rPr>
        <w:lastRenderedPageBreak/>
        <w:t>Radicación de</w:t>
      </w:r>
      <w:r w:rsidR="00ED1AE6">
        <w:rPr>
          <w:rFonts w:eastAsia="Calibri" w:cstheme="minorHAnsi"/>
          <w:b/>
          <w:sz w:val="24"/>
          <w:szCs w:val="24"/>
          <w:lang w:val="es-ES_tradnl" w:eastAsia="es-CO"/>
        </w:rPr>
        <w:t>l</w:t>
      </w:r>
      <w:r w:rsidRPr="00ED1AE6">
        <w:rPr>
          <w:rFonts w:eastAsia="Calibri" w:cstheme="minorHAnsi"/>
          <w:b/>
          <w:sz w:val="24"/>
          <w:szCs w:val="24"/>
          <w:lang w:val="es-ES_tradnl" w:eastAsia="es-CO"/>
        </w:rPr>
        <w:t xml:space="preserve"> proyecto de ley No. __ de 2022 </w:t>
      </w:r>
      <w:r w:rsidR="00ED1AE6" w:rsidRPr="00ED1AE6">
        <w:rPr>
          <w:rFonts w:eastAsia="Calibri" w:cstheme="minorHAnsi"/>
          <w:b/>
          <w:sz w:val="24"/>
          <w:szCs w:val="24"/>
          <w:lang w:val="es-ES_tradnl" w:eastAsia="es-CO"/>
        </w:rPr>
        <w:t>Cámara, “</w:t>
      </w:r>
      <w:r w:rsidR="00ED1AE6" w:rsidRPr="00ED1AE6">
        <w:rPr>
          <w:rFonts w:eastAsia="Calibri" w:cstheme="minorHAnsi"/>
          <w:b/>
          <w:bCs/>
          <w:iCs/>
          <w:sz w:val="24"/>
          <w:szCs w:val="24"/>
        </w:rPr>
        <w:t>POR EL CUAL EL PROGRAMA DE ALIMENTACION ESCOLAR – PAE, SE CONVIERTE EN POLITICA PUBLICA DE ESTADO</w:t>
      </w:r>
      <w:r w:rsidR="00ED1AE6" w:rsidRPr="00ED1AE6">
        <w:rPr>
          <w:rFonts w:eastAsia="Calibri" w:cstheme="minorHAnsi"/>
          <w:b/>
          <w:bCs/>
          <w:iCs/>
          <w:sz w:val="24"/>
          <w:szCs w:val="24"/>
          <w:lang w:val="es-ES_tradnl"/>
        </w:rPr>
        <w:t>”</w:t>
      </w:r>
      <w:r w:rsidR="00ED1AE6" w:rsidRPr="00ED1AE6">
        <w:rPr>
          <w:rFonts w:eastAsia="Calibri" w:cstheme="minorHAnsi"/>
          <w:b/>
          <w:bCs/>
          <w:i/>
          <w:iCs/>
          <w:sz w:val="24"/>
          <w:szCs w:val="24"/>
          <w:lang w:val="es-ES_tradnl"/>
        </w:rPr>
        <w:t>.</w:t>
      </w:r>
    </w:p>
    <w:p w14:paraId="1FAFD206" w14:textId="77777777" w:rsidR="00817D76" w:rsidRPr="00ED1AE6" w:rsidRDefault="00561D0F" w:rsidP="00561D0F">
      <w:pPr>
        <w:spacing w:after="160" w:line="256" w:lineRule="auto"/>
        <w:rPr>
          <w:rFonts w:eastAsia="Calibri" w:cstheme="minorHAnsi"/>
          <w:b/>
          <w:bCs/>
          <w:sz w:val="24"/>
          <w:szCs w:val="24"/>
        </w:rPr>
      </w:pPr>
      <w:r w:rsidRPr="00ED1AE6">
        <w:rPr>
          <w:rFonts w:eastAsia="Calibri" w:cstheme="minorHAnsi"/>
          <w:b/>
          <w:bCs/>
          <w:sz w:val="24"/>
          <w:szCs w:val="24"/>
        </w:rPr>
        <w:t xml:space="preserve">                   </w:t>
      </w:r>
    </w:p>
    <w:p w14:paraId="547A4C51" w14:textId="77777777" w:rsidR="00817D76" w:rsidRPr="00ED1AE6" w:rsidRDefault="00817D76" w:rsidP="00561D0F">
      <w:pPr>
        <w:spacing w:after="160" w:line="256" w:lineRule="auto"/>
        <w:rPr>
          <w:rFonts w:eastAsia="Calibri" w:cstheme="minorHAnsi"/>
          <w:b/>
          <w:bCs/>
          <w:sz w:val="24"/>
          <w:szCs w:val="24"/>
        </w:rPr>
      </w:pPr>
    </w:p>
    <w:p w14:paraId="68364A6C" w14:textId="3718FBA2" w:rsidR="00561D0F" w:rsidRPr="00ED1AE6" w:rsidRDefault="00561D0F" w:rsidP="00561D0F">
      <w:pPr>
        <w:spacing w:after="160" w:line="256" w:lineRule="auto"/>
        <w:rPr>
          <w:rFonts w:eastAsia="Calibri" w:cstheme="minorHAnsi"/>
          <w:b/>
          <w:bCs/>
          <w:sz w:val="24"/>
          <w:szCs w:val="24"/>
        </w:rPr>
      </w:pPr>
      <w:r w:rsidRPr="00ED1AE6">
        <w:rPr>
          <w:rFonts w:eastAsia="Calibri" w:cstheme="minorHAnsi"/>
          <w:b/>
          <w:bCs/>
          <w:sz w:val="24"/>
          <w:szCs w:val="24"/>
        </w:rPr>
        <w:t xml:space="preserve">               </w:t>
      </w:r>
    </w:p>
    <w:p w14:paraId="05D200E2"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647883F0" w14:textId="77777777" w:rsidR="00561D0F" w:rsidRPr="00ED1AE6" w:rsidRDefault="00561D0F" w:rsidP="00561D0F">
      <w:pPr>
        <w:spacing w:after="160" w:line="256" w:lineRule="auto"/>
        <w:rPr>
          <w:rFonts w:eastAsia="Calibri" w:cstheme="minorHAnsi"/>
          <w:b/>
          <w:bCs/>
          <w:sz w:val="24"/>
          <w:szCs w:val="24"/>
        </w:rPr>
      </w:pPr>
    </w:p>
    <w:p w14:paraId="7E6A83F9" w14:textId="77777777" w:rsidR="00561D0F" w:rsidRPr="00ED1AE6" w:rsidRDefault="00561D0F" w:rsidP="00561D0F">
      <w:pPr>
        <w:spacing w:after="160" w:line="256" w:lineRule="auto"/>
        <w:rPr>
          <w:rFonts w:eastAsia="Calibri" w:cstheme="minorHAnsi"/>
          <w:b/>
          <w:bCs/>
          <w:sz w:val="24"/>
          <w:szCs w:val="24"/>
        </w:rPr>
      </w:pPr>
    </w:p>
    <w:p w14:paraId="5755D5FA"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12FEAEAA" w14:textId="77777777" w:rsidR="00561D0F" w:rsidRPr="00ED1AE6" w:rsidRDefault="00561D0F" w:rsidP="00561D0F">
      <w:pPr>
        <w:spacing w:after="160" w:line="256" w:lineRule="auto"/>
        <w:rPr>
          <w:rFonts w:eastAsia="Calibri" w:cstheme="minorHAnsi"/>
          <w:b/>
          <w:bCs/>
          <w:sz w:val="24"/>
          <w:szCs w:val="24"/>
        </w:rPr>
      </w:pPr>
    </w:p>
    <w:p w14:paraId="4F7F773D" w14:textId="77777777" w:rsidR="00561D0F" w:rsidRPr="00ED1AE6" w:rsidRDefault="00561D0F" w:rsidP="00561D0F">
      <w:pPr>
        <w:spacing w:after="160" w:line="256" w:lineRule="auto"/>
        <w:rPr>
          <w:rFonts w:eastAsia="Calibri" w:cstheme="minorHAnsi"/>
          <w:b/>
          <w:bCs/>
          <w:sz w:val="24"/>
          <w:szCs w:val="24"/>
        </w:rPr>
      </w:pPr>
    </w:p>
    <w:p w14:paraId="680E43F0"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065133CB" w14:textId="77777777" w:rsidR="00561D0F" w:rsidRPr="00ED1AE6" w:rsidRDefault="00561D0F" w:rsidP="00561D0F">
      <w:pPr>
        <w:spacing w:after="160" w:line="256" w:lineRule="auto"/>
        <w:rPr>
          <w:rFonts w:eastAsia="Calibri" w:cstheme="minorHAnsi"/>
          <w:b/>
          <w:bCs/>
          <w:sz w:val="24"/>
          <w:szCs w:val="24"/>
        </w:rPr>
      </w:pPr>
    </w:p>
    <w:p w14:paraId="743CB1E8" w14:textId="77777777" w:rsidR="00561D0F" w:rsidRPr="00ED1AE6" w:rsidRDefault="00561D0F" w:rsidP="00561D0F">
      <w:pPr>
        <w:spacing w:after="160" w:line="256" w:lineRule="auto"/>
        <w:rPr>
          <w:rFonts w:eastAsia="Calibri" w:cstheme="minorHAnsi"/>
          <w:b/>
          <w:bCs/>
          <w:sz w:val="24"/>
          <w:szCs w:val="24"/>
        </w:rPr>
      </w:pPr>
    </w:p>
    <w:p w14:paraId="57821634"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349AABB9" w14:textId="77777777" w:rsidR="00561D0F" w:rsidRPr="00ED1AE6" w:rsidRDefault="00561D0F" w:rsidP="00561D0F">
      <w:pPr>
        <w:spacing w:after="160" w:line="256" w:lineRule="auto"/>
        <w:rPr>
          <w:rFonts w:eastAsia="Calibri" w:cstheme="minorHAnsi"/>
          <w:b/>
          <w:bCs/>
          <w:sz w:val="24"/>
          <w:szCs w:val="24"/>
        </w:rPr>
      </w:pPr>
    </w:p>
    <w:p w14:paraId="2CBAA216" w14:textId="77777777" w:rsidR="00561D0F" w:rsidRPr="00ED1AE6" w:rsidRDefault="00561D0F" w:rsidP="00561D0F">
      <w:pPr>
        <w:spacing w:after="160" w:line="256" w:lineRule="auto"/>
        <w:rPr>
          <w:rFonts w:eastAsia="Calibri" w:cstheme="minorHAnsi"/>
          <w:b/>
          <w:bCs/>
          <w:sz w:val="24"/>
          <w:szCs w:val="24"/>
        </w:rPr>
      </w:pPr>
    </w:p>
    <w:p w14:paraId="0EE90395"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1C3B1996" w14:textId="77777777" w:rsidR="00561D0F" w:rsidRPr="00ED1AE6" w:rsidRDefault="00561D0F" w:rsidP="00561D0F">
      <w:pPr>
        <w:spacing w:after="160" w:line="256" w:lineRule="auto"/>
        <w:rPr>
          <w:rFonts w:eastAsia="Calibri" w:cstheme="minorHAnsi"/>
          <w:bCs/>
          <w:sz w:val="24"/>
          <w:szCs w:val="24"/>
        </w:rPr>
      </w:pPr>
    </w:p>
    <w:p w14:paraId="22515AA6" w14:textId="77777777" w:rsidR="00561D0F" w:rsidRPr="00ED1AE6" w:rsidRDefault="00561D0F" w:rsidP="00561D0F">
      <w:pPr>
        <w:spacing w:after="160" w:line="256" w:lineRule="auto"/>
        <w:rPr>
          <w:rFonts w:eastAsia="Calibri" w:cstheme="minorHAnsi"/>
          <w:bCs/>
          <w:sz w:val="24"/>
          <w:szCs w:val="24"/>
        </w:rPr>
      </w:pPr>
    </w:p>
    <w:p w14:paraId="260F4CE7"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3405EF0B" w14:textId="77777777" w:rsidR="00561D0F" w:rsidRPr="00ED1AE6" w:rsidRDefault="00561D0F" w:rsidP="00561D0F">
      <w:pPr>
        <w:spacing w:after="160" w:line="256" w:lineRule="auto"/>
        <w:rPr>
          <w:rFonts w:eastAsia="Calibri" w:cstheme="minorHAnsi"/>
          <w:bCs/>
          <w:sz w:val="24"/>
          <w:szCs w:val="24"/>
        </w:rPr>
      </w:pPr>
    </w:p>
    <w:p w14:paraId="62B04A84" w14:textId="77777777" w:rsidR="00561D0F" w:rsidRPr="00ED1AE6" w:rsidRDefault="00561D0F" w:rsidP="00561D0F">
      <w:pPr>
        <w:spacing w:after="160" w:line="256" w:lineRule="auto"/>
        <w:rPr>
          <w:rFonts w:eastAsia="Calibri" w:cstheme="minorHAnsi"/>
          <w:bCs/>
          <w:sz w:val="24"/>
          <w:szCs w:val="24"/>
        </w:rPr>
      </w:pPr>
    </w:p>
    <w:p w14:paraId="20279BC5"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23F17774" w14:textId="77777777" w:rsidR="001D7734" w:rsidRDefault="001D7734" w:rsidP="00ED1AE6">
      <w:pPr>
        <w:spacing w:after="160" w:line="256" w:lineRule="auto"/>
        <w:jc w:val="center"/>
        <w:rPr>
          <w:rFonts w:eastAsia="Calibri" w:cstheme="minorHAnsi"/>
          <w:b/>
          <w:bCs/>
          <w:sz w:val="24"/>
          <w:szCs w:val="24"/>
        </w:rPr>
      </w:pPr>
    </w:p>
    <w:p w14:paraId="6AF78931" w14:textId="3D4BE733" w:rsidR="00561D0F" w:rsidRPr="00ED1AE6" w:rsidRDefault="00ED1AE6" w:rsidP="00ED1AE6">
      <w:pPr>
        <w:spacing w:after="160" w:line="256" w:lineRule="auto"/>
        <w:jc w:val="center"/>
        <w:rPr>
          <w:rFonts w:eastAsia="Calibri" w:cstheme="minorHAnsi"/>
          <w:b/>
          <w:bCs/>
          <w:sz w:val="24"/>
          <w:szCs w:val="24"/>
        </w:rPr>
      </w:pPr>
      <w:r w:rsidRPr="00ED1AE6">
        <w:rPr>
          <w:rFonts w:eastAsia="Calibri" w:cstheme="minorHAnsi"/>
          <w:b/>
          <w:bCs/>
          <w:sz w:val="24"/>
          <w:szCs w:val="24"/>
        </w:rPr>
        <w:lastRenderedPageBreak/>
        <w:t>PROYECTO DE LEY</w:t>
      </w:r>
      <w:r w:rsidR="00561D0F" w:rsidRPr="00ED1AE6">
        <w:rPr>
          <w:rFonts w:eastAsia="Calibri" w:cstheme="minorHAnsi"/>
          <w:b/>
          <w:bCs/>
          <w:sz w:val="24"/>
          <w:szCs w:val="24"/>
        </w:rPr>
        <w:t xml:space="preserve"> No ------- DE 2022 CAMARA</w:t>
      </w:r>
    </w:p>
    <w:p w14:paraId="378456F0" w14:textId="58AD5F45" w:rsidR="00ED1AE6" w:rsidRPr="00ED1AE6" w:rsidRDefault="00561D0F" w:rsidP="00ED1AE6">
      <w:pPr>
        <w:tabs>
          <w:tab w:val="left" w:pos="2565"/>
        </w:tabs>
        <w:spacing w:after="160"/>
        <w:jc w:val="center"/>
        <w:rPr>
          <w:rFonts w:eastAsia="Calibri" w:cstheme="minorHAnsi"/>
          <w:b/>
          <w:bCs/>
          <w:i/>
          <w:iCs/>
          <w:sz w:val="24"/>
          <w:szCs w:val="24"/>
          <w:lang w:val="es-ES_tradnl"/>
        </w:rPr>
      </w:pPr>
      <w:r w:rsidRPr="00ED1AE6">
        <w:rPr>
          <w:rFonts w:eastAsia="Calibri" w:cstheme="minorHAnsi"/>
          <w:b/>
          <w:sz w:val="24"/>
          <w:szCs w:val="24"/>
        </w:rPr>
        <w:t xml:space="preserve"> “</w:t>
      </w:r>
      <w:r w:rsidR="00ED1AE6" w:rsidRPr="00ED1AE6">
        <w:rPr>
          <w:rFonts w:eastAsia="Calibri" w:cstheme="minorHAnsi"/>
          <w:b/>
          <w:bCs/>
          <w:iCs/>
          <w:sz w:val="24"/>
          <w:szCs w:val="24"/>
        </w:rPr>
        <w:t>POR EL CUAL EL PROGRAMA DE ALIMENTACION ESCOLAR – PAE, SE CONVIERTE EN POLITICA PUBLICA DE ESTADO</w:t>
      </w:r>
      <w:r w:rsidR="00ED1AE6" w:rsidRPr="00ED1AE6">
        <w:rPr>
          <w:rFonts w:eastAsia="Calibri" w:cstheme="minorHAnsi"/>
          <w:b/>
          <w:bCs/>
          <w:iCs/>
          <w:sz w:val="24"/>
          <w:szCs w:val="24"/>
          <w:lang w:val="es-ES_tradnl"/>
        </w:rPr>
        <w:t>”</w:t>
      </w:r>
    </w:p>
    <w:p w14:paraId="3557022E" w14:textId="670999E7" w:rsidR="00561D0F" w:rsidRPr="00ED1AE6" w:rsidRDefault="00561D0F" w:rsidP="00ED1AE6">
      <w:pPr>
        <w:tabs>
          <w:tab w:val="left" w:pos="2565"/>
        </w:tabs>
        <w:spacing w:after="160"/>
        <w:rPr>
          <w:rFonts w:eastAsia="Calibri" w:cstheme="minorHAnsi"/>
          <w:i/>
          <w:sz w:val="24"/>
          <w:szCs w:val="24"/>
        </w:rPr>
      </w:pPr>
    </w:p>
    <w:p w14:paraId="65FB7AF2" w14:textId="77777777" w:rsidR="00561D0F" w:rsidRPr="00ED1AE6" w:rsidRDefault="00561D0F" w:rsidP="00561D0F">
      <w:pPr>
        <w:tabs>
          <w:tab w:val="left" w:pos="2565"/>
        </w:tabs>
        <w:spacing w:after="0"/>
        <w:jc w:val="center"/>
        <w:rPr>
          <w:rFonts w:eastAsia="Calibri" w:cstheme="minorHAnsi"/>
          <w:b/>
          <w:sz w:val="24"/>
          <w:szCs w:val="24"/>
        </w:rPr>
      </w:pPr>
      <w:r w:rsidRPr="00ED1AE6">
        <w:rPr>
          <w:rFonts w:eastAsia="Calibri" w:cstheme="minorHAnsi"/>
          <w:b/>
          <w:sz w:val="24"/>
          <w:szCs w:val="24"/>
        </w:rPr>
        <w:t>EL CONGRESO DE COLOMBIA</w:t>
      </w:r>
    </w:p>
    <w:p w14:paraId="7BA886C1" w14:textId="77777777" w:rsidR="00561D0F" w:rsidRPr="00ED1AE6" w:rsidRDefault="00561D0F" w:rsidP="00561D0F">
      <w:pPr>
        <w:spacing w:after="160" w:line="256" w:lineRule="auto"/>
        <w:jc w:val="center"/>
        <w:rPr>
          <w:rFonts w:eastAsia="Calibri" w:cstheme="minorHAnsi"/>
          <w:b/>
          <w:sz w:val="24"/>
          <w:szCs w:val="24"/>
        </w:rPr>
      </w:pPr>
    </w:p>
    <w:p w14:paraId="0B468916" w14:textId="0E718EFB" w:rsidR="00561D0F" w:rsidRPr="00ED1AE6" w:rsidRDefault="00432502" w:rsidP="00ED1AE6">
      <w:pPr>
        <w:spacing w:after="160" w:line="256" w:lineRule="auto"/>
        <w:rPr>
          <w:rFonts w:eastAsia="Calibri" w:cstheme="minorHAnsi"/>
          <w:b/>
          <w:sz w:val="24"/>
          <w:szCs w:val="24"/>
        </w:rPr>
      </w:pPr>
      <w:r>
        <w:rPr>
          <w:rFonts w:eastAsia="Calibri" w:cstheme="minorHAnsi"/>
          <w:b/>
          <w:sz w:val="24"/>
          <w:szCs w:val="24"/>
        </w:rPr>
        <w:t>I.</w:t>
      </w:r>
      <w:r w:rsidR="00561D0F" w:rsidRPr="00ED1AE6">
        <w:rPr>
          <w:rFonts w:eastAsia="Calibri" w:cstheme="minorHAnsi"/>
          <w:b/>
          <w:sz w:val="24"/>
          <w:szCs w:val="24"/>
        </w:rPr>
        <w:t xml:space="preserve"> EXPOSICIÓN DE MOTIVOS</w:t>
      </w:r>
    </w:p>
    <w:p w14:paraId="31447627"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El proyecto de ley que se presenta a continuación tiene como objeto establecer las condiciones necesarias para promover la constitución del Programa de Alimentación Escolar (desde ahora PAE) como una política de orden Estatal protegiendo así los objetivos por los cuales fue constituido y a su vez garantizando el acceso a los niños niñas y adolescentes del país a los beneficios de dicho programa a futuro, con el fin último de promover infancias felices, mejores condiciones físicas y de crecimiento a nivel psicomotriz y social . Así mismo, exponer la importancia de los programas de alimentación en la manutención de infancias y adolescencias sanas en el ámbito escolar, que derivan en un mejor aprendizaje, mejoramiento de la capacidad cognoscitiva, un mayor grado de necesidades básicas satisfechas, ampliación de la posibilidad de obtener mejores calificaciones y evitar las condiciones psicomotrices adversas.</w:t>
      </w:r>
    </w:p>
    <w:p w14:paraId="0A5B2544" w14:textId="77777777" w:rsidR="00432502" w:rsidRDefault="00432502" w:rsidP="00ED1AE6">
      <w:pPr>
        <w:spacing w:before="240" w:after="240" w:line="240" w:lineRule="auto"/>
        <w:jc w:val="both"/>
        <w:rPr>
          <w:rFonts w:eastAsia="Calibri" w:cstheme="minorHAnsi"/>
          <w:b/>
          <w:sz w:val="24"/>
          <w:szCs w:val="24"/>
          <w:lang w:val="es-419" w:eastAsia="es-CO"/>
        </w:rPr>
      </w:pPr>
    </w:p>
    <w:p w14:paraId="2A758B4A" w14:textId="53193D8D" w:rsidR="00ED1AE6" w:rsidRPr="00ED1AE6" w:rsidRDefault="00432502" w:rsidP="00ED1AE6">
      <w:pPr>
        <w:spacing w:before="240" w:after="240" w:line="240" w:lineRule="auto"/>
        <w:jc w:val="both"/>
        <w:rPr>
          <w:rFonts w:eastAsia="Calibri" w:cstheme="minorHAnsi"/>
          <w:b/>
          <w:sz w:val="24"/>
          <w:szCs w:val="24"/>
          <w:lang w:val="es-419" w:eastAsia="es-CO"/>
        </w:rPr>
      </w:pPr>
      <w:r>
        <w:rPr>
          <w:rFonts w:eastAsia="Calibri" w:cstheme="minorHAnsi"/>
          <w:b/>
          <w:sz w:val="24"/>
          <w:szCs w:val="24"/>
          <w:lang w:val="es-419" w:eastAsia="es-CO"/>
        </w:rPr>
        <w:t>II. ASPECTOS NORMATIVOS DEL PROGRAMA DE ALIMENTACIÓN ESCOLAR,</w:t>
      </w:r>
      <w:r w:rsidRPr="00ED1AE6">
        <w:rPr>
          <w:rFonts w:eastAsia="Calibri" w:cstheme="minorHAnsi"/>
          <w:b/>
          <w:sz w:val="24"/>
          <w:szCs w:val="24"/>
          <w:lang w:val="es-419" w:eastAsia="es-CO"/>
        </w:rPr>
        <w:t xml:space="preserve"> COMO POLÍTICA</w:t>
      </w:r>
      <w:r>
        <w:rPr>
          <w:rFonts w:eastAsia="Calibri" w:cstheme="minorHAnsi"/>
          <w:b/>
          <w:sz w:val="24"/>
          <w:szCs w:val="24"/>
          <w:lang w:val="es-419" w:eastAsia="es-CO"/>
        </w:rPr>
        <w:t xml:space="preserve"> PUBLICA.</w:t>
      </w:r>
    </w:p>
    <w:p w14:paraId="7A6D568B"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El PAE como sus siglas lo indican es un programa encargado de proveer complementos alimentarios a niños, niñas y adolescentes en los entornos escolares oficiales a través de todo el territorio colombiano. Los objetivos esenciales del PAE son suministrar a los menores en edad de desarrollo una alimentación balanceada que les permita llevar a buen término sus labores escolares y más importante aún que promueva su permanencia en el sistema escolar. Además, proporcionar durante la jornada escolar los macronutrientes (carbohidratos, proteínas y grasas) y micronutrientes (zinc, hierro, vitamina A y calcio) que el cuerpo necesita en cantidades diferenciadas dependiendo de la fase de desarrollo en la que se encuentren los beneficiarios.  Es una condición obligatoria para acceder a los servicios ofrecidos por el programa que los menores se encuentren previamente registrados en el Sistema de Matrículas SIMAT y funjan como estudiantes de una de las instituciones educativas oficiales en Colombia. Estos servicios serán prestados por las Entidades Territoriales Calificadas (ETC) las cuales definirán el calendario escolar propio para cada caso.</w:t>
      </w:r>
    </w:p>
    <w:p w14:paraId="4F9E0955"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lastRenderedPageBreak/>
        <w:t xml:space="preserve">Existen en el programa unos enfoques diferenciales que buscan garantizar para las áreas rurales y poblaciones étnicas una cobertura del 100% total de escolares matriculados que se encuentren cursando preescolar y primaria, así como otras poblaciones de especial atención. Como parte de este enfoque existe el deber de atender a </w:t>
      </w:r>
      <w:proofErr w:type="gramStart"/>
      <w:r w:rsidRPr="00ED1AE6">
        <w:rPr>
          <w:rFonts w:eastAsia="Calibri" w:cstheme="minorHAnsi"/>
          <w:sz w:val="24"/>
          <w:szCs w:val="24"/>
          <w:lang w:val="es-419" w:eastAsia="es-CO"/>
        </w:rPr>
        <w:t>los menores víctimas</w:t>
      </w:r>
      <w:proofErr w:type="gramEnd"/>
      <w:r w:rsidRPr="00ED1AE6">
        <w:rPr>
          <w:rFonts w:eastAsia="Calibri" w:cstheme="minorHAnsi"/>
          <w:sz w:val="24"/>
          <w:szCs w:val="24"/>
          <w:lang w:val="es-419" w:eastAsia="es-CO"/>
        </w:rPr>
        <w:t xml:space="preserve"> del conflicto armado en su totalidad, independientemente de los grados que se encuentren cursando al momento de recibir el apoyo, esto con el fin de dar cumplimiento a la Sentencia T-025 de 2004 y el Auto 178 de 2005 de la Corte Constitucional que buscan subsanar problemáticas históricas de acceso para estas comunidades. </w:t>
      </w:r>
    </w:p>
    <w:p w14:paraId="7CD8DF03"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El PAE se halla en la actualidad bajo la tutela del Ministerio de Educación Nacional, pero a su vez son múltiples los actores estatales que intervienen para que los servicios propios del programa se proporcionen de manera adecuada, eficiente y oportuna, ejemplos de lo anteriormente mencionado serian: El Instituto Colombiano de Bienestar Familiar (ICBF), los municipios, los distritos, los departamentos, los establecimientos y sedes educativas oficiales.</w:t>
      </w:r>
    </w:p>
    <w:p w14:paraId="26F06DD4"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En otro sentido, son muchos y variados los documentos y regulaciones creadas para definir, computar, moldear y evaluar los alcances y funciones de este programa y con el fin de esclarecer estos conceptos serán relacionados a continuación.</w:t>
      </w:r>
    </w:p>
    <w:p w14:paraId="70B21BAE"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El PAE está regulado en primera instancia por la LEY 1176 DE 2007, que en su artículo 16 expone los relacionamientos principales por los cuales se rige el programa, su alcance y modo de financiación, destacando este último aspecto. En este sentido, el artículo mencionado reza que “El programa de alimentación escolar se financiará con recursos de diferentes fuentes. Para el efecto, las entidades territoriales seguirán y aplicarán, en primer término, los lineamientos técnico-administrativos básicos respecto de la complementación alimentaria, los estándares de alimentación, de planta física, de equipo y menaje y de recurso humano, y las condiciones para la prestación del servicio, que establezca el Instituto Colombiano de Bienestar Familiar (ICBF) para el desarrollo del programa. Adicionalmente, considerarán los lineamientos previstos en sus planes de desarrollo” (Ley 1176 de 2007, artículo 16).  Lo anterior, resalta que los recursos por los cuales se costea el PAE son mixtos y corresponden a recursos propio de las entidades territoriales, recursos de libre inversión y recursos de calidad educativa de la participación de educación del Sistema General de Participaciones, además de rubros pertenecientes al Presupuesto General de la Nación (</w:t>
      </w:r>
      <w:bookmarkStart w:id="1" w:name="_Hlk108195735"/>
      <w:r w:rsidRPr="00ED1AE6">
        <w:rPr>
          <w:rFonts w:eastAsia="Calibri" w:cstheme="minorHAnsi"/>
          <w:sz w:val="24"/>
          <w:szCs w:val="24"/>
          <w:lang w:val="es-419" w:eastAsia="es-CO"/>
        </w:rPr>
        <w:t>Ley 1176 de 2007</w:t>
      </w:r>
      <w:bookmarkEnd w:id="1"/>
      <w:r w:rsidRPr="00ED1AE6">
        <w:rPr>
          <w:rFonts w:eastAsia="Calibri" w:cstheme="minorHAnsi"/>
          <w:sz w:val="24"/>
          <w:szCs w:val="24"/>
          <w:lang w:val="es-419" w:eastAsia="es-CO"/>
        </w:rPr>
        <w:t xml:space="preserve">, artículo 16). </w:t>
      </w:r>
    </w:p>
    <w:p w14:paraId="7BDCCEDB"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La ley subraya, en su artículo 17, que los recursos monetarios programados para cumplir las funciones específicas serán distribuidos a los municipios y distritos utilizando dos criterios:</w:t>
      </w:r>
    </w:p>
    <w:p w14:paraId="60F89015" w14:textId="77777777" w:rsidR="00ED1AE6" w:rsidRPr="00ED1AE6" w:rsidRDefault="00ED1AE6" w:rsidP="00ED1AE6">
      <w:pPr>
        <w:numPr>
          <w:ilvl w:val="0"/>
          <w:numId w:val="48"/>
        </w:numPr>
        <w:spacing w:before="240" w:after="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En primer instancia, se asignará el 95% usando el criterio de equidad el cual define el suscitado artículo como "</w:t>
      </w:r>
      <w:r w:rsidRPr="00ED1AE6">
        <w:rPr>
          <w:rFonts w:eastAsia="Calibri" w:cstheme="minorHAnsi"/>
          <w:i/>
          <w:sz w:val="24"/>
          <w:szCs w:val="24"/>
          <w:highlight w:val="white"/>
          <w:lang w:val="es-419" w:eastAsia="es-CO"/>
        </w:rPr>
        <w:t xml:space="preserve">el peso relativo que se asigna a cada entidad territorial de acuerdo con la matrícula de la vigencia anterior para la cual se realiza la distribución, certificada por el Ministerio de Educación Nacional, expandida por la dispersión </w:t>
      </w:r>
      <w:r w:rsidRPr="00ED1AE6">
        <w:rPr>
          <w:rFonts w:eastAsia="Calibri" w:cstheme="minorHAnsi"/>
          <w:i/>
          <w:sz w:val="24"/>
          <w:szCs w:val="24"/>
          <w:highlight w:val="white"/>
          <w:lang w:val="es-419" w:eastAsia="es-CO"/>
        </w:rPr>
        <w:lastRenderedPageBreak/>
        <w:t>poblacional y ponderada por el Índice de Necesidades Básicas Insatisfechas, o el indicador que lo sustituya determinado por el DANE</w:t>
      </w:r>
      <w:r w:rsidRPr="00ED1AE6">
        <w:rPr>
          <w:rFonts w:eastAsia="Calibri" w:cstheme="minorHAnsi"/>
          <w:sz w:val="24"/>
          <w:szCs w:val="24"/>
          <w:highlight w:val="white"/>
          <w:lang w:val="es-419" w:eastAsia="es-CO"/>
        </w:rPr>
        <w:t>" (Ley 1176 de 2007, artículo 17).</w:t>
      </w:r>
    </w:p>
    <w:p w14:paraId="3ABC5E74" w14:textId="77777777" w:rsidR="00ED1AE6" w:rsidRPr="00ED1AE6" w:rsidRDefault="00ED1AE6" w:rsidP="00ED1AE6">
      <w:pPr>
        <w:numPr>
          <w:ilvl w:val="0"/>
          <w:numId w:val="48"/>
        </w:numPr>
        <w:spacing w:after="240" w:line="240" w:lineRule="auto"/>
        <w:jc w:val="both"/>
        <w:rPr>
          <w:rFonts w:eastAsia="Calibri" w:cstheme="minorHAnsi"/>
          <w:sz w:val="24"/>
          <w:szCs w:val="24"/>
          <w:highlight w:val="white"/>
          <w:lang w:val="es-419" w:eastAsia="es-CO"/>
        </w:rPr>
      </w:pPr>
      <w:r w:rsidRPr="00ED1AE6">
        <w:rPr>
          <w:rFonts w:eastAsia="Calibri" w:cstheme="minorHAnsi"/>
          <w:sz w:val="24"/>
          <w:szCs w:val="24"/>
          <w:highlight w:val="white"/>
          <w:lang w:val="es-419" w:eastAsia="es-CO"/>
        </w:rPr>
        <w:t>En segundo lugar, los demás recursos, correspondiendo al 5% restante, serán concedidos teniendo en cuenta el criterio de eficiencia. Siendo este criterio entendido como los incentivos propios que sean dados a las entidades territoriales capaces de reducir el nivel de deserción escolar de un año a otro. Para tal medición será el Ministerio de Educación quien disponga los mecanismos necesarios para conseguir, calcular y certificar la información.</w:t>
      </w:r>
    </w:p>
    <w:p w14:paraId="67806666" w14:textId="77777777" w:rsidR="00ED1AE6" w:rsidRPr="00ED1AE6" w:rsidRDefault="00ED1AE6" w:rsidP="00ED1AE6">
      <w:pPr>
        <w:spacing w:before="240" w:after="240" w:line="240" w:lineRule="auto"/>
        <w:jc w:val="both"/>
        <w:rPr>
          <w:rFonts w:eastAsia="Calibri" w:cstheme="minorHAnsi"/>
          <w:sz w:val="24"/>
          <w:szCs w:val="24"/>
          <w:highlight w:val="yellow"/>
          <w:lang w:val="es-419" w:eastAsia="es-CO"/>
        </w:rPr>
      </w:pPr>
      <w:r w:rsidRPr="00ED1AE6">
        <w:rPr>
          <w:rFonts w:eastAsia="Calibri" w:cstheme="minorHAnsi"/>
          <w:sz w:val="24"/>
          <w:szCs w:val="24"/>
          <w:highlight w:val="white"/>
          <w:lang w:val="es-419" w:eastAsia="es-CO"/>
        </w:rPr>
        <w:t>El artículo 18 de la citada ley ofrece claridad en la designación de los recursos y cómo estos serán usados para la diversidad de funciones que deben ser cumplidas. Estos recursos se destinan a la financiación de variadas actividades, basándose en los lineamientos técnicos y administrativos establecidos por el ICBF en los cuales destacan: Compra de alimentos, Contratación del personal que realizará la preparación de los mismo, transporte de los productos, todo lo relacionado con la dotación necesaria para prestar un correcto servicio de alimentación escolar y en casos necesarios la reposición de esta dotación, aseo y combustibles para la preparación de dichos alimentos y por último todo aquello relativo a la contratación a terceros para la prestación y provisión del servicio de alimentación escolar.</w:t>
      </w:r>
    </w:p>
    <w:p w14:paraId="43E5443A"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Otro documento de suma importancia a destacar en este sentido es el Decreto 1075 de 2015 del Ministerio de Educación Nacional, por el cual se brindan los lineamientos internos y generales respecto del PAE. Sobre este documento se pueden destacar las siguientes reglamentaciones:</w:t>
      </w:r>
    </w:p>
    <w:p w14:paraId="4D77317F" w14:textId="77777777" w:rsidR="00ED1AE6" w:rsidRPr="00ED1AE6" w:rsidRDefault="00ED1AE6" w:rsidP="00ED1AE6">
      <w:pPr>
        <w:numPr>
          <w:ilvl w:val="0"/>
          <w:numId w:val="49"/>
        </w:numPr>
        <w:spacing w:before="240" w:after="240" w:line="240" w:lineRule="auto"/>
        <w:contextualSpacing/>
        <w:jc w:val="both"/>
        <w:rPr>
          <w:rFonts w:eastAsia="Calibri" w:cstheme="minorHAnsi"/>
          <w:sz w:val="24"/>
          <w:szCs w:val="24"/>
          <w:lang w:val="es-419" w:eastAsia="es-CO"/>
        </w:rPr>
      </w:pPr>
      <w:r w:rsidRPr="00ED1AE6">
        <w:rPr>
          <w:rFonts w:eastAsia="Calibri" w:cstheme="minorHAnsi"/>
          <w:sz w:val="24"/>
          <w:szCs w:val="24"/>
          <w:lang w:val="es-419" w:eastAsia="es-CO"/>
        </w:rPr>
        <w:t xml:space="preserve">Definición y objetivos del PAE siguiendo las directrices de la Ley 1176 de 2007 y en los cuales destacan la corresponsabilidad de los múltiples actores inmersos en la ejecución. </w:t>
      </w:r>
    </w:p>
    <w:p w14:paraId="70B2B977" w14:textId="77777777" w:rsidR="00ED1AE6" w:rsidRPr="00ED1AE6" w:rsidRDefault="00ED1AE6" w:rsidP="00ED1AE6">
      <w:pPr>
        <w:numPr>
          <w:ilvl w:val="0"/>
          <w:numId w:val="47"/>
        </w:num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Sera el Ministerios de Educación Nacional la entidad encargada de coordinar a los demás actores participantes para cumplir los objetivos trazados.</w:t>
      </w:r>
    </w:p>
    <w:p w14:paraId="1381EC64" w14:textId="77777777" w:rsidR="00ED1AE6" w:rsidRPr="00ED1AE6" w:rsidRDefault="00ED1AE6" w:rsidP="00ED1AE6">
      <w:pPr>
        <w:numPr>
          <w:ilvl w:val="0"/>
          <w:numId w:val="47"/>
        </w:num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Sera también el Ministerio de Educación quien emita los requerimientos técnico-administrativos por los cuales se ejecutará el programa y estará encargado de la cofinanciación de este, así como de los estándares y condiciones mínimas por los cuales se evaluará el proceso.</w:t>
      </w:r>
    </w:p>
    <w:p w14:paraId="7A566A01" w14:textId="7A8315F6" w:rsidR="00ED1AE6" w:rsidRPr="00ED1AE6" w:rsidRDefault="00ED1AE6" w:rsidP="00ED1AE6">
      <w:pPr>
        <w:numPr>
          <w:ilvl w:val="0"/>
          <w:numId w:val="47"/>
        </w:num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Los lineamientos creados por el ministerio estarán sujetos a las costumbres y legislaciones especiales cuando se </w:t>
      </w:r>
      <w:r w:rsidR="00936F19" w:rsidRPr="00ED1AE6">
        <w:rPr>
          <w:rFonts w:eastAsia="Calibri" w:cstheme="minorHAnsi"/>
          <w:sz w:val="24"/>
          <w:szCs w:val="24"/>
          <w:lang w:val="es-419" w:eastAsia="es-CO"/>
        </w:rPr>
        <w:t>trate</w:t>
      </w:r>
      <w:r w:rsidRPr="00ED1AE6">
        <w:rPr>
          <w:rFonts w:eastAsia="Calibri" w:cstheme="minorHAnsi"/>
          <w:sz w:val="24"/>
          <w:szCs w:val="24"/>
          <w:lang w:val="es-419" w:eastAsia="es-CO"/>
        </w:rPr>
        <w:t xml:space="preserve"> de instituciones educativas ubicadas en resguardos indígenas y/o territorios de grupos étnicos.</w:t>
      </w:r>
    </w:p>
    <w:p w14:paraId="602D929C" w14:textId="77777777" w:rsidR="00ED1AE6" w:rsidRPr="00ED1AE6" w:rsidRDefault="00ED1AE6" w:rsidP="00ED1AE6">
      <w:pPr>
        <w:numPr>
          <w:ilvl w:val="0"/>
          <w:numId w:val="47"/>
        </w:num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Se definen las fuentes de financiación como todos aquellos recursos públicos o privados destinados a financiar la actividad del PAE, resaltando el carácter mixto de la financiación del programa.</w:t>
      </w:r>
    </w:p>
    <w:p w14:paraId="4F5E5A64" w14:textId="77777777" w:rsidR="00ED1AE6" w:rsidRPr="00ED1AE6" w:rsidRDefault="00ED1AE6" w:rsidP="00ED1AE6">
      <w:pPr>
        <w:numPr>
          <w:ilvl w:val="0"/>
          <w:numId w:val="47"/>
        </w:num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lastRenderedPageBreak/>
        <w:t>“Los comedores escolares son responsabilidad de las entidades territoriales; en el evento en que no cumplan con las condiciones adecuadas, las administraciones deberán realizar la adecuación y/o mejoramiento para garantizar las condiciones establecidas en los Lineamientos Técnicos-Administrativos del Programa” (DECRETO 1075 DE 2015).</w:t>
      </w:r>
    </w:p>
    <w:p w14:paraId="71BE817F" w14:textId="2AA32A06" w:rsidR="00ED1AE6" w:rsidRPr="00ED1AE6" w:rsidRDefault="00ED1AE6" w:rsidP="00ED1AE6">
      <w:pPr>
        <w:numPr>
          <w:ilvl w:val="0"/>
          <w:numId w:val="47"/>
        </w:num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Solo de manera excepcional será </w:t>
      </w:r>
      <w:r w:rsidR="00A312F1" w:rsidRPr="00ED1AE6">
        <w:rPr>
          <w:rFonts w:eastAsia="Calibri" w:cstheme="minorHAnsi"/>
          <w:sz w:val="24"/>
          <w:szCs w:val="24"/>
          <w:lang w:val="es-419" w:eastAsia="es-CO"/>
        </w:rPr>
        <w:t>el</w:t>
      </w:r>
      <w:r w:rsidRPr="00ED1AE6">
        <w:rPr>
          <w:rFonts w:eastAsia="Calibri" w:cstheme="minorHAnsi"/>
          <w:sz w:val="24"/>
          <w:szCs w:val="24"/>
          <w:lang w:val="es-419" w:eastAsia="es-CO"/>
        </w:rPr>
        <w:t xml:space="preserve"> propio Ministerio de Educación Nacional la entidad que ejecute directamente los recursos del Presupuesto General de la Nación para el PAE. Estos casos son: Calamidad pública, desastre, emergencia grave, fuerza mayor o caso fortuito o graves alteraciones del orden público.</w:t>
      </w:r>
    </w:p>
    <w:p w14:paraId="347AD6CE" w14:textId="77777777" w:rsidR="00ED1AE6" w:rsidRPr="00ED1AE6" w:rsidRDefault="00ED1AE6" w:rsidP="00ED1AE6">
      <w:pPr>
        <w:numPr>
          <w:ilvl w:val="0"/>
          <w:numId w:val="47"/>
        </w:num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Obligaciones propias de los planteles educativos, así como su planta docente, directivos y otros trabajadores. </w:t>
      </w:r>
    </w:p>
    <w:p w14:paraId="0D4F6C2E" w14:textId="77777777" w:rsidR="000F379C" w:rsidRDefault="000F379C" w:rsidP="00ED1AE6">
      <w:pPr>
        <w:spacing w:before="240" w:after="240" w:line="240" w:lineRule="auto"/>
        <w:jc w:val="both"/>
        <w:rPr>
          <w:rFonts w:eastAsia="Calibri" w:cstheme="minorHAnsi"/>
          <w:b/>
          <w:sz w:val="24"/>
          <w:szCs w:val="24"/>
          <w:lang w:val="es-419" w:eastAsia="es-CO"/>
        </w:rPr>
      </w:pPr>
    </w:p>
    <w:p w14:paraId="201FF06E" w14:textId="312C5897" w:rsidR="000F379C" w:rsidRDefault="000F379C" w:rsidP="00ED1AE6">
      <w:pPr>
        <w:spacing w:before="240" w:after="240" w:line="240" w:lineRule="auto"/>
        <w:jc w:val="both"/>
        <w:rPr>
          <w:rFonts w:eastAsia="Calibri" w:cstheme="minorHAnsi"/>
          <w:b/>
          <w:sz w:val="24"/>
          <w:szCs w:val="24"/>
          <w:lang w:val="es-419" w:eastAsia="es-CO"/>
        </w:rPr>
      </w:pPr>
      <w:r>
        <w:rPr>
          <w:rFonts w:eastAsia="Calibri" w:cstheme="minorHAnsi"/>
          <w:b/>
          <w:sz w:val="24"/>
          <w:szCs w:val="24"/>
          <w:lang w:val="es-419" w:eastAsia="es-CO"/>
        </w:rPr>
        <w:t>III. INFORMACION RELEVANTE</w:t>
      </w:r>
    </w:p>
    <w:p w14:paraId="678F6570" w14:textId="145F1EF0" w:rsidR="00ED1AE6" w:rsidRPr="00ED1AE6" w:rsidRDefault="000F379C" w:rsidP="00ED1AE6">
      <w:pPr>
        <w:spacing w:before="240" w:after="240" w:line="240" w:lineRule="auto"/>
        <w:jc w:val="both"/>
        <w:rPr>
          <w:rFonts w:eastAsia="Calibri" w:cstheme="minorHAnsi"/>
          <w:b/>
          <w:sz w:val="24"/>
          <w:szCs w:val="24"/>
          <w:lang w:val="es-419" w:eastAsia="es-CO"/>
        </w:rPr>
      </w:pPr>
      <w:r w:rsidRPr="00ED1AE6">
        <w:rPr>
          <w:rFonts w:eastAsia="Calibri" w:cstheme="minorHAnsi"/>
          <w:b/>
          <w:sz w:val="24"/>
          <w:szCs w:val="24"/>
          <w:lang w:val="es-419" w:eastAsia="es-CO"/>
        </w:rPr>
        <w:t>COBERTURA ACTUAL</w:t>
      </w:r>
      <w:r>
        <w:rPr>
          <w:rFonts w:eastAsia="Calibri" w:cstheme="minorHAnsi"/>
          <w:b/>
          <w:sz w:val="24"/>
          <w:szCs w:val="24"/>
          <w:lang w:val="es-419" w:eastAsia="es-CO"/>
        </w:rPr>
        <w:t>:</w:t>
      </w:r>
    </w:p>
    <w:p w14:paraId="03337A45" w14:textId="77777777" w:rsidR="00ED1AE6" w:rsidRPr="00ED1AE6" w:rsidRDefault="00ED1AE6" w:rsidP="00ED1AE6">
      <w:pPr>
        <w:spacing w:before="240" w:after="240" w:line="240" w:lineRule="auto"/>
        <w:jc w:val="both"/>
        <w:rPr>
          <w:rFonts w:eastAsia="Calibri" w:cstheme="minorHAnsi"/>
          <w:color w:val="4D4949"/>
          <w:sz w:val="24"/>
          <w:szCs w:val="24"/>
          <w:lang w:val="es-419" w:eastAsia="es-CO"/>
        </w:rPr>
      </w:pPr>
      <w:r w:rsidRPr="00ED1AE6">
        <w:rPr>
          <w:rFonts w:eastAsia="Calibri" w:cstheme="minorHAnsi"/>
          <w:sz w:val="24"/>
          <w:szCs w:val="24"/>
          <w:lang w:val="es-419" w:eastAsia="es-CO"/>
        </w:rPr>
        <w:t>Respecto de la cobertura total y actual del PAE es imperativo recordar que el programa tiene como objeto atender a todos los niños, niñas y adolescentes que son parte de las instituciones educativas oficiales y que previamente se encuentren inscritos en el SIMAT, además de que existen ciertas poblaciones, como las víctimas del conflicto y poblaciones étnicas, que poseen especial atención y cobertura del programa. Teniendo en cuenta lo anterior y con el fin de explicar de manera general la cobertura del PAE se hará uso del último informe de la Contraloría General de la República, así como de otras fuentes, que permitirán realizar un mapeado sobre los logros y alcance de esta iniciativa</w:t>
      </w:r>
      <w:r w:rsidRPr="00ED1AE6">
        <w:rPr>
          <w:rFonts w:eastAsia="Calibri" w:cstheme="minorHAnsi"/>
          <w:color w:val="4D4949"/>
          <w:sz w:val="24"/>
          <w:szCs w:val="24"/>
          <w:lang w:val="es-419" w:eastAsia="es-CO"/>
        </w:rPr>
        <w:t xml:space="preserve">. </w:t>
      </w:r>
    </w:p>
    <w:p w14:paraId="68E650DA"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De acuerdo con el informe y la nota de prensa emitidos por la Contraloría General, en Colombia existen alrededor de 7.819.168 niños, niñas y adolescentes matriculados en instituciones educativas oficiales para la vigencia 2021 según el SIMAT, todos ellos posibles favorecidos de los servicios ofrecidos por el programa. De este total de inscritos el PAE logró una cobertura en el año en cuestión de 5.817.944 niños, niñas, adolescentes y jóvenes entre 5 y 17 años que fueron partícipes de los múltiples beneficios, lo que arroja una cobertura del 74,4% (Contraloría General, 2021). Con el fin de realizar un ejercicio comparativo se tomaron también los datos publicados para la vigencia 2020, siendo el total de posibles beneficiarios 8.067 158, con un total de menores atendidos de 5.691761 para un cumplimiento del 70,55%, mostrando una evolución en la meta de cumplimiento como demuestra la tabla a continuación: </w:t>
      </w:r>
    </w:p>
    <w:p w14:paraId="66B8A658" w14:textId="77777777" w:rsidR="00ED1AE6" w:rsidRPr="00ED1AE6" w:rsidRDefault="00ED1AE6" w:rsidP="00ED1AE6">
      <w:pPr>
        <w:spacing w:before="240" w:after="240" w:line="240" w:lineRule="auto"/>
        <w:jc w:val="center"/>
        <w:rPr>
          <w:rFonts w:eastAsia="Calibri" w:cstheme="minorHAnsi"/>
          <w:b/>
          <w:sz w:val="24"/>
          <w:szCs w:val="24"/>
          <w:lang w:val="es-419" w:eastAsia="es-CO"/>
        </w:rPr>
      </w:pPr>
      <w:r w:rsidRPr="00ED1AE6">
        <w:rPr>
          <w:rFonts w:eastAsia="Calibri" w:cstheme="minorHAnsi"/>
          <w:b/>
          <w:noProof/>
          <w:sz w:val="24"/>
          <w:szCs w:val="24"/>
          <w:lang w:eastAsia="es-CO"/>
        </w:rPr>
        <w:lastRenderedPageBreak/>
        <w:drawing>
          <wp:inline distT="114300" distB="114300" distL="114300" distR="114300" wp14:anchorId="41D6A654" wp14:editId="62B7B4FD">
            <wp:extent cx="4152900" cy="9286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52900" cy="928688"/>
                    </a:xfrm>
                    <a:prstGeom prst="rect">
                      <a:avLst/>
                    </a:prstGeom>
                    <a:ln/>
                  </pic:spPr>
                </pic:pic>
              </a:graphicData>
            </a:graphic>
          </wp:inline>
        </w:drawing>
      </w:r>
    </w:p>
    <w:p w14:paraId="54D26512" w14:textId="77777777" w:rsidR="00ED1AE6" w:rsidRPr="00ED1AE6" w:rsidRDefault="00ED1AE6" w:rsidP="00ED1AE6">
      <w:pPr>
        <w:spacing w:before="240" w:after="240" w:line="240" w:lineRule="auto"/>
        <w:jc w:val="center"/>
        <w:rPr>
          <w:rFonts w:eastAsia="Calibri" w:cstheme="minorHAnsi"/>
          <w:b/>
          <w:color w:val="808080"/>
          <w:sz w:val="24"/>
          <w:szCs w:val="24"/>
          <w:lang w:val="es-419" w:eastAsia="es-CO"/>
        </w:rPr>
      </w:pPr>
      <w:r w:rsidRPr="00ED1AE6">
        <w:rPr>
          <w:rFonts w:eastAsia="Calibri" w:cstheme="minorHAnsi"/>
          <w:b/>
          <w:color w:val="808080"/>
          <w:sz w:val="24"/>
          <w:szCs w:val="24"/>
          <w:lang w:val="es-419" w:eastAsia="es-CO"/>
        </w:rPr>
        <w:t>Fuente: Contraloría General</w:t>
      </w:r>
    </w:p>
    <w:p w14:paraId="267C3AFB"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En adición, el informe de la Unidad de Alimentos para Aprender (UAPA) relacionó el comportamiento de días atendidos por cada ETC, identificando un promedio de atención en las 96 ETC de 166 días del calendario académico (UAPA, 2022). En la tabla siguiente se relacionan las cifras correspondientes para cada caso:</w:t>
      </w:r>
    </w:p>
    <w:p w14:paraId="06EF880D" w14:textId="77777777" w:rsidR="00ED1AE6" w:rsidRPr="00ED1AE6" w:rsidRDefault="00ED1AE6" w:rsidP="00ED1AE6">
      <w:pPr>
        <w:spacing w:before="240" w:after="240" w:line="240" w:lineRule="auto"/>
        <w:jc w:val="center"/>
        <w:rPr>
          <w:rFonts w:eastAsia="Calibri" w:cstheme="minorHAnsi"/>
          <w:b/>
          <w:sz w:val="24"/>
          <w:szCs w:val="24"/>
          <w:lang w:val="es-419" w:eastAsia="es-CO"/>
        </w:rPr>
      </w:pPr>
      <w:r w:rsidRPr="00ED1AE6">
        <w:rPr>
          <w:rFonts w:eastAsia="Calibri" w:cstheme="minorHAnsi"/>
          <w:b/>
          <w:noProof/>
          <w:sz w:val="24"/>
          <w:szCs w:val="24"/>
          <w:lang w:eastAsia="es-CO"/>
        </w:rPr>
        <w:drawing>
          <wp:inline distT="0" distB="0" distL="0" distR="0" wp14:anchorId="3CA72AE6" wp14:editId="74257CFD">
            <wp:extent cx="5808980" cy="4791075"/>
            <wp:effectExtent l="0" t="0" r="127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7249" cy="4797895"/>
                    </a:xfrm>
                    <a:prstGeom prst="rect">
                      <a:avLst/>
                    </a:prstGeom>
                    <a:noFill/>
                  </pic:spPr>
                </pic:pic>
              </a:graphicData>
            </a:graphic>
          </wp:inline>
        </w:drawing>
      </w:r>
    </w:p>
    <w:p w14:paraId="2E431E89" w14:textId="77777777" w:rsidR="00ED1AE6" w:rsidRPr="00ED1AE6" w:rsidRDefault="00ED1AE6" w:rsidP="00ED1AE6">
      <w:pPr>
        <w:spacing w:before="240" w:after="240" w:line="240" w:lineRule="auto"/>
        <w:jc w:val="center"/>
        <w:rPr>
          <w:rFonts w:eastAsia="Calibri" w:cstheme="minorHAnsi"/>
          <w:b/>
          <w:color w:val="808080"/>
          <w:sz w:val="24"/>
          <w:szCs w:val="24"/>
          <w:lang w:val="es-419" w:eastAsia="es-CO"/>
        </w:rPr>
      </w:pPr>
      <w:r w:rsidRPr="00ED1AE6">
        <w:rPr>
          <w:rFonts w:eastAsia="Calibri" w:cstheme="minorHAnsi"/>
          <w:b/>
          <w:color w:val="808080"/>
          <w:sz w:val="24"/>
          <w:szCs w:val="24"/>
          <w:lang w:val="es-419" w:eastAsia="es-CO"/>
        </w:rPr>
        <w:t>Fuente: Contraloría General</w:t>
      </w:r>
    </w:p>
    <w:p w14:paraId="5FF73001" w14:textId="1ACABAB2" w:rsidR="00ED1AE6" w:rsidRPr="00ED1AE6" w:rsidRDefault="00995DED" w:rsidP="00ED1AE6">
      <w:pPr>
        <w:spacing w:before="240" w:after="240" w:line="240" w:lineRule="auto"/>
        <w:jc w:val="both"/>
        <w:rPr>
          <w:rFonts w:eastAsia="Calibri" w:cstheme="minorHAnsi"/>
          <w:b/>
          <w:sz w:val="24"/>
          <w:szCs w:val="24"/>
          <w:lang w:val="es-419" w:eastAsia="es-CO"/>
        </w:rPr>
      </w:pPr>
      <w:r w:rsidRPr="00ED1AE6">
        <w:rPr>
          <w:rFonts w:eastAsia="Calibri" w:cstheme="minorHAnsi"/>
          <w:b/>
          <w:sz w:val="24"/>
          <w:szCs w:val="24"/>
          <w:lang w:val="es-419" w:eastAsia="es-CO"/>
        </w:rPr>
        <w:lastRenderedPageBreak/>
        <w:t>EFECTOS DE LA MALNUTRICIÓN</w:t>
      </w:r>
      <w:r>
        <w:rPr>
          <w:rFonts w:eastAsia="Calibri" w:cstheme="minorHAnsi"/>
          <w:b/>
          <w:sz w:val="24"/>
          <w:szCs w:val="24"/>
          <w:lang w:val="es-419" w:eastAsia="es-CO"/>
        </w:rPr>
        <w:t>:</w:t>
      </w:r>
    </w:p>
    <w:p w14:paraId="28F98615"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La importancia de los programas de alimentación en el entorno escolar reside principalmente en los beneficios ampliamente comprobados que conlleva evitar la malnutrición de los niños, niñas y adolescentes especialmente en los primeros años de estudio y a lo largo de las fases de la infancia y posterior adolescencia, así como las ventajas comparativas que una buena alimentación, balanceada y rica en nutrientes esenciales tiene a lo largo del proceso de aprendizaje que se lleva a cabo por los planteles educativos donde los programas son ejecutados. A continuación, y valiéndonos de fuentes nacionales e internacionales, relacionamos las problemáticas derivadas de la malnutrición en la etapa escolar y cómo estás se pueden evitar manteniendo programas sólidos y de carácter continuo.</w:t>
      </w:r>
    </w:p>
    <w:p w14:paraId="0799A6CE"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En primera instancia, el Instituto Colombiano de Bienestar Familiar (ICBF) en su informe "Señales de alerta de la desnutrición infantil" define la desnutrición infantil como enfermedad se padece como resultado del consumo deficiente de alimentos no solo en cantidad sino también en calidad siendo tan importante el número de ingestas diarias como la cantidad de porciones y los diferentes tipos de alimentos consumidos en cada una de estas, siendo condición esencial para la aparición repetitiva y repentina de enfermedades infecciosas y de factores sociales que afectan el estado nutricional de la niñez. Adicionalmente, señalan en dicho informe, citando al Fondo de las Naciones Unidas para la Infancia (Unicef), que esta situación afecta especialmente a niños y niñas en sus primeros años de vida y genera graves consecuencias en su desarrollo físico y cognitivo dependiendo de su nivel de gravedad. Incluso, puede llegar a provocar la muerte si no recibe atención adecuada y oportuna (ICBF,2019).</w:t>
      </w:r>
    </w:p>
    <w:p w14:paraId="2CA0D1C7"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La Organización Mundial de la Salud (OMS), máxima autoridad en salud a nivel mundial, específica en el apartado dedicado a la malnutrición de su página web que "las repercusiones en el desarrollo y las consecuencias de índole económica, social y médica de la carga mundial de la malnutrición son graves y duraderas, para las personas y sus familias, para las comunidades y para los países" (OMS, 2021). Adicionalmente, la organización recalca en este mismo sentido que el retraso del crecimiento producto de una alimentación deficiente no permite que los niños, niñas y adolescentes fomenten plenamente su potencial físico y cognitivo. Los niños, niñas y adolescentes que poseen un peso significativamente más bajo que el correspondiente a su edad padecen insuficiencia ponderal. Un niño con insuficiencia ponderal puede presentar a la vez retraso del crecimiento y/o emaciación.</w:t>
      </w:r>
    </w:p>
    <w:p w14:paraId="309C87D3"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En este mismo sentido, La Comisión Económica para América Latina y el Caribe (CEPAL) concluye que "la desnutrición crónica es un factor de riesgo para el desarrollo integral de los niños niñas y adolescentes, habiendo revisado una serie de estudios, encuentran que el bajo crecimiento estaría relacionado con baja estatura en la adultez, menos años de escolaridad y menor funcionamiento intelectual" (CEPAL,2018).</w:t>
      </w:r>
    </w:p>
    <w:p w14:paraId="00137CE7"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lastRenderedPageBreak/>
        <w:t>Por último, la Defensoría del Pueblo en su publicación "Desnutrición en la primera infancia: Causas estructurales y vulneraciones prevenibles y evitables" afirma que la desnutrición crónica posee efectos devastadores en la vida de los infantes a corto, mediano y largo plazo. Los impactos directos en la salud de los menores son evidentes y variados, debido a que multiplica exponencialmente las probabilidades de sufrir enfermedades como la neumonía, la diarrea o la malaria. Es por esta razón, señala el documento, que la desnutrición es uno de los principales factores de riesgo que impiden la supervivencia infantil. Las defensas debilitadas se ven imposibilitadas en cumplir su misión esencial de hacer frente a las enfermedades y, cuando la desnutrición se complica, el riesgo de muerte es muy alto. Una niña o niño víctima de desnutrición aguda grave es propenso a morir a edades tempranas en una proporción 9 veces mayor que uno cuyo estado nutricional se encuentre en niveles considerados normales y a acordé con los lineamientos establecidos por la organización (Defensoría, 2021, pg. 31).</w:t>
      </w:r>
    </w:p>
    <w:p w14:paraId="06AB55D4"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Para aterrizar la discusión sobre la problemática de la malnutrición en niños niñas y adolescentes en el caso específico de Colombia es muy importante tomar en cuenta las cifras suscitadas por el ICBF en la Encuesta Nacional de Situación Nutricional (ENSIN) cuya última publicación se realizó en el año 2015 y muestra datos importantes que permiten analizar de una manera específica las cuestiones anteriormente manifestadas. Según esta encuesta se considera a la edad escolar como una de las fases más importantes del crecimiento humano en la cual los menores experimentan un continuo crecimiento, afianzan sus gustos y hábitos alimenticios y comienza el proceso de por el cual se adaptarán a la alimentación de adulto. El documento añade que "siete de cada 100 menores en edad escolar presentan desnutrición crónica. En los indígenas, 30 de cada 100 menores presentan este problema, mientras que esta situación se extiende a 11 de cada 100 niños de los hogares más pobres del país. El exceso de peso en los menores en edad escolar se incrementó de 18,8% en 2010 a 24,4% en 2015" (ENSIN, 2015). Además la encuesta publicada relaciona otros problemas de salud pública a la desnutrición que en principio pudieran no parecer de índoles similares pero que te dejan una explicación más acertada entendiendo las problemáticas propias que la mala nutrición tiene en la salud mental y psicosocial y es  el tiempo excesivo frente a pantallas, aquel que niños, niñas y jóvenes dedican a actividades sedentarias como ver televisión o jugar a videojuegos, lo cual según el registro estaría afectando a  aproximadamente siete de cada diez menores en áreas urbanas, y a cinco de cada diez en zonas rurales. Este problema se ve acrecentado entre la población de ingresos superiores, donde estaría perjudicando a un aproximado de ocho de cada diez escolares (ENSIN, 2015).</w:t>
      </w:r>
    </w:p>
    <w:p w14:paraId="76086A6C"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En conclusión, las múltiples fuentes citadas y revisadas dan muestra de la grave problemática a la que se enfrentan niños, niñas y adolescentes cuando las condiciones que respecta a su alimentación no se satisfacen de manera efectiva produciendo una importante cantidad de alteraciones negativas a la salud psicosocial, física y química del cuerpo. Estos documentos poseen muchas características en común dejando claro que es imperativo crear las condiciones necesarias para que la comunidad específica a quién está dirigida el programa puedan continuar </w:t>
      </w:r>
      <w:r w:rsidRPr="00ED1AE6">
        <w:rPr>
          <w:rFonts w:eastAsia="Calibri" w:cstheme="minorHAnsi"/>
          <w:sz w:val="24"/>
          <w:szCs w:val="24"/>
          <w:lang w:val="es-419" w:eastAsia="es-CO"/>
        </w:rPr>
        <w:lastRenderedPageBreak/>
        <w:t>de manera satisfactoria recibiendo una importante carga de nutricional que contribuya a un crecimiento sano y a una formación óptima en el ambiente escolar; es por las múltiples razones expuestas con anterioridad que asegurar por la vía de políticas estatales continuas y con garantías de recursos los programas de alimentación escolar se convierte hoy más que nunca en una responsabilidad para con las infancias felices, activas y sanas.</w:t>
      </w:r>
    </w:p>
    <w:p w14:paraId="3BE7B8E0"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Cita Contraloría: </w:t>
      </w:r>
      <w:hyperlink r:id="rId10" w:history="1">
        <w:r w:rsidRPr="00ED1AE6">
          <w:rPr>
            <w:rFonts w:eastAsia="Calibri" w:cstheme="minorHAnsi"/>
            <w:color w:val="0000FF"/>
            <w:sz w:val="24"/>
            <w:szCs w:val="24"/>
            <w:u w:val="single"/>
            <w:lang w:val="es-419" w:eastAsia="es-CO"/>
          </w:rPr>
          <w:t>https://www.contraloria.gov.co/es/w/comoterminoprogramapae</w:t>
        </w:r>
      </w:hyperlink>
      <w:r w:rsidRPr="00ED1AE6">
        <w:rPr>
          <w:rFonts w:eastAsia="Calibri" w:cstheme="minorHAnsi"/>
          <w:sz w:val="24"/>
          <w:szCs w:val="24"/>
          <w:lang w:val="es-419" w:eastAsia="es-CO"/>
        </w:rPr>
        <w:t xml:space="preserve"> </w:t>
      </w:r>
    </w:p>
    <w:p w14:paraId="43AC3294" w14:textId="77777777" w:rsidR="00ED1AE6" w:rsidRPr="00ED1AE6" w:rsidRDefault="00ED1AE6" w:rsidP="00ED1AE6">
      <w:pPr>
        <w:spacing w:before="240" w:after="240" w:line="240" w:lineRule="auto"/>
        <w:jc w:val="both"/>
        <w:rPr>
          <w:rFonts w:eastAsia="Calibri" w:cstheme="minorHAnsi"/>
          <w:color w:val="1155CC"/>
          <w:sz w:val="24"/>
          <w:szCs w:val="24"/>
          <w:u w:val="single"/>
          <w:lang w:val="es-419" w:eastAsia="es-CO"/>
        </w:rPr>
      </w:pPr>
      <w:r w:rsidRPr="00ED1AE6">
        <w:rPr>
          <w:rFonts w:eastAsia="Calibri" w:cstheme="minorHAnsi"/>
          <w:sz w:val="24"/>
          <w:szCs w:val="24"/>
          <w:lang w:val="es-419" w:eastAsia="es-CO"/>
        </w:rPr>
        <w:t>Cita ICBF:</w:t>
      </w:r>
      <w:hyperlink r:id="rId11" w:anchor=":~:text=La%20desnutrici%C3%B3n%20infantil%20es%20una,estado%20nutricional%20de%20la%20ni%C3%B1ez">
        <w:r w:rsidRPr="00ED1AE6">
          <w:rPr>
            <w:rFonts w:eastAsia="Calibri" w:cstheme="minorHAnsi"/>
            <w:sz w:val="24"/>
            <w:szCs w:val="24"/>
            <w:lang w:val="es-419" w:eastAsia="es-CO"/>
          </w:rPr>
          <w:t xml:space="preserve"> </w:t>
        </w:r>
      </w:hyperlink>
      <w:hyperlink r:id="rId12" w:anchor=":~:text=La%20desnutrici%C3%B3n%20infantil%20es%20una,estado%20nutricional%20de%20la%20ni%C3%B1ez">
        <w:r w:rsidRPr="00ED1AE6">
          <w:rPr>
            <w:rFonts w:eastAsia="Calibri" w:cstheme="minorHAnsi"/>
            <w:color w:val="1155CC"/>
            <w:sz w:val="24"/>
            <w:szCs w:val="24"/>
            <w:u w:val="single"/>
            <w:lang w:val="es-419" w:eastAsia="es-CO"/>
          </w:rPr>
          <w:t>https://www.icbf.gov.co/ser-papas/senales-de-alerta-de-la-desnutricion-infantil#:~:text=La%20desnutrici%C3%B3n%20infantil%20es%20una,estado%20nutricional%20de%20la%20ni%C3%B1ez</w:t>
        </w:r>
      </w:hyperlink>
    </w:p>
    <w:p w14:paraId="401D435D" w14:textId="77777777" w:rsidR="00ED1AE6" w:rsidRPr="00ED1AE6" w:rsidRDefault="00ED1AE6" w:rsidP="00ED1AE6">
      <w:pPr>
        <w:spacing w:before="240" w:after="240" w:line="240" w:lineRule="auto"/>
        <w:jc w:val="both"/>
        <w:rPr>
          <w:rFonts w:eastAsia="Calibri" w:cstheme="minorHAnsi"/>
          <w:color w:val="1155CC"/>
          <w:sz w:val="24"/>
          <w:szCs w:val="24"/>
          <w:u w:val="single"/>
          <w:lang w:val="es-419" w:eastAsia="es-CO"/>
        </w:rPr>
      </w:pPr>
      <w:r w:rsidRPr="00ED1AE6">
        <w:rPr>
          <w:rFonts w:eastAsia="Calibri" w:cstheme="minorHAnsi"/>
          <w:sz w:val="24"/>
          <w:szCs w:val="24"/>
          <w:lang w:val="es-419" w:eastAsia="es-CO"/>
        </w:rPr>
        <w:t>Cita CEPAL:</w:t>
      </w:r>
      <w:hyperlink r:id="rId13" w:anchor=":~:text=En%20el%20caso%20de%20la%20malnutrici%C3%B3n%20por%20exceso%2C%20el%20sobrepeso,2%20y%20alta%20presi%C3%B3n%20arterial">
        <w:r w:rsidRPr="00ED1AE6">
          <w:rPr>
            <w:rFonts w:eastAsia="Calibri" w:cstheme="minorHAnsi"/>
            <w:sz w:val="24"/>
            <w:szCs w:val="24"/>
            <w:lang w:val="es-419" w:eastAsia="es-CO"/>
          </w:rPr>
          <w:t xml:space="preserve"> </w:t>
        </w:r>
      </w:hyperlink>
      <w:hyperlink r:id="rId14" w:anchor=":~:text=En%20el%20caso%20de%20la%20malnutrici%C3%B3n%20por%20exceso%2C%20el%20sobrepeso,2%20y%20alta%20presi%C3%B3n%20arterial">
        <w:r w:rsidRPr="00ED1AE6">
          <w:rPr>
            <w:rFonts w:eastAsia="Calibri" w:cstheme="minorHAnsi"/>
            <w:color w:val="1155CC"/>
            <w:sz w:val="24"/>
            <w:szCs w:val="24"/>
            <w:u w:val="single"/>
            <w:lang w:val="es-419" w:eastAsia="es-CO"/>
          </w:rPr>
          <w:t>https://www.cepal.org/es/enfoques/malnutricion-ninos-ninas-america-latina-caribe#:~:text=En%20el%20caso%20de%20la%20malnutrici%C3%B3n%20por%20exceso%2C%20el%20sobrepeso,2%20y%20alta%20presi%C3%B3n%20arterial</w:t>
        </w:r>
      </w:hyperlink>
    </w:p>
    <w:p w14:paraId="3DAE1A55" w14:textId="77777777" w:rsidR="00ED1AE6" w:rsidRPr="00ED1AE6" w:rsidRDefault="00ED1AE6" w:rsidP="00ED1AE6">
      <w:pPr>
        <w:spacing w:before="240" w:after="240" w:line="240" w:lineRule="auto"/>
        <w:jc w:val="both"/>
        <w:rPr>
          <w:rFonts w:eastAsia="Calibri" w:cstheme="minorHAnsi"/>
          <w:color w:val="1155CC"/>
          <w:sz w:val="24"/>
          <w:szCs w:val="24"/>
          <w:u w:val="single"/>
          <w:lang w:val="es-419" w:eastAsia="es-CO"/>
        </w:rPr>
      </w:pPr>
      <w:r w:rsidRPr="00ED1AE6">
        <w:rPr>
          <w:rFonts w:eastAsia="Calibri" w:cstheme="minorHAnsi"/>
          <w:sz w:val="24"/>
          <w:szCs w:val="24"/>
          <w:lang w:val="es-419" w:eastAsia="es-CO"/>
        </w:rPr>
        <w:t>Cita OMS:</w:t>
      </w:r>
      <w:hyperlink r:id="rId15">
        <w:r w:rsidRPr="00ED1AE6">
          <w:rPr>
            <w:rFonts w:eastAsia="Calibri" w:cstheme="minorHAnsi"/>
            <w:sz w:val="24"/>
            <w:szCs w:val="24"/>
            <w:lang w:val="es-419" w:eastAsia="es-CO"/>
          </w:rPr>
          <w:t xml:space="preserve"> </w:t>
        </w:r>
      </w:hyperlink>
      <w:hyperlink r:id="rId16">
        <w:r w:rsidRPr="00ED1AE6">
          <w:rPr>
            <w:rFonts w:eastAsia="Calibri" w:cstheme="minorHAnsi"/>
            <w:color w:val="1155CC"/>
            <w:sz w:val="24"/>
            <w:szCs w:val="24"/>
            <w:u w:val="single"/>
            <w:lang w:val="es-419" w:eastAsia="es-CO"/>
          </w:rPr>
          <w:t>https://www.who.int/es/news-room/fact-sheets/detail/malnutrition</w:t>
        </w:r>
      </w:hyperlink>
    </w:p>
    <w:p w14:paraId="5B34F6A9" w14:textId="77777777" w:rsidR="00ED1AE6" w:rsidRPr="00ED1AE6" w:rsidRDefault="00ED1AE6" w:rsidP="00ED1AE6">
      <w:pPr>
        <w:spacing w:before="240" w:after="240" w:line="240" w:lineRule="auto"/>
        <w:jc w:val="both"/>
        <w:rPr>
          <w:rFonts w:eastAsia="Calibri" w:cstheme="minorHAnsi"/>
          <w:color w:val="1155CC"/>
          <w:sz w:val="24"/>
          <w:szCs w:val="24"/>
          <w:u w:val="single"/>
          <w:lang w:val="es-419" w:eastAsia="es-CO"/>
        </w:rPr>
      </w:pPr>
      <w:r w:rsidRPr="00ED1AE6">
        <w:rPr>
          <w:rFonts w:eastAsia="Calibri" w:cstheme="minorHAnsi"/>
          <w:sz w:val="24"/>
          <w:szCs w:val="24"/>
          <w:lang w:val="es-419" w:eastAsia="es-CO"/>
        </w:rPr>
        <w:t>Cita ENSIN:</w:t>
      </w:r>
      <w:hyperlink r:id="rId17" w:anchor="ensin3">
        <w:r w:rsidRPr="00ED1AE6">
          <w:rPr>
            <w:rFonts w:eastAsia="Calibri" w:cstheme="minorHAnsi"/>
            <w:sz w:val="24"/>
            <w:szCs w:val="24"/>
            <w:lang w:val="es-419" w:eastAsia="es-CO"/>
          </w:rPr>
          <w:t xml:space="preserve"> </w:t>
        </w:r>
      </w:hyperlink>
      <w:hyperlink r:id="rId18" w:anchor="ensin3">
        <w:r w:rsidRPr="00ED1AE6">
          <w:rPr>
            <w:rFonts w:eastAsia="Calibri" w:cstheme="minorHAnsi"/>
            <w:color w:val="1155CC"/>
            <w:sz w:val="24"/>
            <w:szCs w:val="24"/>
            <w:u w:val="single"/>
            <w:lang w:val="es-419" w:eastAsia="es-CO"/>
          </w:rPr>
          <w:t>https://www.icbf.gov.co/bienestar/nutricion/encuesta-nacional-situacion-nutricional#ensin3</w:t>
        </w:r>
      </w:hyperlink>
    </w:p>
    <w:p w14:paraId="19E78BB0" w14:textId="77777777" w:rsidR="00ED1AE6" w:rsidRPr="00ED1AE6" w:rsidRDefault="00ED1AE6" w:rsidP="00ED1AE6">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Cita Defensoría: </w:t>
      </w:r>
      <w:hyperlink r:id="rId19" w:history="1">
        <w:r w:rsidRPr="00ED1AE6">
          <w:rPr>
            <w:rFonts w:eastAsia="Calibri" w:cstheme="minorHAnsi"/>
            <w:color w:val="0000FF"/>
            <w:sz w:val="24"/>
            <w:szCs w:val="24"/>
            <w:u w:val="single"/>
            <w:lang w:val="es-419" w:eastAsia="es-CO"/>
          </w:rPr>
          <w:t>https://www.defensoria.gov.co/attachment/3855/Informe%20Desnutricion%28V2%29-Dg.pdf?g_show_in_browser=1</w:t>
        </w:r>
      </w:hyperlink>
      <w:r w:rsidRPr="00ED1AE6">
        <w:rPr>
          <w:rFonts w:eastAsia="Calibri" w:cstheme="minorHAnsi"/>
          <w:sz w:val="24"/>
          <w:szCs w:val="24"/>
          <w:lang w:val="es-419" w:eastAsia="es-CO"/>
        </w:rPr>
        <w:t xml:space="preserve"> </w:t>
      </w:r>
    </w:p>
    <w:p w14:paraId="51E1E779" w14:textId="76DE6311" w:rsidR="00AE6F00" w:rsidRDefault="00ED1AE6" w:rsidP="00FD7D51">
      <w:pPr>
        <w:spacing w:before="240" w:after="240" w:line="240" w:lineRule="auto"/>
        <w:jc w:val="both"/>
        <w:rPr>
          <w:rFonts w:eastAsia="Calibri" w:cstheme="minorHAnsi"/>
          <w:sz w:val="24"/>
          <w:szCs w:val="24"/>
          <w:lang w:val="es-419" w:eastAsia="es-CO"/>
        </w:rPr>
      </w:pPr>
      <w:r w:rsidRPr="00ED1AE6">
        <w:rPr>
          <w:rFonts w:eastAsia="Calibri" w:cstheme="minorHAnsi"/>
          <w:sz w:val="24"/>
          <w:szCs w:val="24"/>
          <w:lang w:val="es-419" w:eastAsia="es-CO"/>
        </w:rPr>
        <w:t xml:space="preserve"> </w:t>
      </w:r>
    </w:p>
    <w:p w14:paraId="4C8B7418" w14:textId="1CF18C5F" w:rsidR="00FD7D51" w:rsidRDefault="00FD7D51" w:rsidP="00FD7D51">
      <w:pPr>
        <w:spacing w:before="240" w:after="240" w:line="240" w:lineRule="auto"/>
        <w:jc w:val="both"/>
        <w:rPr>
          <w:rFonts w:eastAsia="Calibri" w:cstheme="minorHAnsi"/>
          <w:sz w:val="24"/>
          <w:szCs w:val="24"/>
          <w:lang w:val="es-419" w:eastAsia="es-CO"/>
        </w:rPr>
      </w:pPr>
    </w:p>
    <w:p w14:paraId="79A2CF35" w14:textId="75F41505" w:rsidR="00FD7D51" w:rsidRDefault="00FD7D51" w:rsidP="00FD7D51">
      <w:pPr>
        <w:spacing w:before="240" w:after="240" w:line="240" w:lineRule="auto"/>
        <w:jc w:val="both"/>
        <w:rPr>
          <w:rFonts w:eastAsia="Calibri" w:cstheme="minorHAnsi"/>
          <w:sz w:val="24"/>
          <w:szCs w:val="24"/>
          <w:lang w:val="es-419" w:eastAsia="es-CO"/>
        </w:rPr>
      </w:pPr>
    </w:p>
    <w:p w14:paraId="2FD748E5" w14:textId="71143834" w:rsidR="00FD7D51" w:rsidRDefault="00FD7D51" w:rsidP="00FD7D51">
      <w:pPr>
        <w:spacing w:before="240" w:after="240" w:line="240" w:lineRule="auto"/>
        <w:jc w:val="both"/>
        <w:rPr>
          <w:rFonts w:eastAsia="Calibri" w:cstheme="minorHAnsi"/>
          <w:sz w:val="24"/>
          <w:szCs w:val="24"/>
          <w:lang w:val="es-419" w:eastAsia="es-CO"/>
        </w:rPr>
      </w:pPr>
    </w:p>
    <w:p w14:paraId="2FBD19E1" w14:textId="0496914D" w:rsidR="00FD7D51" w:rsidRDefault="00FD7D51" w:rsidP="00FD7D51">
      <w:pPr>
        <w:spacing w:before="240" w:after="240" w:line="240" w:lineRule="auto"/>
        <w:jc w:val="both"/>
        <w:rPr>
          <w:rFonts w:eastAsia="Calibri" w:cstheme="minorHAnsi"/>
          <w:sz w:val="24"/>
          <w:szCs w:val="24"/>
          <w:lang w:val="es-419" w:eastAsia="es-CO"/>
        </w:rPr>
      </w:pPr>
    </w:p>
    <w:p w14:paraId="1F50F22B" w14:textId="7F672220" w:rsidR="00FD7D51" w:rsidRDefault="00FD7D51" w:rsidP="00FD7D51">
      <w:pPr>
        <w:spacing w:before="240" w:after="240" w:line="240" w:lineRule="auto"/>
        <w:jc w:val="both"/>
        <w:rPr>
          <w:rFonts w:eastAsia="Calibri" w:cstheme="minorHAnsi"/>
          <w:sz w:val="24"/>
          <w:szCs w:val="24"/>
          <w:lang w:val="es-419" w:eastAsia="es-CO"/>
        </w:rPr>
      </w:pPr>
    </w:p>
    <w:p w14:paraId="329522E8" w14:textId="1E68ECBC" w:rsidR="00FD7D51" w:rsidRDefault="00FD7D51" w:rsidP="00FD7D51">
      <w:pPr>
        <w:spacing w:before="240" w:after="240" w:line="240" w:lineRule="auto"/>
        <w:jc w:val="both"/>
        <w:rPr>
          <w:rFonts w:eastAsia="Calibri" w:cstheme="minorHAnsi"/>
          <w:sz w:val="24"/>
          <w:szCs w:val="24"/>
          <w:lang w:val="es-419" w:eastAsia="es-CO"/>
        </w:rPr>
      </w:pPr>
    </w:p>
    <w:p w14:paraId="3A4EA297" w14:textId="75C060D4" w:rsidR="00FD7D51" w:rsidRDefault="00FD7D51" w:rsidP="00FD7D51">
      <w:pPr>
        <w:spacing w:before="240" w:after="240" w:line="240" w:lineRule="auto"/>
        <w:jc w:val="both"/>
        <w:rPr>
          <w:rFonts w:eastAsia="Calibri" w:cstheme="minorHAnsi"/>
          <w:sz w:val="24"/>
          <w:szCs w:val="24"/>
          <w:lang w:val="es-419" w:eastAsia="es-CO"/>
        </w:rPr>
      </w:pPr>
    </w:p>
    <w:p w14:paraId="704FAD62" w14:textId="77777777" w:rsidR="00FD7D51" w:rsidRPr="00FD7D51" w:rsidRDefault="00FD7D51" w:rsidP="00FD7D51">
      <w:pPr>
        <w:spacing w:before="240" w:after="240" w:line="240" w:lineRule="auto"/>
        <w:jc w:val="both"/>
        <w:rPr>
          <w:rFonts w:eastAsia="Calibri" w:cstheme="minorHAnsi"/>
          <w:sz w:val="24"/>
          <w:szCs w:val="24"/>
          <w:lang w:val="es-419" w:eastAsia="es-CO"/>
        </w:rPr>
      </w:pPr>
    </w:p>
    <w:p w14:paraId="3B9DB2BE" w14:textId="655D1E26" w:rsidR="00561D0F" w:rsidRPr="00ED1AE6" w:rsidRDefault="00ED1AE6" w:rsidP="00267A9D">
      <w:pPr>
        <w:spacing w:after="160"/>
        <w:jc w:val="center"/>
        <w:rPr>
          <w:rFonts w:eastAsia="Calibri" w:cstheme="minorHAnsi"/>
          <w:b/>
          <w:bCs/>
          <w:sz w:val="24"/>
          <w:szCs w:val="24"/>
        </w:rPr>
      </w:pPr>
      <w:r w:rsidRPr="00ED1AE6">
        <w:rPr>
          <w:rFonts w:eastAsia="Calibri" w:cstheme="minorHAnsi"/>
          <w:b/>
          <w:bCs/>
          <w:sz w:val="24"/>
          <w:szCs w:val="24"/>
        </w:rPr>
        <w:lastRenderedPageBreak/>
        <w:t xml:space="preserve">PROYECTO DE LEY </w:t>
      </w:r>
      <w:r w:rsidR="00561D0F" w:rsidRPr="00ED1AE6">
        <w:rPr>
          <w:rFonts w:eastAsia="Calibri" w:cstheme="minorHAnsi"/>
          <w:b/>
          <w:bCs/>
          <w:sz w:val="24"/>
          <w:szCs w:val="24"/>
        </w:rPr>
        <w:t>No ------- DE 2022 CAMARA</w:t>
      </w:r>
    </w:p>
    <w:p w14:paraId="61CF210F" w14:textId="5CBF6568" w:rsidR="00ED1AE6" w:rsidRPr="00ED1AE6" w:rsidRDefault="00561D0F" w:rsidP="00ED1AE6">
      <w:pPr>
        <w:tabs>
          <w:tab w:val="left" w:pos="2565"/>
        </w:tabs>
        <w:spacing w:after="160"/>
        <w:jc w:val="center"/>
        <w:rPr>
          <w:rFonts w:eastAsia="Calibri" w:cstheme="minorHAnsi"/>
          <w:b/>
          <w:bCs/>
          <w:i/>
          <w:iCs/>
          <w:sz w:val="24"/>
          <w:szCs w:val="24"/>
          <w:lang w:val="es-ES_tradnl"/>
        </w:rPr>
      </w:pPr>
      <w:r w:rsidRPr="00ED1AE6">
        <w:rPr>
          <w:rFonts w:eastAsia="Calibri" w:cstheme="minorHAnsi"/>
          <w:b/>
          <w:sz w:val="24"/>
          <w:szCs w:val="24"/>
        </w:rPr>
        <w:t xml:space="preserve"> “</w:t>
      </w:r>
      <w:r w:rsidR="00ED1AE6" w:rsidRPr="00ED1AE6">
        <w:rPr>
          <w:rFonts w:eastAsia="Calibri" w:cstheme="minorHAnsi"/>
          <w:b/>
          <w:bCs/>
          <w:iCs/>
          <w:sz w:val="24"/>
          <w:szCs w:val="24"/>
        </w:rPr>
        <w:t>POR EL CUAL EL PROGRAMA DE ALIMENTACION ESCOLAR – PAE, SE CONVIERTE EN POLITICA PUBLICA DE ESTADO</w:t>
      </w:r>
      <w:r w:rsidR="00ED1AE6" w:rsidRPr="00ED1AE6">
        <w:rPr>
          <w:rFonts w:eastAsia="Calibri" w:cstheme="minorHAnsi"/>
          <w:b/>
          <w:bCs/>
          <w:iCs/>
          <w:sz w:val="24"/>
          <w:szCs w:val="24"/>
          <w:lang w:val="es-ES_tradnl"/>
        </w:rPr>
        <w:t>”</w:t>
      </w:r>
    </w:p>
    <w:p w14:paraId="2BDEF752" w14:textId="6BC43385" w:rsidR="00561D0F" w:rsidRPr="00ED1AE6" w:rsidRDefault="00561D0F" w:rsidP="00561D0F">
      <w:pPr>
        <w:tabs>
          <w:tab w:val="left" w:pos="2565"/>
        </w:tabs>
        <w:spacing w:after="160"/>
        <w:jc w:val="center"/>
        <w:rPr>
          <w:rFonts w:eastAsia="Calibri" w:cstheme="minorHAnsi"/>
          <w:i/>
          <w:sz w:val="24"/>
          <w:szCs w:val="24"/>
        </w:rPr>
      </w:pPr>
    </w:p>
    <w:p w14:paraId="23C2C587" w14:textId="77777777" w:rsidR="00561D0F" w:rsidRPr="00ED1AE6" w:rsidRDefault="00561D0F" w:rsidP="00561D0F">
      <w:pPr>
        <w:tabs>
          <w:tab w:val="left" w:pos="2565"/>
        </w:tabs>
        <w:spacing w:after="0"/>
        <w:jc w:val="center"/>
        <w:rPr>
          <w:rFonts w:eastAsia="Calibri" w:cstheme="minorHAnsi"/>
          <w:b/>
          <w:sz w:val="24"/>
          <w:szCs w:val="24"/>
        </w:rPr>
      </w:pPr>
      <w:r w:rsidRPr="00ED1AE6">
        <w:rPr>
          <w:rFonts w:eastAsia="Calibri" w:cstheme="minorHAnsi"/>
          <w:b/>
          <w:sz w:val="24"/>
          <w:szCs w:val="24"/>
        </w:rPr>
        <w:t>EL CONGRESO DE COLOMBIA</w:t>
      </w:r>
    </w:p>
    <w:p w14:paraId="0220A37D" w14:textId="77777777" w:rsidR="00561D0F" w:rsidRPr="00ED1AE6" w:rsidRDefault="00561D0F" w:rsidP="00561D0F">
      <w:pPr>
        <w:tabs>
          <w:tab w:val="left" w:pos="2565"/>
        </w:tabs>
        <w:spacing w:after="0"/>
        <w:jc w:val="center"/>
        <w:rPr>
          <w:rFonts w:eastAsia="Calibri" w:cstheme="minorHAnsi"/>
          <w:b/>
          <w:sz w:val="24"/>
          <w:szCs w:val="24"/>
        </w:rPr>
      </w:pPr>
    </w:p>
    <w:p w14:paraId="392CA4EA" w14:textId="77777777" w:rsidR="00561D0F" w:rsidRPr="00ED1AE6" w:rsidRDefault="00561D0F" w:rsidP="00561D0F">
      <w:pPr>
        <w:tabs>
          <w:tab w:val="left" w:pos="2565"/>
        </w:tabs>
        <w:spacing w:after="0"/>
        <w:jc w:val="center"/>
        <w:rPr>
          <w:rFonts w:eastAsia="Calibri" w:cstheme="minorHAnsi"/>
          <w:b/>
          <w:sz w:val="24"/>
          <w:szCs w:val="24"/>
        </w:rPr>
      </w:pPr>
      <w:r w:rsidRPr="00ED1AE6">
        <w:rPr>
          <w:rFonts w:eastAsia="Calibri" w:cstheme="minorHAnsi"/>
          <w:b/>
          <w:sz w:val="24"/>
          <w:szCs w:val="24"/>
        </w:rPr>
        <w:t>DECRETA:</w:t>
      </w:r>
    </w:p>
    <w:p w14:paraId="00BF68D3" w14:textId="60C9D521" w:rsidR="00561D0F" w:rsidRPr="00FD7D51" w:rsidRDefault="00561D0F" w:rsidP="00FD7D51">
      <w:pPr>
        <w:tabs>
          <w:tab w:val="left" w:pos="2565"/>
        </w:tabs>
        <w:spacing w:after="0" w:line="240" w:lineRule="auto"/>
        <w:jc w:val="center"/>
        <w:rPr>
          <w:rFonts w:eastAsia="Calibri" w:cstheme="minorHAnsi"/>
          <w:b/>
          <w:sz w:val="24"/>
          <w:szCs w:val="24"/>
        </w:rPr>
      </w:pPr>
    </w:p>
    <w:p w14:paraId="009FF48C" w14:textId="77777777" w:rsidR="00FD7D51" w:rsidRPr="00FD7D51" w:rsidRDefault="00FD7D51" w:rsidP="00AD796D">
      <w:pPr>
        <w:spacing w:after="0" w:line="240" w:lineRule="auto"/>
        <w:jc w:val="both"/>
        <w:rPr>
          <w:rFonts w:cstheme="minorHAnsi"/>
          <w:sz w:val="24"/>
          <w:szCs w:val="24"/>
        </w:rPr>
      </w:pPr>
      <w:r w:rsidRPr="00FD7D51">
        <w:rPr>
          <w:rFonts w:cstheme="minorHAnsi"/>
          <w:b/>
          <w:sz w:val="24"/>
          <w:szCs w:val="24"/>
        </w:rPr>
        <w:t>Artículo 1. Naturaleza.</w:t>
      </w:r>
      <w:r w:rsidRPr="00FD7D51">
        <w:rPr>
          <w:rFonts w:cstheme="minorHAnsi"/>
          <w:sz w:val="24"/>
          <w:szCs w:val="24"/>
        </w:rPr>
        <w:t xml:space="preserve"> Conviértase el programa de alimentación escolar – PAE en política pública de Estado.</w:t>
      </w:r>
    </w:p>
    <w:p w14:paraId="17541FB0" w14:textId="77777777" w:rsidR="00FD7D51" w:rsidRDefault="00FD7D51" w:rsidP="00AD796D">
      <w:pPr>
        <w:autoSpaceDE w:val="0"/>
        <w:autoSpaceDN w:val="0"/>
        <w:adjustRightInd w:val="0"/>
        <w:spacing w:after="0" w:line="240" w:lineRule="auto"/>
        <w:jc w:val="both"/>
        <w:rPr>
          <w:rFonts w:cstheme="minorHAnsi"/>
          <w:b/>
          <w:sz w:val="24"/>
          <w:szCs w:val="24"/>
        </w:rPr>
      </w:pPr>
    </w:p>
    <w:p w14:paraId="137550D7" w14:textId="4B91115E" w:rsidR="00FD7D51" w:rsidRPr="00FD7D51" w:rsidRDefault="00FD7D51" w:rsidP="00AD796D">
      <w:pPr>
        <w:autoSpaceDE w:val="0"/>
        <w:autoSpaceDN w:val="0"/>
        <w:adjustRightInd w:val="0"/>
        <w:spacing w:after="0" w:line="240" w:lineRule="auto"/>
        <w:jc w:val="both"/>
        <w:rPr>
          <w:rFonts w:cstheme="minorHAnsi"/>
          <w:sz w:val="24"/>
          <w:szCs w:val="24"/>
        </w:rPr>
      </w:pPr>
      <w:r w:rsidRPr="00FD7D51">
        <w:rPr>
          <w:rFonts w:cstheme="minorHAnsi"/>
          <w:b/>
          <w:sz w:val="24"/>
          <w:szCs w:val="24"/>
        </w:rPr>
        <w:t>Artículo 2. Objeto.</w:t>
      </w:r>
      <w:r w:rsidRPr="00FD7D51">
        <w:rPr>
          <w:rFonts w:cstheme="minorHAnsi"/>
          <w:sz w:val="24"/>
          <w:szCs w:val="24"/>
        </w:rPr>
        <w:t xml:space="preserve"> </w:t>
      </w:r>
      <w:r w:rsidRPr="00FD7D51">
        <w:rPr>
          <w:rFonts w:cstheme="minorHAnsi"/>
          <w:bCs/>
          <w:sz w:val="24"/>
          <w:szCs w:val="24"/>
        </w:rPr>
        <w:t xml:space="preserve">El programa de alimentación escolar – tiene por objeto </w:t>
      </w:r>
      <w:r w:rsidRPr="00FD7D51">
        <w:rPr>
          <w:rFonts w:cstheme="minorHAnsi"/>
          <w:sz w:val="24"/>
          <w:szCs w:val="24"/>
        </w:rPr>
        <w:t>suministrar un complemento alimentario que contribuya al acceso con permanencia en la jornada académica, de los niños, niñas, adolescentes y jóvenes, registrados en la matrícula oficial, fomentando hábitos alimentarios saludables.</w:t>
      </w:r>
    </w:p>
    <w:p w14:paraId="0FE12690" w14:textId="77777777" w:rsidR="00FD7D51" w:rsidRDefault="00FD7D51" w:rsidP="00AD796D">
      <w:pPr>
        <w:spacing w:after="0" w:line="240" w:lineRule="auto"/>
        <w:jc w:val="both"/>
        <w:rPr>
          <w:rFonts w:cstheme="minorHAnsi"/>
          <w:sz w:val="24"/>
          <w:szCs w:val="24"/>
        </w:rPr>
      </w:pPr>
    </w:p>
    <w:p w14:paraId="39657616" w14:textId="095152C6" w:rsidR="00FD7D51" w:rsidRPr="00FD7D51" w:rsidRDefault="00FD7D51" w:rsidP="00AD796D">
      <w:pPr>
        <w:spacing w:after="0" w:line="240" w:lineRule="auto"/>
        <w:jc w:val="both"/>
        <w:rPr>
          <w:rFonts w:cstheme="minorHAnsi"/>
          <w:sz w:val="24"/>
          <w:szCs w:val="24"/>
        </w:rPr>
      </w:pPr>
      <w:r w:rsidRPr="00FD7D51">
        <w:rPr>
          <w:rFonts w:cstheme="minorHAnsi"/>
          <w:b/>
          <w:sz w:val="24"/>
          <w:szCs w:val="24"/>
        </w:rPr>
        <w:t>Artículo 3.</w:t>
      </w:r>
      <w:r w:rsidRPr="00FD7D51">
        <w:rPr>
          <w:rFonts w:cstheme="minorHAnsi"/>
          <w:sz w:val="24"/>
          <w:szCs w:val="24"/>
        </w:rPr>
        <w:t xml:space="preserve"> </w:t>
      </w:r>
      <w:r w:rsidRPr="00FD7D51">
        <w:rPr>
          <w:rFonts w:cstheme="minorHAnsi"/>
          <w:b/>
          <w:sz w:val="24"/>
          <w:szCs w:val="24"/>
        </w:rPr>
        <w:t>Financiación y operación.</w:t>
      </w:r>
      <w:r w:rsidRPr="00FD7D51">
        <w:rPr>
          <w:rFonts w:cstheme="minorHAnsi"/>
          <w:sz w:val="24"/>
          <w:szCs w:val="24"/>
        </w:rPr>
        <w:t xml:space="preserve"> Para efectos de la presente ley, el programa de alimentación escolar – PAE, mantendrá iguales fuentes de financiación y operatividad, establecidas en la ley 1450 de 2011.  </w:t>
      </w:r>
    </w:p>
    <w:p w14:paraId="53EFFC95" w14:textId="77777777" w:rsidR="00FD7D51" w:rsidRDefault="00FD7D51" w:rsidP="00AD796D">
      <w:pPr>
        <w:spacing w:after="0" w:line="240" w:lineRule="auto"/>
        <w:jc w:val="both"/>
        <w:rPr>
          <w:rFonts w:cstheme="minorHAnsi"/>
          <w:b/>
          <w:sz w:val="24"/>
          <w:szCs w:val="24"/>
        </w:rPr>
      </w:pPr>
    </w:p>
    <w:p w14:paraId="046FFF60" w14:textId="218E1BDE" w:rsidR="00FD7D51" w:rsidRPr="00FD7D51" w:rsidRDefault="00FD7D51" w:rsidP="00AD796D">
      <w:pPr>
        <w:spacing w:after="0" w:line="240" w:lineRule="auto"/>
        <w:jc w:val="both"/>
        <w:rPr>
          <w:rFonts w:cstheme="minorHAnsi"/>
          <w:sz w:val="24"/>
          <w:szCs w:val="24"/>
        </w:rPr>
      </w:pPr>
      <w:r w:rsidRPr="00FD7D51">
        <w:rPr>
          <w:rFonts w:cstheme="minorHAnsi"/>
          <w:b/>
          <w:sz w:val="24"/>
          <w:szCs w:val="24"/>
        </w:rPr>
        <w:t xml:space="preserve">Artículo 4. Vigencia. </w:t>
      </w:r>
      <w:r w:rsidRPr="00FD7D51">
        <w:rPr>
          <w:rFonts w:cstheme="minorHAnsi"/>
          <w:sz w:val="24"/>
          <w:szCs w:val="24"/>
        </w:rPr>
        <w:t>La presente ley rige desde su promulgación</w:t>
      </w:r>
      <w:r w:rsidR="001D7734">
        <w:rPr>
          <w:rFonts w:cstheme="minorHAnsi"/>
          <w:sz w:val="24"/>
          <w:szCs w:val="24"/>
        </w:rPr>
        <w:t xml:space="preserve"> y divulgación.</w:t>
      </w:r>
    </w:p>
    <w:p w14:paraId="6827C3AE" w14:textId="77777777" w:rsidR="00FD7D51" w:rsidRPr="00FD7D51" w:rsidRDefault="00FD7D51" w:rsidP="00AD796D">
      <w:pPr>
        <w:spacing w:after="160" w:line="259" w:lineRule="auto"/>
        <w:jc w:val="both"/>
      </w:pPr>
    </w:p>
    <w:p w14:paraId="4ACF23D9" w14:textId="5ADBFFDC" w:rsidR="00561D0F" w:rsidRPr="00ED1AE6" w:rsidRDefault="00561D0F" w:rsidP="00561D0F">
      <w:pPr>
        <w:spacing w:after="160" w:line="256" w:lineRule="auto"/>
        <w:rPr>
          <w:rFonts w:eastAsia="Calibri" w:cstheme="minorHAnsi"/>
          <w:bCs/>
          <w:sz w:val="24"/>
          <w:szCs w:val="24"/>
        </w:rPr>
      </w:pPr>
    </w:p>
    <w:p w14:paraId="079F215D" w14:textId="77777777" w:rsidR="00561D0F" w:rsidRPr="00ED1AE6" w:rsidRDefault="00561D0F" w:rsidP="00561D0F">
      <w:pPr>
        <w:spacing w:after="160" w:line="256" w:lineRule="auto"/>
        <w:rPr>
          <w:rFonts w:eastAsia="Calibri" w:cstheme="minorHAnsi"/>
          <w:sz w:val="24"/>
          <w:szCs w:val="24"/>
        </w:rPr>
      </w:pPr>
      <w:r w:rsidRPr="00ED1AE6">
        <w:rPr>
          <w:rFonts w:eastAsia="Calibri" w:cstheme="minorHAnsi"/>
          <w:bCs/>
          <w:sz w:val="24"/>
          <w:szCs w:val="24"/>
        </w:rPr>
        <w:t>________________________</w:t>
      </w:r>
      <w:r w:rsidRPr="00ED1AE6">
        <w:rPr>
          <w:rFonts w:eastAsia="Calibri" w:cstheme="minorHAnsi"/>
          <w:b/>
          <w:bCs/>
          <w:sz w:val="24"/>
          <w:szCs w:val="24"/>
        </w:rPr>
        <w:t xml:space="preserve">    </w:t>
      </w:r>
      <w:r w:rsidRPr="00ED1AE6">
        <w:rPr>
          <w:rFonts w:eastAsia="Calibri" w:cstheme="minorHAnsi"/>
          <w:b/>
          <w:bCs/>
          <w:sz w:val="24"/>
          <w:szCs w:val="24"/>
        </w:rPr>
        <w:tab/>
      </w:r>
      <w:r w:rsidRPr="00ED1AE6">
        <w:rPr>
          <w:rFonts w:eastAsia="Calibri" w:cstheme="minorHAnsi"/>
          <w:b/>
          <w:bCs/>
          <w:sz w:val="24"/>
          <w:szCs w:val="24"/>
        </w:rPr>
        <w:tab/>
      </w:r>
      <w:r w:rsidRPr="00ED1AE6">
        <w:rPr>
          <w:rFonts w:eastAsia="Calibri" w:cstheme="minorHAnsi"/>
          <w:b/>
          <w:bCs/>
          <w:sz w:val="24"/>
          <w:szCs w:val="24"/>
        </w:rPr>
        <w:tab/>
      </w:r>
      <w:r w:rsidRPr="00ED1AE6">
        <w:rPr>
          <w:rFonts w:eastAsia="Calibri" w:cstheme="minorHAnsi"/>
          <w:sz w:val="24"/>
          <w:szCs w:val="24"/>
        </w:rPr>
        <w:t>_________________________</w:t>
      </w:r>
    </w:p>
    <w:p w14:paraId="7ECFA4FA" w14:textId="77902948" w:rsidR="00561D0F" w:rsidRPr="00ED1AE6" w:rsidRDefault="00F02C19" w:rsidP="00F02C19">
      <w:pPr>
        <w:spacing w:after="0" w:line="240" w:lineRule="auto"/>
        <w:rPr>
          <w:rFonts w:eastAsia="Calibri" w:cstheme="minorHAnsi"/>
          <w:b/>
          <w:sz w:val="24"/>
          <w:szCs w:val="24"/>
        </w:rPr>
      </w:pPr>
      <w:r w:rsidRPr="00ED1AE6">
        <w:rPr>
          <w:rFonts w:eastAsia="Calibri" w:cstheme="minorHAnsi"/>
          <w:b/>
          <w:sz w:val="24"/>
          <w:szCs w:val="24"/>
        </w:rPr>
        <w:t xml:space="preserve">JUAN LORETO GOMEZ </w:t>
      </w:r>
      <w:r w:rsidR="000A3F7E">
        <w:rPr>
          <w:rFonts w:eastAsia="Calibri" w:cstheme="minorHAnsi"/>
          <w:b/>
          <w:sz w:val="24"/>
          <w:szCs w:val="24"/>
        </w:rPr>
        <w:t>SOTO</w:t>
      </w:r>
    </w:p>
    <w:p w14:paraId="3254A3EF" w14:textId="0DDFCD63" w:rsidR="00F02C19" w:rsidRPr="00ED1AE6" w:rsidRDefault="00F02C19" w:rsidP="00F02C19">
      <w:pPr>
        <w:spacing w:after="0" w:line="240" w:lineRule="auto"/>
        <w:rPr>
          <w:rFonts w:eastAsia="Calibri" w:cstheme="minorHAnsi"/>
          <w:b/>
          <w:sz w:val="24"/>
          <w:szCs w:val="24"/>
        </w:rPr>
      </w:pPr>
      <w:r w:rsidRPr="00ED1AE6">
        <w:rPr>
          <w:rFonts w:eastAsia="Calibri" w:cstheme="minorHAnsi"/>
          <w:b/>
          <w:sz w:val="24"/>
          <w:szCs w:val="24"/>
        </w:rPr>
        <w:t xml:space="preserve">Partido Conservador </w:t>
      </w:r>
    </w:p>
    <w:p w14:paraId="7EF913DC"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
          <w:bCs/>
          <w:sz w:val="24"/>
          <w:szCs w:val="24"/>
        </w:rPr>
        <w:t xml:space="preserve">                                  </w:t>
      </w:r>
    </w:p>
    <w:p w14:paraId="347BE7AB" w14:textId="105A4DE5"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
          <w:bCs/>
          <w:sz w:val="24"/>
          <w:szCs w:val="24"/>
        </w:rPr>
        <w:t xml:space="preserve">    </w:t>
      </w:r>
      <w:r w:rsidRPr="00ED1AE6">
        <w:rPr>
          <w:rFonts w:eastAsia="Calibri" w:cstheme="minorHAnsi"/>
          <w:b/>
          <w:bCs/>
          <w:sz w:val="24"/>
          <w:szCs w:val="24"/>
        </w:rPr>
        <w:tab/>
      </w:r>
      <w:r w:rsidRPr="00ED1AE6">
        <w:rPr>
          <w:rFonts w:eastAsia="Calibri" w:cstheme="minorHAnsi"/>
          <w:b/>
          <w:bCs/>
          <w:sz w:val="24"/>
          <w:szCs w:val="24"/>
        </w:rPr>
        <w:tab/>
      </w:r>
      <w:r w:rsidR="001D7734">
        <w:rPr>
          <w:rFonts w:eastAsia="Calibri" w:cstheme="minorHAnsi"/>
          <w:b/>
          <w:bCs/>
          <w:sz w:val="24"/>
          <w:szCs w:val="24"/>
        </w:rPr>
        <w:t xml:space="preserve">              </w:t>
      </w:r>
      <w:r w:rsidRPr="00ED1AE6">
        <w:rPr>
          <w:rFonts w:eastAsia="Calibri" w:cstheme="minorHAnsi"/>
          <w:bCs/>
          <w:sz w:val="24"/>
          <w:szCs w:val="24"/>
        </w:rPr>
        <w:t>_________________________</w:t>
      </w:r>
      <w:r w:rsidRPr="00ED1AE6">
        <w:rPr>
          <w:rFonts w:eastAsia="Calibri" w:cstheme="minorHAnsi"/>
          <w:b/>
          <w:bCs/>
          <w:sz w:val="24"/>
          <w:szCs w:val="24"/>
        </w:rPr>
        <w:t xml:space="preserve">    </w:t>
      </w:r>
    </w:p>
    <w:p w14:paraId="107351A2" w14:textId="77777777" w:rsidR="00561D0F" w:rsidRPr="00ED1AE6" w:rsidRDefault="00561D0F" w:rsidP="00561D0F">
      <w:pPr>
        <w:spacing w:after="160" w:line="256" w:lineRule="auto"/>
        <w:rPr>
          <w:rFonts w:eastAsia="Calibri" w:cstheme="minorHAnsi"/>
          <w:b/>
          <w:bCs/>
          <w:sz w:val="24"/>
          <w:szCs w:val="24"/>
        </w:rPr>
      </w:pPr>
    </w:p>
    <w:p w14:paraId="330F6468"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
          <w:bCs/>
          <w:sz w:val="24"/>
          <w:szCs w:val="24"/>
        </w:rPr>
        <w:t xml:space="preserve">                                  </w:t>
      </w:r>
    </w:p>
    <w:p w14:paraId="708BB83B"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3B279017" w14:textId="77777777" w:rsidR="00561D0F" w:rsidRPr="00ED1AE6" w:rsidRDefault="00561D0F" w:rsidP="00561D0F">
      <w:pPr>
        <w:spacing w:after="160" w:line="256" w:lineRule="auto"/>
        <w:rPr>
          <w:rFonts w:eastAsia="Calibri" w:cstheme="minorHAnsi"/>
          <w:b/>
          <w:bCs/>
          <w:sz w:val="24"/>
          <w:szCs w:val="24"/>
        </w:rPr>
      </w:pPr>
    </w:p>
    <w:p w14:paraId="77CFA87B" w14:textId="77777777" w:rsidR="00561D0F" w:rsidRPr="00ED1AE6" w:rsidRDefault="00561D0F" w:rsidP="00561D0F">
      <w:pPr>
        <w:spacing w:after="160" w:line="256" w:lineRule="auto"/>
        <w:rPr>
          <w:rFonts w:eastAsia="Calibri" w:cstheme="minorHAnsi"/>
          <w:b/>
          <w:bCs/>
          <w:sz w:val="24"/>
          <w:szCs w:val="24"/>
        </w:rPr>
      </w:pPr>
    </w:p>
    <w:p w14:paraId="747F66A0"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5690F059" w14:textId="77777777" w:rsidR="00561D0F" w:rsidRPr="00ED1AE6" w:rsidRDefault="00561D0F" w:rsidP="00561D0F">
      <w:pPr>
        <w:spacing w:after="160" w:line="256" w:lineRule="auto"/>
        <w:rPr>
          <w:rFonts w:eastAsia="Calibri" w:cstheme="minorHAnsi"/>
          <w:b/>
          <w:bCs/>
          <w:sz w:val="24"/>
          <w:szCs w:val="24"/>
        </w:rPr>
      </w:pPr>
    </w:p>
    <w:p w14:paraId="116179A6" w14:textId="77777777" w:rsidR="00561D0F" w:rsidRPr="00ED1AE6" w:rsidRDefault="00561D0F" w:rsidP="00561D0F">
      <w:pPr>
        <w:spacing w:after="160" w:line="256" w:lineRule="auto"/>
        <w:rPr>
          <w:rFonts w:eastAsia="Calibri" w:cstheme="minorHAnsi"/>
          <w:b/>
          <w:bCs/>
          <w:sz w:val="24"/>
          <w:szCs w:val="24"/>
        </w:rPr>
      </w:pPr>
    </w:p>
    <w:p w14:paraId="63849DAF"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71A22E3E" w14:textId="77777777" w:rsidR="00561D0F" w:rsidRPr="00ED1AE6" w:rsidRDefault="00561D0F" w:rsidP="00561D0F">
      <w:pPr>
        <w:spacing w:after="160" w:line="256" w:lineRule="auto"/>
        <w:rPr>
          <w:rFonts w:eastAsia="Calibri" w:cstheme="minorHAnsi"/>
          <w:b/>
          <w:bCs/>
          <w:sz w:val="24"/>
          <w:szCs w:val="24"/>
        </w:rPr>
      </w:pPr>
    </w:p>
    <w:p w14:paraId="75D50166" w14:textId="77777777" w:rsidR="00561D0F" w:rsidRPr="00ED1AE6" w:rsidRDefault="00561D0F" w:rsidP="00561D0F">
      <w:pPr>
        <w:spacing w:after="160" w:line="256" w:lineRule="auto"/>
        <w:rPr>
          <w:rFonts w:eastAsia="Calibri" w:cstheme="minorHAnsi"/>
          <w:b/>
          <w:bCs/>
          <w:sz w:val="24"/>
          <w:szCs w:val="24"/>
        </w:rPr>
      </w:pPr>
    </w:p>
    <w:p w14:paraId="07A39015"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28DB2A01" w14:textId="77777777" w:rsidR="00561D0F" w:rsidRPr="00ED1AE6" w:rsidRDefault="00561D0F" w:rsidP="00561D0F">
      <w:pPr>
        <w:spacing w:after="160" w:line="256" w:lineRule="auto"/>
        <w:rPr>
          <w:rFonts w:eastAsia="Calibri" w:cstheme="minorHAnsi"/>
          <w:b/>
          <w:bCs/>
          <w:sz w:val="24"/>
          <w:szCs w:val="24"/>
        </w:rPr>
      </w:pPr>
    </w:p>
    <w:p w14:paraId="7AE740ED" w14:textId="77777777" w:rsidR="00561D0F" w:rsidRPr="00ED1AE6" w:rsidRDefault="00561D0F" w:rsidP="00561D0F">
      <w:pPr>
        <w:spacing w:after="160" w:line="256" w:lineRule="auto"/>
        <w:rPr>
          <w:rFonts w:eastAsia="Calibri" w:cstheme="minorHAnsi"/>
          <w:b/>
          <w:bCs/>
          <w:sz w:val="24"/>
          <w:szCs w:val="24"/>
        </w:rPr>
      </w:pPr>
    </w:p>
    <w:p w14:paraId="14B2B8C4"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2766E3A3" w14:textId="77777777" w:rsidR="00561D0F" w:rsidRPr="00ED1AE6" w:rsidRDefault="00561D0F" w:rsidP="00561D0F">
      <w:pPr>
        <w:spacing w:after="160" w:line="256" w:lineRule="auto"/>
        <w:rPr>
          <w:rFonts w:eastAsia="Calibri" w:cstheme="minorHAnsi"/>
          <w:bCs/>
          <w:sz w:val="24"/>
          <w:szCs w:val="24"/>
        </w:rPr>
      </w:pPr>
    </w:p>
    <w:p w14:paraId="3137B30A" w14:textId="77777777" w:rsidR="00561D0F" w:rsidRPr="00ED1AE6" w:rsidRDefault="00561D0F" w:rsidP="00561D0F">
      <w:pPr>
        <w:spacing w:after="160" w:line="256" w:lineRule="auto"/>
        <w:rPr>
          <w:rFonts w:eastAsia="Calibri" w:cstheme="minorHAnsi"/>
          <w:bCs/>
          <w:sz w:val="24"/>
          <w:szCs w:val="24"/>
        </w:rPr>
      </w:pPr>
    </w:p>
    <w:p w14:paraId="40DC63C5"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61EC4DF0" w14:textId="77777777" w:rsidR="00561D0F" w:rsidRPr="00ED1AE6" w:rsidRDefault="00561D0F" w:rsidP="00561D0F">
      <w:pPr>
        <w:spacing w:after="160" w:line="256" w:lineRule="auto"/>
        <w:rPr>
          <w:rFonts w:eastAsia="Calibri" w:cstheme="minorHAnsi"/>
          <w:bCs/>
          <w:sz w:val="24"/>
          <w:szCs w:val="24"/>
        </w:rPr>
      </w:pPr>
    </w:p>
    <w:p w14:paraId="4176D411" w14:textId="77777777" w:rsidR="00561D0F" w:rsidRPr="00ED1AE6" w:rsidRDefault="00561D0F" w:rsidP="00561D0F">
      <w:pPr>
        <w:spacing w:after="160" w:line="256" w:lineRule="auto"/>
        <w:rPr>
          <w:rFonts w:eastAsia="Calibri" w:cstheme="minorHAnsi"/>
          <w:bCs/>
          <w:sz w:val="24"/>
          <w:szCs w:val="24"/>
        </w:rPr>
      </w:pPr>
    </w:p>
    <w:p w14:paraId="06B26EE4"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0654C4B9" w14:textId="77777777" w:rsidR="00561D0F" w:rsidRPr="00ED1AE6" w:rsidRDefault="00561D0F" w:rsidP="00561D0F">
      <w:pPr>
        <w:spacing w:after="160" w:line="256" w:lineRule="auto"/>
        <w:rPr>
          <w:rFonts w:eastAsia="Calibri" w:cstheme="minorHAnsi"/>
          <w:b/>
          <w:bCs/>
          <w:sz w:val="24"/>
          <w:szCs w:val="24"/>
        </w:rPr>
      </w:pPr>
    </w:p>
    <w:p w14:paraId="7D0BA0E7" w14:textId="77777777" w:rsidR="00561D0F" w:rsidRPr="00ED1AE6" w:rsidRDefault="00561D0F" w:rsidP="00561D0F">
      <w:pPr>
        <w:spacing w:after="160" w:line="256" w:lineRule="auto"/>
        <w:rPr>
          <w:rFonts w:eastAsia="Calibri" w:cstheme="minorHAnsi"/>
          <w:b/>
          <w:bCs/>
          <w:sz w:val="24"/>
          <w:szCs w:val="24"/>
        </w:rPr>
      </w:pPr>
    </w:p>
    <w:p w14:paraId="4228CADC"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Cs/>
          <w:sz w:val="24"/>
          <w:szCs w:val="24"/>
        </w:rPr>
        <w:t>_________________________</w:t>
      </w:r>
      <w:r w:rsidRPr="00ED1AE6">
        <w:rPr>
          <w:rFonts w:eastAsia="Calibri" w:cstheme="minorHAnsi"/>
          <w:bCs/>
          <w:sz w:val="24"/>
          <w:szCs w:val="24"/>
        </w:rPr>
        <w:tab/>
      </w:r>
      <w:r w:rsidRPr="00ED1AE6">
        <w:rPr>
          <w:rFonts w:eastAsia="Calibri" w:cstheme="minorHAnsi"/>
          <w:bCs/>
          <w:sz w:val="24"/>
          <w:szCs w:val="24"/>
        </w:rPr>
        <w:tab/>
      </w:r>
      <w:r w:rsidRPr="00ED1AE6">
        <w:rPr>
          <w:rFonts w:eastAsia="Calibri" w:cstheme="minorHAnsi"/>
          <w:bCs/>
          <w:sz w:val="24"/>
          <w:szCs w:val="24"/>
        </w:rPr>
        <w:tab/>
        <w:t>_________________________</w:t>
      </w:r>
      <w:r w:rsidRPr="00ED1AE6">
        <w:rPr>
          <w:rFonts w:eastAsia="Calibri" w:cstheme="minorHAnsi"/>
          <w:b/>
          <w:bCs/>
          <w:sz w:val="24"/>
          <w:szCs w:val="24"/>
        </w:rPr>
        <w:t xml:space="preserve">    </w:t>
      </w:r>
    </w:p>
    <w:p w14:paraId="31FB2706" w14:textId="77777777" w:rsidR="00561D0F" w:rsidRPr="00ED1AE6" w:rsidRDefault="00561D0F" w:rsidP="00561D0F">
      <w:pPr>
        <w:spacing w:after="160" w:line="256" w:lineRule="auto"/>
        <w:rPr>
          <w:rFonts w:eastAsia="Calibri" w:cstheme="minorHAnsi"/>
          <w:b/>
          <w:bCs/>
          <w:sz w:val="24"/>
          <w:szCs w:val="24"/>
        </w:rPr>
      </w:pPr>
    </w:p>
    <w:p w14:paraId="0B14E780" w14:textId="77777777" w:rsidR="00561D0F" w:rsidRPr="00ED1AE6" w:rsidRDefault="00561D0F" w:rsidP="00561D0F">
      <w:pPr>
        <w:spacing w:after="160" w:line="256" w:lineRule="auto"/>
        <w:rPr>
          <w:rFonts w:eastAsia="Calibri" w:cstheme="minorHAnsi"/>
          <w:b/>
          <w:bCs/>
          <w:sz w:val="24"/>
          <w:szCs w:val="24"/>
        </w:rPr>
      </w:pPr>
      <w:r w:rsidRPr="00ED1AE6">
        <w:rPr>
          <w:rFonts w:eastAsia="Calibri" w:cstheme="minorHAnsi"/>
          <w:b/>
          <w:bCs/>
          <w:sz w:val="24"/>
          <w:szCs w:val="24"/>
        </w:rPr>
        <w:t xml:space="preserve">     </w:t>
      </w:r>
    </w:p>
    <w:p w14:paraId="3C01D691" w14:textId="77777777" w:rsidR="00561D0F" w:rsidRPr="00ED1AE6" w:rsidRDefault="00561D0F" w:rsidP="00561D0F">
      <w:pPr>
        <w:spacing w:after="160"/>
        <w:jc w:val="both"/>
        <w:rPr>
          <w:rFonts w:eastAsia="Calibri" w:cstheme="minorHAnsi"/>
          <w:sz w:val="24"/>
          <w:szCs w:val="24"/>
        </w:rPr>
      </w:pPr>
    </w:p>
    <w:p w14:paraId="2D9153F1" w14:textId="77777777" w:rsidR="00561D0F" w:rsidRPr="00ED1AE6" w:rsidRDefault="00561D0F" w:rsidP="00561D0F">
      <w:pPr>
        <w:spacing w:after="160"/>
        <w:jc w:val="both"/>
        <w:rPr>
          <w:rFonts w:eastAsia="Calibri" w:cstheme="minorHAnsi"/>
          <w:sz w:val="24"/>
          <w:szCs w:val="24"/>
        </w:rPr>
      </w:pPr>
    </w:p>
    <w:p w14:paraId="660650F9" w14:textId="5D987CD0" w:rsidR="00500021" w:rsidRPr="00ED1AE6" w:rsidRDefault="00500021" w:rsidP="00E6564D">
      <w:pPr>
        <w:rPr>
          <w:rFonts w:cstheme="minorHAnsi"/>
          <w:sz w:val="24"/>
          <w:szCs w:val="24"/>
        </w:rPr>
      </w:pPr>
    </w:p>
    <w:sectPr w:rsidR="00500021" w:rsidRPr="00ED1AE6" w:rsidSect="0070386D">
      <w:headerReference w:type="default" r:id="rId20"/>
      <w:footerReference w:type="default" r:id="rId21"/>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87D1" w14:textId="77777777" w:rsidR="00EE31A3" w:rsidRDefault="00EE31A3" w:rsidP="004404C3">
      <w:pPr>
        <w:spacing w:after="0" w:line="240" w:lineRule="auto"/>
      </w:pPr>
      <w:r>
        <w:separator/>
      </w:r>
    </w:p>
  </w:endnote>
  <w:endnote w:type="continuationSeparator" w:id="0">
    <w:p w14:paraId="4792D01E" w14:textId="77777777" w:rsidR="00EE31A3" w:rsidRDefault="00EE31A3" w:rsidP="0044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3463" w14:textId="77777777" w:rsidR="00671DCC" w:rsidRDefault="00671DCC" w:rsidP="00513835">
    <w:pPr>
      <w:pStyle w:val="Piedepgina"/>
      <w:pBdr>
        <w:bottom w:val="single" w:sz="6" w:space="1" w:color="auto"/>
      </w:pBdr>
      <w:jc w:val="right"/>
    </w:pPr>
  </w:p>
  <w:p w14:paraId="78BD88C9" w14:textId="4E603989" w:rsidR="00671DCC" w:rsidRPr="004F1754" w:rsidRDefault="00671DCC" w:rsidP="00513835">
    <w:pPr>
      <w:pStyle w:val="Piedepgina"/>
      <w:jc w:val="center"/>
      <w:rPr>
        <w:rFonts w:cs="Calibri"/>
      </w:rPr>
    </w:pPr>
    <w:r w:rsidRPr="004F1754">
      <w:rPr>
        <w:rFonts w:cs="Calibri"/>
      </w:rPr>
      <w:t>Carrera 7 Nro. 8-68 Edificio Nuevo del Congreso</w:t>
    </w:r>
  </w:p>
  <w:p w14:paraId="130FE1C4" w14:textId="005B6C8E" w:rsidR="00671DCC" w:rsidRPr="004F1754" w:rsidRDefault="00671DCC" w:rsidP="00D01B25">
    <w:pPr>
      <w:pStyle w:val="Piedepgina"/>
      <w:jc w:val="center"/>
      <w:rPr>
        <w:rFonts w:cs="Calibri"/>
      </w:rPr>
    </w:pPr>
    <w:r w:rsidRPr="004F1754">
      <w:rPr>
        <w:rFonts w:cs="Calibri"/>
      </w:rPr>
      <w:t>Mezanine Sur Oficina 102 Tels. (601) 3904050 ext. 4468 – 4467 Bogotá D.C.</w:t>
    </w:r>
  </w:p>
  <w:p w14:paraId="69D3AFBD" w14:textId="77777777" w:rsidR="00671DCC" w:rsidRDefault="00671D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CEA35" w14:textId="77777777" w:rsidR="00EE31A3" w:rsidRDefault="00EE31A3" w:rsidP="004404C3">
      <w:pPr>
        <w:spacing w:after="0" w:line="240" w:lineRule="auto"/>
      </w:pPr>
      <w:r>
        <w:separator/>
      </w:r>
    </w:p>
  </w:footnote>
  <w:footnote w:type="continuationSeparator" w:id="0">
    <w:p w14:paraId="71049E03" w14:textId="77777777" w:rsidR="00EE31A3" w:rsidRDefault="00EE31A3" w:rsidP="0044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767" w:type="dxa"/>
      <w:tblInd w:w="-1318" w:type="dxa"/>
      <w:tblLook w:val="0400" w:firstRow="0" w:lastRow="0" w:firstColumn="0" w:lastColumn="0" w:noHBand="0" w:noVBand="1"/>
    </w:tblPr>
    <w:tblGrid>
      <w:gridCol w:w="9195"/>
    </w:tblGrid>
    <w:tr w:rsidR="00671DCC" w:rsidRPr="00DD5EF7" w14:paraId="3EB3977D" w14:textId="77777777" w:rsidTr="00513835">
      <w:trPr>
        <w:trHeight w:val="273"/>
      </w:trPr>
      <w:tc>
        <w:tcPr>
          <w:tcW w:w="6767" w:type="dxa"/>
          <w:shd w:val="clear" w:color="auto" w:fill="auto"/>
        </w:tcPr>
        <w:tbl>
          <w:tblPr>
            <w:tblW w:w="7557" w:type="dxa"/>
            <w:tblInd w:w="1422" w:type="dxa"/>
            <w:tblLook w:val="0400" w:firstRow="0" w:lastRow="0" w:firstColumn="0" w:lastColumn="0" w:noHBand="0" w:noVBand="1"/>
          </w:tblPr>
          <w:tblGrid>
            <w:gridCol w:w="4480"/>
            <w:gridCol w:w="3077"/>
          </w:tblGrid>
          <w:tr w:rsidR="00671DCC" w:rsidRPr="00DD5EF7" w14:paraId="059449FB" w14:textId="77777777" w:rsidTr="005921DD">
            <w:trPr>
              <w:trHeight w:val="220"/>
            </w:trPr>
            <w:tc>
              <w:tcPr>
                <w:tcW w:w="4480" w:type="dxa"/>
                <w:tcBorders>
                  <w:right w:val="single" w:sz="12" w:space="0" w:color="984806"/>
                </w:tcBorders>
                <w:shd w:val="clear" w:color="auto" w:fill="auto"/>
              </w:tcPr>
              <w:p w14:paraId="387A6BBA" w14:textId="77777777" w:rsidR="00671DCC" w:rsidRPr="00DD5EF7" w:rsidRDefault="00671DCC" w:rsidP="00513835">
                <w:pPr>
                  <w:pStyle w:val="Encabezado"/>
                  <w:rPr>
                    <w:noProof/>
                    <w:sz w:val="12"/>
                    <w:szCs w:val="12"/>
                    <w:lang w:eastAsia="es-ES"/>
                  </w:rPr>
                </w:pPr>
                <w:r>
                  <w:rPr>
                    <w:noProof/>
                    <w:sz w:val="12"/>
                    <w:szCs w:val="12"/>
                    <w:lang w:eastAsia="es-CO"/>
                  </w:rPr>
                  <w:drawing>
                    <wp:anchor distT="0" distB="0" distL="114300" distR="114300" simplePos="0" relativeHeight="251659264" behindDoc="1" locked="0" layoutInCell="1" allowOverlap="1" wp14:anchorId="24E6E492" wp14:editId="48DB8C55">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37FFB" w14:textId="77777777" w:rsidR="00671DCC" w:rsidRPr="00DD5EF7" w:rsidRDefault="00671DCC" w:rsidP="00513835">
                <w:pPr>
                  <w:pStyle w:val="Encabezado"/>
                  <w:jc w:val="center"/>
                  <w:rPr>
                    <w:noProof/>
                    <w:sz w:val="12"/>
                    <w:szCs w:val="12"/>
                    <w:lang w:eastAsia="es-ES"/>
                  </w:rPr>
                </w:pPr>
              </w:p>
              <w:p w14:paraId="0ED1AFFB" w14:textId="0B3C35A5" w:rsidR="00671DCC" w:rsidRPr="00DD5EF7" w:rsidRDefault="00671DCC" w:rsidP="00513835">
                <w:pPr>
                  <w:pStyle w:val="Encabezado"/>
                  <w:jc w:val="center"/>
                  <w:rPr>
                    <w:noProof/>
                    <w:sz w:val="12"/>
                    <w:szCs w:val="12"/>
                    <w:lang w:eastAsia="es-ES"/>
                  </w:rPr>
                </w:pPr>
                <w:r>
                  <w:rPr>
                    <w:noProof/>
                    <w:sz w:val="12"/>
                    <w:szCs w:val="12"/>
                    <w:lang w:eastAsia="es-ES"/>
                  </w:rPr>
                  <w:t xml:space="preserve"> </w:t>
                </w:r>
              </w:p>
              <w:p w14:paraId="1D58E3F6" w14:textId="77777777" w:rsidR="00671DCC" w:rsidRPr="00DD5EF7" w:rsidRDefault="00671DCC" w:rsidP="00FC015F">
                <w:pPr>
                  <w:pStyle w:val="Encabezado"/>
                  <w:jc w:val="right"/>
                  <w:rPr>
                    <w:rFonts w:ascii="Arial" w:hAnsi="Arial" w:cs="Arial"/>
                    <w:color w:val="BD7D3D"/>
                    <w:sz w:val="12"/>
                    <w:szCs w:val="12"/>
                  </w:rPr>
                </w:pPr>
              </w:p>
            </w:tc>
            <w:tc>
              <w:tcPr>
                <w:tcW w:w="3077" w:type="dxa"/>
                <w:tcBorders>
                  <w:left w:val="single" w:sz="12" w:space="0" w:color="984806"/>
                </w:tcBorders>
                <w:shd w:val="clear" w:color="auto" w:fill="auto"/>
              </w:tcPr>
              <w:p w14:paraId="54CE143B" w14:textId="77777777" w:rsidR="00671DCC" w:rsidRDefault="00671DCC" w:rsidP="004F1754">
                <w:pPr>
                  <w:pStyle w:val="Encabezado"/>
                  <w:rPr>
                    <w:rFonts w:ascii="Arial" w:hAnsi="Arial" w:cs="Arial"/>
                    <w:b/>
                    <w:color w:val="BD7D3D"/>
                    <w:sz w:val="18"/>
                    <w:szCs w:val="18"/>
                  </w:rPr>
                </w:pPr>
              </w:p>
              <w:p w14:paraId="61E3B920" w14:textId="26AD68B1" w:rsidR="00671DCC" w:rsidRPr="00322B48"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JUAN LORETO GOMEZ SOTO</w:t>
                </w:r>
              </w:p>
              <w:p w14:paraId="69F103F4" w14:textId="77777777" w:rsidR="00671DCC"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 xml:space="preserve">Representante a la Cámara                                             </w:t>
                </w:r>
                <w:r>
                  <w:rPr>
                    <w:rFonts w:ascii="Arial" w:hAnsi="Arial" w:cs="Arial"/>
                    <w:b/>
                    <w:color w:val="BD7D3D"/>
                    <w:sz w:val="18"/>
                    <w:szCs w:val="18"/>
                  </w:rPr>
                  <w:t xml:space="preserve">                  </w:t>
                </w:r>
              </w:p>
              <w:p w14:paraId="7841F6C9" w14:textId="626E375C" w:rsidR="00671DCC" w:rsidRPr="00322B48"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Departamento de La Guajira</w:t>
                </w:r>
              </w:p>
              <w:p w14:paraId="15A56805" w14:textId="77777777" w:rsidR="00671DCC" w:rsidRPr="00DD5EF7" w:rsidRDefault="00671DCC" w:rsidP="00513835">
                <w:pPr>
                  <w:pStyle w:val="Encabezado"/>
                  <w:jc w:val="center"/>
                  <w:rPr>
                    <w:rFonts w:ascii="Arial" w:hAnsi="Arial" w:cs="Arial"/>
                    <w:color w:val="BD7D3D"/>
                    <w:sz w:val="12"/>
                    <w:szCs w:val="12"/>
                  </w:rPr>
                </w:pPr>
              </w:p>
            </w:tc>
          </w:tr>
        </w:tbl>
        <w:p w14:paraId="0B16697E" w14:textId="77777777" w:rsidR="00671DCC" w:rsidRPr="00DD5EF7" w:rsidRDefault="00671DCC" w:rsidP="004404C3">
          <w:pPr>
            <w:pStyle w:val="Encabezado"/>
            <w:rPr>
              <w:rFonts w:ascii="Arial" w:hAnsi="Arial" w:cs="Arial"/>
              <w:color w:val="BD7D3D"/>
              <w:sz w:val="12"/>
              <w:szCs w:val="12"/>
            </w:rPr>
          </w:pPr>
        </w:p>
      </w:tc>
    </w:tr>
  </w:tbl>
  <w:p w14:paraId="6BCA6704" w14:textId="414A9F28" w:rsidR="00671DCC" w:rsidRDefault="00671DCC" w:rsidP="004404C3">
    <w:pPr>
      <w:pStyle w:val="Encabezado"/>
    </w:pPr>
  </w:p>
  <w:p w14:paraId="66C893BA" w14:textId="77777777" w:rsidR="00671DCC" w:rsidRDefault="00671DCC" w:rsidP="004404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028"/>
    <w:multiLevelType w:val="multilevel"/>
    <w:tmpl w:val="2C66C0B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9B7A51"/>
    <w:multiLevelType w:val="hybridMultilevel"/>
    <w:tmpl w:val="09A66B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E5701"/>
    <w:multiLevelType w:val="hybridMultilevel"/>
    <w:tmpl w:val="302C8E3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00F420B"/>
    <w:multiLevelType w:val="hybridMultilevel"/>
    <w:tmpl w:val="C9B84D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447C5B"/>
    <w:multiLevelType w:val="hybridMultilevel"/>
    <w:tmpl w:val="18386D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702642"/>
    <w:multiLevelType w:val="hybridMultilevel"/>
    <w:tmpl w:val="300CC134"/>
    <w:lvl w:ilvl="0" w:tplc="991655B4">
      <w:start w:val="4"/>
      <w:numFmt w:val="bullet"/>
      <w:lvlText w:val="-"/>
      <w:lvlJc w:val="left"/>
      <w:pPr>
        <w:ind w:left="360" w:hanging="360"/>
      </w:pPr>
      <w:rPr>
        <w:rFonts w:ascii="Verdana" w:eastAsiaTheme="minorHAnsi" w:hAnsi="Verdan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A105C8"/>
    <w:multiLevelType w:val="hybridMultilevel"/>
    <w:tmpl w:val="49F80E8E"/>
    <w:lvl w:ilvl="0" w:tplc="DAF2F61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9FC0768"/>
    <w:multiLevelType w:val="hybridMultilevel"/>
    <w:tmpl w:val="B68A6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A93894"/>
    <w:multiLevelType w:val="hybridMultilevel"/>
    <w:tmpl w:val="038A26DE"/>
    <w:lvl w:ilvl="0" w:tplc="74E882EE">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2A0A12"/>
    <w:multiLevelType w:val="hybridMultilevel"/>
    <w:tmpl w:val="3EDAABD6"/>
    <w:lvl w:ilvl="0" w:tplc="240A0017">
      <w:start w:val="1"/>
      <w:numFmt w:val="lowerLetter"/>
      <w:lvlText w:val="%1)"/>
      <w:lvlJc w:val="left"/>
      <w:pPr>
        <w:ind w:left="360" w:hanging="360"/>
      </w:pPr>
    </w:lvl>
    <w:lvl w:ilvl="1" w:tplc="BC208A22">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4A170B7"/>
    <w:multiLevelType w:val="hybridMultilevel"/>
    <w:tmpl w:val="CB889B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59A3206"/>
    <w:multiLevelType w:val="hybridMultilevel"/>
    <w:tmpl w:val="AA5873A0"/>
    <w:lvl w:ilvl="0" w:tplc="CFB4EC58">
      <w:start w:val="1"/>
      <w:numFmt w:val="lowerLetter"/>
      <w:lvlText w:val="%1."/>
      <w:lvlJc w:val="left"/>
      <w:pPr>
        <w:ind w:left="435" w:hanging="43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6622592"/>
    <w:multiLevelType w:val="hybridMultilevel"/>
    <w:tmpl w:val="756C21D4"/>
    <w:lvl w:ilvl="0" w:tplc="F9DAEC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816ED5"/>
    <w:multiLevelType w:val="hybridMultilevel"/>
    <w:tmpl w:val="61846A8E"/>
    <w:lvl w:ilvl="0" w:tplc="0366A9A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DE3B4C"/>
    <w:multiLevelType w:val="hybridMultilevel"/>
    <w:tmpl w:val="1780C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B628DF"/>
    <w:multiLevelType w:val="hybridMultilevel"/>
    <w:tmpl w:val="55F4DD50"/>
    <w:lvl w:ilvl="0" w:tplc="DAF2F6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7F4725F"/>
    <w:multiLevelType w:val="hybridMultilevel"/>
    <w:tmpl w:val="E9AAD3B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299B573F"/>
    <w:multiLevelType w:val="hybridMultilevel"/>
    <w:tmpl w:val="DEC49F32"/>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7B5CEA"/>
    <w:multiLevelType w:val="multilevel"/>
    <w:tmpl w:val="A9D0F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791D3C"/>
    <w:multiLevelType w:val="hybridMultilevel"/>
    <w:tmpl w:val="8AB0EA9C"/>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573114"/>
    <w:multiLevelType w:val="hybridMultilevel"/>
    <w:tmpl w:val="26E45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F01F75"/>
    <w:multiLevelType w:val="hybridMultilevel"/>
    <w:tmpl w:val="01FA3BE4"/>
    <w:lvl w:ilvl="0" w:tplc="E326B0E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1054F5"/>
    <w:multiLevelType w:val="hybridMultilevel"/>
    <w:tmpl w:val="0ED41D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89967E3"/>
    <w:multiLevelType w:val="hybridMultilevel"/>
    <w:tmpl w:val="BE6EF678"/>
    <w:lvl w:ilvl="0" w:tplc="240A0001">
      <w:start w:val="1"/>
      <w:numFmt w:val="bullet"/>
      <w:lvlText w:val=""/>
      <w:lvlJc w:val="left"/>
      <w:pPr>
        <w:ind w:left="360" w:hanging="360"/>
      </w:pPr>
      <w:rPr>
        <w:rFonts w:ascii="Symbol" w:hAnsi="Symbol" w:hint="default"/>
      </w:rPr>
    </w:lvl>
    <w:lvl w:ilvl="1" w:tplc="2156546C">
      <w:numFmt w:val="bullet"/>
      <w:lvlText w:val="•"/>
      <w:lvlJc w:val="left"/>
      <w:pPr>
        <w:ind w:left="1425" w:hanging="705"/>
      </w:pPr>
      <w:rPr>
        <w:rFonts w:ascii="Verdana" w:eastAsia="Times New Roman" w:hAnsi="Verdana"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9BB4872"/>
    <w:multiLevelType w:val="hybridMultilevel"/>
    <w:tmpl w:val="C80C16B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1C366D"/>
    <w:multiLevelType w:val="hybridMultilevel"/>
    <w:tmpl w:val="0680A0B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B682085"/>
    <w:multiLevelType w:val="hybridMultilevel"/>
    <w:tmpl w:val="F4E82BCC"/>
    <w:lvl w:ilvl="0" w:tplc="07B4CEE8">
      <w:start w:val="1"/>
      <w:numFmt w:val="upperRoman"/>
      <w:lvlText w:val="%1."/>
      <w:lvlJc w:val="right"/>
      <w:pPr>
        <w:ind w:left="360" w:hanging="360"/>
      </w:pPr>
      <w:rPr>
        <w:rFonts w:ascii="Verdana" w:hAnsi="Verdana" w:hint="default"/>
        <w:b/>
        <w:i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BC3444A"/>
    <w:multiLevelType w:val="hybridMultilevel"/>
    <w:tmpl w:val="6CFEA710"/>
    <w:lvl w:ilvl="0" w:tplc="A808D824">
      <w:start w:val="1"/>
      <w:numFmt w:val="lowerLetter"/>
      <w:lvlText w:val="%1."/>
      <w:lvlJc w:val="left"/>
      <w:pPr>
        <w:ind w:left="465" w:hanging="46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D3B1CE4"/>
    <w:multiLevelType w:val="hybridMultilevel"/>
    <w:tmpl w:val="ACD6052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DE349D7"/>
    <w:multiLevelType w:val="hybridMultilevel"/>
    <w:tmpl w:val="0DACE586"/>
    <w:lvl w:ilvl="0" w:tplc="73BC71EC">
      <w:start w:val="1"/>
      <w:numFmt w:val="lowerLetter"/>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0A505F1"/>
    <w:multiLevelType w:val="hybridMultilevel"/>
    <w:tmpl w:val="48C067F4"/>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F07BB0"/>
    <w:multiLevelType w:val="hybridMultilevel"/>
    <w:tmpl w:val="B2A27B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4394805"/>
    <w:multiLevelType w:val="hybridMultilevel"/>
    <w:tmpl w:val="35A42E96"/>
    <w:lvl w:ilvl="0" w:tplc="3B9C1E0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5D029F"/>
    <w:multiLevelType w:val="hybridMultilevel"/>
    <w:tmpl w:val="4B3ED7B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E105D70"/>
    <w:multiLevelType w:val="hybridMultilevel"/>
    <w:tmpl w:val="1FB0E45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E6923BA"/>
    <w:multiLevelType w:val="hybridMultilevel"/>
    <w:tmpl w:val="84A6782E"/>
    <w:lvl w:ilvl="0" w:tplc="5D68BA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FA7A9A"/>
    <w:multiLevelType w:val="hybridMultilevel"/>
    <w:tmpl w:val="80E8E9FC"/>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0266EED"/>
    <w:multiLevelType w:val="hybridMultilevel"/>
    <w:tmpl w:val="5C2A383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06955C9"/>
    <w:multiLevelType w:val="hybridMultilevel"/>
    <w:tmpl w:val="0114CE0A"/>
    <w:lvl w:ilvl="0" w:tplc="32A092B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304F02"/>
    <w:multiLevelType w:val="hybridMultilevel"/>
    <w:tmpl w:val="73D8B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56D4B53"/>
    <w:multiLevelType w:val="hybridMultilevel"/>
    <w:tmpl w:val="9EC8E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57D375C"/>
    <w:multiLevelType w:val="multilevel"/>
    <w:tmpl w:val="085C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0F7CA1"/>
    <w:multiLevelType w:val="hybridMultilevel"/>
    <w:tmpl w:val="DD26A4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0F00425"/>
    <w:multiLevelType w:val="hybridMultilevel"/>
    <w:tmpl w:val="8710F55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1B2169B"/>
    <w:multiLevelType w:val="hybridMultilevel"/>
    <w:tmpl w:val="E724C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3A26182"/>
    <w:multiLevelType w:val="hybridMultilevel"/>
    <w:tmpl w:val="17A474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6770B30"/>
    <w:multiLevelType w:val="hybridMultilevel"/>
    <w:tmpl w:val="6B3E96F0"/>
    <w:lvl w:ilvl="0" w:tplc="DE2A7E4E">
      <w:start w:val="5"/>
      <w:numFmt w:val="bullet"/>
      <w:lvlText w:val=""/>
      <w:lvlJc w:val="left"/>
      <w:pPr>
        <w:ind w:left="720" w:hanging="360"/>
      </w:pPr>
      <w:rPr>
        <w:rFonts w:ascii="Symbol" w:eastAsiaTheme="minorHAnsi" w:hAnsi="Symbol"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B0412A9"/>
    <w:multiLevelType w:val="hybridMultilevel"/>
    <w:tmpl w:val="F2D6C444"/>
    <w:lvl w:ilvl="0" w:tplc="BCFEF0F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0"/>
  </w:num>
  <w:num w:numId="4">
    <w:abstractNumId w:val="39"/>
  </w:num>
  <w:num w:numId="5">
    <w:abstractNumId w:val="43"/>
  </w:num>
  <w:num w:numId="6">
    <w:abstractNumId w:val="47"/>
  </w:num>
  <w:num w:numId="7">
    <w:abstractNumId w:val="26"/>
  </w:num>
  <w:num w:numId="8">
    <w:abstractNumId w:val="14"/>
  </w:num>
  <w:num w:numId="9">
    <w:abstractNumId w:val="42"/>
  </w:num>
  <w:num w:numId="10">
    <w:abstractNumId w:val="21"/>
  </w:num>
  <w:num w:numId="11">
    <w:abstractNumId w:val="9"/>
  </w:num>
  <w:num w:numId="12">
    <w:abstractNumId w:val="32"/>
  </w:num>
  <w:num w:numId="13">
    <w:abstractNumId w:val="2"/>
  </w:num>
  <w:num w:numId="14">
    <w:abstractNumId w:val="31"/>
  </w:num>
  <w:num w:numId="15">
    <w:abstractNumId w:val="13"/>
  </w:num>
  <w:num w:numId="16">
    <w:abstractNumId w:val="19"/>
  </w:num>
  <w:num w:numId="17">
    <w:abstractNumId w:val="30"/>
  </w:num>
  <w:num w:numId="18">
    <w:abstractNumId w:val="40"/>
  </w:num>
  <w:num w:numId="19">
    <w:abstractNumId w:val="46"/>
  </w:num>
  <w:num w:numId="20">
    <w:abstractNumId w:val="3"/>
  </w:num>
  <w:num w:numId="21">
    <w:abstractNumId w:val="4"/>
  </w:num>
  <w:num w:numId="22">
    <w:abstractNumId w:val="15"/>
  </w:num>
  <w:num w:numId="23">
    <w:abstractNumId w:val="44"/>
  </w:num>
  <w:num w:numId="24">
    <w:abstractNumId w:val="23"/>
  </w:num>
  <w:num w:numId="25">
    <w:abstractNumId w:val="10"/>
  </w:num>
  <w:num w:numId="26">
    <w:abstractNumId w:val="5"/>
  </w:num>
  <w:num w:numId="27">
    <w:abstractNumId w:val="25"/>
  </w:num>
  <w:num w:numId="28">
    <w:abstractNumId w:val="37"/>
  </w:num>
  <w:num w:numId="29">
    <w:abstractNumId w:val="28"/>
  </w:num>
  <w:num w:numId="30">
    <w:abstractNumId w:val="27"/>
  </w:num>
  <w:num w:numId="31">
    <w:abstractNumId w:val="24"/>
  </w:num>
  <w:num w:numId="32">
    <w:abstractNumId w:val="1"/>
  </w:num>
  <w:num w:numId="33">
    <w:abstractNumId w:val="29"/>
  </w:num>
  <w:num w:numId="34">
    <w:abstractNumId w:val="33"/>
  </w:num>
  <w:num w:numId="35">
    <w:abstractNumId w:val="34"/>
  </w:num>
  <w:num w:numId="36">
    <w:abstractNumId w:val="22"/>
  </w:num>
  <w:num w:numId="37">
    <w:abstractNumId w:val="16"/>
  </w:num>
  <w:num w:numId="38">
    <w:abstractNumId w:val="35"/>
  </w:num>
  <w:num w:numId="39">
    <w:abstractNumId w:val="12"/>
  </w:num>
  <w:num w:numId="40">
    <w:abstractNumId w:val="17"/>
  </w:num>
  <w:num w:numId="41">
    <w:abstractNumId w:val="36"/>
  </w:num>
  <w:num w:numId="42">
    <w:abstractNumId w:val="45"/>
  </w:num>
  <w:num w:numId="43">
    <w:abstractNumId w:val="8"/>
  </w:num>
  <w:num w:numId="44">
    <w:abstractNumId w:val="0"/>
  </w:num>
  <w:num w:numId="45">
    <w:abstractNumId w:val="48"/>
  </w:num>
  <w:num w:numId="46">
    <w:abstractNumId w:val="38"/>
  </w:num>
  <w:num w:numId="47">
    <w:abstractNumId w:val="18"/>
  </w:num>
  <w:num w:numId="48">
    <w:abstractNumId w:val="4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6"/>
    <w:rsid w:val="00002C61"/>
    <w:rsid w:val="000030D9"/>
    <w:rsid w:val="00007D9B"/>
    <w:rsid w:val="00014873"/>
    <w:rsid w:val="00032625"/>
    <w:rsid w:val="000346EA"/>
    <w:rsid w:val="00043162"/>
    <w:rsid w:val="00044A62"/>
    <w:rsid w:val="0004659E"/>
    <w:rsid w:val="00046BC0"/>
    <w:rsid w:val="00065E74"/>
    <w:rsid w:val="000720B0"/>
    <w:rsid w:val="00074A13"/>
    <w:rsid w:val="00077617"/>
    <w:rsid w:val="000818D7"/>
    <w:rsid w:val="00090D1B"/>
    <w:rsid w:val="000A3F7E"/>
    <w:rsid w:val="000A6691"/>
    <w:rsid w:val="000A6F67"/>
    <w:rsid w:val="000A7B4B"/>
    <w:rsid w:val="000C1128"/>
    <w:rsid w:val="000D26B2"/>
    <w:rsid w:val="000D2A26"/>
    <w:rsid w:val="000E0B6C"/>
    <w:rsid w:val="000E0B77"/>
    <w:rsid w:val="000E15D6"/>
    <w:rsid w:val="000F0AB4"/>
    <w:rsid w:val="000F379C"/>
    <w:rsid w:val="001015CB"/>
    <w:rsid w:val="00106FBB"/>
    <w:rsid w:val="00120F54"/>
    <w:rsid w:val="00131007"/>
    <w:rsid w:val="00131EDE"/>
    <w:rsid w:val="00142751"/>
    <w:rsid w:val="00143C6F"/>
    <w:rsid w:val="00147889"/>
    <w:rsid w:val="00157CFD"/>
    <w:rsid w:val="001617AB"/>
    <w:rsid w:val="0016440F"/>
    <w:rsid w:val="00181733"/>
    <w:rsid w:val="00187726"/>
    <w:rsid w:val="00192FD6"/>
    <w:rsid w:val="001A0EE4"/>
    <w:rsid w:val="001B0280"/>
    <w:rsid w:val="001B50E9"/>
    <w:rsid w:val="001B5ECD"/>
    <w:rsid w:val="001B7595"/>
    <w:rsid w:val="001C08E2"/>
    <w:rsid w:val="001C5DC6"/>
    <w:rsid w:val="001D64C1"/>
    <w:rsid w:val="001D7734"/>
    <w:rsid w:val="001E1BE8"/>
    <w:rsid w:val="001E6C5B"/>
    <w:rsid w:val="00205AB1"/>
    <w:rsid w:val="0022557C"/>
    <w:rsid w:val="0023363C"/>
    <w:rsid w:val="00234E49"/>
    <w:rsid w:val="002360FA"/>
    <w:rsid w:val="00236707"/>
    <w:rsid w:val="00236868"/>
    <w:rsid w:val="00243443"/>
    <w:rsid w:val="00245D0F"/>
    <w:rsid w:val="00250D44"/>
    <w:rsid w:val="00251FA4"/>
    <w:rsid w:val="00253095"/>
    <w:rsid w:val="00253442"/>
    <w:rsid w:val="00267A9D"/>
    <w:rsid w:val="00274F28"/>
    <w:rsid w:val="002754BC"/>
    <w:rsid w:val="002A1346"/>
    <w:rsid w:val="002A2BD9"/>
    <w:rsid w:val="002B1CD6"/>
    <w:rsid w:val="002B5157"/>
    <w:rsid w:val="002B59F3"/>
    <w:rsid w:val="002D4133"/>
    <w:rsid w:val="002D47C4"/>
    <w:rsid w:val="002D6F29"/>
    <w:rsid w:val="002E34F1"/>
    <w:rsid w:val="002E5577"/>
    <w:rsid w:val="002F109C"/>
    <w:rsid w:val="002F2442"/>
    <w:rsid w:val="002F4D57"/>
    <w:rsid w:val="003006DD"/>
    <w:rsid w:val="0030246D"/>
    <w:rsid w:val="003039BE"/>
    <w:rsid w:val="00310A10"/>
    <w:rsid w:val="00310FA1"/>
    <w:rsid w:val="00314D46"/>
    <w:rsid w:val="00322B48"/>
    <w:rsid w:val="00325BB1"/>
    <w:rsid w:val="003312B7"/>
    <w:rsid w:val="00332B12"/>
    <w:rsid w:val="00333EA4"/>
    <w:rsid w:val="0035041D"/>
    <w:rsid w:val="00351BC3"/>
    <w:rsid w:val="0035312E"/>
    <w:rsid w:val="00354E3A"/>
    <w:rsid w:val="00360C11"/>
    <w:rsid w:val="00365B0C"/>
    <w:rsid w:val="003663C3"/>
    <w:rsid w:val="00372057"/>
    <w:rsid w:val="00376EDB"/>
    <w:rsid w:val="0038500E"/>
    <w:rsid w:val="00386FAF"/>
    <w:rsid w:val="003878E5"/>
    <w:rsid w:val="00392028"/>
    <w:rsid w:val="00396245"/>
    <w:rsid w:val="003A2E22"/>
    <w:rsid w:val="003A31A9"/>
    <w:rsid w:val="003A3305"/>
    <w:rsid w:val="003B0884"/>
    <w:rsid w:val="003B4242"/>
    <w:rsid w:val="003B561F"/>
    <w:rsid w:val="003C05F5"/>
    <w:rsid w:val="003C2765"/>
    <w:rsid w:val="003D0C83"/>
    <w:rsid w:val="003D78B5"/>
    <w:rsid w:val="003E14C5"/>
    <w:rsid w:val="003E217F"/>
    <w:rsid w:val="003E547B"/>
    <w:rsid w:val="003F099F"/>
    <w:rsid w:val="004057CB"/>
    <w:rsid w:val="004073CF"/>
    <w:rsid w:val="00411405"/>
    <w:rsid w:val="0041481F"/>
    <w:rsid w:val="00421C7D"/>
    <w:rsid w:val="0042265C"/>
    <w:rsid w:val="00427FB4"/>
    <w:rsid w:val="00431103"/>
    <w:rsid w:val="0043175C"/>
    <w:rsid w:val="00432502"/>
    <w:rsid w:val="00437101"/>
    <w:rsid w:val="0043763B"/>
    <w:rsid w:val="004404C3"/>
    <w:rsid w:val="00451A6B"/>
    <w:rsid w:val="004613AE"/>
    <w:rsid w:val="00466D34"/>
    <w:rsid w:val="0048594E"/>
    <w:rsid w:val="00487D13"/>
    <w:rsid w:val="00487D40"/>
    <w:rsid w:val="004A77FE"/>
    <w:rsid w:val="004B0D5E"/>
    <w:rsid w:val="004B135D"/>
    <w:rsid w:val="004B1ED8"/>
    <w:rsid w:val="004C3E0A"/>
    <w:rsid w:val="004E0CC4"/>
    <w:rsid w:val="004E376E"/>
    <w:rsid w:val="004F1754"/>
    <w:rsid w:val="004F250A"/>
    <w:rsid w:val="004F52BF"/>
    <w:rsid w:val="00500021"/>
    <w:rsid w:val="00502162"/>
    <w:rsid w:val="00512A3E"/>
    <w:rsid w:val="005133DF"/>
    <w:rsid w:val="00513835"/>
    <w:rsid w:val="005158AD"/>
    <w:rsid w:val="005179E5"/>
    <w:rsid w:val="00523FD2"/>
    <w:rsid w:val="00525BC7"/>
    <w:rsid w:val="00531B9D"/>
    <w:rsid w:val="00551271"/>
    <w:rsid w:val="00551426"/>
    <w:rsid w:val="00552F48"/>
    <w:rsid w:val="005564AA"/>
    <w:rsid w:val="00556528"/>
    <w:rsid w:val="005578A4"/>
    <w:rsid w:val="005606D9"/>
    <w:rsid w:val="00560EA8"/>
    <w:rsid w:val="00561D0F"/>
    <w:rsid w:val="00567AEF"/>
    <w:rsid w:val="00577574"/>
    <w:rsid w:val="00581EA0"/>
    <w:rsid w:val="005836AE"/>
    <w:rsid w:val="005921DD"/>
    <w:rsid w:val="005A51F9"/>
    <w:rsid w:val="005A5867"/>
    <w:rsid w:val="005B70E7"/>
    <w:rsid w:val="005C6E01"/>
    <w:rsid w:val="005E24E1"/>
    <w:rsid w:val="005F6363"/>
    <w:rsid w:val="005F6815"/>
    <w:rsid w:val="005F6A05"/>
    <w:rsid w:val="006024C9"/>
    <w:rsid w:val="006031ED"/>
    <w:rsid w:val="0061024D"/>
    <w:rsid w:val="00614CAA"/>
    <w:rsid w:val="00622791"/>
    <w:rsid w:val="00622F83"/>
    <w:rsid w:val="00623CAB"/>
    <w:rsid w:val="00624075"/>
    <w:rsid w:val="00624428"/>
    <w:rsid w:val="0062480A"/>
    <w:rsid w:val="0063571C"/>
    <w:rsid w:val="00641290"/>
    <w:rsid w:val="006415AE"/>
    <w:rsid w:val="0064491F"/>
    <w:rsid w:val="00645F08"/>
    <w:rsid w:val="00665559"/>
    <w:rsid w:val="0066632C"/>
    <w:rsid w:val="00671DCC"/>
    <w:rsid w:val="00695854"/>
    <w:rsid w:val="0069618C"/>
    <w:rsid w:val="006A4B5E"/>
    <w:rsid w:val="006A6478"/>
    <w:rsid w:val="006B69CD"/>
    <w:rsid w:val="006D0B4A"/>
    <w:rsid w:val="006D136D"/>
    <w:rsid w:val="006D4BE2"/>
    <w:rsid w:val="006D67F7"/>
    <w:rsid w:val="006E06F4"/>
    <w:rsid w:val="006F11CF"/>
    <w:rsid w:val="00700F2F"/>
    <w:rsid w:val="0070386D"/>
    <w:rsid w:val="007128FB"/>
    <w:rsid w:val="0071404E"/>
    <w:rsid w:val="00716C59"/>
    <w:rsid w:val="0073415B"/>
    <w:rsid w:val="00736DB2"/>
    <w:rsid w:val="00737F41"/>
    <w:rsid w:val="00742336"/>
    <w:rsid w:val="0074563C"/>
    <w:rsid w:val="00750324"/>
    <w:rsid w:val="00762D57"/>
    <w:rsid w:val="00771ED5"/>
    <w:rsid w:val="00775A6D"/>
    <w:rsid w:val="007769B7"/>
    <w:rsid w:val="00777A79"/>
    <w:rsid w:val="007943E8"/>
    <w:rsid w:val="00795BC8"/>
    <w:rsid w:val="00795E60"/>
    <w:rsid w:val="007A355F"/>
    <w:rsid w:val="007C00E2"/>
    <w:rsid w:val="007C47DD"/>
    <w:rsid w:val="007C5FE8"/>
    <w:rsid w:val="007D2C3C"/>
    <w:rsid w:val="007D2DFF"/>
    <w:rsid w:val="007D4691"/>
    <w:rsid w:val="007D7116"/>
    <w:rsid w:val="007E0C91"/>
    <w:rsid w:val="007F0C55"/>
    <w:rsid w:val="008058A8"/>
    <w:rsid w:val="00817D76"/>
    <w:rsid w:val="00823BF4"/>
    <w:rsid w:val="00824F7A"/>
    <w:rsid w:val="0082596F"/>
    <w:rsid w:val="008433E0"/>
    <w:rsid w:val="00845253"/>
    <w:rsid w:val="00845A9A"/>
    <w:rsid w:val="008620F9"/>
    <w:rsid w:val="00876661"/>
    <w:rsid w:val="008778F9"/>
    <w:rsid w:val="008818F5"/>
    <w:rsid w:val="00884474"/>
    <w:rsid w:val="00885ADB"/>
    <w:rsid w:val="00887CBE"/>
    <w:rsid w:val="00894DC1"/>
    <w:rsid w:val="008B3988"/>
    <w:rsid w:val="008B5389"/>
    <w:rsid w:val="008B57CB"/>
    <w:rsid w:val="008D0994"/>
    <w:rsid w:val="008D1ED5"/>
    <w:rsid w:val="008D204E"/>
    <w:rsid w:val="008F1E9A"/>
    <w:rsid w:val="00902688"/>
    <w:rsid w:val="00904A55"/>
    <w:rsid w:val="009173BB"/>
    <w:rsid w:val="00917A1D"/>
    <w:rsid w:val="00920FB0"/>
    <w:rsid w:val="009271DC"/>
    <w:rsid w:val="009350E0"/>
    <w:rsid w:val="00936F19"/>
    <w:rsid w:val="0094386E"/>
    <w:rsid w:val="00943CCA"/>
    <w:rsid w:val="0095501C"/>
    <w:rsid w:val="00963DCE"/>
    <w:rsid w:val="00971827"/>
    <w:rsid w:val="00973AD3"/>
    <w:rsid w:val="00975B68"/>
    <w:rsid w:val="009846E1"/>
    <w:rsid w:val="00992239"/>
    <w:rsid w:val="00995DED"/>
    <w:rsid w:val="009B1BC4"/>
    <w:rsid w:val="009B37E4"/>
    <w:rsid w:val="009C1B96"/>
    <w:rsid w:val="009C6D64"/>
    <w:rsid w:val="009D282B"/>
    <w:rsid w:val="009E1D23"/>
    <w:rsid w:val="009E22A2"/>
    <w:rsid w:val="009F014A"/>
    <w:rsid w:val="00A1709C"/>
    <w:rsid w:val="00A21470"/>
    <w:rsid w:val="00A21649"/>
    <w:rsid w:val="00A23BB5"/>
    <w:rsid w:val="00A23F10"/>
    <w:rsid w:val="00A30966"/>
    <w:rsid w:val="00A312F1"/>
    <w:rsid w:val="00A312F7"/>
    <w:rsid w:val="00A42A87"/>
    <w:rsid w:val="00A73874"/>
    <w:rsid w:val="00A73B3B"/>
    <w:rsid w:val="00A82AEA"/>
    <w:rsid w:val="00A87A72"/>
    <w:rsid w:val="00A910C6"/>
    <w:rsid w:val="00A96FB5"/>
    <w:rsid w:val="00AA0D89"/>
    <w:rsid w:val="00AA67EA"/>
    <w:rsid w:val="00AB37CA"/>
    <w:rsid w:val="00AB4198"/>
    <w:rsid w:val="00AC0F32"/>
    <w:rsid w:val="00AC21F6"/>
    <w:rsid w:val="00AC5F7B"/>
    <w:rsid w:val="00AD0D68"/>
    <w:rsid w:val="00AD4D58"/>
    <w:rsid w:val="00AD796D"/>
    <w:rsid w:val="00AE0ABE"/>
    <w:rsid w:val="00AE24FE"/>
    <w:rsid w:val="00AE3920"/>
    <w:rsid w:val="00AE3F22"/>
    <w:rsid w:val="00AE6F00"/>
    <w:rsid w:val="00B00D46"/>
    <w:rsid w:val="00B158CC"/>
    <w:rsid w:val="00B32FFC"/>
    <w:rsid w:val="00B357C4"/>
    <w:rsid w:val="00B37700"/>
    <w:rsid w:val="00B40E72"/>
    <w:rsid w:val="00B460D0"/>
    <w:rsid w:val="00B57202"/>
    <w:rsid w:val="00B6218B"/>
    <w:rsid w:val="00B658D4"/>
    <w:rsid w:val="00B707D8"/>
    <w:rsid w:val="00B77C0E"/>
    <w:rsid w:val="00B82059"/>
    <w:rsid w:val="00B846C6"/>
    <w:rsid w:val="00B85E30"/>
    <w:rsid w:val="00B936F6"/>
    <w:rsid w:val="00B9370A"/>
    <w:rsid w:val="00BB278F"/>
    <w:rsid w:val="00BB56BB"/>
    <w:rsid w:val="00BB6571"/>
    <w:rsid w:val="00BC4C7A"/>
    <w:rsid w:val="00BD0E7F"/>
    <w:rsid w:val="00BD25F7"/>
    <w:rsid w:val="00BE04E6"/>
    <w:rsid w:val="00BE1C1B"/>
    <w:rsid w:val="00BE4B24"/>
    <w:rsid w:val="00BE52BD"/>
    <w:rsid w:val="00BF413F"/>
    <w:rsid w:val="00BF79BE"/>
    <w:rsid w:val="00C037FA"/>
    <w:rsid w:val="00C07CDD"/>
    <w:rsid w:val="00C10BE3"/>
    <w:rsid w:val="00C22B25"/>
    <w:rsid w:val="00C2327C"/>
    <w:rsid w:val="00C247CF"/>
    <w:rsid w:val="00C453F9"/>
    <w:rsid w:val="00C50D96"/>
    <w:rsid w:val="00C52EC3"/>
    <w:rsid w:val="00C6117A"/>
    <w:rsid w:val="00C6334D"/>
    <w:rsid w:val="00C63591"/>
    <w:rsid w:val="00C73064"/>
    <w:rsid w:val="00C73F2A"/>
    <w:rsid w:val="00C764D1"/>
    <w:rsid w:val="00C76DED"/>
    <w:rsid w:val="00CB0079"/>
    <w:rsid w:val="00CB4CC6"/>
    <w:rsid w:val="00CD00E4"/>
    <w:rsid w:val="00CD06C4"/>
    <w:rsid w:val="00CD57BE"/>
    <w:rsid w:val="00CE1B2F"/>
    <w:rsid w:val="00CF7338"/>
    <w:rsid w:val="00CF78C2"/>
    <w:rsid w:val="00D00336"/>
    <w:rsid w:val="00D01B25"/>
    <w:rsid w:val="00D04964"/>
    <w:rsid w:val="00D07C6E"/>
    <w:rsid w:val="00D2105A"/>
    <w:rsid w:val="00D2559D"/>
    <w:rsid w:val="00D31B2C"/>
    <w:rsid w:val="00D3734B"/>
    <w:rsid w:val="00D40C95"/>
    <w:rsid w:val="00D50CDE"/>
    <w:rsid w:val="00D51702"/>
    <w:rsid w:val="00D644BB"/>
    <w:rsid w:val="00D718BC"/>
    <w:rsid w:val="00D8152E"/>
    <w:rsid w:val="00D84C18"/>
    <w:rsid w:val="00DA3A87"/>
    <w:rsid w:val="00DC1B80"/>
    <w:rsid w:val="00DC2E0B"/>
    <w:rsid w:val="00DD7C74"/>
    <w:rsid w:val="00DE0FC3"/>
    <w:rsid w:val="00DE320E"/>
    <w:rsid w:val="00DE45C8"/>
    <w:rsid w:val="00DE7E78"/>
    <w:rsid w:val="00E028E6"/>
    <w:rsid w:val="00E04736"/>
    <w:rsid w:val="00E21765"/>
    <w:rsid w:val="00E24F89"/>
    <w:rsid w:val="00E332B0"/>
    <w:rsid w:val="00E406A3"/>
    <w:rsid w:val="00E408FC"/>
    <w:rsid w:val="00E47262"/>
    <w:rsid w:val="00E47752"/>
    <w:rsid w:val="00E478C9"/>
    <w:rsid w:val="00E528F9"/>
    <w:rsid w:val="00E6564D"/>
    <w:rsid w:val="00E65C91"/>
    <w:rsid w:val="00E70C3E"/>
    <w:rsid w:val="00E95E63"/>
    <w:rsid w:val="00EA2EAC"/>
    <w:rsid w:val="00EA6923"/>
    <w:rsid w:val="00EA6F11"/>
    <w:rsid w:val="00EA7832"/>
    <w:rsid w:val="00EA7BBB"/>
    <w:rsid w:val="00EB19CA"/>
    <w:rsid w:val="00EB65A9"/>
    <w:rsid w:val="00EC069E"/>
    <w:rsid w:val="00ED0659"/>
    <w:rsid w:val="00ED1AE6"/>
    <w:rsid w:val="00EE31A3"/>
    <w:rsid w:val="00EE4860"/>
    <w:rsid w:val="00EF043F"/>
    <w:rsid w:val="00EF1283"/>
    <w:rsid w:val="00EF2243"/>
    <w:rsid w:val="00EF2DB7"/>
    <w:rsid w:val="00F004F8"/>
    <w:rsid w:val="00F021D2"/>
    <w:rsid w:val="00F02C19"/>
    <w:rsid w:val="00F0446F"/>
    <w:rsid w:val="00F07165"/>
    <w:rsid w:val="00F30EB2"/>
    <w:rsid w:val="00F55BEE"/>
    <w:rsid w:val="00F6291C"/>
    <w:rsid w:val="00F86621"/>
    <w:rsid w:val="00F94BFE"/>
    <w:rsid w:val="00FA0936"/>
    <w:rsid w:val="00FA0B06"/>
    <w:rsid w:val="00FC015F"/>
    <w:rsid w:val="00FC21D1"/>
    <w:rsid w:val="00FC6EAD"/>
    <w:rsid w:val="00FD02CB"/>
    <w:rsid w:val="00FD4F04"/>
    <w:rsid w:val="00FD70CA"/>
    <w:rsid w:val="00FD7D51"/>
    <w:rsid w:val="00FF011E"/>
    <w:rsid w:val="00FF14BF"/>
    <w:rsid w:val="00FF390D"/>
    <w:rsid w:val="00FF6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A1B5"/>
  <w15:docId w15:val="{DA845313-DF30-4A6B-BE78-CB0F1A9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BC8"/>
    <w:pPr>
      <w:ind w:left="720"/>
      <w:contextualSpacing/>
    </w:pPr>
  </w:style>
  <w:style w:type="character" w:styleId="Refdecomentario">
    <w:name w:val="annotation reference"/>
    <w:basedOn w:val="Fuentedeprrafopredeter"/>
    <w:uiPriority w:val="99"/>
    <w:semiHidden/>
    <w:unhideWhenUsed/>
    <w:rsid w:val="0004659E"/>
    <w:rPr>
      <w:sz w:val="16"/>
      <w:szCs w:val="16"/>
    </w:rPr>
  </w:style>
  <w:style w:type="paragraph" w:styleId="Textocomentario">
    <w:name w:val="annotation text"/>
    <w:basedOn w:val="Normal"/>
    <w:link w:val="TextocomentarioCar"/>
    <w:uiPriority w:val="99"/>
    <w:unhideWhenUsed/>
    <w:rsid w:val="0004659E"/>
    <w:pPr>
      <w:spacing w:line="240" w:lineRule="auto"/>
    </w:pPr>
    <w:rPr>
      <w:sz w:val="20"/>
      <w:szCs w:val="20"/>
    </w:rPr>
  </w:style>
  <w:style w:type="character" w:customStyle="1" w:styleId="TextocomentarioCar">
    <w:name w:val="Texto comentario Car"/>
    <w:basedOn w:val="Fuentedeprrafopredeter"/>
    <w:link w:val="Textocomentario"/>
    <w:uiPriority w:val="99"/>
    <w:rsid w:val="0004659E"/>
    <w:rPr>
      <w:sz w:val="20"/>
      <w:szCs w:val="20"/>
    </w:rPr>
  </w:style>
  <w:style w:type="paragraph" w:styleId="Asuntodelcomentario">
    <w:name w:val="annotation subject"/>
    <w:basedOn w:val="Textocomentario"/>
    <w:next w:val="Textocomentario"/>
    <w:link w:val="AsuntodelcomentarioCar"/>
    <w:uiPriority w:val="99"/>
    <w:semiHidden/>
    <w:unhideWhenUsed/>
    <w:rsid w:val="0004659E"/>
    <w:rPr>
      <w:b/>
      <w:bCs/>
    </w:rPr>
  </w:style>
  <w:style w:type="character" w:customStyle="1" w:styleId="AsuntodelcomentarioCar">
    <w:name w:val="Asunto del comentario Car"/>
    <w:basedOn w:val="TextocomentarioCar"/>
    <w:link w:val="Asuntodelcomentario"/>
    <w:uiPriority w:val="99"/>
    <w:semiHidden/>
    <w:rsid w:val="0004659E"/>
    <w:rPr>
      <w:b/>
      <w:bCs/>
      <w:sz w:val="20"/>
      <w:szCs w:val="20"/>
    </w:rPr>
  </w:style>
  <w:style w:type="paragraph" w:styleId="Textodeglobo">
    <w:name w:val="Balloon Text"/>
    <w:basedOn w:val="Normal"/>
    <w:link w:val="TextodegloboCar"/>
    <w:uiPriority w:val="99"/>
    <w:semiHidden/>
    <w:unhideWhenUsed/>
    <w:rsid w:val="00046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59E"/>
    <w:rPr>
      <w:rFonts w:ascii="Segoe UI" w:hAnsi="Segoe UI" w:cs="Segoe UI"/>
      <w:sz w:val="18"/>
      <w:szCs w:val="18"/>
    </w:rPr>
  </w:style>
  <w:style w:type="paragraph" w:styleId="Encabezado">
    <w:name w:val="header"/>
    <w:basedOn w:val="Normal"/>
    <w:link w:val="EncabezadoCar"/>
    <w:uiPriority w:val="99"/>
    <w:unhideWhenUsed/>
    <w:rsid w:val="00440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4C3"/>
  </w:style>
  <w:style w:type="paragraph" w:styleId="Piedepgina">
    <w:name w:val="footer"/>
    <w:basedOn w:val="Normal"/>
    <w:link w:val="PiedepginaCar"/>
    <w:uiPriority w:val="99"/>
    <w:unhideWhenUsed/>
    <w:rsid w:val="00440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4C3"/>
  </w:style>
  <w:style w:type="paragraph" w:styleId="Textonotapie">
    <w:name w:val="footnote text"/>
    <w:basedOn w:val="Normal"/>
    <w:link w:val="TextonotapieCar"/>
    <w:uiPriority w:val="99"/>
    <w:semiHidden/>
    <w:unhideWhenUsed/>
    <w:rsid w:val="00AA0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D89"/>
    <w:rPr>
      <w:sz w:val="20"/>
      <w:szCs w:val="20"/>
    </w:rPr>
  </w:style>
  <w:style w:type="character" w:styleId="Refdenotaalpie">
    <w:name w:val="footnote reference"/>
    <w:basedOn w:val="Fuentedeprrafopredeter"/>
    <w:uiPriority w:val="99"/>
    <w:semiHidden/>
    <w:unhideWhenUsed/>
    <w:rsid w:val="00AA0D89"/>
    <w:rPr>
      <w:vertAlign w:val="superscript"/>
    </w:rPr>
  </w:style>
  <w:style w:type="character" w:styleId="Hipervnculo">
    <w:name w:val="Hyperlink"/>
    <w:basedOn w:val="Fuentedeprrafopredeter"/>
    <w:uiPriority w:val="99"/>
    <w:unhideWhenUsed/>
    <w:rsid w:val="0016440F"/>
    <w:rPr>
      <w:color w:val="0000FF"/>
      <w:u w:val="single"/>
    </w:rPr>
  </w:style>
  <w:style w:type="character" w:styleId="Hipervnculovisitado">
    <w:name w:val="FollowedHyperlink"/>
    <w:basedOn w:val="Fuentedeprrafopredeter"/>
    <w:uiPriority w:val="99"/>
    <w:semiHidden/>
    <w:unhideWhenUsed/>
    <w:rsid w:val="0016440F"/>
    <w:rPr>
      <w:color w:val="954F72" w:themeColor="followedHyperlink"/>
      <w:u w:val="single"/>
    </w:rPr>
  </w:style>
  <w:style w:type="table" w:styleId="Tablaconcuadrcula">
    <w:name w:val="Table Grid"/>
    <w:basedOn w:val="Tablanormal"/>
    <w:uiPriority w:val="39"/>
    <w:rsid w:val="00DC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E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E24E1"/>
    <w:rPr>
      <w:rFonts w:ascii="Times New Roman" w:hAnsi="Times New Roman" w:cs="Times New Roman"/>
      <w:sz w:val="24"/>
      <w:szCs w:val="24"/>
    </w:rPr>
  </w:style>
  <w:style w:type="paragraph" w:styleId="Textoindependiente">
    <w:name w:val="Body Text"/>
    <w:basedOn w:val="Normal"/>
    <w:link w:val="TextoindependienteCar"/>
    <w:uiPriority w:val="1"/>
    <w:qFormat/>
    <w:rsid w:val="00EA7BBB"/>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EA7BBB"/>
    <w:rPr>
      <w:rFonts w:ascii="Arial" w:eastAsia="Arial" w:hAnsi="Arial" w:cs="Arial"/>
      <w:lang w:val="en-US"/>
    </w:rPr>
  </w:style>
  <w:style w:type="character" w:customStyle="1" w:styleId="Mencinsinresolver1">
    <w:name w:val="Mención sin resolver1"/>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736">
      <w:bodyDiv w:val="1"/>
      <w:marLeft w:val="0"/>
      <w:marRight w:val="0"/>
      <w:marTop w:val="0"/>
      <w:marBottom w:val="0"/>
      <w:divBdr>
        <w:top w:val="none" w:sz="0" w:space="0" w:color="auto"/>
        <w:left w:val="none" w:sz="0" w:space="0" w:color="auto"/>
        <w:bottom w:val="none" w:sz="0" w:space="0" w:color="auto"/>
        <w:right w:val="none" w:sz="0" w:space="0" w:color="auto"/>
      </w:divBdr>
    </w:div>
    <w:div w:id="121536206">
      <w:bodyDiv w:val="1"/>
      <w:marLeft w:val="0"/>
      <w:marRight w:val="0"/>
      <w:marTop w:val="0"/>
      <w:marBottom w:val="0"/>
      <w:divBdr>
        <w:top w:val="none" w:sz="0" w:space="0" w:color="auto"/>
        <w:left w:val="none" w:sz="0" w:space="0" w:color="auto"/>
        <w:bottom w:val="none" w:sz="0" w:space="0" w:color="auto"/>
        <w:right w:val="none" w:sz="0" w:space="0" w:color="auto"/>
      </w:divBdr>
    </w:div>
    <w:div w:id="205677225">
      <w:bodyDiv w:val="1"/>
      <w:marLeft w:val="0"/>
      <w:marRight w:val="0"/>
      <w:marTop w:val="0"/>
      <w:marBottom w:val="0"/>
      <w:divBdr>
        <w:top w:val="none" w:sz="0" w:space="0" w:color="auto"/>
        <w:left w:val="none" w:sz="0" w:space="0" w:color="auto"/>
        <w:bottom w:val="none" w:sz="0" w:space="0" w:color="auto"/>
        <w:right w:val="none" w:sz="0" w:space="0" w:color="auto"/>
      </w:divBdr>
      <w:divsChild>
        <w:div w:id="393508439">
          <w:marLeft w:val="0"/>
          <w:marRight w:val="0"/>
          <w:marTop w:val="0"/>
          <w:marBottom w:val="0"/>
          <w:divBdr>
            <w:top w:val="none" w:sz="0" w:space="0" w:color="auto"/>
            <w:left w:val="none" w:sz="0" w:space="0" w:color="auto"/>
            <w:bottom w:val="none" w:sz="0" w:space="0" w:color="auto"/>
            <w:right w:val="none" w:sz="0" w:space="0" w:color="auto"/>
          </w:divBdr>
          <w:divsChild>
            <w:div w:id="416750771">
              <w:marLeft w:val="0"/>
              <w:marRight w:val="0"/>
              <w:marTop w:val="0"/>
              <w:marBottom w:val="0"/>
              <w:divBdr>
                <w:top w:val="none" w:sz="0" w:space="0" w:color="auto"/>
                <w:left w:val="none" w:sz="0" w:space="0" w:color="auto"/>
                <w:bottom w:val="none" w:sz="0" w:space="0" w:color="auto"/>
                <w:right w:val="none" w:sz="0" w:space="0" w:color="auto"/>
              </w:divBdr>
              <w:divsChild>
                <w:div w:id="5500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1547">
      <w:bodyDiv w:val="1"/>
      <w:marLeft w:val="0"/>
      <w:marRight w:val="0"/>
      <w:marTop w:val="0"/>
      <w:marBottom w:val="0"/>
      <w:divBdr>
        <w:top w:val="none" w:sz="0" w:space="0" w:color="auto"/>
        <w:left w:val="none" w:sz="0" w:space="0" w:color="auto"/>
        <w:bottom w:val="none" w:sz="0" w:space="0" w:color="auto"/>
        <w:right w:val="none" w:sz="0" w:space="0" w:color="auto"/>
      </w:divBdr>
      <w:divsChild>
        <w:div w:id="28188838">
          <w:marLeft w:val="0"/>
          <w:marRight w:val="0"/>
          <w:marTop w:val="0"/>
          <w:marBottom w:val="0"/>
          <w:divBdr>
            <w:top w:val="none" w:sz="0" w:space="0" w:color="auto"/>
            <w:left w:val="none" w:sz="0" w:space="0" w:color="auto"/>
            <w:bottom w:val="none" w:sz="0" w:space="0" w:color="auto"/>
            <w:right w:val="none" w:sz="0" w:space="0" w:color="auto"/>
          </w:divBdr>
          <w:divsChild>
            <w:div w:id="466357075">
              <w:marLeft w:val="0"/>
              <w:marRight w:val="0"/>
              <w:marTop w:val="0"/>
              <w:marBottom w:val="0"/>
              <w:divBdr>
                <w:top w:val="none" w:sz="0" w:space="0" w:color="auto"/>
                <w:left w:val="none" w:sz="0" w:space="0" w:color="auto"/>
                <w:bottom w:val="none" w:sz="0" w:space="0" w:color="auto"/>
                <w:right w:val="none" w:sz="0" w:space="0" w:color="auto"/>
              </w:divBdr>
              <w:divsChild>
                <w:div w:id="1247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099">
      <w:bodyDiv w:val="1"/>
      <w:marLeft w:val="0"/>
      <w:marRight w:val="0"/>
      <w:marTop w:val="0"/>
      <w:marBottom w:val="0"/>
      <w:divBdr>
        <w:top w:val="none" w:sz="0" w:space="0" w:color="auto"/>
        <w:left w:val="none" w:sz="0" w:space="0" w:color="auto"/>
        <w:bottom w:val="none" w:sz="0" w:space="0" w:color="auto"/>
        <w:right w:val="none" w:sz="0" w:space="0" w:color="auto"/>
      </w:divBdr>
      <w:divsChild>
        <w:div w:id="1315136119">
          <w:marLeft w:val="0"/>
          <w:marRight w:val="0"/>
          <w:marTop w:val="0"/>
          <w:marBottom w:val="0"/>
          <w:divBdr>
            <w:top w:val="none" w:sz="0" w:space="0" w:color="auto"/>
            <w:left w:val="none" w:sz="0" w:space="0" w:color="auto"/>
            <w:bottom w:val="none" w:sz="0" w:space="0" w:color="auto"/>
            <w:right w:val="none" w:sz="0" w:space="0" w:color="auto"/>
          </w:divBdr>
          <w:divsChild>
            <w:div w:id="1640723569">
              <w:marLeft w:val="0"/>
              <w:marRight w:val="0"/>
              <w:marTop w:val="0"/>
              <w:marBottom w:val="0"/>
              <w:divBdr>
                <w:top w:val="none" w:sz="0" w:space="0" w:color="auto"/>
                <w:left w:val="none" w:sz="0" w:space="0" w:color="auto"/>
                <w:bottom w:val="none" w:sz="0" w:space="0" w:color="auto"/>
                <w:right w:val="none" w:sz="0" w:space="0" w:color="auto"/>
              </w:divBdr>
              <w:divsChild>
                <w:div w:id="12054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8499">
      <w:bodyDiv w:val="1"/>
      <w:marLeft w:val="0"/>
      <w:marRight w:val="0"/>
      <w:marTop w:val="0"/>
      <w:marBottom w:val="0"/>
      <w:divBdr>
        <w:top w:val="none" w:sz="0" w:space="0" w:color="auto"/>
        <w:left w:val="none" w:sz="0" w:space="0" w:color="auto"/>
        <w:bottom w:val="none" w:sz="0" w:space="0" w:color="auto"/>
        <w:right w:val="none" w:sz="0" w:space="0" w:color="auto"/>
      </w:divBdr>
      <w:divsChild>
        <w:div w:id="328018934">
          <w:marLeft w:val="0"/>
          <w:marRight w:val="0"/>
          <w:marTop w:val="0"/>
          <w:marBottom w:val="0"/>
          <w:divBdr>
            <w:top w:val="none" w:sz="0" w:space="0" w:color="auto"/>
            <w:left w:val="none" w:sz="0" w:space="0" w:color="auto"/>
            <w:bottom w:val="none" w:sz="0" w:space="0" w:color="auto"/>
            <w:right w:val="none" w:sz="0" w:space="0" w:color="auto"/>
          </w:divBdr>
          <w:divsChild>
            <w:div w:id="1570381396">
              <w:marLeft w:val="0"/>
              <w:marRight w:val="0"/>
              <w:marTop w:val="0"/>
              <w:marBottom w:val="0"/>
              <w:divBdr>
                <w:top w:val="none" w:sz="0" w:space="0" w:color="auto"/>
                <w:left w:val="none" w:sz="0" w:space="0" w:color="auto"/>
                <w:bottom w:val="none" w:sz="0" w:space="0" w:color="auto"/>
                <w:right w:val="none" w:sz="0" w:space="0" w:color="auto"/>
              </w:divBdr>
              <w:divsChild>
                <w:div w:id="19189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134">
      <w:bodyDiv w:val="1"/>
      <w:marLeft w:val="0"/>
      <w:marRight w:val="0"/>
      <w:marTop w:val="0"/>
      <w:marBottom w:val="0"/>
      <w:divBdr>
        <w:top w:val="none" w:sz="0" w:space="0" w:color="auto"/>
        <w:left w:val="none" w:sz="0" w:space="0" w:color="auto"/>
        <w:bottom w:val="none" w:sz="0" w:space="0" w:color="auto"/>
        <w:right w:val="none" w:sz="0" w:space="0" w:color="auto"/>
      </w:divBdr>
    </w:div>
    <w:div w:id="746154467">
      <w:bodyDiv w:val="1"/>
      <w:marLeft w:val="0"/>
      <w:marRight w:val="0"/>
      <w:marTop w:val="0"/>
      <w:marBottom w:val="0"/>
      <w:divBdr>
        <w:top w:val="none" w:sz="0" w:space="0" w:color="auto"/>
        <w:left w:val="none" w:sz="0" w:space="0" w:color="auto"/>
        <w:bottom w:val="none" w:sz="0" w:space="0" w:color="auto"/>
        <w:right w:val="none" w:sz="0" w:space="0" w:color="auto"/>
      </w:divBdr>
      <w:divsChild>
        <w:div w:id="826749363">
          <w:marLeft w:val="0"/>
          <w:marRight w:val="0"/>
          <w:marTop w:val="0"/>
          <w:marBottom w:val="0"/>
          <w:divBdr>
            <w:top w:val="none" w:sz="0" w:space="0" w:color="auto"/>
            <w:left w:val="none" w:sz="0" w:space="0" w:color="auto"/>
            <w:bottom w:val="none" w:sz="0" w:space="0" w:color="auto"/>
            <w:right w:val="none" w:sz="0" w:space="0" w:color="auto"/>
          </w:divBdr>
          <w:divsChild>
            <w:div w:id="2071921739">
              <w:marLeft w:val="0"/>
              <w:marRight w:val="0"/>
              <w:marTop w:val="0"/>
              <w:marBottom w:val="0"/>
              <w:divBdr>
                <w:top w:val="none" w:sz="0" w:space="0" w:color="auto"/>
                <w:left w:val="none" w:sz="0" w:space="0" w:color="auto"/>
                <w:bottom w:val="none" w:sz="0" w:space="0" w:color="auto"/>
                <w:right w:val="none" w:sz="0" w:space="0" w:color="auto"/>
              </w:divBdr>
              <w:divsChild>
                <w:div w:id="13216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737">
      <w:bodyDiv w:val="1"/>
      <w:marLeft w:val="0"/>
      <w:marRight w:val="0"/>
      <w:marTop w:val="0"/>
      <w:marBottom w:val="0"/>
      <w:divBdr>
        <w:top w:val="none" w:sz="0" w:space="0" w:color="auto"/>
        <w:left w:val="none" w:sz="0" w:space="0" w:color="auto"/>
        <w:bottom w:val="none" w:sz="0" w:space="0" w:color="auto"/>
        <w:right w:val="none" w:sz="0" w:space="0" w:color="auto"/>
      </w:divBdr>
    </w:div>
    <w:div w:id="849754845">
      <w:bodyDiv w:val="1"/>
      <w:marLeft w:val="0"/>
      <w:marRight w:val="0"/>
      <w:marTop w:val="0"/>
      <w:marBottom w:val="0"/>
      <w:divBdr>
        <w:top w:val="none" w:sz="0" w:space="0" w:color="auto"/>
        <w:left w:val="none" w:sz="0" w:space="0" w:color="auto"/>
        <w:bottom w:val="none" w:sz="0" w:space="0" w:color="auto"/>
        <w:right w:val="none" w:sz="0" w:space="0" w:color="auto"/>
      </w:divBdr>
    </w:div>
    <w:div w:id="965163467">
      <w:bodyDiv w:val="1"/>
      <w:marLeft w:val="0"/>
      <w:marRight w:val="0"/>
      <w:marTop w:val="0"/>
      <w:marBottom w:val="0"/>
      <w:divBdr>
        <w:top w:val="none" w:sz="0" w:space="0" w:color="auto"/>
        <w:left w:val="none" w:sz="0" w:space="0" w:color="auto"/>
        <w:bottom w:val="none" w:sz="0" w:space="0" w:color="auto"/>
        <w:right w:val="none" w:sz="0" w:space="0" w:color="auto"/>
      </w:divBdr>
    </w:div>
    <w:div w:id="1019358987">
      <w:bodyDiv w:val="1"/>
      <w:marLeft w:val="0"/>
      <w:marRight w:val="0"/>
      <w:marTop w:val="0"/>
      <w:marBottom w:val="0"/>
      <w:divBdr>
        <w:top w:val="none" w:sz="0" w:space="0" w:color="auto"/>
        <w:left w:val="none" w:sz="0" w:space="0" w:color="auto"/>
        <w:bottom w:val="none" w:sz="0" w:space="0" w:color="auto"/>
        <w:right w:val="none" w:sz="0" w:space="0" w:color="auto"/>
      </w:divBdr>
      <w:divsChild>
        <w:div w:id="984050076">
          <w:marLeft w:val="0"/>
          <w:marRight w:val="0"/>
          <w:marTop w:val="0"/>
          <w:marBottom w:val="0"/>
          <w:divBdr>
            <w:top w:val="none" w:sz="0" w:space="0" w:color="auto"/>
            <w:left w:val="none" w:sz="0" w:space="0" w:color="auto"/>
            <w:bottom w:val="none" w:sz="0" w:space="0" w:color="auto"/>
            <w:right w:val="none" w:sz="0" w:space="0" w:color="auto"/>
          </w:divBdr>
          <w:divsChild>
            <w:div w:id="233858370">
              <w:marLeft w:val="0"/>
              <w:marRight w:val="0"/>
              <w:marTop w:val="0"/>
              <w:marBottom w:val="0"/>
              <w:divBdr>
                <w:top w:val="none" w:sz="0" w:space="0" w:color="auto"/>
                <w:left w:val="none" w:sz="0" w:space="0" w:color="auto"/>
                <w:bottom w:val="none" w:sz="0" w:space="0" w:color="auto"/>
                <w:right w:val="none" w:sz="0" w:space="0" w:color="auto"/>
              </w:divBdr>
              <w:divsChild>
                <w:div w:id="18662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98982908">
          <w:marLeft w:val="0"/>
          <w:marRight w:val="0"/>
          <w:marTop w:val="0"/>
          <w:marBottom w:val="0"/>
          <w:divBdr>
            <w:top w:val="none" w:sz="0" w:space="0" w:color="auto"/>
            <w:left w:val="none" w:sz="0" w:space="0" w:color="auto"/>
            <w:bottom w:val="none" w:sz="0" w:space="0" w:color="auto"/>
            <w:right w:val="none" w:sz="0" w:space="0" w:color="auto"/>
          </w:divBdr>
          <w:divsChild>
            <w:div w:id="1116293924">
              <w:marLeft w:val="0"/>
              <w:marRight w:val="0"/>
              <w:marTop w:val="0"/>
              <w:marBottom w:val="0"/>
              <w:divBdr>
                <w:top w:val="none" w:sz="0" w:space="0" w:color="auto"/>
                <w:left w:val="none" w:sz="0" w:space="0" w:color="auto"/>
                <w:bottom w:val="none" w:sz="0" w:space="0" w:color="auto"/>
                <w:right w:val="none" w:sz="0" w:space="0" w:color="auto"/>
              </w:divBdr>
              <w:divsChild>
                <w:div w:id="4361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9565">
      <w:bodyDiv w:val="1"/>
      <w:marLeft w:val="0"/>
      <w:marRight w:val="0"/>
      <w:marTop w:val="0"/>
      <w:marBottom w:val="0"/>
      <w:divBdr>
        <w:top w:val="none" w:sz="0" w:space="0" w:color="auto"/>
        <w:left w:val="none" w:sz="0" w:space="0" w:color="auto"/>
        <w:bottom w:val="none" w:sz="0" w:space="0" w:color="auto"/>
        <w:right w:val="none" w:sz="0" w:space="0" w:color="auto"/>
      </w:divBdr>
    </w:div>
    <w:div w:id="1167133197">
      <w:bodyDiv w:val="1"/>
      <w:marLeft w:val="0"/>
      <w:marRight w:val="0"/>
      <w:marTop w:val="0"/>
      <w:marBottom w:val="0"/>
      <w:divBdr>
        <w:top w:val="none" w:sz="0" w:space="0" w:color="auto"/>
        <w:left w:val="none" w:sz="0" w:space="0" w:color="auto"/>
        <w:bottom w:val="none" w:sz="0" w:space="0" w:color="auto"/>
        <w:right w:val="none" w:sz="0" w:space="0" w:color="auto"/>
      </w:divBdr>
      <w:divsChild>
        <w:div w:id="1419667672">
          <w:marLeft w:val="0"/>
          <w:marRight w:val="0"/>
          <w:marTop w:val="0"/>
          <w:marBottom w:val="0"/>
          <w:divBdr>
            <w:top w:val="none" w:sz="0" w:space="0" w:color="auto"/>
            <w:left w:val="none" w:sz="0" w:space="0" w:color="auto"/>
            <w:bottom w:val="none" w:sz="0" w:space="0" w:color="auto"/>
            <w:right w:val="none" w:sz="0" w:space="0" w:color="auto"/>
          </w:divBdr>
          <w:divsChild>
            <w:div w:id="1255430886">
              <w:marLeft w:val="0"/>
              <w:marRight w:val="0"/>
              <w:marTop w:val="0"/>
              <w:marBottom w:val="0"/>
              <w:divBdr>
                <w:top w:val="none" w:sz="0" w:space="0" w:color="auto"/>
                <w:left w:val="none" w:sz="0" w:space="0" w:color="auto"/>
                <w:bottom w:val="none" w:sz="0" w:space="0" w:color="auto"/>
                <w:right w:val="none" w:sz="0" w:space="0" w:color="auto"/>
              </w:divBdr>
              <w:divsChild>
                <w:div w:id="15200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7202">
      <w:bodyDiv w:val="1"/>
      <w:marLeft w:val="0"/>
      <w:marRight w:val="0"/>
      <w:marTop w:val="0"/>
      <w:marBottom w:val="0"/>
      <w:divBdr>
        <w:top w:val="none" w:sz="0" w:space="0" w:color="auto"/>
        <w:left w:val="none" w:sz="0" w:space="0" w:color="auto"/>
        <w:bottom w:val="none" w:sz="0" w:space="0" w:color="auto"/>
        <w:right w:val="none" w:sz="0" w:space="0" w:color="auto"/>
      </w:divBdr>
      <w:divsChild>
        <w:div w:id="310599054">
          <w:marLeft w:val="0"/>
          <w:marRight w:val="0"/>
          <w:marTop w:val="0"/>
          <w:marBottom w:val="0"/>
          <w:divBdr>
            <w:top w:val="none" w:sz="0" w:space="0" w:color="auto"/>
            <w:left w:val="none" w:sz="0" w:space="0" w:color="auto"/>
            <w:bottom w:val="none" w:sz="0" w:space="0" w:color="auto"/>
            <w:right w:val="none" w:sz="0" w:space="0" w:color="auto"/>
          </w:divBdr>
          <w:divsChild>
            <w:div w:id="1711108745">
              <w:marLeft w:val="0"/>
              <w:marRight w:val="0"/>
              <w:marTop w:val="0"/>
              <w:marBottom w:val="0"/>
              <w:divBdr>
                <w:top w:val="none" w:sz="0" w:space="0" w:color="auto"/>
                <w:left w:val="none" w:sz="0" w:space="0" w:color="auto"/>
                <w:bottom w:val="none" w:sz="0" w:space="0" w:color="auto"/>
                <w:right w:val="none" w:sz="0" w:space="0" w:color="auto"/>
              </w:divBdr>
              <w:divsChild>
                <w:div w:id="14718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7940">
      <w:bodyDiv w:val="1"/>
      <w:marLeft w:val="0"/>
      <w:marRight w:val="0"/>
      <w:marTop w:val="0"/>
      <w:marBottom w:val="0"/>
      <w:divBdr>
        <w:top w:val="none" w:sz="0" w:space="0" w:color="auto"/>
        <w:left w:val="none" w:sz="0" w:space="0" w:color="auto"/>
        <w:bottom w:val="none" w:sz="0" w:space="0" w:color="auto"/>
        <w:right w:val="none" w:sz="0" w:space="0" w:color="auto"/>
      </w:divBdr>
      <w:divsChild>
        <w:div w:id="1201170534">
          <w:marLeft w:val="0"/>
          <w:marRight w:val="0"/>
          <w:marTop w:val="0"/>
          <w:marBottom w:val="0"/>
          <w:divBdr>
            <w:top w:val="none" w:sz="0" w:space="0" w:color="auto"/>
            <w:left w:val="none" w:sz="0" w:space="0" w:color="auto"/>
            <w:bottom w:val="none" w:sz="0" w:space="0" w:color="auto"/>
            <w:right w:val="none" w:sz="0" w:space="0" w:color="auto"/>
          </w:divBdr>
          <w:divsChild>
            <w:div w:id="347755508">
              <w:marLeft w:val="0"/>
              <w:marRight w:val="0"/>
              <w:marTop w:val="0"/>
              <w:marBottom w:val="0"/>
              <w:divBdr>
                <w:top w:val="none" w:sz="0" w:space="0" w:color="auto"/>
                <w:left w:val="none" w:sz="0" w:space="0" w:color="auto"/>
                <w:bottom w:val="none" w:sz="0" w:space="0" w:color="auto"/>
                <w:right w:val="none" w:sz="0" w:space="0" w:color="auto"/>
              </w:divBdr>
              <w:divsChild>
                <w:div w:id="6985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530">
      <w:bodyDiv w:val="1"/>
      <w:marLeft w:val="0"/>
      <w:marRight w:val="0"/>
      <w:marTop w:val="0"/>
      <w:marBottom w:val="0"/>
      <w:divBdr>
        <w:top w:val="none" w:sz="0" w:space="0" w:color="auto"/>
        <w:left w:val="none" w:sz="0" w:space="0" w:color="auto"/>
        <w:bottom w:val="none" w:sz="0" w:space="0" w:color="auto"/>
        <w:right w:val="none" w:sz="0" w:space="0" w:color="auto"/>
      </w:divBdr>
      <w:divsChild>
        <w:div w:id="1695576968">
          <w:marLeft w:val="0"/>
          <w:marRight w:val="0"/>
          <w:marTop w:val="0"/>
          <w:marBottom w:val="0"/>
          <w:divBdr>
            <w:top w:val="none" w:sz="0" w:space="0" w:color="auto"/>
            <w:left w:val="none" w:sz="0" w:space="0" w:color="auto"/>
            <w:bottom w:val="none" w:sz="0" w:space="0" w:color="auto"/>
            <w:right w:val="none" w:sz="0" w:space="0" w:color="auto"/>
          </w:divBdr>
          <w:divsChild>
            <w:div w:id="1058019652">
              <w:marLeft w:val="0"/>
              <w:marRight w:val="0"/>
              <w:marTop w:val="0"/>
              <w:marBottom w:val="0"/>
              <w:divBdr>
                <w:top w:val="none" w:sz="0" w:space="0" w:color="auto"/>
                <w:left w:val="none" w:sz="0" w:space="0" w:color="auto"/>
                <w:bottom w:val="none" w:sz="0" w:space="0" w:color="auto"/>
                <w:right w:val="none" w:sz="0" w:space="0" w:color="auto"/>
              </w:divBdr>
              <w:divsChild>
                <w:div w:id="19271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7189">
      <w:bodyDiv w:val="1"/>
      <w:marLeft w:val="0"/>
      <w:marRight w:val="0"/>
      <w:marTop w:val="0"/>
      <w:marBottom w:val="0"/>
      <w:divBdr>
        <w:top w:val="none" w:sz="0" w:space="0" w:color="auto"/>
        <w:left w:val="none" w:sz="0" w:space="0" w:color="auto"/>
        <w:bottom w:val="none" w:sz="0" w:space="0" w:color="auto"/>
        <w:right w:val="none" w:sz="0" w:space="0" w:color="auto"/>
      </w:divBdr>
    </w:div>
    <w:div w:id="1522891616">
      <w:bodyDiv w:val="1"/>
      <w:marLeft w:val="0"/>
      <w:marRight w:val="0"/>
      <w:marTop w:val="0"/>
      <w:marBottom w:val="0"/>
      <w:divBdr>
        <w:top w:val="none" w:sz="0" w:space="0" w:color="auto"/>
        <w:left w:val="none" w:sz="0" w:space="0" w:color="auto"/>
        <w:bottom w:val="none" w:sz="0" w:space="0" w:color="auto"/>
        <w:right w:val="none" w:sz="0" w:space="0" w:color="auto"/>
      </w:divBdr>
      <w:divsChild>
        <w:div w:id="962228408">
          <w:marLeft w:val="0"/>
          <w:marRight w:val="0"/>
          <w:marTop w:val="0"/>
          <w:marBottom w:val="0"/>
          <w:divBdr>
            <w:top w:val="none" w:sz="0" w:space="0" w:color="auto"/>
            <w:left w:val="none" w:sz="0" w:space="0" w:color="auto"/>
            <w:bottom w:val="none" w:sz="0" w:space="0" w:color="auto"/>
            <w:right w:val="none" w:sz="0" w:space="0" w:color="auto"/>
          </w:divBdr>
          <w:divsChild>
            <w:div w:id="630328376">
              <w:marLeft w:val="0"/>
              <w:marRight w:val="0"/>
              <w:marTop w:val="0"/>
              <w:marBottom w:val="0"/>
              <w:divBdr>
                <w:top w:val="none" w:sz="0" w:space="0" w:color="auto"/>
                <w:left w:val="none" w:sz="0" w:space="0" w:color="auto"/>
                <w:bottom w:val="none" w:sz="0" w:space="0" w:color="auto"/>
                <w:right w:val="none" w:sz="0" w:space="0" w:color="auto"/>
              </w:divBdr>
              <w:divsChild>
                <w:div w:id="9023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6734">
      <w:bodyDiv w:val="1"/>
      <w:marLeft w:val="0"/>
      <w:marRight w:val="0"/>
      <w:marTop w:val="0"/>
      <w:marBottom w:val="0"/>
      <w:divBdr>
        <w:top w:val="none" w:sz="0" w:space="0" w:color="auto"/>
        <w:left w:val="none" w:sz="0" w:space="0" w:color="auto"/>
        <w:bottom w:val="none" w:sz="0" w:space="0" w:color="auto"/>
        <w:right w:val="none" w:sz="0" w:space="0" w:color="auto"/>
      </w:divBdr>
      <w:divsChild>
        <w:div w:id="387345999">
          <w:marLeft w:val="0"/>
          <w:marRight w:val="0"/>
          <w:marTop w:val="0"/>
          <w:marBottom w:val="0"/>
          <w:divBdr>
            <w:top w:val="none" w:sz="0" w:space="0" w:color="auto"/>
            <w:left w:val="none" w:sz="0" w:space="0" w:color="auto"/>
            <w:bottom w:val="none" w:sz="0" w:space="0" w:color="auto"/>
            <w:right w:val="none" w:sz="0" w:space="0" w:color="auto"/>
          </w:divBdr>
          <w:divsChild>
            <w:div w:id="1608540754">
              <w:marLeft w:val="0"/>
              <w:marRight w:val="0"/>
              <w:marTop w:val="0"/>
              <w:marBottom w:val="0"/>
              <w:divBdr>
                <w:top w:val="none" w:sz="0" w:space="0" w:color="auto"/>
                <w:left w:val="none" w:sz="0" w:space="0" w:color="auto"/>
                <w:bottom w:val="none" w:sz="0" w:space="0" w:color="auto"/>
                <w:right w:val="none" w:sz="0" w:space="0" w:color="auto"/>
              </w:divBdr>
              <w:divsChild>
                <w:div w:id="16955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3093">
      <w:bodyDiv w:val="1"/>
      <w:marLeft w:val="0"/>
      <w:marRight w:val="0"/>
      <w:marTop w:val="0"/>
      <w:marBottom w:val="0"/>
      <w:divBdr>
        <w:top w:val="none" w:sz="0" w:space="0" w:color="auto"/>
        <w:left w:val="none" w:sz="0" w:space="0" w:color="auto"/>
        <w:bottom w:val="none" w:sz="0" w:space="0" w:color="auto"/>
        <w:right w:val="none" w:sz="0" w:space="0" w:color="auto"/>
      </w:divBdr>
    </w:div>
    <w:div w:id="1988824753">
      <w:bodyDiv w:val="1"/>
      <w:marLeft w:val="0"/>
      <w:marRight w:val="0"/>
      <w:marTop w:val="0"/>
      <w:marBottom w:val="0"/>
      <w:divBdr>
        <w:top w:val="none" w:sz="0" w:space="0" w:color="auto"/>
        <w:left w:val="none" w:sz="0" w:space="0" w:color="auto"/>
        <w:bottom w:val="none" w:sz="0" w:space="0" w:color="auto"/>
        <w:right w:val="none" w:sz="0" w:space="0" w:color="auto"/>
      </w:divBdr>
    </w:div>
    <w:div w:id="2056663349">
      <w:bodyDiv w:val="1"/>
      <w:marLeft w:val="0"/>
      <w:marRight w:val="0"/>
      <w:marTop w:val="0"/>
      <w:marBottom w:val="0"/>
      <w:divBdr>
        <w:top w:val="none" w:sz="0" w:space="0" w:color="auto"/>
        <w:left w:val="none" w:sz="0" w:space="0" w:color="auto"/>
        <w:bottom w:val="none" w:sz="0" w:space="0" w:color="auto"/>
        <w:right w:val="none" w:sz="0" w:space="0" w:color="auto"/>
      </w:divBdr>
      <w:divsChild>
        <w:div w:id="249584890">
          <w:marLeft w:val="0"/>
          <w:marRight w:val="0"/>
          <w:marTop w:val="0"/>
          <w:marBottom w:val="0"/>
          <w:divBdr>
            <w:top w:val="none" w:sz="0" w:space="0" w:color="auto"/>
            <w:left w:val="none" w:sz="0" w:space="0" w:color="auto"/>
            <w:bottom w:val="none" w:sz="0" w:space="0" w:color="auto"/>
            <w:right w:val="none" w:sz="0" w:space="0" w:color="auto"/>
          </w:divBdr>
          <w:divsChild>
            <w:div w:id="1089890532">
              <w:marLeft w:val="0"/>
              <w:marRight w:val="0"/>
              <w:marTop w:val="0"/>
              <w:marBottom w:val="0"/>
              <w:divBdr>
                <w:top w:val="none" w:sz="0" w:space="0" w:color="auto"/>
                <w:left w:val="none" w:sz="0" w:space="0" w:color="auto"/>
                <w:bottom w:val="none" w:sz="0" w:space="0" w:color="auto"/>
                <w:right w:val="none" w:sz="0" w:space="0" w:color="auto"/>
              </w:divBdr>
              <w:divsChild>
                <w:div w:id="3935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11645">
      <w:bodyDiv w:val="1"/>
      <w:marLeft w:val="0"/>
      <w:marRight w:val="0"/>
      <w:marTop w:val="0"/>
      <w:marBottom w:val="0"/>
      <w:divBdr>
        <w:top w:val="none" w:sz="0" w:space="0" w:color="auto"/>
        <w:left w:val="none" w:sz="0" w:space="0" w:color="auto"/>
        <w:bottom w:val="none" w:sz="0" w:space="0" w:color="auto"/>
        <w:right w:val="none" w:sz="0" w:space="0" w:color="auto"/>
      </w:divBdr>
      <w:divsChild>
        <w:div w:id="609507711">
          <w:marLeft w:val="0"/>
          <w:marRight w:val="0"/>
          <w:marTop w:val="0"/>
          <w:marBottom w:val="0"/>
          <w:divBdr>
            <w:top w:val="none" w:sz="0" w:space="0" w:color="auto"/>
            <w:left w:val="none" w:sz="0" w:space="0" w:color="auto"/>
            <w:bottom w:val="none" w:sz="0" w:space="0" w:color="auto"/>
            <w:right w:val="none" w:sz="0" w:space="0" w:color="auto"/>
          </w:divBdr>
          <w:divsChild>
            <w:div w:id="967010312">
              <w:marLeft w:val="0"/>
              <w:marRight w:val="0"/>
              <w:marTop w:val="0"/>
              <w:marBottom w:val="0"/>
              <w:divBdr>
                <w:top w:val="none" w:sz="0" w:space="0" w:color="auto"/>
                <w:left w:val="none" w:sz="0" w:space="0" w:color="auto"/>
                <w:bottom w:val="none" w:sz="0" w:space="0" w:color="auto"/>
                <w:right w:val="none" w:sz="0" w:space="0" w:color="auto"/>
              </w:divBdr>
              <w:divsChild>
                <w:div w:id="132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8206">
      <w:bodyDiv w:val="1"/>
      <w:marLeft w:val="0"/>
      <w:marRight w:val="0"/>
      <w:marTop w:val="0"/>
      <w:marBottom w:val="0"/>
      <w:divBdr>
        <w:top w:val="none" w:sz="0" w:space="0" w:color="auto"/>
        <w:left w:val="none" w:sz="0" w:space="0" w:color="auto"/>
        <w:bottom w:val="none" w:sz="0" w:space="0" w:color="auto"/>
        <w:right w:val="none" w:sz="0" w:space="0" w:color="auto"/>
      </w:divBdr>
    </w:div>
    <w:div w:id="2134591662">
      <w:bodyDiv w:val="1"/>
      <w:marLeft w:val="0"/>
      <w:marRight w:val="0"/>
      <w:marTop w:val="0"/>
      <w:marBottom w:val="0"/>
      <w:divBdr>
        <w:top w:val="none" w:sz="0" w:space="0" w:color="auto"/>
        <w:left w:val="none" w:sz="0" w:space="0" w:color="auto"/>
        <w:bottom w:val="none" w:sz="0" w:space="0" w:color="auto"/>
        <w:right w:val="none" w:sz="0" w:space="0" w:color="auto"/>
      </w:divBdr>
      <w:divsChild>
        <w:div w:id="1081873629">
          <w:marLeft w:val="0"/>
          <w:marRight w:val="0"/>
          <w:marTop w:val="0"/>
          <w:marBottom w:val="0"/>
          <w:divBdr>
            <w:top w:val="none" w:sz="0" w:space="0" w:color="auto"/>
            <w:left w:val="none" w:sz="0" w:space="0" w:color="auto"/>
            <w:bottom w:val="none" w:sz="0" w:space="0" w:color="auto"/>
            <w:right w:val="none" w:sz="0" w:space="0" w:color="auto"/>
          </w:divBdr>
          <w:divsChild>
            <w:div w:id="873923422">
              <w:marLeft w:val="0"/>
              <w:marRight w:val="0"/>
              <w:marTop w:val="0"/>
              <w:marBottom w:val="0"/>
              <w:divBdr>
                <w:top w:val="none" w:sz="0" w:space="0" w:color="auto"/>
                <w:left w:val="none" w:sz="0" w:space="0" w:color="auto"/>
                <w:bottom w:val="none" w:sz="0" w:space="0" w:color="auto"/>
                <w:right w:val="none" w:sz="0" w:space="0" w:color="auto"/>
              </w:divBdr>
              <w:divsChild>
                <w:div w:id="2075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pal.org/es/enfoques/malnutricion-ninos-ninas-america-latina-caribe" TargetMode="External"/><Relationship Id="rId18" Type="http://schemas.openxmlformats.org/officeDocument/2006/relationships/hyperlink" Target="https://www.icbf.gov.co/bienestar/nutricion/encuesta-nacional-situacion-nutricion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bf.gov.co/ser-papas/senales-de-alerta-de-la-desnutricion-infantil" TargetMode="External"/><Relationship Id="rId17" Type="http://schemas.openxmlformats.org/officeDocument/2006/relationships/hyperlink" Target="https://www.icbf.gov.co/bienestar/nutricion/encuesta-nacional-situacion-nutricional" TargetMode="External"/><Relationship Id="rId2" Type="http://schemas.openxmlformats.org/officeDocument/2006/relationships/numbering" Target="numbering.xml"/><Relationship Id="rId16" Type="http://schemas.openxmlformats.org/officeDocument/2006/relationships/hyperlink" Target="https://www.who.int/es/news-room/fact-sheets/detail/malnutri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ser-papas/senales-de-alerta-de-la-desnutricion-infantil" TargetMode="External"/><Relationship Id="rId5" Type="http://schemas.openxmlformats.org/officeDocument/2006/relationships/webSettings" Target="webSettings.xml"/><Relationship Id="rId15" Type="http://schemas.openxmlformats.org/officeDocument/2006/relationships/hyperlink" Target="https://www.who.int/es/news-room/fact-sheets/detail/malnutrition" TargetMode="External"/><Relationship Id="rId23" Type="http://schemas.openxmlformats.org/officeDocument/2006/relationships/theme" Target="theme/theme1.xml"/><Relationship Id="rId10" Type="http://schemas.openxmlformats.org/officeDocument/2006/relationships/hyperlink" Target="https://www.contraloria.gov.co/es/w/comoterminoprogramapae" TargetMode="External"/><Relationship Id="rId19" Type="http://schemas.openxmlformats.org/officeDocument/2006/relationships/hyperlink" Target="https://www.defensoria.gov.co/attachment/3855/Informe%20Desnutricion%28V2%29-Dg.pdf?g_show_in_browser=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pal.org/es/enfoques/malnutricion-ninos-ninas-america-latina-carib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3BF3-F113-4262-87EF-C42B1480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3601</Words>
  <Characters>19810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Edilsa Torres</dc:creator>
  <cp:keywords/>
  <dc:description/>
  <cp:lastModifiedBy>Ximena Rueda Anaya</cp:lastModifiedBy>
  <cp:revision>2</cp:revision>
  <cp:lastPrinted>2022-08-30T13:25:00Z</cp:lastPrinted>
  <dcterms:created xsi:type="dcterms:W3CDTF">2022-08-30T20:01:00Z</dcterms:created>
  <dcterms:modified xsi:type="dcterms:W3CDTF">2022-08-30T20:01:00Z</dcterms:modified>
</cp:coreProperties>
</file>