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72FB2" w14:textId="77777777" w:rsidR="00FA6814" w:rsidRDefault="00FA6814" w:rsidP="00A859E4">
      <w:pPr>
        <w:rPr>
          <w:szCs w:val="22"/>
          <w:lang w:val="pt-BR"/>
        </w:rPr>
      </w:pPr>
    </w:p>
    <w:p w14:paraId="62CE17AB" w14:textId="77777777" w:rsidR="00FA6814" w:rsidRDefault="00FA6814" w:rsidP="00A859E4">
      <w:pPr>
        <w:rPr>
          <w:szCs w:val="22"/>
          <w:lang w:val="pt-BR"/>
        </w:rPr>
      </w:pPr>
    </w:p>
    <w:p w14:paraId="69EEC8CC" w14:textId="77777777" w:rsidR="00FA6814" w:rsidRPr="005F43D1" w:rsidRDefault="00FA6814" w:rsidP="00FA6814">
      <w:pPr>
        <w:rPr>
          <w:szCs w:val="22"/>
          <w:lang w:val="pt-BR"/>
        </w:rPr>
      </w:pPr>
      <w:r w:rsidRPr="005F43D1">
        <w:rPr>
          <w:szCs w:val="22"/>
          <w:lang w:val="pt-BR"/>
        </w:rPr>
        <w:t xml:space="preserve">Bogotá D.C., </w:t>
      </w:r>
      <w:r>
        <w:rPr>
          <w:szCs w:val="22"/>
          <w:lang w:val="pt-BR"/>
        </w:rPr>
        <w:t xml:space="preserve">  septiembre de 2022</w:t>
      </w:r>
    </w:p>
    <w:p w14:paraId="1636C660" w14:textId="2522B131" w:rsidR="00FA6814" w:rsidRDefault="00FA6814" w:rsidP="00FA6814">
      <w:pPr>
        <w:rPr>
          <w:szCs w:val="22"/>
        </w:rPr>
      </w:pPr>
    </w:p>
    <w:p w14:paraId="4E651895" w14:textId="3644F74D" w:rsidR="00FA6814" w:rsidRPr="005F43D1" w:rsidRDefault="00FA6814" w:rsidP="00FA6814">
      <w:pPr>
        <w:rPr>
          <w:szCs w:val="22"/>
        </w:rPr>
      </w:pPr>
      <w:r>
        <w:rPr>
          <w:szCs w:val="22"/>
        </w:rPr>
        <w:t>Doctor</w:t>
      </w:r>
    </w:p>
    <w:p w14:paraId="176CDF74" w14:textId="77777777" w:rsidR="00FA6814" w:rsidRPr="005F43D1" w:rsidRDefault="00FA6814" w:rsidP="00FA6814">
      <w:pPr>
        <w:rPr>
          <w:b/>
          <w:bCs/>
          <w:szCs w:val="22"/>
        </w:rPr>
      </w:pPr>
      <w:r>
        <w:rPr>
          <w:b/>
          <w:bCs/>
          <w:szCs w:val="22"/>
        </w:rPr>
        <w:t>DAVID RACERO MAYORCA</w:t>
      </w:r>
    </w:p>
    <w:p w14:paraId="46C51804" w14:textId="77777777" w:rsidR="00FA6814" w:rsidRPr="005F43D1" w:rsidRDefault="00FA6814" w:rsidP="00FA6814">
      <w:pPr>
        <w:rPr>
          <w:szCs w:val="22"/>
        </w:rPr>
      </w:pPr>
      <w:r w:rsidRPr="005F43D1">
        <w:rPr>
          <w:szCs w:val="22"/>
        </w:rPr>
        <w:t>Presidente</w:t>
      </w:r>
    </w:p>
    <w:p w14:paraId="1237381C" w14:textId="77777777" w:rsidR="00FA6814" w:rsidRDefault="00FA6814" w:rsidP="00FA6814">
      <w:pPr>
        <w:rPr>
          <w:szCs w:val="22"/>
        </w:rPr>
      </w:pPr>
      <w:r>
        <w:rPr>
          <w:szCs w:val="22"/>
        </w:rPr>
        <w:t>H. Cámara de Representantes</w:t>
      </w:r>
    </w:p>
    <w:p w14:paraId="6B7037CD" w14:textId="77777777" w:rsidR="00FA6814" w:rsidRPr="005F43D1" w:rsidRDefault="00FA6814" w:rsidP="00FA6814">
      <w:pPr>
        <w:rPr>
          <w:szCs w:val="22"/>
        </w:rPr>
      </w:pPr>
      <w:r w:rsidRPr="005F43D1">
        <w:rPr>
          <w:szCs w:val="22"/>
        </w:rPr>
        <w:t>Ciudad</w:t>
      </w:r>
    </w:p>
    <w:p w14:paraId="4B19A510" w14:textId="0ED02230" w:rsidR="00FA6814" w:rsidRDefault="00FA6814" w:rsidP="00FA6814">
      <w:pPr>
        <w:rPr>
          <w:szCs w:val="22"/>
        </w:rPr>
      </w:pPr>
      <w:bookmarkStart w:id="0" w:name="_GoBack"/>
      <w:bookmarkEnd w:id="0"/>
    </w:p>
    <w:p w14:paraId="61BC3D6A" w14:textId="34464A02" w:rsidR="00720D0F" w:rsidRDefault="00720D0F" w:rsidP="00FA6814">
      <w:pPr>
        <w:rPr>
          <w:szCs w:val="22"/>
        </w:rPr>
      </w:pPr>
      <w:r>
        <w:rPr>
          <w:szCs w:val="22"/>
        </w:rPr>
        <w:t>Doctor</w:t>
      </w:r>
    </w:p>
    <w:p w14:paraId="3EF46889" w14:textId="77777777" w:rsidR="00720D0F" w:rsidRPr="00720D0F" w:rsidRDefault="00720D0F" w:rsidP="00720D0F">
      <w:pPr>
        <w:rPr>
          <w:rFonts w:eastAsia="Arial" w:cs="Tahoma"/>
          <w:b/>
          <w:bCs/>
          <w:szCs w:val="22"/>
        </w:rPr>
      </w:pPr>
      <w:r w:rsidRPr="00720D0F">
        <w:rPr>
          <w:rFonts w:eastAsia="Arial" w:cs="Tahoma"/>
          <w:b/>
          <w:bCs/>
          <w:szCs w:val="22"/>
        </w:rPr>
        <w:t>JAIME LUIS LACOUTURE PEÑALOZA</w:t>
      </w:r>
    </w:p>
    <w:p w14:paraId="415B3167" w14:textId="5CC6036D" w:rsidR="00720D0F" w:rsidRPr="00720D0F" w:rsidRDefault="00720D0F" w:rsidP="00720D0F">
      <w:pPr>
        <w:rPr>
          <w:rFonts w:eastAsia="Arial" w:cs="Tahoma"/>
          <w:szCs w:val="22"/>
        </w:rPr>
      </w:pPr>
      <w:r w:rsidRPr="00720D0F">
        <w:rPr>
          <w:rFonts w:eastAsia="Arial" w:cs="Tahoma"/>
          <w:szCs w:val="22"/>
        </w:rPr>
        <w:t xml:space="preserve">Secretario General de la </w:t>
      </w:r>
      <w:r>
        <w:rPr>
          <w:rFonts w:eastAsia="Arial" w:cs="Tahoma"/>
          <w:szCs w:val="22"/>
        </w:rPr>
        <w:t xml:space="preserve">H. </w:t>
      </w:r>
      <w:r w:rsidRPr="00720D0F">
        <w:rPr>
          <w:rFonts w:eastAsia="Arial" w:cs="Tahoma"/>
          <w:szCs w:val="22"/>
        </w:rPr>
        <w:t>Cámara de Representantes</w:t>
      </w:r>
    </w:p>
    <w:p w14:paraId="628309E4" w14:textId="77777777" w:rsidR="00720D0F" w:rsidRPr="00720D0F" w:rsidRDefault="00720D0F" w:rsidP="00720D0F">
      <w:pPr>
        <w:rPr>
          <w:rFonts w:eastAsia="Arial" w:cs="Tahoma"/>
          <w:szCs w:val="22"/>
        </w:rPr>
      </w:pPr>
      <w:r w:rsidRPr="00720D0F">
        <w:rPr>
          <w:rFonts w:eastAsia="Arial" w:cs="Tahoma"/>
          <w:szCs w:val="22"/>
        </w:rPr>
        <w:t>Ciudad</w:t>
      </w:r>
    </w:p>
    <w:p w14:paraId="3619B007" w14:textId="62819FFF" w:rsidR="00FA6814" w:rsidRPr="00A23A0A" w:rsidRDefault="00FA6814" w:rsidP="00FA6814">
      <w:pPr>
        <w:rPr>
          <w:b/>
          <w:bCs/>
          <w:sz w:val="24"/>
        </w:rPr>
      </w:pPr>
      <w:r w:rsidRPr="00A23A0A">
        <w:rPr>
          <w:b/>
          <w:bCs/>
          <w:sz w:val="24"/>
        </w:rPr>
        <w:t>REF: Radicación Proyecto de Acto Legislativo “Por el cual se otorga al municipio de Manizales (Caldas) la categoría de Distrito Especial -</w:t>
      </w:r>
      <w:r w:rsidRPr="00A23A0A">
        <w:rPr>
          <w:b/>
          <w:bCs/>
          <w:i/>
          <w:sz w:val="24"/>
        </w:rPr>
        <w:t>Eje del conocimiento-</w:t>
      </w:r>
      <w:r w:rsidRPr="00A23A0A">
        <w:rPr>
          <w:b/>
          <w:bCs/>
          <w:sz w:val="24"/>
        </w:rPr>
        <w:t xml:space="preserve">”. </w:t>
      </w:r>
    </w:p>
    <w:p w14:paraId="72E35EF3" w14:textId="77777777" w:rsidR="00C92814" w:rsidRDefault="00C92814" w:rsidP="00FA6814">
      <w:pPr>
        <w:rPr>
          <w:szCs w:val="22"/>
        </w:rPr>
      </w:pPr>
    </w:p>
    <w:p w14:paraId="33CDD110" w14:textId="4B395E4C" w:rsidR="00C92814" w:rsidRPr="005F43D1" w:rsidRDefault="00C92814" w:rsidP="00FA6814">
      <w:pPr>
        <w:rPr>
          <w:szCs w:val="22"/>
        </w:rPr>
      </w:pPr>
      <w:r>
        <w:rPr>
          <w:szCs w:val="22"/>
        </w:rPr>
        <w:t>Cordial saludo, respetados doctores.</w:t>
      </w:r>
    </w:p>
    <w:p w14:paraId="5764C605" w14:textId="77777777" w:rsidR="00FA6814" w:rsidRPr="005F43D1" w:rsidRDefault="00FA6814" w:rsidP="00FA6814">
      <w:pPr>
        <w:rPr>
          <w:szCs w:val="22"/>
        </w:rPr>
      </w:pPr>
    </w:p>
    <w:p w14:paraId="500D9597" w14:textId="61ED2D3E" w:rsidR="00FA6814" w:rsidRPr="0002422D" w:rsidRDefault="00F97C0F" w:rsidP="00FA6814">
      <w:pPr>
        <w:rPr>
          <w:b/>
          <w:bCs/>
          <w:szCs w:val="22"/>
        </w:rPr>
      </w:pPr>
      <w:r>
        <w:rPr>
          <w:szCs w:val="22"/>
        </w:rPr>
        <w:t xml:space="preserve">En uso de las facultades que </w:t>
      </w:r>
      <w:r w:rsidR="00FA6814" w:rsidRPr="00340C54">
        <w:rPr>
          <w:szCs w:val="22"/>
        </w:rPr>
        <w:t>confiere la Constitución Pol</w:t>
      </w:r>
      <w:r>
        <w:rPr>
          <w:szCs w:val="22"/>
        </w:rPr>
        <w:t xml:space="preserve">ítica y la Ley 5 de 1992 </w:t>
      </w:r>
      <w:r w:rsidRPr="00F97C0F">
        <w:rPr>
          <w:i/>
          <w:szCs w:val="22"/>
        </w:rPr>
        <w:t>“Reglamento del Congreso”,</w:t>
      </w:r>
      <w:r w:rsidR="00FA6814">
        <w:rPr>
          <w:szCs w:val="22"/>
        </w:rPr>
        <w:t xml:space="preserve"> radicamos</w:t>
      </w:r>
      <w:r>
        <w:rPr>
          <w:szCs w:val="22"/>
        </w:rPr>
        <w:t xml:space="preserve"> el presente</w:t>
      </w:r>
      <w:r w:rsidR="00FA6814" w:rsidRPr="00340C54">
        <w:rPr>
          <w:szCs w:val="22"/>
        </w:rPr>
        <w:t xml:space="preserve"> Proyecto de </w:t>
      </w:r>
      <w:r w:rsidR="00FA6814">
        <w:rPr>
          <w:szCs w:val="22"/>
        </w:rPr>
        <w:t>Acto legislativo</w:t>
      </w:r>
      <w:r w:rsidR="00FA6814" w:rsidRPr="00340C54">
        <w:rPr>
          <w:szCs w:val="22"/>
        </w:rPr>
        <w:t xml:space="preserve"> “</w:t>
      </w:r>
      <w:r w:rsidR="00FA6814">
        <w:rPr>
          <w:b/>
          <w:bCs/>
          <w:szCs w:val="22"/>
        </w:rPr>
        <w:t>Por el cual se otorga al municipio de Manizales (Caldas) la categoría de Distrito Especial -</w:t>
      </w:r>
      <w:r w:rsidR="00FA6814" w:rsidRPr="00BB3A75">
        <w:rPr>
          <w:b/>
          <w:bCs/>
          <w:i/>
          <w:szCs w:val="22"/>
        </w:rPr>
        <w:t>Eje del conocimiento</w:t>
      </w:r>
      <w:r w:rsidR="00FA6814">
        <w:rPr>
          <w:b/>
          <w:bCs/>
          <w:i/>
          <w:szCs w:val="22"/>
        </w:rPr>
        <w:t>-</w:t>
      </w:r>
      <w:r>
        <w:rPr>
          <w:szCs w:val="22"/>
        </w:rPr>
        <w:t>”. Lo anterior, para</w:t>
      </w:r>
      <w:r w:rsidR="00C92814">
        <w:rPr>
          <w:szCs w:val="22"/>
        </w:rPr>
        <w:t xml:space="preserve"> que se le dé el trámite </w:t>
      </w:r>
      <w:r w:rsidR="00142E2A">
        <w:rPr>
          <w:szCs w:val="22"/>
        </w:rPr>
        <w:t>correspondiente</w:t>
      </w:r>
      <w:r w:rsidR="00C92814">
        <w:rPr>
          <w:szCs w:val="22"/>
        </w:rPr>
        <w:t xml:space="preserve"> </w:t>
      </w:r>
      <w:r w:rsidR="00FA6814" w:rsidRPr="00340C54">
        <w:rPr>
          <w:szCs w:val="22"/>
        </w:rPr>
        <w:t>por</w:t>
      </w:r>
      <w:r w:rsidR="00C92814">
        <w:rPr>
          <w:szCs w:val="22"/>
        </w:rPr>
        <w:t xml:space="preserve"> parte de </w:t>
      </w:r>
      <w:r>
        <w:rPr>
          <w:szCs w:val="22"/>
        </w:rPr>
        <w:t>la Honorable</w:t>
      </w:r>
      <w:r w:rsidR="00FA6814">
        <w:rPr>
          <w:szCs w:val="22"/>
        </w:rPr>
        <w:t xml:space="preserve"> Cámara de Representantes</w:t>
      </w:r>
      <w:r>
        <w:rPr>
          <w:szCs w:val="22"/>
        </w:rPr>
        <w:t>.</w:t>
      </w:r>
    </w:p>
    <w:p w14:paraId="5313B26D" w14:textId="77777777" w:rsidR="00A859E4" w:rsidRPr="005F43D1" w:rsidRDefault="00A859E4" w:rsidP="00A859E4">
      <w:pPr>
        <w:rPr>
          <w:szCs w:val="22"/>
        </w:rPr>
      </w:pPr>
    </w:p>
    <w:p w14:paraId="29A4F1C6" w14:textId="24C5EBEC" w:rsidR="0019149E" w:rsidRDefault="0019149E" w:rsidP="00A859E4">
      <w:pPr>
        <w:jc w:val="center"/>
      </w:pPr>
    </w:p>
    <w:p w14:paraId="513EE784" w14:textId="290311E3" w:rsidR="0019149E" w:rsidRDefault="0019149E" w:rsidP="005646D0"/>
    <w:p w14:paraId="4F7CAB1B" w14:textId="64E8C79E" w:rsidR="00A859E4" w:rsidRPr="00E07C08" w:rsidRDefault="00A859E4" w:rsidP="00A859E4">
      <w:pPr>
        <w:jc w:val="center"/>
      </w:pPr>
      <w:r w:rsidRPr="00E07C08">
        <w:t>PROYECTO DE ACTO LEGISLATIVO Nº______ DE 2022</w:t>
      </w:r>
    </w:p>
    <w:p w14:paraId="38A4C9D3" w14:textId="77777777" w:rsidR="00A859E4" w:rsidRDefault="00A859E4" w:rsidP="00A859E4">
      <w:pPr>
        <w:jc w:val="center"/>
        <w:rPr>
          <w:b/>
          <w:bCs/>
          <w:szCs w:val="22"/>
        </w:rPr>
      </w:pPr>
    </w:p>
    <w:p w14:paraId="790F357E" w14:textId="17EE1C8B" w:rsidR="00A859E4" w:rsidRDefault="00BB3A75" w:rsidP="00A859E4">
      <w:pPr>
        <w:jc w:val="center"/>
        <w:rPr>
          <w:b/>
          <w:bCs/>
          <w:i/>
          <w:szCs w:val="22"/>
        </w:rPr>
      </w:pPr>
      <w:r>
        <w:rPr>
          <w:b/>
          <w:bCs/>
          <w:szCs w:val="22"/>
        </w:rPr>
        <w:t>Por el cual se otorga al municipio de Manizales (Caldas) la categoría de Distrito Especial -</w:t>
      </w:r>
      <w:r w:rsidRPr="00BB3A75">
        <w:rPr>
          <w:b/>
          <w:bCs/>
          <w:i/>
          <w:szCs w:val="22"/>
        </w:rPr>
        <w:t>Eje del conocimiento</w:t>
      </w:r>
      <w:r>
        <w:rPr>
          <w:b/>
          <w:bCs/>
          <w:i/>
          <w:szCs w:val="22"/>
        </w:rPr>
        <w:t>-.</w:t>
      </w:r>
    </w:p>
    <w:p w14:paraId="24C9AE5B" w14:textId="77777777" w:rsidR="00BB3A75" w:rsidRDefault="00BB3A75" w:rsidP="00A859E4">
      <w:pPr>
        <w:jc w:val="center"/>
        <w:rPr>
          <w:b/>
          <w:bCs/>
          <w:szCs w:val="22"/>
        </w:rPr>
      </w:pPr>
    </w:p>
    <w:p w14:paraId="02922A55" w14:textId="78657638" w:rsidR="00A859E4" w:rsidRPr="00A859E4" w:rsidRDefault="00A859E4" w:rsidP="00A859E4">
      <w:pPr>
        <w:jc w:val="center"/>
        <w:rPr>
          <w:b/>
          <w:bCs/>
          <w:szCs w:val="22"/>
        </w:rPr>
      </w:pPr>
      <w:r w:rsidRPr="00A859E4">
        <w:rPr>
          <w:b/>
          <w:bCs/>
          <w:szCs w:val="22"/>
        </w:rPr>
        <w:t>El Congreso de Colombia</w:t>
      </w:r>
    </w:p>
    <w:p w14:paraId="18403C89" w14:textId="77777777" w:rsidR="001B5FFF" w:rsidRDefault="001B5FFF" w:rsidP="00A859E4">
      <w:pPr>
        <w:jc w:val="center"/>
        <w:rPr>
          <w:b/>
          <w:bCs/>
          <w:szCs w:val="22"/>
        </w:rPr>
      </w:pPr>
    </w:p>
    <w:p w14:paraId="3C6EA398" w14:textId="02A53DCB" w:rsidR="00A859E4" w:rsidRPr="00A859E4" w:rsidRDefault="00A859E4" w:rsidP="00A859E4">
      <w:pPr>
        <w:jc w:val="center"/>
        <w:rPr>
          <w:b/>
          <w:bCs/>
          <w:szCs w:val="22"/>
        </w:rPr>
      </w:pPr>
      <w:r w:rsidRPr="00A859E4">
        <w:rPr>
          <w:b/>
          <w:bCs/>
          <w:szCs w:val="22"/>
        </w:rPr>
        <w:t>Decreta:</w:t>
      </w:r>
    </w:p>
    <w:p w14:paraId="7B86D835" w14:textId="77777777" w:rsidR="00A859E4" w:rsidRDefault="00A859E4" w:rsidP="00A859E4">
      <w:pPr>
        <w:jc w:val="center"/>
      </w:pPr>
    </w:p>
    <w:p w14:paraId="7F215FDD" w14:textId="77777777" w:rsidR="00A859E4" w:rsidRPr="00A859E4" w:rsidRDefault="00A859E4" w:rsidP="00A859E4">
      <w:pPr>
        <w:rPr>
          <w:b/>
          <w:bCs/>
        </w:rPr>
      </w:pPr>
      <w:r w:rsidRPr="00A859E4">
        <w:rPr>
          <w:b/>
          <w:bCs/>
        </w:rPr>
        <w:t>Artículo 1º. Adiciónese el siguiente inciso al artículo 356 de la Constitución Política.</w:t>
      </w:r>
    </w:p>
    <w:p w14:paraId="3E678FCE" w14:textId="77777777" w:rsidR="00A859E4" w:rsidRDefault="00A859E4" w:rsidP="00A859E4"/>
    <w:p w14:paraId="2604A8AE" w14:textId="39DFC378" w:rsidR="00A859E4" w:rsidRDefault="00A859E4" w:rsidP="00A859E4">
      <w:r w:rsidRPr="0002422D">
        <w:t xml:space="preserve">La ciudad de </w:t>
      </w:r>
      <w:r>
        <w:t>Manizales</w:t>
      </w:r>
      <w:r w:rsidRPr="0002422D">
        <w:t xml:space="preserve"> se organiza como Distrito Especial </w:t>
      </w:r>
      <w:r w:rsidR="00BB3A75">
        <w:t>–</w:t>
      </w:r>
      <w:r w:rsidR="00BB3A75" w:rsidRPr="00BB3A75">
        <w:rPr>
          <w:i/>
        </w:rPr>
        <w:t>Eje del conocimiento</w:t>
      </w:r>
      <w:r w:rsidR="00BB3A75">
        <w:t>-</w:t>
      </w:r>
      <w:r w:rsidRPr="0002422D">
        <w:t>. Su régimen político y fiscal será el previsto en la Constitución y las leyes especiales que para el efecto se dicten.</w:t>
      </w:r>
    </w:p>
    <w:p w14:paraId="1BC7E2B2" w14:textId="77777777" w:rsidR="00A859E4" w:rsidRDefault="00A859E4" w:rsidP="00A859E4"/>
    <w:p w14:paraId="520E35DE" w14:textId="735F188E" w:rsidR="00A859E4" w:rsidRDefault="00A859E4" w:rsidP="00A859E4">
      <w:r w:rsidRPr="00A859E4">
        <w:rPr>
          <w:b/>
          <w:bCs/>
        </w:rPr>
        <w:t>Artículo 2º. Adiciónese el siguiente parágrafo al artículo 356 de la Constitución Política:</w:t>
      </w:r>
    </w:p>
    <w:p w14:paraId="5DF80A7E" w14:textId="77777777" w:rsidR="000F4E5B" w:rsidRDefault="000F4E5B" w:rsidP="000F4E5B">
      <w:r w:rsidRPr="00CA5C08">
        <w:t>PARÁGRAFO</w:t>
      </w:r>
      <w:r>
        <w:t xml:space="preserve"> 2.</w:t>
      </w:r>
      <w:r w:rsidRPr="00CA5C08">
        <w:t xml:space="preserve"> La ciudad de </w:t>
      </w:r>
      <w:r>
        <w:t>Manizales y las demás ciudades que se organicen</w:t>
      </w:r>
      <w:r w:rsidRPr="00CA5C08">
        <w:t xml:space="preserve"> como </w:t>
      </w:r>
      <w:r w:rsidRPr="0002422D">
        <w:t xml:space="preserve">Distrito Especial </w:t>
      </w:r>
      <w:r>
        <w:t>Eje del Conocimiento,</w:t>
      </w:r>
      <w:r w:rsidRPr="00CA5C08">
        <w:t xml:space="preserve"> no estará</w:t>
      </w:r>
      <w:r>
        <w:t>n</w:t>
      </w:r>
      <w:r w:rsidRPr="00CA5C08">
        <w:t xml:space="preserve"> obligad</w:t>
      </w:r>
      <w:r>
        <w:t>as</w:t>
      </w:r>
      <w:r w:rsidRPr="00CA5C08">
        <w:t xml:space="preserve"> a efectuar ajustes administrativos que aumenten sus costos</w:t>
      </w:r>
      <w:r>
        <w:t xml:space="preserve"> ni a d</w:t>
      </w:r>
      <w:r w:rsidRPr="009B4765">
        <w:t>ividir el territorio del distrito en localidades</w:t>
      </w:r>
      <w:r w:rsidRPr="00CA5C08">
        <w:t>. La ley podrá crear mecanismos adicionales a los existentes</w:t>
      </w:r>
      <w:r>
        <w:t xml:space="preserve"> para la promoción y el desarrollo del Distrito Especial, así como la creación de un fondo de desarrollo distrital para el financiamiento de los proyectos de ciencia, tecnología e innovación.</w:t>
      </w:r>
    </w:p>
    <w:p w14:paraId="4A5D7BE8" w14:textId="77777777" w:rsidR="00A859E4" w:rsidRDefault="00A859E4" w:rsidP="00A859E4"/>
    <w:p w14:paraId="7F6755F5" w14:textId="77777777" w:rsidR="00A859E4" w:rsidRDefault="00A859E4" w:rsidP="00A859E4">
      <w:r w:rsidRPr="00A859E4">
        <w:rPr>
          <w:b/>
          <w:bCs/>
        </w:rPr>
        <w:t>Artículo 3º. Vigencia.</w:t>
      </w:r>
      <w:r>
        <w:t xml:space="preserve"> El presente Acto Legislativo rige a partir de su promulgación.</w:t>
      </w:r>
    </w:p>
    <w:p w14:paraId="3A59A0AC" w14:textId="77777777" w:rsidR="00A859E4" w:rsidRDefault="00A859E4" w:rsidP="00A859E4"/>
    <w:p w14:paraId="7A9DA6B8" w14:textId="77777777" w:rsidR="00B14027" w:rsidRPr="005F43D1" w:rsidRDefault="00B14027" w:rsidP="00B14027">
      <w:pPr>
        <w:rPr>
          <w:szCs w:val="22"/>
        </w:rPr>
      </w:pPr>
    </w:p>
    <w:p w14:paraId="0D11DC41" w14:textId="77777777" w:rsidR="00B14027" w:rsidRPr="005F43D1" w:rsidRDefault="00B14027" w:rsidP="00B14027">
      <w:pPr>
        <w:rPr>
          <w:szCs w:val="22"/>
        </w:rPr>
      </w:pPr>
      <w:r>
        <w:rPr>
          <w:szCs w:val="22"/>
        </w:rPr>
        <w:t xml:space="preserve">De los Honorables Congresistas. </w:t>
      </w:r>
    </w:p>
    <w:p w14:paraId="013B6363" w14:textId="77777777" w:rsidR="00B14027" w:rsidRPr="005F43D1" w:rsidRDefault="00B14027" w:rsidP="00B14027">
      <w:pPr>
        <w:rPr>
          <w:szCs w:val="22"/>
        </w:rPr>
      </w:pPr>
    </w:p>
    <w:p w14:paraId="5E60822A" w14:textId="77777777" w:rsidR="00B14027" w:rsidRPr="005F43D1" w:rsidRDefault="00B14027" w:rsidP="00B14027">
      <w:pPr>
        <w:rPr>
          <w:szCs w:val="22"/>
        </w:rPr>
      </w:pPr>
    </w:p>
    <w:p w14:paraId="376E5DC0" w14:textId="77777777" w:rsidR="00B14027" w:rsidRPr="005F43D1" w:rsidRDefault="00B14027" w:rsidP="00B14027">
      <w:pPr>
        <w:rPr>
          <w:szCs w:val="22"/>
        </w:rPr>
      </w:pPr>
    </w:p>
    <w:p w14:paraId="200F618C" w14:textId="77777777" w:rsidR="00B14027" w:rsidRDefault="00B14027" w:rsidP="00B14027">
      <w:pPr>
        <w:rPr>
          <w:b/>
          <w:bCs/>
          <w:szCs w:val="22"/>
        </w:rPr>
      </w:pPr>
      <w:r w:rsidRPr="005F43D1">
        <w:rPr>
          <w:b/>
          <w:bCs/>
          <w:szCs w:val="22"/>
        </w:rPr>
        <w:t>GUIDO ECHEVERR</w:t>
      </w:r>
      <w:r>
        <w:rPr>
          <w:b/>
          <w:bCs/>
          <w:szCs w:val="22"/>
        </w:rPr>
        <w:t>I PIEDRAHITA</w:t>
      </w:r>
    </w:p>
    <w:p w14:paraId="091E06B0" w14:textId="77777777" w:rsidR="00B14027" w:rsidRPr="000A605E" w:rsidRDefault="00B14027" w:rsidP="00B14027">
      <w:pPr>
        <w:rPr>
          <w:b/>
          <w:bCs/>
          <w:szCs w:val="22"/>
        </w:rPr>
      </w:pPr>
      <w:r>
        <w:rPr>
          <w:b/>
          <w:bCs/>
          <w:szCs w:val="22"/>
        </w:rPr>
        <w:t xml:space="preserve">_________________________   </w:t>
      </w:r>
      <w:r>
        <w:rPr>
          <w:b/>
          <w:bCs/>
          <w:szCs w:val="22"/>
        </w:rPr>
        <w:tab/>
        <w:t xml:space="preserve">_________________________   </w:t>
      </w:r>
    </w:p>
    <w:p w14:paraId="5FF344B5" w14:textId="77777777" w:rsidR="00B14027" w:rsidRPr="000A605E" w:rsidRDefault="00B14027" w:rsidP="00B14027">
      <w:pPr>
        <w:rPr>
          <w:b/>
          <w:bCs/>
          <w:szCs w:val="22"/>
        </w:rPr>
      </w:pPr>
    </w:p>
    <w:p w14:paraId="129FCB7E" w14:textId="77777777" w:rsidR="00B14027" w:rsidRPr="005F43D1" w:rsidRDefault="00B14027" w:rsidP="00B14027">
      <w:pPr>
        <w:ind w:left="284"/>
        <w:rPr>
          <w:szCs w:val="22"/>
        </w:rPr>
      </w:pPr>
    </w:p>
    <w:p w14:paraId="174E5E4B" w14:textId="77777777" w:rsidR="00B14027" w:rsidRDefault="00B14027" w:rsidP="00B14027">
      <w:pPr>
        <w:rPr>
          <w:b/>
          <w:bCs/>
          <w:szCs w:val="22"/>
        </w:rPr>
      </w:pPr>
      <w:r>
        <w:rPr>
          <w:b/>
          <w:bCs/>
          <w:szCs w:val="22"/>
        </w:rPr>
        <w:t xml:space="preserve">_________________________   </w:t>
      </w:r>
      <w:r>
        <w:rPr>
          <w:b/>
          <w:bCs/>
          <w:szCs w:val="22"/>
        </w:rPr>
        <w:tab/>
        <w:t xml:space="preserve">_________________________ </w:t>
      </w:r>
    </w:p>
    <w:p w14:paraId="34841B98" w14:textId="77777777" w:rsidR="00B14027" w:rsidRDefault="00B14027" w:rsidP="00B14027">
      <w:pPr>
        <w:rPr>
          <w:b/>
          <w:bCs/>
          <w:szCs w:val="22"/>
        </w:rPr>
      </w:pPr>
    </w:p>
    <w:p w14:paraId="4B236079" w14:textId="77777777" w:rsidR="00B14027" w:rsidRDefault="00B14027" w:rsidP="00B14027">
      <w:pPr>
        <w:rPr>
          <w:b/>
          <w:bCs/>
          <w:szCs w:val="22"/>
        </w:rPr>
      </w:pPr>
      <w:r>
        <w:rPr>
          <w:b/>
          <w:bCs/>
          <w:szCs w:val="22"/>
        </w:rPr>
        <w:t xml:space="preserve">  </w:t>
      </w:r>
    </w:p>
    <w:p w14:paraId="2738DC06" w14:textId="77777777" w:rsidR="00B14027" w:rsidRPr="005F43D1" w:rsidRDefault="00B14027" w:rsidP="00B14027">
      <w:pPr>
        <w:ind w:left="284"/>
        <w:rPr>
          <w:szCs w:val="22"/>
        </w:rPr>
      </w:pPr>
    </w:p>
    <w:p w14:paraId="4B5D9265" w14:textId="77777777" w:rsidR="00B14027" w:rsidRDefault="00B14027" w:rsidP="00B14027">
      <w:pPr>
        <w:rPr>
          <w:b/>
          <w:bCs/>
          <w:szCs w:val="22"/>
        </w:rPr>
      </w:pPr>
      <w:r>
        <w:rPr>
          <w:b/>
          <w:bCs/>
          <w:szCs w:val="22"/>
        </w:rPr>
        <w:t xml:space="preserve">_________________________   </w:t>
      </w:r>
      <w:r>
        <w:rPr>
          <w:b/>
          <w:bCs/>
          <w:szCs w:val="22"/>
        </w:rPr>
        <w:tab/>
        <w:t xml:space="preserve">_________________________ </w:t>
      </w:r>
    </w:p>
    <w:p w14:paraId="5FC5F9B7" w14:textId="77777777" w:rsidR="00B14027" w:rsidRDefault="00B14027" w:rsidP="00B14027">
      <w:pPr>
        <w:rPr>
          <w:b/>
          <w:bCs/>
          <w:szCs w:val="22"/>
        </w:rPr>
      </w:pPr>
    </w:p>
    <w:p w14:paraId="4909D731" w14:textId="77777777" w:rsidR="00B14027" w:rsidRDefault="00B14027" w:rsidP="00B14027">
      <w:pPr>
        <w:rPr>
          <w:b/>
          <w:bCs/>
          <w:szCs w:val="22"/>
        </w:rPr>
      </w:pPr>
    </w:p>
    <w:p w14:paraId="19915A5B" w14:textId="77777777" w:rsidR="00B14027" w:rsidRDefault="00B14027" w:rsidP="00B14027">
      <w:pPr>
        <w:rPr>
          <w:b/>
          <w:bCs/>
          <w:szCs w:val="22"/>
        </w:rPr>
      </w:pPr>
    </w:p>
    <w:p w14:paraId="78440995" w14:textId="77777777" w:rsidR="00B14027" w:rsidRDefault="00B14027" w:rsidP="00B14027">
      <w:pPr>
        <w:rPr>
          <w:b/>
          <w:bCs/>
          <w:szCs w:val="22"/>
        </w:rPr>
      </w:pPr>
      <w:r>
        <w:rPr>
          <w:b/>
          <w:bCs/>
          <w:szCs w:val="22"/>
        </w:rPr>
        <w:t xml:space="preserve">_________________________   </w:t>
      </w:r>
      <w:r>
        <w:rPr>
          <w:b/>
          <w:bCs/>
          <w:szCs w:val="22"/>
        </w:rPr>
        <w:tab/>
        <w:t xml:space="preserve">_________________________ </w:t>
      </w:r>
    </w:p>
    <w:p w14:paraId="65307FA1" w14:textId="77777777" w:rsidR="00B14027" w:rsidRDefault="00B14027" w:rsidP="00B14027">
      <w:pPr>
        <w:rPr>
          <w:b/>
          <w:bCs/>
          <w:szCs w:val="22"/>
        </w:rPr>
      </w:pPr>
    </w:p>
    <w:p w14:paraId="109D2FEA" w14:textId="77777777" w:rsidR="00B14027" w:rsidRDefault="00B14027" w:rsidP="00B14027">
      <w:pPr>
        <w:rPr>
          <w:b/>
          <w:bCs/>
          <w:szCs w:val="22"/>
        </w:rPr>
      </w:pPr>
    </w:p>
    <w:p w14:paraId="7943D11D" w14:textId="77777777" w:rsidR="00B14027" w:rsidRDefault="00B14027" w:rsidP="00B14027">
      <w:pPr>
        <w:rPr>
          <w:b/>
          <w:bCs/>
          <w:szCs w:val="22"/>
        </w:rPr>
      </w:pPr>
    </w:p>
    <w:p w14:paraId="39BA2CB6" w14:textId="77777777" w:rsidR="00B14027" w:rsidRDefault="00B14027" w:rsidP="00B14027">
      <w:pPr>
        <w:rPr>
          <w:b/>
          <w:bCs/>
          <w:szCs w:val="22"/>
        </w:rPr>
      </w:pPr>
      <w:r>
        <w:rPr>
          <w:b/>
          <w:bCs/>
          <w:szCs w:val="22"/>
        </w:rPr>
        <w:t xml:space="preserve">_________________________   </w:t>
      </w:r>
      <w:r>
        <w:rPr>
          <w:b/>
          <w:bCs/>
          <w:szCs w:val="22"/>
        </w:rPr>
        <w:tab/>
        <w:t xml:space="preserve">_________________________ </w:t>
      </w:r>
    </w:p>
    <w:p w14:paraId="3652209A" w14:textId="77777777" w:rsidR="00B14027" w:rsidRDefault="00B14027" w:rsidP="00B14027">
      <w:pPr>
        <w:rPr>
          <w:b/>
          <w:bCs/>
          <w:szCs w:val="22"/>
        </w:rPr>
      </w:pPr>
    </w:p>
    <w:p w14:paraId="07B98FA9" w14:textId="77777777" w:rsidR="00B14027" w:rsidRPr="000A605E" w:rsidRDefault="00B14027" w:rsidP="00B14027">
      <w:pPr>
        <w:rPr>
          <w:b/>
          <w:bCs/>
          <w:szCs w:val="22"/>
        </w:rPr>
      </w:pPr>
    </w:p>
    <w:p w14:paraId="74C90675" w14:textId="77777777" w:rsidR="00B14027" w:rsidRDefault="00B14027" w:rsidP="00B14027">
      <w:pPr>
        <w:ind w:left="360" w:hanging="360"/>
      </w:pPr>
    </w:p>
    <w:p w14:paraId="5F099BF5" w14:textId="77777777" w:rsidR="00B14027" w:rsidRDefault="00B14027" w:rsidP="00B14027">
      <w:pPr>
        <w:rPr>
          <w:b/>
          <w:bCs/>
          <w:szCs w:val="22"/>
        </w:rPr>
      </w:pPr>
      <w:r>
        <w:rPr>
          <w:b/>
          <w:bCs/>
          <w:szCs w:val="22"/>
        </w:rPr>
        <w:t xml:space="preserve">_________________________   </w:t>
      </w:r>
      <w:r>
        <w:rPr>
          <w:b/>
          <w:bCs/>
          <w:szCs w:val="22"/>
        </w:rPr>
        <w:tab/>
        <w:t xml:space="preserve">_________________________ </w:t>
      </w:r>
    </w:p>
    <w:p w14:paraId="2BF826CB" w14:textId="69F5038C" w:rsidR="00A859E4" w:rsidRDefault="00A859E4" w:rsidP="00A859E4">
      <w:pPr>
        <w:rPr>
          <w:szCs w:val="22"/>
        </w:rPr>
      </w:pPr>
    </w:p>
    <w:p w14:paraId="77960ED6" w14:textId="77777777" w:rsidR="00A859E4" w:rsidRDefault="00A859E4" w:rsidP="00A859E4">
      <w:pPr>
        <w:rPr>
          <w:szCs w:val="22"/>
        </w:rPr>
      </w:pPr>
    </w:p>
    <w:p w14:paraId="02AD5911" w14:textId="77777777" w:rsidR="00A859E4" w:rsidRPr="00985A2D" w:rsidRDefault="00A859E4" w:rsidP="00A859E4">
      <w:pPr>
        <w:jc w:val="center"/>
        <w:rPr>
          <w:b/>
          <w:bCs/>
          <w:szCs w:val="22"/>
        </w:rPr>
      </w:pPr>
      <w:r w:rsidRPr="00985A2D">
        <w:rPr>
          <w:b/>
          <w:bCs/>
          <w:szCs w:val="22"/>
        </w:rPr>
        <w:t>EXPOSICIÓN DE MOTIVOS</w:t>
      </w:r>
    </w:p>
    <w:p w14:paraId="4F3EA4E9" w14:textId="4A1AC236" w:rsidR="00A859E4" w:rsidRPr="00985A2D" w:rsidRDefault="00A859E4" w:rsidP="00A859E4">
      <w:pPr>
        <w:jc w:val="center"/>
        <w:rPr>
          <w:b/>
          <w:bCs/>
          <w:szCs w:val="22"/>
        </w:rPr>
      </w:pPr>
    </w:p>
    <w:p w14:paraId="7F997D10" w14:textId="7DF33FE0" w:rsidR="00A859E4" w:rsidRPr="00985A2D" w:rsidRDefault="00A859E4" w:rsidP="00A859E4">
      <w:pPr>
        <w:jc w:val="center"/>
        <w:rPr>
          <w:b/>
          <w:bCs/>
          <w:szCs w:val="22"/>
        </w:rPr>
      </w:pPr>
      <w:r w:rsidRPr="00985A2D">
        <w:rPr>
          <w:b/>
          <w:bCs/>
          <w:szCs w:val="22"/>
        </w:rPr>
        <w:t xml:space="preserve">Proyecto de Acto Legislativo </w:t>
      </w:r>
    </w:p>
    <w:p w14:paraId="77E6600B" w14:textId="77777777" w:rsidR="00A859E4" w:rsidRPr="00985A2D" w:rsidRDefault="00A859E4" w:rsidP="00A859E4">
      <w:pPr>
        <w:jc w:val="center"/>
        <w:rPr>
          <w:b/>
          <w:bCs/>
          <w:szCs w:val="22"/>
        </w:rPr>
      </w:pPr>
    </w:p>
    <w:p w14:paraId="4B39F3D9" w14:textId="223DE6B0" w:rsidR="00A859E4" w:rsidRPr="00985A2D" w:rsidRDefault="009152F4" w:rsidP="001B5FFF">
      <w:pPr>
        <w:jc w:val="center"/>
        <w:rPr>
          <w:szCs w:val="22"/>
        </w:rPr>
      </w:pPr>
      <w:r>
        <w:rPr>
          <w:b/>
          <w:bCs/>
          <w:szCs w:val="22"/>
        </w:rPr>
        <w:t>“</w:t>
      </w:r>
      <w:r w:rsidR="00BB3A75">
        <w:rPr>
          <w:b/>
          <w:bCs/>
          <w:szCs w:val="22"/>
        </w:rPr>
        <w:t>Por el cual se otorga al municipio de Manizales (Caldas) la categoría de Distrito Especial -</w:t>
      </w:r>
      <w:r w:rsidR="00BB3A75" w:rsidRPr="00BB3A75">
        <w:rPr>
          <w:b/>
          <w:bCs/>
          <w:i/>
          <w:szCs w:val="22"/>
        </w:rPr>
        <w:t>Eje del conocimiento</w:t>
      </w:r>
      <w:r w:rsidR="00BB3A75">
        <w:rPr>
          <w:b/>
          <w:bCs/>
          <w:i/>
          <w:szCs w:val="22"/>
        </w:rPr>
        <w:t>-</w:t>
      </w:r>
      <w:r>
        <w:rPr>
          <w:b/>
          <w:bCs/>
          <w:szCs w:val="22"/>
        </w:rPr>
        <w:t>”</w:t>
      </w:r>
    </w:p>
    <w:p w14:paraId="6BF3F860" w14:textId="4334F3D5" w:rsidR="009C5626" w:rsidRPr="00985A2D" w:rsidRDefault="00FD7DD3" w:rsidP="006F1C17">
      <w:pPr>
        <w:pStyle w:val="Ttulo1"/>
        <w:numPr>
          <w:ilvl w:val="0"/>
          <w:numId w:val="2"/>
        </w:numPr>
        <w:rPr>
          <w:rFonts w:ascii="Arial" w:hAnsi="Arial" w:cs="Arial"/>
          <w:sz w:val="22"/>
          <w:szCs w:val="22"/>
        </w:rPr>
      </w:pPr>
      <w:r w:rsidRPr="00985A2D">
        <w:rPr>
          <w:rFonts w:ascii="Arial" w:hAnsi="Arial" w:cs="Arial"/>
          <w:sz w:val="22"/>
          <w:szCs w:val="22"/>
        </w:rPr>
        <w:t>Diagnóstico de la educación superior en el departamento de Caldas</w:t>
      </w:r>
    </w:p>
    <w:p w14:paraId="098C5DC9" w14:textId="77777777" w:rsidR="009C5626" w:rsidRPr="00985A2D" w:rsidRDefault="009C5626" w:rsidP="00121359">
      <w:pPr>
        <w:rPr>
          <w:rFonts w:ascii="Arial" w:hAnsi="Arial" w:cs="Arial"/>
          <w:szCs w:val="22"/>
        </w:rPr>
      </w:pPr>
    </w:p>
    <w:p w14:paraId="565F3854" w14:textId="52719166" w:rsidR="009C5626" w:rsidRPr="001B5FFF" w:rsidRDefault="00FD7DD3" w:rsidP="001B5FFF">
      <w:pPr>
        <w:pStyle w:val="Ttulo2"/>
        <w:rPr>
          <w:rFonts w:ascii="Arial" w:hAnsi="Arial" w:cs="Arial"/>
          <w:szCs w:val="22"/>
        </w:rPr>
      </w:pPr>
      <w:r w:rsidRPr="001B5FFF">
        <w:rPr>
          <w:rFonts w:ascii="Arial" w:hAnsi="Arial" w:cs="Arial"/>
          <w:sz w:val="22"/>
          <w:szCs w:val="22"/>
        </w:rPr>
        <w:t>Introducción</w:t>
      </w:r>
      <w:r w:rsidR="009C5626" w:rsidRPr="001B5FFF">
        <w:rPr>
          <w:rFonts w:ascii="Arial" w:hAnsi="Arial" w:cs="Arial"/>
          <w:sz w:val="22"/>
          <w:szCs w:val="22"/>
        </w:rPr>
        <w:t>:</w:t>
      </w:r>
    </w:p>
    <w:p w14:paraId="5465E02F" w14:textId="7A4C143E" w:rsidR="00FD7DD3" w:rsidRPr="00985A2D" w:rsidRDefault="00FD7DD3" w:rsidP="00FD7DD3">
      <w:pPr>
        <w:rPr>
          <w:rFonts w:ascii="Arial" w:hAnsi="Arial" w:cs="Arial"/>
          <w:szCs w:val="22"/>
        </w:rPr>
      </w:pPr>
      <w:r w:rsidRPr="00985A2D">
        <w:rPr>
          <w:rFonts w:ascii="Arial" w:hAnsi="Arial" w:cs="Arial"/>
          <w:szCs w:val="22"/>
        </w:rPr>
        <w:t>De acuerdo con el informe de resultados de la Fase I de la Misión de Sabios por Caldas- 2020-2021, el departamento de Caldas, con un área de 7888 km², es el quinto Departamento menos extenso del país. Con 125 habitantes/km² es el sexto más densamente poblado, organizado en 27 municipios y 22 corregimientos.</w:t>
      </w:r>
      <w:r w:rsidR="001F4974" w:rsidRPr="00985A2D">
        <w:rPr>
          <w:rFonts w:ascii="Arial" w:hAnsi="Arial" w:cs="Arial"/>
          <w:szCs w:val="22"/>
        </w:rPr>
        <w:t xml:space="preserve"> </w:t>
      </w:r>
      <w:r w:rsidRPr="00985A2D">
        <w:rPr>
          <w:rFonts w:ascii="Arial" w:hAnsi="Arial" w:cs="Arial"/>
          <w:szCs w:val="22"/>
        </w:rPr>
        <w:t xml:space="preserve">El departamento de Caldas aporta el 1.6% del PIB nacional, su estructura económico productiva se concentra principalmente en los municipios de Manizales, Chinchiná, La Dorada, </w:t>
      </w:r>
      <w:proofErr w:type="spellStart"/>
      <w:r w:rsidRPr="00985A2D">
        <w:rPr>
          <w:rFonts w:ascii="Arial" w:hAnsi="Arial" w:cs="Arial"/>
          <w:szCs w:val="22"/>
        </w:rPr>
        <w:t>Villamaría</w:t>
      </w:r>
      <w:proofErr w:type="spellEnd"/>
      <w:r w:rsidRPr="00985A2D">
        <w:rPr>
          <w:rFonts w:ascii="Arial" w:hAnsi="Arial" w:cs="Arial"/>
          <w:szCs w:val="22"/>
        </w:rPr>
        <w:t xml:space="preserve"> y </w:t>
      </w:r>
      <w:proofErr w:type="spellStart"/>
      <w:r w:rsidRPr="00985A2D">
        <w:rPr>
          <w:rFonts w:ascii="Arial" w:hAnsi="Arial" w:cs="Arial"/>
          <w:szCs w:val="22"/>
        </w:rPr>
        <w:t>Riosucio</w:t>
      </w:r>
      <w:proofErr w:type="spellEnd"/>
      <w:r w:rsidRPr="00985A2D">
        <w:rPr>
          <w:rFonts w:ascii="Arial" w:hAnsi="Arial" w:cs="Arial"/>
          <w:szCs w:val="22"/>
        </w:rPr>
        <w:t>, éstos aportan el 71,86% del valor agregado departamental, lo cual ha generado heterogeneidad y disparidades económicas territoriales, que se han agudizado en el último tiempo. Esto lleva, a que la presente misión tenga como gran reto de planeación económica regional, la gestión de diversos dispositivos productivos en los territorios.</w:t>
      </w:r>
    </w:p>
    <w:p w14:paraId="6356594B" w14:textId="77777777" w:rsidR="00FD7DD3" w:rsidRPr="00985A2D" w:rsidRDefault="00FD7DD3" w:rsidP="00FD7DD3">
      <w:pPr>
        <w:rPr>
          <w:rFonts w:ascii="Arial" w:hAnsi="Arial" w:cs="Arial"/>
          <w:szCs w:val="22"/>
        </w:rPr>
      </w:pPr>
    </w:p>
    <w:p w14:paraId="72A69B53" w14:textId="6E232607" w:rsidR="00FD7DD3" w:rsidRPr="00985A2D" w:rsidRDefault="00FD7DD3" w:rsidP="00FD7DD3">
      <w:pPr>
        <w:rPr>
          <w:rFonts w:ascii="Arial" w:hAnsi="Arial" w:cs="Arial"/>
          <w:szCs w:val="22"/>
        </w:rPr>
      </w:pPr>
      <w:r w:rsidRPr="00985A2D">
        <w:rPr>
          <w:rFonts w:ascii="Arial" w:hAnsi="Arial" w:cs="Arial"/>
          <w:szCs w:val="22"/>
        </w:rPr>
        <w:t xml:space="preserve">Actualmente, en el Plan Departamental de Desarrollo “Unidos es Posible” 2020-2023 se propone cerrar varias de las brechas mencionadas. El programa de CTI tiene como meta mejorar el nivel de sus indicadores, revisar el tipo de indicadores incluidos e incorporar otros, incluir las metas de los Objetivos de Desarrollo Sostenible (ODS) y articular los grandes desafíos sociales, económicos, culturales, políticos y ecológicos para el desarrollo sustentable del Departamento de Caldas. Algunas de las metas que se propone son: I) la </w:t>
      </w:r>
      <w:r w:rsidRPr="00985A2D">
        <w:rPr>
          <w:rFonts w:ascii="Arial" w:hAnsi="Arial" w:cs="Arial"/>
          <w:szCs w:val="22"/>
        </w:rPr>
        <w:lastRenderedPageBreak/>
        <w:t>formulación de la política pública de CTI, para lo cual se está implementado la Misión de Sabios por Caldas, en la cual se espera responder de manera regional y decidida a las cinco misiones establecidas por la Misión Internacional de Sabios (2019) para el avance de la Ciencia, la Tecnología y la Innovación y sus propuestas transversales en el departamento de Caldas.</w:t>
      </w:r>
      <w:r w:rsidR="001F4974" w:rsidRPr="00985A2D">
        <w:rPr>
          <w:rFonts w:ascii="Arial" w:hAnsi="Arial" w:cs="Arial"/>
          <w:szCs w:val="22"/>
        </w:rPr>
        <w:t xml:space="preserve"> </w:t>
      </w:r>
      <w:r w:rsidRPr="00985A2D">
        <w:rPr>
          <w:rFonts w:ascii="Arial" w:hAnsi="Arial" w:cs="Arial"/>
          <w:szCs w:val="22"/>
        </w:rPr>
        <w:t>Se entiende esta misión como uno de los desafíos centrales del Departamento que, de la mano del Gobierno Departamental, las universidades, los centros autónomos de investigación, la empresa privada y la comunidad en general, permitirán la construcción de un futuro en el que la Educación, la Ciencia, la Tecnología y la Innovación sean bases de las nuevas generaciones.</w:t>
      </w:r>
    </w:p>
    <w:p w14:paraId="7CA1A31A" w14:textId="77777777" w:rsidR="00FD7DD3" w:rsidRPr="00985A2D" w:rsidRDefault="00FD7DD3" w:rsidP="00FD7DD3">
      <w:pPr>
        <w:rPr>
          <w:rFonts w:ascii="Arial" w:hAnsi="Arial" w:cs="Arial"/>
          <w:szCs w:val="22"/>
        </w:rPr>
      </w:pPr>
    </w:p>
    <w:p w14:paraId="5FFB28A2" w14:textId="572C51BA" w:rsidR="00FD7DD3" w:rsidRPr="00985A2D" w:rsidRDefault="00FD7DD3" w:rsidP="00FD7DD3">
      <w:pPr>
        <w:rPr>
          <w:rFonts w:ascii="Arial" w:hAnsi="Arial" w:cs="Arial"/>
          <w:szCs w:val="22"/>
        </w:rPr>
      </w:pPr>
      <w:r w:rsidRPr="00985A2D">
        <w:rPr>
          <w:rFonts w:ascii="Arial" w:hAnsi="Arial" w:cs="Arial"/>
          <w:szCs w:val="22"/>
        </w:rPr>
        <w:t>Según lo concluido en la Conferencia Mundial sobre la Educación Superior (2009), cada vez es más difícil mantener un buen equilibrio entre la investigación básica y la aplicada, debido a los altos niveles de inversión que necesita la investigación básica y al reto que representa el vincular el conocimiento de ámbito mundial con los problemas locales, por ello, los sistemas de investigación deberían organizarse de manera más flexible con miras a promover la ciencia y la interdisciplinariedad, al servicio de la sociedad que permita transformar los grandes problema</w:t>
      </w:r>
      <w:r w:rsidR="00227D63">
        <w:rPr>
          <w:rFonts w:ascii="Arial" w:hAnsi="Arial" w:cs="Arial"/>
          <w:szCs w:val="22"/>
        </w:rPr>
        <w:t>s que afectan la vida de todos</w:t>
      </w:r>
      <w:r w:rsidR="002437ED">
        <w:rPr>
          <w:rFonts w:ascii="Arial" w:hAnsi="Arial" w:cs="Arial"/>
          <w:szCs w:val="22"/>
        </w:rPr>
        <w:t>.</w:t>
      </w:r>
      <w:r w:rsidR="00227D63">
        <w:rPr>
          <w:rFonts w:ascii="Arial" w:hAnsi="Arial" w:cs="Arial"/>
          <w:szCs w:val="22"/>
        </w:rPr>
        <w:t xml:space="preserve"> </w:t>
      </w:r>
    </w:p>
    <w:p w14:paraId="4152C95C" w14:textId="77777777" w:rsidR="00FD7DD3" w:rsidRPr="00985A2D" w:rsidRDefault="00FD7DD3" w:rsidP="00FD7DD3">
      <w:pPr>
        <w:rPr>
          <w:rFonts w:ascii="Arial" w:hAnsi="Arial" w:cs="Arial"/>
          <w:szCs w:val="22"/>
        </w:rPr>
      </w:pPr>
    </w:p>
    <w:p w14:paraId="2003A797" w14:textId="20E36B0F" w:rsidR="00FD7DD3" w:rsidRPr="00985A2D" w:rsidRDefault="00FD7DD3" w:rsidP="00FD7DD3">
      <w:pPr>
        <w:rPr>
          <w:rFonts w:ascii="Arial" w:hAnsi="Arial" w:cs="Arial"/>
          <w:szCs w:val="22"/>
        </w:rPr>
      </w:pPr>
      <w:r w:rsidRPr="00985A2D">
        <w:rPr>
          <w:rFonts w:ascii="Arial" w:hAnsi="Arial" w:cs="Arial"/>
          <w:szCs w:val="22"/>
        </w:rPr>
        <w:t xml:space="preserve">La OEI (2012), afirmó que el conocimiento científico y tecnológico es una de las principales riquezas de las sociedades contemporáneas y un elemento indispensable para impulsar </w:t>
      </w:r>
      <w:r w:rsidR="00ED19F3" w:rsidRPr="00985A2D">
        <w:rPr>
          <w:rFonts w:ascii="Arial" w:hAnsi="Arial" w:cs="Arial"/>
          <w:szCs w:val="22"/>
        </w:rPr>
        <w:t>transformaciones que</w:t>
      </w:r>
      <w:r w:rsidRPr="00985A2D">
        <w:rPr>
          <w:rFonts w:ascii="Arial" w:hAnsi="Arial" w:cs="Arial"/>
          <w:szCs w:val="22"/>
        </w:rPr>
        <w:t xml:space="preserve"> conduzcan al desarrollo económico y social. Según este organismo internacional, la ciencia, la tecnología y la innovación se han convertido en herramientas necesarias para la transformación de las estructuras productivas, la explotación racional de los recursos naturales, el cuidado de la salud, la alimentación, la educación y otros requerimientos sociales. Además, indicó que vincular las instituciones de ciencia y tecnología con las demandas sociales conlleva un proceso que beneficia, no solo a la comunidad científica, sino a muchos otros actores de la vida social.</w:t>
      </w:r>
    </w:p>
    <w:p w14:paraId="4741052D" w14:textId="77777777" w:rsidR="00FD7DD3" w:rsidRPr="00985A2D" w:rsidRDefault="00FD7DD3" w:rsidP="00FD7DD3">
      <w:pPr>
        <w:rPr>
          <w:rFonts w:ascii="Arial" w:hAnsi="Arial" w:cs="Arial"/>
          <w:szCs w:val="22"/>
        </w:rPr>
      </w:pPr>
    </w:p>
    <w:p w14:paraId="24706777" w14:textId="5C74E277" w:rsidR="00FD7DD3" w:rsidRPr="00985A2D" w:rsidRDefault="00FD7DD3" w:rsidP="00FD7DD3">
      <w:pPr>
        <w:rPr>
          <w:rFonts w:ascii="Arial" w:hAnsi="Arial" w:cs="Arial"/>
          <w:szCs w:val="22"/>
        </w:rPr>
      </w:pPr>
      <w:r w:rsidRPr="00985A2D">
        <w:rPr>
          <w:rFonts w:ascii="Arial" w:hAnsi="Arial" w:cs="Arial"/>
          <w:szCs w:val="22"/>
        </w:rPr>
        <w:lastRenderedPageBreak/>
        <w:t>El comité central de la Misión a través de diferentes encuentros de estudio y discusión teórica diseñó un esquema conceptual para organizar y comprender la gestión de conocimiento, ciencia tecnología e innovación en el Departamento como un sistema en el que se articulan en el territorio tres tipos de capitales: estructural, humano y relacional, alrededor de cuatro procesos: generación de conocimiento, formación, apropiación social del conocimiento y transferencia de conocimiento y tecnología.</w:t>
      </w:r>
    </w:p>
    <w:p w14:paraId="0B20D7E9" w14:textId="0607AF9C" w:rsidR="00FD7DD3" w:rsidRPr="00985A2D" w:rsidRDefault="00FD7DD3" w:rsidP="00FD7DD3">
      <w:pPr>
        <w:rPr>
          <w:rFonts w:ascii="Arial" w:hAnsi="Arial" w:cs="Arial"/>
          <w:szCs w:val="22"/>
        </w:rPr>
      </w:pPr>
    </w:p>
    <w:p w14:paraId="6FE89C5B" w14:textId="41AF5F00" w:rsidR="00FD7DD3" w:rsidRPr="00985A2D" w:rsidRDefault="00FD7DD3" w:rsidP="00FD7DD3">
      <w:pPr>
        <w:rPr>
          <w:rFonts w:ascii="Arial" w:hAnsi="Arial" w:cs="Arial"/>
          <w:szCs w:val="22"/>
        </w:rPr>
      </w:pPr>
      <w:r w:rsidRPr="00985A2D">
        <w:rPr>
          <w:rFonts w:ascii="Arial" w:hAnsi="Arial" w:cs="Arial"/>
          <w:noProof/>
          <w:szCs w:val="22"/>
          <w:lang w:eastAsia="es-CO"/>
        </w:rPr>
        <w:drawing>
          <wp:inline distT="0" distB="0" distL="0" distR="0" wp14:anchorId="486A0B53" wp14:editId="49BBF7AD">
            <wp:extent cx="5612130" cy="2480945"/>
            <wp:effectExtent l="0" t="0" r="7620" b="0"/>
            <wp:docPr id="5" name="Imagen 5" descr="Diagrama,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agrama, Escala de tiempo&#10;&#10;Descripción generada automáticamente"/>
                    <pic:cNvPicPr/>
                  </pic:nvPicPr>
                  <pic:blipFill>
                    <a:blip r:embed="rId7"/>
                    <a:stretch>
                      <a:fillRect/>
                    </a:stretch>
                  </pic:blipFill>
                  <pic:spPr>
                    <a:xfrm>
                      <a:off x="0" y="0"/>
                      <a:ext cx="5612130" cy="2480945"/>
                    </a:xfrm>
                    <a:prstGeom prst="rect">
                      <a:avLst/>
                    </a:prstGeom>
                  </pic:spPr>
                </pic:pic>
              </a:graphicData>
            </a:graphic>
          </wp:inline>
        </w:drawing>
      </w:r>
    </w:p>
    <w:p w14:paraId="4CB9E264" w14:textId="0A3D6303" w:rsidR="00FD7DD3" w:rsidRPr="00985A2D" w:rsidRDefault="00FD7DD3" w:rsidP="00FD7DD3">
      <w:pPr>
        <w:rPr>
          <w:rFonts w:ascii="Arial" w:hAnsi="Arial" w:cs="Arial"/>
          <w:szCs w:val="22"/>
        </w:rPr>
      </w:pPr>
      <w:r w:rsidRPr="00985A2D">
        <w:rPr>
          <w:rFonts w:ascii="Arial" w:hAnsi="Arial" w:cs="Arial"/>
          <w:szCs w:val="22"/>
        </w:rPr>
        <w:t>En lo referido al capital estructural este asume el contexto de las instituciones, sus capacidades económicas, tecnológicas y las políticas que el territorio ha diseñado y establecido para impulsar la Educación, la Ciencia, la Tecnología, la Innovación, así como su aporte impulsor al Desarrollo Sustentable y equitativo en el territorio.</w:t>
      </w:r>
      <w:r w:rsidR="001F4974" w:rsidRPr="00985A2D">
        <w:rPr>
          <w:rFonts w:ascii="Arial" w:hAnsi="Arial" w:cs="Arial"/>
          <w:szCs w:val="22"/>
        </w:rPr>
        <w:t xml:space="preserve"> </w:t>
      </w:r>
      <w:r w:rsidRPr="00985A2D">
        <w:rPr>
          <w:rFonts w:ascii="Arial" w:hAnsi="Arial" w:cs="Arial"/>
          <w:szCs w:val="22"/>
        </w:rPr>
        <w:t>El capital humano, hace alusión al conjunto de capacidades profesionales instaladas en los individuos para participar en los procesos de producción de la ciencia, tecnología e innovación en el territorio. En este sentido el capital humano comprende el conjunto de personas formadas en las diferentes áreas del conocimiento, en los diferentes programas y proyectos que se ocupan de su formación.</w:t>
      </w:r>
    </w:p>
    <w:p w14:paraId="122EFB56" w14:textId="77777777" w:rsidR="00FD7DD3" w:rsidRPr="00985A2D" w:rsidRDefault="00FD7DD3" w:rsidP="00FD7DD3">
      <w:pPr>
        <w:rPr>
          <w:rFonts w:ascii="Arial" w:hAnsi="Arial" w:cs="Arial"/>
          <w:szCs w:val="22"/>
        </w:rPr>
      </w:pPr>
    </w:p>
    <w:p w14:paraId="47FB91F7" w14:textId="5F8652D4" w:rsidR="00FD7DD3" w:rsidRPr="00985A2D" w:rsidRDefault="00FD7DD3" w:rsidP="00FD7DD3">
      <w:pPr>
        <w:rPr>
          <w:rFonts w:ascii="Arial" w:hAnsi="Arial" w:cs="Arial"/>
          <w:b/>
          <w:szCs w:val="22"/>
        </w:rPr>
      </w:pPr>
      <w:r w:rsidRPr="00985A2D">
        <w:rPr>
          <w:rFonts w:ascii="Arial" w:hAnsi="Arial" w:cs="Arial"/>
          <w:szCs w:val="22"/>
        </w:rPr>
        <w:lastRenderedPageBreak/>
        <w:t>El capital relacional, se refiere a la capacidad de uso del conocimiento generado en los procesos de Ciencia, Tecnología e Innovación, para propiciar, acompañar o fortalecer transformaciones sociales, culturales, económicas y ambientales a nivel territorial.</w:t>
      </w:r>
    </w:p>
    <w:p w14:paraId="4AEE56C0" w14:textId="10F2772A" w:rsidR="00B21A50" w:rsidRPr="00985A2D" w:rsidRDefault="00FD7DD3" w:rsidP="00B21A50">
      <w:pPr>
        <w:pStyle w:val="Ttulo2"/>
        <w:rPr>
          <w:rFonts w:ascii="Arial" w:hAnsi="Arial" w:cs="Arial"/>
          <w:sz w:val="22"/>
          <w:szCs w:val="22"/>
        </w:rPr>
      </w:pPr>
      <w:r w:rsidRPr="00985A2D">
        <w:rPr>
          <w:rFonts w:ascii="Arial" w:hAnsi="Arial" w:cs="Arial"/>
          <w:sz w:val="22"/>
          <w:szCs w:val="22"/>
        </w:rPr>
        <w:t>Caracterización de Manizales</w:t>
      </w:r>
    </w:p>
    <w:p w14:paraId="3232FBA9" w14:textId="77777777" w:rsidR="00B21A50" w:rsidRPr="00985A2D" w:rsidRDefault="00B21A50" w:rsidP="00B21A50">
      <w:pPr>
        <w:rPr>
          <w:rFonts w:ascii="Arial" w:hAnsi="Arial" w:cs="Arial"/>
          <w:szCs w:val="22"/>
        </w:rPr>
      </w:pPr>
    </w:p>
    <w:p w14:paraId="5E47482C" w14:textId="77777777" w:rsidR="00FD7DD3" w:rsidRPr="00985A2D" w:rsidRDefault="00FD7DD3" w:rsidP="00FD7DD3">
      <w:pPr>
        <w:rPr>
          <w:rFonts w:ascii="Arial" w:hAnsi="Arial" w:cs="Arial"/>
          <w:szCs w:val="22"/>
        </w:rPr>
      </w:pPr>
      <w:r w:rsidRPr="00985A2D">
        <w:rPr>
          <w:rFonts w:ascii="Arial" w:hAnsi="Arial" w:cs="Arial"/>
          <w:szCs w:val="22"/>
        </w:rPr>
        <w:t>Manizales es un territorio ubicado en la zona centro-occidente del país, en la Región Andina Colombiana y en medio de dos cordilleras, lo que le otorga un paisaje montañoso en cuyas áreas rurales, crecen cultivos de café, plátano y frutales, gracias a los pisos térmicos predominantes y el clima propicio para la agricultura. Sus coordenadas geográficas según el Instituto Geográfico Agustín Codazzi son: 75° 19’ 35.23” W 4° 58’ 51.09” N. Límite inferior75° 40’ 56.71” W, 5° 10’ 2.67” N. Límite superior. La superficie total del municipio es 442,01 km2.</w:t>
      </w:r>
    </w:p>
    <w:p w14:paraId="6FA8B5B2" w14:textId="77777777" w:rsidR="00FD7DD3" w:rsidRPr="00985A2D" w:rsidRDefault="00FD7DD3" w:rsidP="00FD7DD3">
      <w:pPr>
        <w:rPr>
          <w:rFonts w:ascii="Arial" w:hAnsi="Arial" w:cs="Arial"/>
          <w:szCs w:val="22"/>
        </w:rPr>
      </w:pPr>
    </w:p>
    <w:p w14:paraId="364F5537" w14:textId="77777777" w:rsidR="00FD7DD3" w:rsidRPr="00985A2D" w:rsidRDefault="00FD7DD3" w:rsidP="00FD7DD3">
      <w:pPr>
        <w:rPr>
          <w:rFonts w:ascii="Arial" w:hAnsi="Arial" w:cs="Arial"/>
          <w:szCs w:val="22"/>
        </w:rPr>
      </w:pPr>
      <w:r w:rsidRPr="00985A2D">
        <w:rPr>
          <w:rFonts w:ascii="Arial" w:hAnsi="Arial" w:cs="Arial"/>
          <w:szCs w:val="22"/>
        </w:rPr>
        <w:t>Con relación al Departamento de Caldas, Manizales tiene un área municipal del 6% sobre la totalidad del área departamental y tiene una densidad de población de 830,35 habitantes por Km2. La población total del municipio es, según estadísticas del DANE, 450.000, distribuidos en un 93% en cabeceras y un 7% en el resto del municipio. En total se tienen 255.890 personas en edad potencialmente activa, es decir, mayor a 15 años y menores de 59 años.</w:t>
      </w:r>
    </w:p>
    <w:p w14:paraId="1C84FA05" w14:textId="77777777" w:rsidR="00FD7DD3" w:rsidRPr="00985A2D" w:rsidRDefault="00FD7DD3" w:rsidP="00FD7DD3">
      <w:pPr>
        <w:rPr>
          <w:rFonts w:ascii="Arial" w:hAnsi="Arial" w:cs="Arial"/>
          <w:szCs w:val="22"/>
        </w:rPr>
      </w:pPr>
    </w:p>
    <w:p w14:paraId="34785FE5" w14:textId="77777777" w:rsidR="00FD7DD3" w:rsidRPr="00985A2D" w:rsidRDefault="00FD7DD3" w:rsidP="00FD7DD3">
      <w:pPr>
        <w:rPr>
          <w:rFonts w:ascii="Arial" w:hAnsi="Arial" w:cs="Arial"/>
          <w:szCs w:val="22"/>
        </w:rPr>
      </w:pPr>
      <w:r w:rsidRPr="00985A2D">
        <w:rPr>
          <w:rFonts w:ascii="Arial" w:hAnsi="Arial" w:cs="Arial"/>
          <w:szCs w:val="22"/>
        </w:rPr>
        <w:t>En las últimas décadas, se ha presentado un “estancamiento” en el crecimiento poblacional, lo cual se evidencia al analizar la tasa de crecimiento poblacional desde el año 1995 proyectado a 2020, según proyecciones realizadas por el DANE a partir del CENSO 2005, con tasas de crecimiento muy por debajo de las tasas de los años 50 y 60 y aunque es claro que la población rural decrece históricamente, en las proyecciones al 2020 se estima, que el decrecimiento se equipará a la cabecera municipal.</w:t>
      </w:r>
    </w:p>
    <w:p w14:paraId="09039203" w14:textId="77777777" w:rsidR="00FD7DD3" w:rsidRPr="00985A2D" w:rsidRDefault="00FD7DD3" w:rsidP="00FD7DD3">
      <w:pPr>
        <w:rPr>
          <w:rFonts w:ascii="Arial" w:hAnsi="Arial" w:cs="Arial"/>
          <w:szCs w:val="22"/>
        </w:rPr>
      </w:pPr>
    </w:p>
    <w:p w14:paraId="69052AF2" w14:textId="5B9DE4BF" w:rsidR="00FD7DD3" w:rsidRPr="00985A2D" w:rsidRDefault="00FD7DD3" w:rsidP="00FD7DD3">
      <w:pPr>
        <w:rPr>
          <w:rFonts w:ascii="Arial" w:hAnsi="Arial" w:cs="Arial"/>
          <w:szCs w:val="22"/>
        </w:rPr>
      </w:pPr>
      <w:r w:rsidRPr="00985A2D">
        <w:rPr>
          <w:rFonts w:ascii="Arial" w:hAnsi="Arial" w:cs="Arial"/>
          <w:szCs w:val="22"/>
        </w:rPr>
        <w:t xml:space="preserve">En cuanto a la tasa de crecimiento por grupos </w:t>
      </w:r>
      <w:r w:rsidR="00D10898" w:rsidRPr="00985A2D">
        <w:rPr>
          <w:rFonts w:ascii="Arial" w:hAnsi="Arial" w:cs="Arial"/>
          <w:szCs w:val="22"/>
        </w:rPr>
        <w:t>etarios</w:t>
      </w:r>
      <w:r w:rsidRPr="00985A2D">
        <w:rPr>
          <w:rFonts w:ascii="Arial" w:hAnsi="Arial" w:cs="Arial"/>
          <w:szCs w:val="22"/>
        </w:rPr>
        <w:t xml:space="preserve"> con proyección al 2020 y según información del DANE y analizada por la Secretaría de Planeación Municipal en el marco </w:t>
      </w:r>
      <w:r w:rsidRPr="00985A2D">
        <w:rPr>
          <w:rFonts w:ascii="Arial" w:hAnsi="Arial" w:cs="Arial"/>
          <w:szCs w:val="22"/>
        </w:rPr>
        <w:lastRenderedPageBreak/>
        <w:t>de los debates sobre el POT, se tendría un decrecimiento en la población de niños y jóvenes, fenómeno coherente con las cifras recientes de fecundidad y nacimientos; por el contrario, la población que supera los 60 años, tendrá el mayor crecimiento proyectado, información de valor para focalizar los programas de intervención en los próximos años y proyectar la población a ser atendida en los diferentes programas de la Administración Municipal.</w:t>
      </w:r>
    </w:p>
    <w:p w14:paraId="064D660D" w14:textId="77777777" w:rsidR="00FD7DD3" w:rsidRPr="00985A2D" w:rsidRDefault="00FD7DD3" w:rsidP="00FD7DD3">
      <w:pPr>
        <w:rPr>
          <w:rFonts w:ascii="Arial" w:hAnsi="Arial" w:cs="Arial"/>
          <w:szCs w:val="22"/>
        </w:rPr>
      </w:pPr>
    </w:p>
    <w:p w14:paraId="6250B5EC" w14:textId="77777777" w:rsidR="00FD7DD3" w:rsidRPr="00985A2D" w:rsidRDefault="00FD7DD3" w:rsidP="00FD7DD3">
      <w:pPr>
        <w:rPr>
          <w:rFonts w:ascii="Arial" w:hAnsi="Arial" w:cs="Arial"/>
          <w:szCs w:val="22"/>
        </w:rPr>
      </w:pPr>
      <w:r w:rsidRPr="00985A2D">
        <w:rPr>
          <w:rFonts w:ascii="Arial" w:hAnsi="Arial" w:cs="Arial"/>
          <w:szCs w:val="22"/>
        </w:rPr>
        <w:t xml:space="preserve">Manizales Como Vamos (2020), muestra en su informe el nivel educativo de la población de la ciudad con 25 años o más. Este es un indicador de impacto, de largo plazo, puesto que incrementar el nivel educativo de la población, no es un resultado que tenga un efecto inmediato. </w:t>
      </w:r>
    </w:p>
    <w:p w14:paraId="4D5FF739" w14:textId="4F8ED3CC" w:rsidR="00FD7DD3" w:rsidRPr="00985A2D" w:rsidRDefault="00FD7DD3" w:rsidP="00FD7DD3">
      <w:pPr>
        <w:rPr>
          <w:rFonts w:ascii="Arial" w:hAnsi="Arial" w:cs="Arial"/>
          <w:szCs w:val="22"/>
        </w:rPr>
      </w:pPr>
      <w:r w:rsidRPr="00985A2D">
        <w:rPr>
          <w:rFonts w:ascii="Arial" w:hAnsi="Arial" w:cs="Arial"/>
          <w:szCs w:val="22"/>
        </w:rPr>
        <w:t xml:space="preserve">Tal como lo revela la siguiente gráfica, el nivel educativo de la población de Manizales ha aumentado, como reflejo de los esfuerzos desde diferentes frentes y sectores en la consolidación de una cultura universitaria, la cual impacta directamente este importante indicador. Mientras que, en 2010, un poco más de la mitad de la población tenía hasta secundaria incompleta, en 2020 este porcentaje se redujo al 35,5%. Por el contrario, la proporción de la población con niveles más elevados de educación pasó del 21,8% al 34,4%. </w:t>
      </w:r>
    </w:p>
    <w:p w14:paraId="0FE86528" w14:textId="617D7716" w:rsidR="00ED19F3" w:rsidRPr="00985A2D" w:rsidRDefault="00ED19F3" w:rsidP="00FD7DD3">
      <w:pPr>
        <w:rPr>
          <w:rFonts w:ascii="Arial" w:hAnsi="Arial" w:cs="Arial"/>
          <w:szCs w:val="22"/>
        </w:rPr>
      </w:pPr>
    </w:p>
    <w:p w14:paraId="779D7D73" w14:textId="77777777" w:rsidR="00985A2D" w:rsidRDefault="00985A2D" w:rsidP="0050455C">
      <w:pPr>
        <w:rPr>
          <w:rFonts w:ascii="Arial" w:hAnsi="Arial" w:cs="Arial"/>
          <w:b/>
          <w:bCs/>
          <w:szCs w:val="22"/>
        </w:rPr>
      </w:pPr>
    </w:p>
    <w:p w14:paraId="6153ABCC" w14:textId="77777777" w:rsidR="00985A2D" w:rsidRDefault="00985A2D" w:rsidP="0050455C">
      <w:pPr>
        <w:rPr>
          <w:rFonts w:ascii="Arial" w:hAnsi="Arial" w:cs="Arial"/>
          <w:b/>
          <w:bCs/>
          <w:szCs w:val="22"/>
        </w:rPr>
      </w:pPr>
    </w:p>
    <w:p w14:paraId="3175D631" w14:textId="77777777" w:rsidR="00985A2D" w:rsidRDefault="00985A2D" w:rsidP="0050455C">
      <w:pPr>
        <w:rPr>
          <w:rFonts w:ascii="Arial" w:hAnsi="Arial" w:cs="Arial"/>
          <w:b/>
          <w:bCs/>
          <w:szCs w:val="22"/>
        </w:rPr>
      </w:pPr>
    </w:p>
    <w:p w14:paraId="009694D7" w14:textId="7CD118B9" w:rsidR="0050455C" w:rsidRPr="00985A2D" w:rsidRDefault="0050455C" w:rsidP="0050455C">
      <w:pPr>
        <w:rPr>
          <w:rFonts w:ascii="Arial" w:hAnsi="Arial" w:cs="Arial"/>
          <w:b/>
          <w:bCs/>
          <w:szCs w:val="22"/>
        </w:rPr>
      </w:pPr>
      <w:r w:rsidRPr="00985A2D">
        <w:rPr>
          <w:rFonts w:ascii="Arial" w:hAnsi="Arial" w:cs="Arial"/>
          <w:b/>
          <w:bCs/>
          <w:szCs w:val="22"/>
        </w:rPr>
        <w:t xml:space="preserve">Gráfica </w:t>
      </w:r>
      <w:r w:rsidRPr="00985A2D">
        <w:rPr>
          <w:rFonts w:ascii="Arial" w:hAnsi="Arial" w:cs="Arial"/>
          <w:b/>
          <w:bCs/>
          <w:szCs w:val="22"/>
        </w:rPr>
        <w:fldChar w:fldCharType="begin"/>
      </w:r>
      <w:r w:rsidRPr="00985A2D">
        <w:rPr>
          <w:rFonts w:ascii="Arial" w:hAnsi="Arial" w:cs="Arial"/>
          <w:b/>
          <w:bCs/>
          <w:szCs w:val="22"/>
        </w:rPr>
        <w:instrText xml:space="preserve"> SEQ Gráfica \* ARABIC </w:instrText>
      </w:r>
      <w:r w:rsidRPr="00985A2D">
        <w:rPr>
          <w:rFonts w:ascii="Arial" w:hAnsi="Arial" w:cs="Arial"/>
          <w:b/>
          <w:bCs/>
          <w:szCs w:val="22"/>
        </w:rPr>
        <w:fldChar w:fldCharType="separate"/>
      </w:r>
      <w:r w:rsidR="009F20F0">
        <w:rPr>
          <w:rFonts w:ascii="Arial" w:hAnsi="Arial" w:cs="Arial"/>
          <w:b/>
          <w:bCs/>
          <w:noProof/>
          <w:szCs w:val="22"/>
        </w:rPr>
        <w:t>1</w:t>
      </w:r>
      <w:r w:rsidRPr="00985A2D">
        <w:rPr>
          <w:rFonts w:ascii="Arial" w:hAnsi="Arial" w:cs="Arial"/>
          <w:b/>
          <w:bCs/>
          <w:szCs w:val="22"/>
        </w:rPr>
        <w:fldChar w:fldCharType="end"/>
      </w:r>
      <w:r w:rsidRPr="00985A2D">
        <w:rPr>
          <w:rFonts w:ascii="Arial" w:hAnsi="Arial" w:cs="Arial"/>
          <w:b/>
          <w:bCs/>
          <w:szCs w:val="22"/>
        </w:rPr>
        <w:t xml:space="preserve"> Nivel educativo alcanzado en Manizales en población de 25 años o más</w:t>
      </w:r>
    </w:p>
    <w:p w14:paraId="623D545A" w14:textId="3A3EDBA9" w:rsidR="00BF0C74" w:rsidRPr="00985A2D" w:rsidRDefault="0050455C" w:rsidP="001F4974">
      <w:pPr>
        <w:jc w:val="center"/>
        <w:rPr>
          <w:rFonts w:ascii="Arial" w:hAnsi="Arial" w:cs="Arial"/>
          <w:szCs w:val="22"/>
        </w:rPr>
      </w:pPr>
      <w:r w:rsidRPr="00985A2D">
        <w:rPr>
          <w:rFonts w:ascii="Arial" w:hAnsi="Arial" w:cs="Arial"/>
          <w:noProof/>
          <w:color w:val="000000"/>
          <w:szCs w:val="22"/>
          <w:lang w:eastAsia="es-CO"/>
        </w:rPr>
        <w:lastRenderedPageBreak/>
        <w:drawing>
          <wp:inline distT="0" distB="0" distL="0" distR="0" wp14:anchorId="5E11E69B" wp14:editId="3ED9CA92">
            <wp:extent cx="4704713" cy="2416236"/>
            <wp:effectExtent l="0" t="0" r="1270" b="317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0398" cy="2424292"/>
                    </a:xfrm>
                    <a:prstGeom prst="rect">
                      <a:avLst/>
                    </a:prstGeom>
                    <a:noFill/>
                    <a:ln>
                      <a:noFill/>
                    </a:ln>
                  </pic:spPr>
                </pic:pic>
              </a:graphicData>
            </a:graphic>
          </wp:inline>
        </w:drawing>
      </w:r>
    </w:p>
    <w:p w14:paraId="66DCCB60" w14:textId="77777777" w:rsidR="0050455C" w:rsidRPr="00C8330C" w:rsidRDefault="0050455C" w:rsidP="001F4974">
      <w:pPr>
        <w:jc w:val="center"/>
        <w:rPr>
          <w:rStyle w:val="Referenciasutil"/>
          <w:rFonts w:ascii="Arial" w:hAnsi="Arial" w:cs="Arial"/>
          <w:sz w:val="16"/>
          <w:szCs w:val="16"/>
        </w:rPr>
      </w:pPr>
      <w:r w:rsidRPr="00C8330C">
        <w:rPr>
          <w:rStyle w:val="Referenciasutil"/>
          <w:rFonts w:ascii="Arial" w:hAnsi="Arial" w:cs="Arial"/>
          <w:sz w:val="16"/>
          <w:szCs w:val="16"/>
        </w:rPr>
        <w:t>Fuente: Cálculos MCV con base en Ministerio de Educación Nacional y DANE</w:t>
      </w:r>
    </w:p>
    <w:p w14:paraId="7260D0DD" w14:textId="77777777" w:rsidR="00C8330C" w:rsidRDefault="00C8330C" w:rsidP="0050455C">
      <w:pPr>
        <w:rPr>
          <w:rFonts w:ascii="Arial" w:hAnsi="Arial" w:cs="Arial"/>
          <w:szCs w:val="22"/>
        </w:rPr>
      </w:pPr>
    </w:p>
    <w:p w14:paraId="1950BCF8" w14:textId="23078407" w:rsidR="0050455C" w:rsidRPr="00985A2D" w:rsidRDefault="0050455C" w:rsidP="0050455C">
      <w:pPr>
        <w:rPr>
          <w:rFonts w:ascii="Arial" w:hAnsi="Arial" w:cs="Arial"/>
          <w:szCs w:val="22"/>
        </w:rPr>
      </w:pPr>
      <w:r w:rsidRPr="00985A2D">
        <w:rPr>
          <w:rFonts w:ascii="Arial" w:hAnsi="Arial" w:cs="Arial"/>
          <w:szCs w:val="22"/>
        </w:rPr>
        <w:t>Es necesario destacar particularmente, la población con formación técnica y tecnológica que pasó del 6,5% al 14,1%. La población con título universitario, que pasó del 9,0% al 12,3% y la población con título de posgrado que también presentó un aumento importante al pasar del 3,4% al 5,3%.</w:t>
      </w:r>
    </w:p>
    <w:p w14:paraId="174FD0EB" w14:textId="77777777" w:rsidR="00195079" w:rsidRPr="00985A2D" w:rsidRDefault="00195079" w:rsidP="00B21A50">
      <w:pPr>
        <w:rPr>
          <w:rFonts w:ascii="Arial" w:hAnsi="Arial" w:cs="Arial"/>
          <w:szCs w:val="22"/>
        </w:rPr>
      </w:pPr>
    </w:p>
    <w:p w14:paraId="06659C26" w14:textId="49BC8FBF" w:rsidR="00195079" w:rsidRPr="00985A2D" w:rsidRDefault="0050455C" w:rsidP="00195079">
      <w:pPr>
        <w:pStyle w:val="Ttulo1"/>
        <w:rPr>
          <w:rFonts w:ascii="Arial" w:hAnsi="Arial" w:cs="Arial"/>
          <w:sz w:val="22"/>
          <w:szCs w:val="22"/>
        </w:rPr>
      </w:pPr>
      <w:r w:rsidRPr="00985A2D">
        <w:rPr>
          <w:rFonts w:ascii="Arial" w:hAnsi="Arial" w:cs="Arial"/>
          <w:sz w:val="22"/>
          <w:szCs w:val="22"/>
        </w:rPr>
        <w:t xml:space="preserve">Comportamiento de la </w:t>
      </w:r>
      <w:r w:rsidR="0019149E" w:rsidRPr="00985A2D">
        <w:rPr>
          <w:rFonts w:ascii="Arial" w:hAnsi="Arial" w:cs="Arial"/>
          <w:sz w:val="22"/>
          <w:szCs w:val="22"/>
        </w:rPr>
        <w:t>matrícula</w:t>
      </w:r>
      <w:r w:rsidRPr="00985A2D">
        <w:rPr>
          <w:rFonts w:ascii="Arial" w:hAnsi="Arial" w:cs="Arial"/>
          <w:sz w:val="22"/>
          <w:szCs w:val="22"/>
        </w:rPr>
        <w:t xml:space="preserve"> en educación superior</w:t>
      </w:r>
    </w:p>
    <w:p w14:paraId="118AE0B1" w14:textId="77777777" w:rsidR="00195079" w:rsidRPr="00985A2D" w:rsidRDefault="00195079" w:rsidP="00195079">
      <w:pPr>
        <w:rPr>
          <w:rFonts w:ascii="Arial" w:hAnsi="Arial" w:cs="Arial"/>
          <w:szCs w:val="22"/>
        </w:rPr>
      </w:pPr>
    </w:p>
    <w:p w14:paraId="16CD3D8A" w14:textId="77777777" w:rsidR="0050455C" w:rsidRPr="00985A2D" w:rsidRDefault="0050455C" w:rsidP="0050455C">
      <w:pPr>
        <w:rPr>
          <w:rFonts w:ascii="Arial" w:hAnsi="Arial" w:cs="Arial"/>
          <w:szCs w:val="22"/>
        </w:rPr>
      </w:pPr>
      <w:r w:rsidRPr="00985A2D">
        <w:rPr>
          <w:rFonts w:ascii="Arial" w:hAnsi="Arial" w:cs="Arial"/>
          <w:szCs w:val="22"/>
        </w:rPr>
        <w:t xml:space="preserve">En el año 2021, Caldas tuvo 46.471 estudiantes matriculados en un programa de educación superior, el 90% correspondiente al nivel de pregrado y el 10% matriculados en algún nivel de posgrado. </w:t>
      </w:r>
    </w:p>
    <w:p w14:paraId="5ABE9878" w14:textId="77777777" w:rsidR="0050455C" w:rsidRPr="00985A2D" w:rsidRDefault="0050455C" w:rsidP="0050455C">
      <w:pPr>
        <w:rPr>
          <w:rFonts w:ascii="Arial" w:hAnsi="Arial" w:cs="Arial"/>
          <w:szCs w:val="22"/>
        </w:rPr>
      </w:pPr>
    </w:p>
    <w:p w14:paraId="5CEC1C6B" w14:textId="69BF2FE8" w:rsidR="0050455C" w:rsidRPr="00985A2D" w:rsidRDefault="0050455C" w:rsidP="0050455C">
      <w:pPr>
        <w:rPr>
          <w:rFonts w:ascii="Arial" w:hAnsi="Arial" w:cs="Arial"/>
          <w:szCs w:val="22"/>
        </w:rPr>
      </w:pPr>
      <w:r w:rsidRPr="00985A2D">
        <w:rPr>
          <w:rFonts w:ascii="Arial" w:hAnsi="Arial" w:cs="Arial"/>
          <w:szCs w:val="22"/>
        </w:rPr>
        <w:t>La tasa de cobertura bruta en educación superior fue del 55,7%, casi dos puntos porcentuales por encima de la tasa nacional, mientras que la tasa de tránsito inmediato a educación superior se consolidó en el 36.6%, por debajo del consolidado nacional.</w:t>
      </w:r>
    </w:p>
    <w:p w14:paraId="669DCE6A" w14:textId="77777777" w:rsidR="0050455C" w:rsidRPr="00197864" w:rsidRDefault="0050455C" w:rsidP="0050455C">
      <w:pPr>
        <w:rPr>
          <w:rFonts w:ascii="Arial" w:hAnsi="Arial" w:cs="Arial"/>
          <w:sz w:val="24"/>
        </w:rPr>
      </w:pPr>
    </w:p>
    <w:p w14:paraId="6CA39683" w14:textId="77777777" w:rsidR="00985A2D" w:rsidRDefault="00985A2D" w:rsidP="0050455C">
      <w:pPr>
        <w:rPr>
          <w:rFonts w:ascii="Arial" w:hAnsi="Arial" w:cs="Arial"/>
          <w:b/>
          <w:iCs/>
          <w:szCs w:val="22"/>
        </w:rPr>
      </w:pPr>
    </w:p>
    <w:p w14:paraId="31570405" w14:textId="33A7BE31" w:rsidR="0050455C" w:rsidRPr="00985A2D" w:rsidRDefault="0050455C" w:rsidP="00985A2D">
      <w:pPr>
        <w:jc w:val="center"/>
        <w:rPr>
          <w:rFonts w:ascii="Arial" w:hAnsi="Arial" w:cs="Arial"/>
          <w:b/>
          <w:iCs/>
          <w:szCs w:val="22"/>
        </w:rPr>
      </w:pPr>
      <w:r w:rsidRPr="00985A2D">
        <w:rPr>
          <w:rFonts w:ascii="Arial" w:hAnsi="Arial" w:cs="Arial"/>
          <w:b/>
          <w:iCs/>
          <w:szCs w:val="22"/>
        </w:rPr>
        <w:lastRenderedPageBreak/>
        <w:t xml:space="preserve">Tabla </w:t>
      </w:r>
      <w:r w:rsidRPr="00985A2D">
        <w:rPr>
          <w:rFonts w:ascii="Arial" w:hAnsi="Arial" w:cs="Arial"/>
          <w:b/>
          <w:iCs/>
          <w:szCs w:val="22"/>
        </w:rPr>
        <w:fldChar w:fldCharType="begin"/>
      </w:r>
      <w:r w:rsidRPr="00985A2D">
        <w:rPr>
          <w:rFonts w:ascii="Arial" w:hAnsi="Arial" w:cs="Arial"/>
          <w:b/>
          <w:iCs/>
          <w:szCs w:val="22"/>
        </w:rPr>
        <w:instrText xml:space="preserve"> SEQ Tabla \* ARABIC </w:instrText>
      </w:r>
      <w:r w:rsidRPr="00985A2D">
        <w:rPr>
          <w:rFonts w:ascii="Arial" w:hAnsi="Arial" w:cs="Arial"/>
          <w:b/>
          <w:iCs/>
          <w:szCs w:val="22"/>
        </w:rPr>
        <w:fldChar w:fldCharType="separate"/>
      </w:r>
      <w:r w:rsidR="009F20F0">
        <w:rPr>
          <w:rFonts w:ascii="Arial" w:hAnsi="Arial" w:cs="Arial"/>
          <w:b/>
          <w:iCs/>
          <w:noProof/>
          <w:szCs w:val="22"/>
        </w:rPr>
        <w:t>1</w:t>
      </w:r>
      <w:r w:rsidRPr="00985A2D">
        <w:rPr>
          <w:rFonts w:ascii="Arial" w:hAnsi="Arial" w:cs="Arial"/>
          <w:szCs w:val="22"/>
        </w:rPr>
        <w:fldChar w:fldCharType="end"/>
      </w:r>
      <w:r w:rsidRPr="00985A2D">
        <w:rPr>
          <w:rFonts w:ascii="Arial" w:hAnsi="Arial" w:cs="Arial"/>
          <w:b/>
          <w:iCs/>
          <w:szCs w:val="22"/>
        </w:rPr>
        <w:t>. Matrícula total, según nivel de formación, 2021</w:t>
      </w:r>
    </w:p>
    <w:tbl>
      <w:tblPr>
        <w:tblW w:w="4630" w:type="pct"/>
        <w:jc w:val="center"/>
        <w:tblBorders>
          <w:top w:val="single" w:sz="8" w:space="0" w:color="3366CC"/>
          <w:left w:val="single" w:sz="8" w:space="0" w:color="3366CC"/>
          <w:bottom w:val="single" w:sz="8" w:space="0" w:color="3366CC"/>
          <w:right w:val="single" w:sz="8" w:space="0" w:color="3366CC"/>
          <w:insideH w:val="single" w:sz="8" w:space="0" w:color="3366CC"/>
          <w:insideV w:val="single" w:sz="8" w:space="0" w:color="3366CC"/>
        </w:tblBorders>
        <w:tblCellMar>
          <w:left w:w="70" w:type="dxa"/>
          <w:right w:w="70" w:type="dxa"/>
        </w:tblCellMar>
        <w:tblLook w:val="04A0" w:firstRow="1" w:lastRow="0" w:firstColumn="1" w:lastColumn="0" w:noHBand="0" w:noVBand="1"/>
      </w:tblPr>
      <w:tblGrid>
        <w:gridCol w:w="5950"/>
        <w:gridCol w:w="990"/>
        <w:gridCol w:w="1225"/>
      </w:tblGrid>
      <w:tr w:rsidR="0050455C" w:rsidRPr="00985A2D" w14:paraId="506CC199" w14:textId="77777777" w:rsidTr="0050455C">
        <w:trPr>
          <w:trHeight w:val="315"/>
          <w:jc w:val="center"/>
        </w:trPr>
        <w:tc>
          <w:tcPr>
            <w:tcW w:w="3644" w:type="pct"/>
            <w:shd w:val="clear" w:color="auto" w:fill="auto"/>
            <w:noWrap/>
            <w:vAlign w:val="center"/>
          </w:tcPr>
          <w:p w14:paraId="25DF121E" w14:textId="77777777" w:rsidR="0050455C" w:rsidRPr="00985A2D" w:rsidRDefault="0050455C" w:rsidP="0050455C">
            <w:pPr>
              <w:rPr>
                <w:rFonts w:ascii="Arial" w:hAnsi="Arial" w:cs="Arial"/>
                <w:sz w:val="20"/>
                <w:szCs w:val="20"/>
              </w:rPr>
            </w:pPr>
            <w:r w:rsidRPr="00985A2D">
              <w:rPr>
                <w:rFonts w:ascii="Arial" w:hAnsi="Arial" w:cs="Arial"/>
                <w:b/>
                <w:bCs/>
                <w:sz w:val="20"/>
                <w:szCs w:val="20"/>
              </w:rPr>
              <w:t>Estadísticas</w:t>
            </w:r>
          </w:p>
        </w:tc>
        <w:tc>
          <w:tcPr>
            <w:tcW w:w="606" w:type="pct"/>
            <w:shd w:val="clear" w:color="000000" w:fill="DDEBF7"/>
            <w:vAlign w:val="center"/>
          </w:tcPr>
          <w:p w14:paraId="79C6C669" w14:textId="77777777" w:rsidR="0050455C" w:rsidRPr="00985A2D" w:rsidRDefault="0050455C" w:rsidP="0050455C">
            <w:pPr>
              <w:rPr>
                <w:rFonts w:ascii="Arial" w:hAnsi="Arial" w:cs="Arial"/>
                <w:b/>
                <w:bCs/>
                <w:sz w:val="20"/>
                <w:szCs w:val="20"/>
              </w:rPr>
            </w:pPr>
            <w:r w:rsidRPr="00985A2D">
              <w:rPr>
                <w:rFonts w:ascii="Arial" w:hAnsi="Arial" w:cs="Arial"/>
                <w:b/>
                <w:bCs/>
                <w:sz w:val="20"/>
                <w:szCs w:val="20"/>
              </w:rPr>
              <w:t>Caldas</w:t>
            </w:r>
          </w:p>
        </w:tc>
        <w:tc>
          <w:tcPr>
            <w:tcW w:w="751" w:type="pct"/>
            <w:shd w:val="clear" w:color="000000" w:fill="DDEBF7"/>
            <w:noWrap/>
            <w:vAlign w:val="center"/>
          </w:tcPr>
          <w:p w14:paraId="59B6AF37" w14:textId="77777777" w:rsidR="0050455C" w:rsidRPr="00985A2D" w:rsidRDefault="0050455C" w:rsidP="0050455C">
            <w:pPr>
              <w:rPr>
                <w:rFonts w:ascii="Arial" w:hAnsi="Arial" w:cs="Arial"/>
                <w:b/>
                <w:bCs/>
                <w:sz w:val="20"/>
                <w:szCs w:val="20"/>
              </w:rPr>
            </w:pPr>
            <w:r w:rsidRPr="00985A2D">
              <w:rPr>
                <w:rFonts w:ascii="Arial" w:hAnsi="Arial" w:cs="Arial"/>
                <w:b/>
                <w:bCs/>
                <w:sz w:val="20"/>
                <w:szCs w:val="20"/>
              </w:rPr>
              <w:t>Nación</w:t>
            </w:r>
          </w:p>
        </w:tc>
      </w:tr>
      <w:tr w:rsidR="0050455C" w:rsidRPr="00985A2D" w14:paraId="5408E230" w14:textId="77777777" w:rsidTr="0050455C">
        <w:trPr>
          <w:trHeight w:val="375"/>
          <w:jc w:val="center"/>
        </w:trPr>
        <w:tc>
          <w:tcPr>
            <w:tcW w:w="3644" w:type="pct"/>
            <w:shd w:val="clear" w:color="auto" w:fill="auto"/>
            <w:noWrap/>
            <w:vAlign w:val="center"/>
            <w:hideMark/>
          </w:tcPr>
          <w:p w14:paraId="774BE4A5" w14:textId="77777777" w:rsidR="0050455C" w:rsidRPr="00985A2D" w:rsidRDefault="0050455C" w:rsidP="0050455C">
            <w:pPr>
              <w:rPr>
                <w:rFonts w:ascii="Arial" w:hAnsi="Arial" w:cs="Arial"/>
                <w:sz w:val="20"/>
                <w:szCs w:val="20"/>
              </w:rPr>
            </w:pPr>
            <w:r w:rsidRPr="00985A2D">
              <w:rPr>
                <w:rFonts w:ascii="Arial" w:hAnsi="Arial" w:cs="Arial"/>
                <w:sz w:val="20"/>
                <w:szCs w:val="20"/>
              </w:rPr>
              <w:t>Matrícula total de educación superior</w:t>
            </w:r>
          </w:p>
        </w:tc>
        <w:tc>
          <w:tcPr>
            <w:tcW w:w="606" w:type="pct"/>
            <w:shd w:val="clear" w:color="auto" w:fill="auto"/>
            <w:noWrap/>
            <w:vAlign w:val="center"/>
            <w:hideMark/>
          </w:tcPr>
          <w:p w14:paraId="358F7485" w14:textId="77777777" w:rsidR="0050455C" w:rsidRPr="00985A2D" w:rsidRDefault="0050455C" w:rsidP="0050455C">
            <w:pPr>
              <w:rPr>
                <w:rFonts w:ascii="Arial" w:hAnsi="Arial" w:cs="Arial"/>
                <w:sz w:val="20"/>
                <w:szCs w:val="20"/>
              </w:rPr>
            </w:pPr>
            <w:r w:rsidRPr="00985A2D">
              <w:rPr>
                <w:rFonts w:ascii="Arial" w:hAnsi="Arial" w:cs="Arial"/>
                <w:sz w:val="20"/>
                <w:szCs w:val="20"/>
              </w:rPr>
              <w:t>46.471</w:t>
            </w:r>
          </w:p>
        </w:tc>
        <w:tc>
          <w:tcPr>
            <w:tcW w:w="751" w:type="pct"/>
            <w:shd w:val="clear" w:color="auto" w:fill="auto"/>
            <w:noWrap/>
            <w:vAlign w:val="center"/>
            <w:hideMark/>
          </w:tcPr>
          <w:p w14:paraId="5B75DF6B" w14:textId="77777777" w:rsidR="0050455C" w:rsidRPr="00985A2D" w:rsidRDefault="0050455C" w:rsidP="0050455C">
            <w:pPr>
              <w:rPr>
                <w:rFonts w:ascii="Arial" w:hAnsi="Arial" w:cs="Arial"/>
                <w:sz w:val="20"/>
                <w:szCs w:val="20"/>
              </w:rPr>
            </w:pPr>
            <w:r w:rsidRPr="00985A2D">
              <w:rPr>
                <w:rFonts w:ascii="Arial" w:hAnsi="Arial" w:cs="Arial"/>
                <w:sz w:val="20"/>
                <w:szCs w:val="20"/>
              </w:rPr>
              <w:t>2.448.271</w:t>
            </w:r>
          </w:p>
        </w:tc>
      </w:tr>
      <w:tr w:rsidR="0050455C" w:rsidRPr="00985A2D" w14:paraId="3A4247AF" w14:textId="77777777" w:rsidTr="0050455C">
        <w:trPr>
          <w:trHeight w:val="375"/>
          <w:jc w:val="center"/>
        </w:trPr>
        <w:tc>
          <w:tcPr>
            <w:tcW w:w="3644" w:type="pct"/>
            <w:shd w:val="clear" w:color="000000" w:fill="DDEBF7"/>
            <w:noWrap/>
            <w:vAlign w:val="center"/>
            <w:hideMark/>
          </w:tcPr>
          <w:p w14:paraId="73DA2EDD" w14:textId="77777777" w:rsidR="0050455C" w:rsidRPr="00985A2D" w:rsidRDefault="0050455C" w:rsidP="0050455C">
            <w:pPr>
              <w:rPr>
                <w:rFonts w:ascii="Arial" w:hAnsi="Arial" w:cs="Arial"/>
                <w:sz w:val="20"/>
                <w:szCs w:val="20"/>
              </w:rPr>
            </w:pPr>
            <w:r w:rsidRPr="00985A2D">
              <w:rPr>
                <w:rFonts w:ascii="Arial" w:hAnsi="Arial" w:cs="Arial"/>
                <w:sz w:val="20"/>
                <w:szCs w:val="20"/>
              </w:rPr>
              <w:t>Matrícula en programas de pregrado</w:t>
            </w:r>
          </w:p>
        </w:tc>
        <w:tc>
          <w:tcPr>
            <w:tcW w:w="606" w:type="pct"/>
            <w:shd w:val="clear" w:color="000000" w:fill="DDEBF7"/>
            <w:noWrap/>
            <w:vAlign w:val="center"/>
            <w:hideMark/>
          </w:tcPr>
          <w:p w14:paraId="1444D5EA" w14:textId="77777777" w:rsidR="0050455C" w:rsidRPr="00985A2D" w:rsidRDefault="0050455C" w:rsidP="0050455C">
            <w:pPr>
              <w:rPr>
                <w:rFonts w:ascii="Arial" w:hAnsi="Arial" w:cs="Arial"/>
                <w:sz w:val="20"/>
                <w:szCs w:val="20"/>
              </w:rPr>
            </w:pPr>
            <w:r w:rsidRPr="00985A2D">
              <w:rPr>
                <w:rFonts w:ascii="Arial" w:hAnsi="Arial" w:cs="Arial"/>
                <w:sz w:val="20"/>
                <w:szCs w:val="20"/>
              </w:rPr>
              <w:t>41.764</w:t>
            </w:r>
          </w:p>
        </w:tc>
        <w:tc>
          <w:tcPr>
            <w:tcW w:w="751" w:type="pct"/>
            <w:shd w:val="clear" w:color="000000" w:fill="DDEBF7"/>
            <w:noWrap/>
            <w:vAlign w:val="center"/>
            <w:hideMark/>
          </w:tcPr>
          <w:p w14:paraId="2FCF2EC7" w14:textId="77777777" w:rsidR="0050455C" w:rsidRPr="00985A2D" w:rsidRDefault="0050455C" w:rsidP="0050455C">
            <w:pPr>
              <w:rPr>
                <w:rFonts w:ascii="Arial" w:hAnsi="Arial" w:cs="Arial"/>
                <w:sz w:val="20"/>
                <w:szCs w:val="20"/>
              </w:rPr>
            </w:pPr>
            <w:r w:rsidRPr="00985A2D">
              <w:rPr>
                <w:rFonts w:ascii="Arial" w:hAnsi="Arial" w:cs="Arial"/>
                <w:sz w:val="20"/>
                <w:szCs w:val="20"/>
              </w:rPr>
              <w:t>2.259.970</w:t>
            </w:r>
          </w:p>
        </w:tc>
      </w:tr>
      <w:tr w:rsidR="0050455C" w:rsidRPr="00985A2D" w14:paraId="47792133" w14:textId="77777777" w:rsidTr="0050455C">
        <w:trPr>
          <w:trHeight w:val="375"/>
          <w:jc w:val="center"/>
        </w:trPr>
        <w:tc>
          <w:tcPr>
            <w:tcW w:w="3644" w:type="pct"/>
            <w:shd w:val="clear" w:color="auto" w:fill="auto"/>
            <w:noWrap/>
            <w:vAlign w:val="center"/>
            <w:hideMark/>
          </w:tcPr>
          <w:p w14:paraId="1BC4D1AE" w14:textId="77777777" w:rsidR="0050455C" w:rsidRPr="00985A2D" w:rsidRDefault="0050455C" w:rsidP="0050455C">
            <w:pPr>
              <w:rPr>
                <w:rFonts w:ascii="Arial" w:hAnsi="Arial" w:cs="Arial"/>
                <w:sz w:val="20"/>
                <w:szCs w:val="20"/>
              </w:rPr>
            </w:pPr>
            <w:r w:rsidRPr="00985A2D">
              <w:rPr>
                <w:rFonts w:ascii="Arial" w:hAnsi="Arial" w:cs="Arial"/>
                <w:sz w:val="20"/>
                <w:szCs w:val="20"/>
              </w:rPr>
              <w:t>Matrícula en programas de posgrado</w:t>
            </w:r>
          </w:p>
        </w:tc>
        <w:tc>
          <w:tcPr>
            <w:tcW w:w="606" w:type="pct"/>
            <w:shd w:val="clear" w:color="auto" w:fill="auto"/>
            <w:noWrap/>
            <w:vAlign w:val="center"/>
            <w:hideMark/>
          </w:tcPr>
          <w:p w14:paraId="68ACB02A" w14:textId="77777777" w:rsidR="0050455C" w:rsidRPr="00985A2D" w:rsidRDefault="0050455C" w:rsidP="0050455C">
            <w:pPr>
              <w:rPr>
                <w:rFonts w:ascii="Arial" w:hAnsi="Arial" w:cs="Arial"/>
                <w:sz w:val="20"/>
                <w:szCs w:val="20"/>
              </w:rPr>
            </w:pPr>
            <w:r w:rsidRPr="00985A2D">
              <w:rPr>
                <w:rFonts w:ascii="Arial" w:hAnsi="Arial" w:cs="Arial"/>
                <w:sz w:val="20"/>
                <w:szCs w:val="20"/>
              </w:rPr>
              <w:t>4.707</w:t>
            </w:r>
          </w:p>
        </w:tc>
        <w:tc>
          <w:tcPr>
            <w:tcW w:w="751" w:type="pct"/>
            <w:shd w:val="clear" w:color="auto" w:fill="auto"/>
            <w:noWrap/>
            <w:vAlign w:val="center"/>
            <w:hideMark/>
          </w:tcPr>
          <w:p w14:paraId="43EF1EB0" w14:textId="77777777" w:rsidR="0050455C" w:rsidRPr="00985A2D" w:rsidRDefault="0050455C" w:rsidP="0050455C">
            <w:pPr>
              <w:rPr>
                <w:rFonts w:ascii="Arial" w:hAnsi="Arial" w:cs="Arial"/>
                <w:sz w:val="20"/>
                <w:szCs w:val="20"/>
              </w:rPr>
            </w:pPr>
            <w:r w:rsidRPr="00985A2D">
              <w:rPr>
                <w:rFonts w:ascii="Arial" w:hAnsi="Arial" w:cs="Arial"/>
                <w:sz w:val="20"/>
                <w:szCs w:val="20"/>
              </w:rPr>
              <w:t>188.301</w:t>
            </w:r>
          </w:p>
        </w:tc>
      </w:tr>
      <w:tr w:rsidR="0050455C" w:rsidRPr="00985A2D" w14:paraId="38504D2D" w14:textId="77777777" w:rsidTr="0050455C">
        <w:trPr>
          <w:trHeight w:val="375"/>
          <w:jc w:val="center"/>
        </w:trPr>
        <w:tc>
          <w:tcPr>
            <w:tcW w:w="3644" w:type="pct"/>
            <w:shd w:val="clear" w:color="000000" w:fill="DDEBF7"/>
            <w:noWrap/>
            <w:vAlign w:val="center"/>
            <w:hideMark/>
          </w:tcPr>
          <w:p w14:paraId="0CFB8483" w14:textId="77777777" w:rsidR="0050455C" w:rsidRPr="00985A2D" w:rsidRDefault="0050455C" w:rsidP="0050455C">
            <w:pPr>
              <w:rPr>
                <w:rFonts w:ascii="Arial" w:hAnsi="Arial" w:cs="Arial"/>
                <w:sz w:val="20"/>
                <w:szCs w:val="20"/>
              </w:rPr>
            </w:pPr>
            <w:r w:rsidRPr="00985A2D">
              <w:rPr>
                <w:rFonts w:ascii="Arial" w:hAnsi="Arial" w:cs="Arial"/>
                <w:sz w:val="20"/>
                <w:szCs w:val="20"/>
              </w:rPr>
              <w:t>Tasa de cobertura bruta en educación superior</w:t>
            </w:r>
          </w:p>
        </w:tc>
        <w:tc>
          <w:tcPr>
            <w:tcW w:w="606" w:type="pct"/>
            <w:shd w:val="clear" w:color="000000" w:fill="DDEBF7"/>
            <w:noWrap/>
            <w:vAlign w:val="center"/>
            <w:hideMark/>
          </w:tcPr>
          <w:p w14:paraId="2817470B" w14:textId="77777777" w:rsidR="0050455C" w:rsidRPr="00985A2D" w:rsidRDefault="0050455C" w:rsidP="0050455C">
            <w:pPr>
              <w:rPr>
                <w:rFonts w:ascii="Arial" w:hAnsi="Arial" w:cs="Arial"/>
                <w:sz w:val="20"/>
                <w:szCs w:val="20"/>
              </w:rPr>
            </w:pPr>
            <w:r w:rsidRPr="00985A2D">
              <w:rPr>
                <w:rFonts w:ascii="Arial" w:hAnsi="Arial" w:cs="Arial"/>
                <w:sz w:val="20"/>
                <w:szCs w:val="20"/>
              </w:rPr>
              <w:t>55,7%</w:t>
            </w:r>
          </w:p>
        </w:tc>
        <w:tc>
          <w:tcPr>
            <w:tcW w:w="751" w:type="pct"/>
            <w:shd w:val="clear" w:color="000000" w:fill="DDEBF7"/>
            <w:noWrap/>
            <w:vAlign w:val="center"/>
            <w:hideMark/>
          </w:tcPr>
          <w:p w14:paraId="200D4657" w14:textId="77777777" w:rsidR="0050455C" w:rsidRPr="00985A2D" w:rsidRDefault="0050455C" w:rsidP="0050455C">
            <w:pPr>
              <w:rPr>
                <w:rFonts w:ascii="Arial" w:hAnsi="Arial" w:cs="Arial"/>
                <w:sz w:val="20"/>
                <w:szCs w:val="20"/>
              </w:rPr>
            </w:pPr>
            <w:r w:rsidRPr="00985A2D">
              <w:rPr>
                <w:rFonts w:ascii="Arial" w:hAnsi="Arial" w:cs="Arial"/>
                <w:sz w:val="20"/>
                <w:szCs w:val="20"/>
              </w:rPr>
              <w:t>53,9%</w:t>
            </w:r>
          </w:p>
        </w:tc>
      </w:tr>
      <w:tr w:rsidR="0050455C" w:rsidRPr="00985A2D" w14:paraId="081BB6BD" w14:textId="77777777" w:rsidTr="0050455C">
        <w:trPr>
          <w:trHeight w:val="390"/>
          <w:jc w:val="center"/>
        </w:trPr>
        <w:tc>
          <w:tcPr>
            <w:tcW w:w="3644" w:type="pct"/>
            <w:shd w:val="clear" w:color="auto" w:fill="auto"/>
            <w:noWrap/>
            <w:vAlign w:val="center"/>
            <w:hideMark/>
          </w:tcPr>
          <w:p w14:paraId="7BAD7B74" w14:textId="77777777" w:rsidR="0050455C" w:rsidRPr="00985A2D" w:rsidRDefault="0050455C" w:rsidP="0050455C">
            <w:pPr>
              <w:rPr>
                <w:rFonts w:ascii="Arial" w:hAnsi="Arial" w:cs="Arial"/>
                <w:sz w:val="20"/>
                <w:szCs w:val="20"/>
              </w:rPr>
            </w:pPr>
            <w:r w:rsidRPr="00985A2D">
              <w:rPr>
                <w:rFonts w:ascii="Arial" w:hAnsi="Arial" w:cs="Arial"/>
                <w:sz w:val="20"/>
                <w:szCs w:val="20"/>
              </w:rPr>
              <w:t>Tasa de tránsito inmediato a educación superior</w:t>
            </w:r>
          </w:p>
        </w:tc>
        <w:tc>
          <w:tcPr>
            <w:tcW w:w="606" w:type="pct"/>
            <w:shd w:val="clear" w:color="auto" w:fill="auto"/>
            <w:noWrap/>
            <w:vAlign w:val="center"/>
            <w:hideMark/>
          </w:tcPr>
          <w:p w14:paraId="4966159D" w14:textId="77777777" w:rsidR="0050455C" w:rsidRPr="00985A2D" w:rsidRDefault="0050455C" w:rsidP="0050455C">
            <w:pPr>
              <w:rPr>
                <w:rFonts w:ascii="Arial" w:hAnsi="Arial" w:cs="Arial"/>
                <w:sz w:val="20"/>
                <w:szCs w:val="20"/>
              </w:rPr>
            </w:pPr>
            <w:r w:rsidRPr="00985A2D">
              <w:rPr>
                <w:rFonts w:ascii="Arial" w:hAnsi="Arial" w:cs="Arial"/>
                <w:sz w:val="20"/>
                <w:szCs w:val="20"/>
              </w:rPr>
              <w:t>36,6%</w:t>
            </w:r>
          </w:p>
        </w:tc>
        <w:tc>
          <w:tcPr>
            <w:tcW w:w="751" w:type="pct"/>
            <w:shd w:val="clear" w:color="auto" w:fill="auto"/>
            <w:noWrap/>
            <w:vAlign w:val="center"/>
            <w:hideMark/>
          </w:tcPr>
          <w:p w14:paraId="6C580744" w14:textId="77777777" w:rsidR="0050455C" w:rsidRPr="00985A2D" w:rsidRDefault="0050455C" w:rsidP="0050455C">
            <w:pPr>
              <w:rPr>
                <w:rFonts w:ascii="Arial" w:hAnsi="Arial" w:cs="Arial"/>
                <w:sz w:val="20"/>
                <w:szCs w:val="20"/>
              </w:rPr>
            </w:pPr>
            <w:r w:rsidRPr="00985A2D">
              <w:rPr>
                <w:rFonts w:ascii="Arial" w:hAnsi="Arial" w:cs="Arial"/>
                <w:sz w:val="20"/>
                <w:szCs w:val="20"/>
              </w:rPr>
              <w:t>39,7%</w:t>
            </w:r>
          </w:p>
        </w:tc>
      </w:tr>
    </w:tbl>
    <w:p w14:paraId="7BDCDC48" w14:textId="77777777" w:rsidR="0050455C" w:rsidRPr="00985A2D" w:rsidRDefault="0050455C" w:rsidP="00985A2D">
      <w:pPr>
        <w:jc w:val="left"/>
        <w:rPr>
          <w:rStyle w:val="Referenciasutil"/>
          <w:rFonts w:ascii="Arial" w:hAnsi="Arial" w:cs="Arial"/>
          <w:sz w:val="16"/>
          <w:szCs w:val="16"/>
        </w:rPr>
      </w:pPr>
      <w:r w:rsidRPr="00985A2D">
        <w:rPr>
          <w:rStyle w:val="Referenciasutil"/>
          <w:rFonts w:ascii="Arial" w:hAnsi="Arial" w:cs="Arial"/>
          <w:sz w:val="16"/>
          <w:szCs w:val="16"/>
        </w:rPr>
        <w:t>Fuente: MEN (Sistema Nacional de Información de Educación Superior - SNIES)</w:t>
      </w:r>
    </w:p>
    <w:p w14:paraId="62FBBFCC" w14:textId="77777777" w:rsidR="0050455C" w:rsidRPr="00985A2D" w:rsidRDefault="0050455C" w:rsidP="00985A2D">
      <w:pPr>
        <w:jc w:val="left"/>
        <w:rPr>
          <w:rStyle w:val="Referenciasutil"/>
          <w:rFonts w:ascii="Arial" w:hAnsi="Arial" w:cs="Arial"/>
          <w:sz w:val="16"/>
          <w:szCs w:val="16"/>
        </w:rPr>
      </w:pPr>
      <w:r w:rsidRPr="00985A2D">
        <w:rPr>
          <w:rStyle w:val="Referenciasutil"/>
          <w:rFonts w:ascii="Arial" w:hAnsi="Arial" w:cs="Arial"/>
          <w:sz w:val="16"/>
          <w:szCs w:val="16"/>
        </w:rPr>
        <w:t>* Proyecciones de población, Censo Nacional de Población y Vivienda 2018 - DANE</w:t>
      </w:r>
    </w:p>
    <w:p w14:paraId="4512BA6E" w14:textId="77777777" w:rsidR="00985A2D" w:rsidRDefault="00985A2D" w:rsidP="0050455C">
      <w:pPr>
        <w:rPr>
          <w:rFonts w:ascii="Arial" w:hAnsi="Arial" w:cs="Arial"/>
          <w:szCs w:val="22"/>
        </w:rPr>
      </w:pPr>
    </w:p>
    <w:p w14:paraId="111BBED6" w14:textId="5AD1FE39" w:rsidR="0050455C" w:rsidRPr="00985A2D" w:rsidRDefault="0050455C" w:rsidP="0050455C">
      <w:pPr>
        <w:rPr>
          <w:rFonts w:ascii="Arial" w:hAnsi="Arial" w:cs="Arial"/>
          <w:szCs w:val="22"/>
        </w:rPr>
      </w:pPr>
      <w:r w:rsidRPr="00985A2D">
        <w:rPr>
          <w:rFonts w:ascii="Arial" w:hAnsi="Arial" w:cs="Arial"/>
          <w:szCs w:val="22"/>
        </w:rPr>
        <w:t>El porcentaje de estudiantes matriculados en el nivel de pregrado (90%) y posgrado (10%) se ha mantenido constante en los años anteriores:</w:t>
      </w:r>
    </w:p>
    <w:p w14:paraId="420F3AE3" w14:textId="5AABFF3C" w:rsidR="0050455C" w:rsidRPr="00985A2D" w:rsidRDefault="0050455C" w:rsidP="0050455C">
      <w:pPr>
        <w:rPr>
          <w:rFonts w:ascii="Arial" w:hAnsi="Arial" w:cs="Arial"/>
          <w:szCs w:val="22"/>
        </w:rPr>
      </w:pPr>
    </w:p>
    <w:p w14:paraId="51A592F3" w14:textId="2EAE4AE0" w:rsidR="0050455C" w:rsidRPr="00985A2D" w:rsidRDefault="0050455C" w:rsidP="00CA41BE">
      <w:pPr>
        <w:jc w:val="center"/>
        <w:rPr>
          <w:rFonts w:ascii="Arial" w:hAnsi="Arial" w:cs="Arial"/>
          <w:b/>
          <w:iCs/>
          <w:szCs w:val="22"/>
        </w:rPr>
      </w:pPr>
      <w:r w:rsidRPr="00985A2D">
        <w:rPr>
          <w:rFonts w:ascii="Arial" w:hAnsi="Arial" w:cs="Arial"/>
          <w:b/>
          <w:iCs/>
          <w:szCs w:val="22"/>
        </w:rPr>
        <w:t xml:space="preserve">Tabla </w:t>
      </w:r>
      <w:r w:rsidRPr="00985A2D">
        <w:rPr>
          <w:rFonts w:ascii="Arial" w:hAnsi="Arial" w:cs="Arial"/>
          <w:b/>
          <w:iCs/>
          <w:szCs w:val="22"/>
        </w:rPr>
        <w:fldChar w:fldCharType="begin"/>
      </w:r>
      <w:r w:rsidRPr="00985A2D">
        <w:rPr>
          <w:rFonts w:ascii="Arial" w:hAnsi="Arial" w:cs="Arial"/>
          <w:b/>
          <w:iCs/>
          <w:szCs w:val="22"/>
        </w:rPr>
        <w:instrText xml:space="preserve"> SEQ Tabla \* ARABIC </w:instrText>
      </w:r>
      <w:r w:rsidRPr="00985A2D">
        <w:rPr>
          <w:rFonts w:ascii="Arial" w:hAnsi="Arial" w:cs="Arial"/>
          <w:b/>
          <w:iCs/>
          <w:szCs w:val="22"/>
        </w:rPr>
        <w:fldChar w:fldCharType="separate"/>
      </w:r>
      <w:r w:rsidR="009F20F0">
        <w:rPr>
          <w:rFonts w:ascii="Arial" w:hAnsi="Arial" w:cs="Arial"/>
          <w:b/>
          <w:iCs/>
          <w:noProof/>
          <w:szCs w:val="22"/>
        </w:rPr>
        <w:t>2</w:t>
      </w:r>
      <w:r w:rsidRPr="00985A2D">
        <w:rPr>
          <w:rFonts w:ascii="Arial" w:hAnsi="Arial" w:cs="Arial"/>
          <w:szCs w:val="22"/>
        </w:rPr>
        <w:fldChar w:fldCharType="end"/>
      </w:r>
      <w:r w:rsidRPr="00985A2D">
        <w:rPr>
          <w:rFonts w:ascii="Arial" w:hAnsi="Arial" w:cs="Arial"/>
          <w:b/>
          <w:iCs/>
          <w:szCs w:val="22"/>
        </w:rPr>
        <w:t xml:space="preserve"> Matrícula de Educación Superior (2015 – 2021)</w:t>
      </w:r>
    </w:p>
    <w:tbl>
      <w:tblPr>
        <w:tblW w:w="0" w:type="auto"/>
        <w:jc w:val="center"/>
        <w:tblCellMar>
          <w:left w:w="70" w:type="dxa"/>
          <w:right w:w="70" w:type="dxa"/>
        </w:tblCellMar>
        <w:tblLook w:val="04A0" w:firstRow="1" w:lastRow="0" w:firstColumn="1" w:lastColumn="0" w:noHBand="0" w:noVBand="1"/>
      </w:tblPr>
      <w:tblGrid>
        <w:gridCol w:w="1708"/>
        <w:gridCol w:w="752"/>
        <w:gridCol w:w="752"/>
        <w:gridCol w:w="752"/>
        <w:gridCol w:w="752"/>
        <w:gridCol w:w="752"/>
        <w:gridCol w:w="752"/>
        <w:gridCol w:w="752"/>
      </w:tblGrid>
      <w:tr w:rsidR="0050455C" w:rsidRPr="00985A2D" w14:paraId="7631B895" w14:textId="77777777" w:rsidTr="00D10898">
        <w:trPr>
          <w:trHeight w:val="390"/>
          <w:jc w:val="center"/>
        </w:trPr>
        <w:tc>
          <w:tcPr>
            <w:tcW w:w="0" w:type="auto"/>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1C2E2A15"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Nivel académico</w:t>
            </w:r>
          </w:p>
        </w:tc>
        <w:tc>
          <w:tcPr>
            <w:tcW w:w="0" w:type="auto"/>
            <w:tcBorders>
              <w:top w:val="single" w:sz="8" w:space="0" w:color="3366CC"/>
              <w:left w:val="nil"/>
              <w:bottom w:val="single" w:sz="8" w:space="0" w:color="3366CC"/>
              <w:right w:val="nil"/>
            </w:tcBorders>
            <w:shd w:val="clear" w:color="000000" w:fill="DDEBF7"/>
            <w:noWrap/>
            <w:vAlign w:val="center"/>
            <w:hideMark/>
          </w:tcPr>
          <w:p w14:paraId="32112B25"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2015</w:t>
            </w:r>
          </w:p>
        </w:tc>
        <w:tc>
          <w:tcPr>
            <w:tcW w:w="0" w:type="auto"/>
            <w:tcBorders>
              <w:top w:val="single" w:sz="8" w:space="0" w:color="3366CC"/>
              <w:left w:val="nil"/>
              <w:bottom w:val="single" w:sz="8" w:space="0" w:color="3366CC"/>
              <w:right w:val="nil"/>
            </w:tcBorders>
            <w:shd w:val="clear" w:color="000000" w:fill="DDEBF7"/>
            <w:vAlign w:val="center"/>
            <w:hideMark/>
          </w:tcPr>
          <w:p w14:paraId="57B0E7CE"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2016</w:t>
            </w:r>
          </w:p>
        </w:tc>
        <w:tc>
          <w:tcPr>
            <w:tcW w:w="0" w:type="auto"/>
            <w:tcBorders>
              <w:top w:val="single" w:sz="8" w:space="0" w:color="3366CC"/>
              <w:left w:val="nil"/>
              <w:bottom w:val="single" w:sz="8" w:space="0" w:color="3366CC"/>
              <w:right w:val="nil"/>
            </w:tcBorders>
            <w:shd w:val="clear" w:color="000000" w:fill="DDEBF7"/>
            <w:vAlign w:val="center"/>
            <w:hideMark/>
          </w:tcPr>
          <w:p w14:paraId="38B9C0F9"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2017</w:t>
            </w:r>
          </w:p>
        </w:tc>
        <w:tc>
          <w:tcPr>
            <w:tcW w:w="0" w:type="auto"/>
            <w:tcBorders>
              <w:top w:val="single" w:sz="8" w:space="0" w:color="3366CC"/>
              <w:left w:val="nil"/>
              <w:bottom w:val="single" w:sz="8" w:space="0" w:color="3366CC"/>
              <w:right w:val="nil"/>
            </w:tcBorders>
            <w:shd w:val="clear" w:color="000000" w:fill="DDEBF7"/>
            <w:vAlign w:val="center"/>
            <w:hideMark/>
          </w:tcPr>
          <w:p w14:paraId="492CE2F4"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2018</w:t>
            </w:r>
          </w:p>
        </w:tc>
        <w:tc>
          <w:tcPr>
            <w:tcW w:w="0" w:type="auto"/>
            <w:tcBorders>
              <w:top w:val="single" w:sz="8" w:space="0" w:color="3366CC"/>
              <w:left w:val="single" w:sz="4" w:space="0" w:color="808080"/>
              <w:bottom w:val="single" w:sz="8" w:space="0" w:color="3366CC"/>
              <w:right w:val="single" w:sz="4" w:space="0" w:color="808080"/>
            </w:tcBorders>
            <w:shd w:val="clear" w:color="000000" w:fill="DDEBF7"/>
            <w:vAlign w:val="center"/>
            <w:hideMark/>
          </w:tcPr>
          <w:p w14:paraId="5A0B83F4"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2019</w:t>
            </w:r>
          </w:p>
        </w:tc>
        <w:tc>
          <w:tcPr>
            <w:tcW w:w="0" w:type="auto"/>
            <w:tcBorders>
              <w:top w:val="single" w:sz="8" w:space="0" w:color="3366CC"/>
              <w:left w:val="nil"/>
              <w:bottom w:val="single" w:sz="8" w:space="0" w:color="3366CC"/>
              <w:right w:val="single" w:sz="4" w:space="0" w:color="808080"/>
            </w:tcBorders>
            <w:shd w:val="clear" w:color="000000" w:fill="DDEBF7"/>
            <w:vAlign w:val="center"/>
            <w:hideMark/>
          </w:tcPr>
          <w:p w14:paraId="06D21544"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2020</w:t>
            </w:r>
          </w:p>
        </w:tc>
        <w:tc>
          <w:tcPr>
            <w:tcW w:w="0" w:type="auto"/>
            <w:tcBorders>
              <w:top w:val="single" w:sz="8" w:space="0" w:color="3366CC"/>
              <w:left w:val="nil"/>
              <w:bottom w:val="single" w:sz="8" w:space="0" w:color="3366CC"/>
              <w:right w:val="single" w:sz="8" w:space="0" w:color="3366CC"/>
            </w:tcBorders>
            <w:shd w:val="clear" w:color="000000" w:fill="DDEBF7"/>
            <w:vAlign w:val="center"/>
            <w:hideMark/>
          </w:tcPr>
          <w:p w14:paraId="44867B37"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2021</w:t>
            </w:r>
          </w:p>
        </w:tc>
      </w:tr>
      <w:tr w:rsidR="0050455C" w:rsidRPr="00985A2D" w14:paraId="719EC3D6" w14:textId="77777777" w:rsidTr="00D10898">
        <w:trPr>
          <w:trHeight w:val="375"/>
          <w:jc w:val="center"/>
        </w:trPr>
        <w:tc>
          <w:tcPr>
            <w:tcW w:w="0" w:type="auto"/>
            <w:tcBorders>
              <w:top w:val="single" w:sz="8" w:space="0" w:color="3366CC"/>
              <w:left w:val="single" w:sz="8" w:space="0" w:color="3366CC"/>
              <w:bottom w:val="single" w:sz="4" w:space="0" w:color="808080"/>
              <w:right w:val="single" w:sz="8" w:space="0" w:color="3366CC"/>
            </w:tcBorders>
            <w:shd w:val="clear" w:color="auto" w:fill="auto"/>
            <w:noWrap/>
            <w:vAlign w:val="center"/>
            <w:hideMark/>
          </w:tcPr>
          <w:p w14:paraId="6C831088"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Pregrado</w:t>
            </w:r>
          </w:p>
        </w:tc>
        <w:tc>
          <w:tcPr>
            <w:tcW w:w="0" w:type="auto"/>
            <w:tcBorders>
              <w:top w:val="nil"/>
              <w:left w:val="nil"/>
              <w:bottom w:val="single" w:sz="4" w:space="0" w:color="808080"/>
              <w:right w:val="single" w:sz="4" w:space="0" w:color="808080"/>
            </w:tcBorders>
            <w:shd w:val="clear" w:color="auto" w:fill="auto"/>
            <w:noWrap/>
            <w:vAlign w:val="center"/>
            <w:hideMark/>
          </w:tcPr>
          <w:p w14:paraId="7B1E1A87"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41.727</w:t>
            </w:r>
          </w:p>
        </w:tc>
        <w:tc>
          <w:tcPr>
            <w:tcW w:w="0" w:type="auto"/>
            <w:tcBorders>
              <w:top w:val="nil"/>
              <w:left w:val="nil"/>
              <w:bottom w:val="single" w:sz="4" w:space="0" w:color="808080"/>
              <w:right w:val="single" w:sz="4" w:space="0" w:color="808080"/>
            </w:tcBorders>
            <w:shd w:val="clear" w:color="auto" w:fill="auto"/>
            <w:noWrap/>
            <w:vAlign w:val="center"/>
            <w:hideMark/>
          </w:tcPr>
          <w:p w14:paraId="4CECA740"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44.326</w:t>
            </w:r>
          </w:p>
        </w:tc>
        <w:tc>
          <w:tcPr>
            <w:tcW w:w="0" w:type="auto"/>
            <w:tcBorders>
              <w:top w:val="nil"/>
              <w:left w:val="nil"/>
              <w:bottom w:val="single" w:sz="4" w:space="0" w:color="808080"/>
              <w:right w:val="single" w:sz="4" w:space="0" w:color="808080"/>
            </w:tcBorders>
            <w:shd w:val="clear" w:color="auto" w:fill="auto"/>
            <w:noWrap/>
            <w:vAlign w:val="center"/>
            <w:hideMark/>
          </w:tcPr>
          <w:p w14:paraId="2DD925FB"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44.464</w:t>
            </w:r>
          </w:p>
        </w:tc>
        <w:tc>
          <w:tcPr>
            <w:tcW w:w="0" w:type="auto"/>
            <w:tcBorders>
              <w:top w:val="nil"/>
              <w:left w:val="nil"/>
              <w:bottom w:val="single" w:sz="4" w:space="0" w:color="808080"/>
              <w:right w:val="nil"/>
            </w:tcBorders>
            <w:shd w:val="clear" w:color="auto" w:fill="auto"/>
            <w:noWrap/>
            <w:vAlign w:val="center"/>
            <w:hideMark/>
          </w:tcPr>
          <w:p w14:paraId="7E92DEF4"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45.407</w:t>
            </w:r>
          </w:p>
        </w:tc>
        <w:tc>
          <w:tcPr>
            <w:tcW w:w="0" w:type="auto"/>
            <w:tcBorders>
              <w:top w:val="nil"/>
              <w:left w:val="single" w:sz="4" w:space="0" w:color="808080"/>
              <w:bottom w:val="single" w:sz="4" w:space="0" w:color="808080"/>
              <w:right w:val="nil"/>
            </w:tcBorders>
            <w:shd w:val="clear" w:color="auto" w:fill="auto"/>
            <w:noWrap/>
            <w:vAlign w:val="center"/>
            <w:hideMark/>
          </w:tcPr>
          <w:p w14:paraId="63802F80"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44.542</w:t>
            </w:r>
          </w:p>
        </w:tc>
        <w:tc>
          <w:tcPr>
            <w:tcW w:w="0" w:type="auto"/>
            <w:tcBorders>
              <w:top w:val="nil"/>
              <w:left w:val="single" w:sz="4" w:space="0" w:color="808080"/>
              <w:bottom w:val="single" w:sz="4" w:space="0" w:color="808080"/>
              <w:right w:val="nil"/>
            </w:tcBorders>
            <w:shd w:val="clear" w:color="auto" w:fill="auto"/>
            <w:noWrap/>
            <w:vAlign w:val="center"/>
            <w:hideMark/>
          </w:tcPr>
          <w:p w14:paraId="47AB1AE4"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44.147</w:t>
            </w:r>
          </w:p>
        </w:tc>
        <w:tc>
          <w:tcPr>
            <w:tcW w:w="0" w:type="auto"/>
            <w:tcBorders>
              <w:top w:val="nil"/>
              <w:left w:val="single" w:sz="4" w:space="0" w:color="808080"/>
              <w:bottom w:val="single" w:sz="4" w:space="0" w:color="808080"/>
              <w:right w:val="single" w:sz="8" w:space="0" w:color="3366CC"/>
            </w:tcBorders>
            <w:shd w:val="clear" w:color="auto" w:fill="auto"/>
            <w:noWrap/>
            <w:vAlign w:val="center"/>
            <w:hideMark/>
          </w:tcPr>
          <w:p w14:paraId="0A336B0F"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41.764</w:t>
            </w:r>
          </w:p>
        </w:tc>
      </w:tr>
      <w:tr w:rsidR="0050455C" w:rsidRPr="00985A2D" w14:paraId="6D087E05" w14:textId="77777777" w:rsidTr="00D10898">
        <w:trPr>
          <w:trHeight w:val="375"/>
          <w:jc w:val="center"/>
        </w:trPr>
        <w:tc>
          <w:tcPr>
            <w:tcW w:w="0" w:type="auto"/>
            <w:tcBorders>
              <w:top w:val="single" w:sz="4" w:space="0" w:color="808080"/>
              <w:left w:val="single" w:sz="8" w:space="0" w:color="3366CC"/>
              <w:bottom w:val="single" w:sz="4" w:space="0" w:color="808080"/>
              <w:right w:val="single" w:sz="8" w:space="0" w:color="3366CC"/>
            </w:tcBorders>
            <w:shd w:val="clear" w:color="auto" w:fill="auto"/>
            <w:noWrap/>
            <w:vAlign w:val="center"/>
            <w:hideMark/>
          </w:tcPr>
          <w:p w14:paraId="72CBDB14"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Posgrado</w:t>
            </w:r>
          </w:p>
        </w:tc>
        <w:tc>
          <w:tcPr>
            <w:tcW w:w="0" w:type="auto"/>
            <w:tcBorders>
              <w:top w:val="nil"/>
              <w:left w:val="nil"/>
              <w:bottom w:val="single" w:sz="4" w:space="0" w:color="808080"/>
              <w:right w:val="single" w:sz="4" w:space="0" w:color="808080"/>
            </w:tcBorders>
            <w:shd w:val="clear" w:color="auto" w:fill="auto"/>
            <w:noWrap/>
            <w:vAlign w:val="center"/>
            <w:hideMark/>
          </w:tcPr>
          <w:p w14:paraId="11A095AA"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4.864</w:t>
            </w:r>
          </w:p>
        </w:tc>
        <w:tc>
          <w:tcPr>
            <w:tcW w:w="0" w:type="auto"/>
            <w:tcBorders>
              <w:top w:val="nil"/>
              <w:left w:val="nil"/>
              <w:bottom w:val="single" w:sz="4" w:space="0" w:color="808080"/>
              <w:right w:val="single" w:sz="4" w:space="0" w:color="808080"/>
            </w:tcBorders>
            <w:shd w:val="clear" w:color="auto" w:fill="auto"/>
            <w:noWrap/>
            <w:vAlign w:val="center"/>
            <w:hideMark/>
          </w:tcPr>
          <w:p w14:paraId="589A56ED"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5.159</w:t>
            </w:r>
          </w:p>
        </w:tc>
        <w:tc>
          <w:tcPr>
            <w:tcW w:w="0" w:type="auto"/>
            <w:tcBorders>
              <w:top w:val="nil"/>
              <w:left w:val="nil"/>
              <w:bottom w:val="single" w:sz="4" w:space="0" w:color="808080"/>
              <w:right w:val="single" w:sz="4" w:space="0" w:color="808080"/>
            </w:tcBorders>
            <w:shd w:val="clear" w:color="auto" w:fill="auto"/>
            <w:noWrap/>
            <w:vAlign w:val="center"/>
            <w:hideMark/>
          </w:tcPr>
          <w:p w14:paraId="34059678"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5.693</w:t>
            </w:r>
          </w:p>
        </w:tc>
        <w:tc>
          <w:tcPr>
            <w:tcW w:w="0" w:type="auto"/>
            <w:tcBorders>
              <w:top w:val="nil"/>
              <w:left w:val="nil"/>
              <w:bottom w:val="single" w:sz="4" w:space="0" w:color="808080"/>
              <w:right w:val="nil"/>
            </w:tcBorders>
            <w:shd w:val="clear" w:color="auto" w:fill="auto"/>
            <w:noWrap/>
            <w:vAlign w:val="center"/>
            <w:hideMark/>
          </w:tcPr>
          <w:p w14:paraId="556A414D"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5.863</w:t>
            </w:r>
          </w:p>
        </w:tc>
        <w:tc>
          <w:tcPr>
            <w:tcW w:w="0" w:type="auto"/>
            <w:tcBorders>
              <w:top w:val="nil"/>
              <w:left w:val="single" w:sz="4" w:space="0" w:color="808080"/>
              <w:bottom w:val="single" w:sz="4" w:space="0" w:color="808080"/>
              <w:right w:val="nil"/>
            </w:tcBorders>
            <w:shd w:val="clear" w:color="auto" w:fill="auto"/>
            <w:noWrap/>
            <w:vAlign w:val="center"/>
            <w:hideMark/>
          </w:tcPr>
          <w:p w14:paraId="6857FA4A"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6.038</w:t>
            </w:r>
          </w:p>
        </w:tc>
        <w:tc>
          <w:tcPr>
            <w:tcW w:w="0" w:type="auto"/>
            <w:tcBorders>
              <w:top w:val="nil"/>
              <w:left w:val="single" w:sz="4" w:space="0" w:color="808080"/>
              <w:bottom w:val="single" w:sz="4" w:space="0" w:color="808080"/>
              <w:right w:val="nil"/>
            </w:tcBorders>
            <w:shd w:val="clear" w:color="auto" w:fill="auto"/>
            <w:noWrap/>
            <w:vAlign w:val="center"/>
            <w:hideMark/>
          </w:tcPr>
          <w:p w14:paraId="1229E87D"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5.463</w:t>
            </w:r>
          </w:p>
        </w:tc>
        <w:tc>
          <w:tcPr>
            <w:tcW w:w="0" w:type="auto"/>
            <w:tcBorders>
              <w:top w:val="nil"/>
              <w:left w:val="single" w:sz="4" w:space="0" w:color="808080"/>
              <w:bottom w:val="single" w:sz="4" w:space="0" w:color="808080"/>
              <w:right w:val="single" w:sz="8" w:space="0" w:color="3366CC"/>
            </w:tcBorders>
            <w:shd w:val="clear" w:color="auto" w:fill="auto"/>
            <w:noWrap/>
            <w:vAlign w:val="center"/>
            <w:hideMark/>
          </w:tcPr>
          <w:p w14:paraId="6CC8C3B2"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4.707</w:t>
            </w:r>
          </w:p>
        </w:tc>
      </w:tr>
      <w:tr w:rsidR="0050455C" w:rsidRPr="00985A2D" w14:paraId="46B54185" w14:textId="77777777" w:rsidTr="00D10898">
        <w:trPr>
          <w:trHeight w:val="390"/>
          <w:jc w:val="center"/>
        </w:trPr>
        <w:tc>
          <w:tcPr>
            <w:tcW w:w="0" w:type="auto"/>
            <w:tcBorders>
              <w:top w:val="single" w:sz="4" w:space="0" w:color="808080"/>
              <w:left w:val="single" w:sz="8" w:space="0" w:color="3366CC"/>
              <w:bottom w:val="single" w:sz="8" w:space="0" w:color="3366CC"/>
              <w:right w:val="single" w:sz="8" w:space="0" w:color="3366CC"/>
            </w:tcBorders>
            <w:shd w:val="clear" w:color="000000" w:fill="DDEBF7"/>
            <w:noWrap/>
            <w:vAlign w:val="center"/>
            <w:hideMark/>
          </w:tcPr>
          <w:p w14:paraId="79D7777B"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Total General</w:t>
            </w:r>
          </w:p>
        </w:tc>
        <w:tc>
          <w:tcPr>
            <w:tcW w:w="0" w:type="auto"/>
            <w:tcBorders>
              <w:top w:val="nil"/>
              <w:left w:val="nil"/>
              <w:bottom w:val="single" w:sz="8" w:space="0" w:color="3366CC"/>
              <w:right w:val="single" w:sz="4" w:space="0" w:color="808080"/>
            </w:tcBorders>
            <w:shd w:val="clear" w:color="000000" w:fill="DDEBF7"/>
            <w:noWrap/>
            <w:vAlign w:val="center"/>
            <w:hideMark/>
          </w:tcPr>
          <w:p w14:paraId="5A0F98A7"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46.591</w:t>
            </w:r>
          </w:p>
        </w:tc>
        <w:tc>
          <w:tcPr>
            <w:tcW w:w="0" w:type="auto"/>
            <w:tcBorders>
              <w:top w:val="nil"/>
              <w:left w:val="nil"/>
              <w:bottom w:val="single" w:sz="8" w:space="0" w:color="3366CC"/>
              <w:right w:val="single" w:sz="4" w:space="0" w:color="808080"/>
            </w:tcBorders>
            <w:shd w:val="clear" w:color="000000" w:fill="DDEBF7"/>
            <w:noWrap/>
            <w:vAlign w:val="center"/>
            <w:hideMark/>
          </w:tcPr>
          <w:p w14:paraId="236018F5"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49.485</w:t>
            </w:r>
          </w:p>
        </w:tc>
        <w:tc>
          <w:tcPr>
            <w:tcW w:w="0" w:type="auto"/>
            <w:tcBorders>
              <w:top w:val="nil"/>
              <w:left w:val="nil"/>
              <w:bottom w:val="single" w:sz="8" w:space="0" w:color="3366CC"/>
              <w:right w:val="single" w:sz="4" w:space="0" w:color="808080"/>
            </w:tcBorders>
            <w:shd w:val="clear" w:color="000000" w:fill="DDEBF7"/>
            <w:noWrap/>
            <w:vAlign w:val="center"/>
            <w:hideMark/>
          </w:tcPr>
          <w:p w14:paraId="38AA4420"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50.157</w:t>
            </w:r>
          </w:p>
        </w:tc>
        <w:tc>
          <w:tcPr>
            <w:tcW w:w="0" w:type="auto"/>
            <w:tcBorders>
              <w:top w:val="nil"/>
              <w:left w:val="nil"/>
              <w:bottom w:val="single" w:sz="8" w:space="0" w:color="3366CC"/>
              <w:right w:val="nil"/>
            </w:tcBorders>
            <w:shd w:val="clear" w:color="000000" w:fill="DDEBF7"/>
            <w:noWrap/>
            <w:vAlign w:val="center"/>
            <w:hideMark/>
          </w:tcPr>
          <w:p w14:paraId="77044049"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51.270</w:t>
            </w:r>
          </w:p>
        </w:tc>
        <w:tc>
          <w:tcPr>
            <w:tcW w:w="0" w:type="auto"/>
            <w:tcBorders>
              <w:top w:val="nil"/>
              <w:left w:val="single" w:sz="4" w:space="0" w:color="808080"/>
              <w:bottom w:val="single" w:sz="8" w:space="0" w:color="3366CC"/>
              <w:right w:val="nil"/>
            </w:tcBorders>
            <w:shd w:val="clear" w:color="000000" w:fill="DDEBF7"/>
            <w:noWrap/>
            <w:vAlign w:val="center"/>
            <w:hideMark/>
          </w:tcPr>
          <w:p w14:paraId="7923275A"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50.580</w:t>
            </w:r>
          </w:p>
        </w:tc>
        <w:tc>
          <w:tcPr>
            <w:tcW w:w="0" w:type="auto"/>
            <w:tcBorders>
              <w:top w:val="nil"/>
              <w:left w:val="single" w:sz="4" w:space="0" w:color="808080"/>
              <w:bottom w:val="single" w:sz="8" w:space="0" w:color="3366CC"/>
              <w:right w:val="nil"/>
            </w:tcBorders>
            <w:shd w:val="clear" w:color="000000" w:fill="DDEBF7"/>
            <w:noWrap/>
            <w:vAlign w:val="center"/>
            <w:hideMark/>
          </w:tcPr>
          <w:p w14:paraId="54A9AB32"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49.610</w:t>
            </w:r>
          </w:p>
        </w:tc>
        <w:tc>
          <w:tcPr>
            <w:tcW w:w="0" w:type="auto"/>
            <w:tcBorders>
              <w:top w:val="nil"/>
              <w:left w:val="single" w:sz="4" w:space="0" w:color="808080"/>
              <w:bottom w:val="single" w:sz="8" w:space="0" w:color="3366CC"/>
              <w:right w:val="single" w:sz="8" w:space="0" w:color="3366CC"/>
            </w:tcBorders>
            <w:shd w:val="clear" w:color="000000" w:fill="DDEBF7"/>
            <w:noWrap/>
            <w:vAlign w:val="center"/>
            <w:hideMark/>
          </w:tcPr>
          <w:p w14:paraId="0C196E9D"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46.471</w:t>
            </w:r>
          </w:p>
        </w:tc>
      </w:tr>
    </w:tbl>
    <w:p w14:paraId="0229114A" w14:textId="77777777" w:rsidR="0050455C" w:rsidRPr="00985A2D" w:rsidRDefault="0050455C" w:rsidP="00985A2D">
      <w:pPr>
        <w:jc w:val="center"/>
        <w:rPr>
          <w:rStyle w:val="Referenciasutil"/>
          <w:rFonts w:ascii="Arial" w:hAnsi="Arial" w:cs="Arial"/>
          <w:sz w:val="16"/>
          <w:szCs w:val="16"/>
        </w:rPr>
      </w:pPr>
      <w:r w:rsidRPr="00985A2D">
        <w:rPr>
          <w:rStyle w:val="Referenciasutil"/>
          <w:rFonts w:ascii="Arial" w:hAnsi="Arial" w:cs="Arial"/>
          <w:sz w:val="16"/>
          <w:szCs w:val="16"/>
        </w:rPr>
        <w:t>Fuente: MEN (SNIES)</w:t>
      </w:r>
    </w:p>
    <w:p w14:paraId="46E3AFF0" w14:textId="3B5A88E6" w:rsidR="0050455C" w:rsidRPr="00985A2D" w:rsidRDefault="0050455C" w:rsidP="0050455C">
      <w:pPr>
        <w:rPr>
          <w:rFonts w:ascii="Arial" w:hAnsi="Arial" w:cs="Arial"/>
          <w:szCs w:val="22"/>
        </w:rPr>
      </w:pPr>
    </w:p>
    <w:p w14:paraId="3358186E" w14:textId="77777777" w:rsidR="0050455C" w:rsidRPr="00985A2D" w:rsidRDefault="0050455C" w:rsidP="0050455C">
      <w:pPr>
        <w:rPr>
          <w:rFonts w:ascii="Arial" w:hAnsi="Arial" w:cs="Arial"/>
          <w:szCs w:val="22"/>
        </w:rPr>
      </w:pPr>
      <w:r w:rsidRPr="00985A2D">
        <w:rPr>
          <w:rFonts w:ascii="Arial" w:hAnsi="Arial" w:cs="Arial"/>
          <w:szCs w:val="22"/>
        </w:rPr>
        <w:t>La evolución en la tasa de cobertura bruta en educación superior revela un crecimiento sostenido entre 2011 y 2018, al pasar de 51,2% a 58,4%. A partir de 2018 la tasa de crecimiento se atenuó e incluso presenta variaciones negativas en 2019 y 2021. Frente al panorama nacional, a partir del año 2016, la tasa del departamento ha sido superior entre 2 y 6.5 porcentuales.</w:t>
      </w:r>
    </w:p>
    <w:p w14:paraId="1B42A77D" w14:textId="73A40B6A" w:rsidR="0050455C" w:rsidRPr="00985A2D" w:rsidRDefault="0050455C" w:rsidP="0050455C">
      <w:pPr>
        <w:rPr>
          <w:rFonts w:ascii="Arial" w:hAnsi="Arial" w:cs="Arial"/>
          <w:szCs w:val="22"/>
        </w:rPr>
      </w:pPr>
    </w:p>
    <w:p w14:paraId="215E5B66" w14:textId="77777777" w:rsidR="00985A2D" w:rsidRDefault="00985A2D" w:rsidP="0050455C">
      <w:pPr>
        <w:rPr>
          <w:rFonts w:ascii="Arial" w:hAnsi="Arial" w:cs="Arial"/>
          <w:b/>
          <w:iCs/>
          <w:szCs w:val="22"/>
        </w:rPr>
      </w:pPr>
    </w:p>
    <w:p w14:paraId="5F007AAB" w14:textId="77777777" w:rsidR="00985A2D" w:rsidRDefault="00985A2D" w:rsidP="0050455C">
      <w:pPr>
        <w:rPr>
          <w:rFonts w:ascii="Arial" w:hAnsi="Arial" w:cs="Arial"/>
          <w:b/>
          <w:iCs/>
          <w:szCs w:val="22"/>
        </w:rPr>
      </w:pPr>
    </w:p>
    <w:p w14:paraId="28B569F5" w14:textId="77777777" w:rsidR="00985A2D" w:rsidRDefault="00985A2D" w:rsidP="0050455C">
      <w:pPr>
        <w:rPr>
          <w:rFonts w:ascii="Arial" w:hAnsi="Arial" w:cs="Arial"/>
          <w:b/>
          <w:iCs/>
          <w:szCs w:val="22"/>
        </w:rPr>
      </w:pPr>
    </w:p>
    <w:p w14:paraId="573A8BEC" w14:textId="2AFC685E" w:rsidR="0050455C" w:rsidRPr="00985A2D" w:rsidRDefault="0050455C" w:rsidP="00985A2D">
      <w:pPr>
        <w:jc w:val="center"/>
        <w:rPr>
          <w:rFonts w:ascii="Arial" w:hAnsi="Arial" w:cs="Arial"/>
          <w:b/>
          <w:iCs/>
          <w:szCs w:val="22"/>
        </w:rPr>
      </w:pPr>
      <w:r w:rsidRPr="00985A2D">
        <w:rPr>
          <w:rFonts w:ascii="Arial" w:hAnsi="Arial" w:cs="Arial"/>
          <w:b/>
          <w:iCs/>
          <w:szCs w:val="22"/>
        </w:rPr>
        <w:lastRenderedPageBreak/>
        <w:t xml:space="preserve">Gráfica </w:t>
      </w:r>
      <w:r w:rsidRPr="00985A2D">
        <w:rPr>
          <w:rFonts w:ascii="Arial" w:hAnsi="Arial" w:cs="Arial"/>
          <w:b/>
          <w:iCs/>
          <w:szCs w:val="22"/>
        </w:rPr>
        <w:fldChar w:fldCharType="begin"/>
      </w:r>
      <w:r w:rsidRPr="00985A2D">
        <w:rPr>
          <w:rFonts w:ascii="Arial" w:hAnsi="Arial" w:cs="Arial"/>
          <w:b/>
          <w:iCs/>
          <w:szCs w:val="22"/>
        </w:rPr>
        <w:instrText xml:space="preserve"> SEQ Gráfica \* ARABIC </w:instrText>
      </w:r>
      <w:r w:rsidRPr="00985A2D">
        <w:rPr>
          <w:rFonts w:ascii="Arial" w:hAnsi="Arial" w:cs="Arial"/>
          <w:b/>
          <w:iCs/>
          <w:szCs w:val="22"/>
        </w:rPr>
        <w:fldChar w:fldCharType="separate"/>
      </w:r>
      <w:r w:rsidR="009F20F0">
        <w:rPr>
          <w:rFonts w:ascii="Arial" w:hAnsi="Arial" w:cs="Arial"/>
          <w:b/>
          <w:iCs/>
          <w:noProof/>
          <w:szCs w:val="22"/>
        </w:rPr>
        <w:t>2</w:t>
      </w:r>
      <w:r w:rsidRPr="00985A2D">
        <w:rPr>
          <w:rFonts w:ascii="Arial" w:hAnsi="Arial" w:cs="Arial"/>
          <w:szCs w:val="22"/>
        </w:rPr>
        <w:fldChar w:fldCharType="end"/>
      </w:r>
      <w:r w:rsidRPr="00985A2D">
        <w:rPr>
          <w:rFonts w:ascii="Arial" w:hAnsi="Arial" w:cs="Arial"/>
          <w:b/>
          <w:iCs/>
          <w:szCs w:val="22"/>
        </w:rPr>
        <w:t xml:space="preserve"> Tasa de cobertura bruta en educación superior (2011 – 2021)</w:t>
      </w:r>
    </w:p>
    <w:p w14:paraId="7756D3EC" w14:textId="62B0E3C8" w:rsidR="0050455C" w:rsidRPr="00985A2D" w:rsidRDefault="0050455C" w:rsidP="0050455C">
      <w:pPr>
        <w:rPr>
          <w:rFonts w:ascii="Arial" w:hAnsi="Arial" w:cs="Arial"/>
          <w:szCs w:val="22"/>
        </w:rPr>
      </w:pPr>
      <w:r w:rsidRPr="00985A2D">
        <w:rPr>
          <w:rFonts w:ascii="Arial" w:hAnsi="Arial" w:cs="Arial"/>
          <w:noProof/>
          <w:szCs w:val="22"/>
          <w:lang w:eastAsia="es-CO"/>
        </w:rPr>
        <w:drawing>
          <wp:inline distT="0" distB="0" distL="0" distR="0" wp14:anchorId="545FE86F" wp14:editId="73E0B315">
            <wp:extent cx="5612130" cy="1631290"/>
            <wp:effectExtent l="0" t="0" r="7620" b="762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C74196" w14:textId="77777777" w:rsidR="00CA41BE" w:rsidRPr="00985A2D" w:rsidRDefault="00CA41BE" w:rsidP="00985A2D">
      <w:pPr>
        <w:jc w:val="left"/>
        <w:rPr>
          <w:rStyle w:val="Referenciasutil"/>
          <w:rFonts w:ascii="Arial" w:hAnsi="Arial" w:cs="Arial"/>
          <w:sz w:val="16"/>
          <w:szCs w:val="16"/>
        </w:rPr>
      </w:pPr>
      <w:r w:rsidRPr="00985A2D">
        <w:rPr>
          <w:rStyle w:val="Referenciasutil"/>
          <w:rFonts w:ascii="Arial" w:hAnsi="Arial" w:cs="Arial"/>
          <w:sz w:val="16"/>
          <w:szCs w:val="16"/>
        </w:rPr>
        <w:t>Fuente: MEN (SNIES)</w:t>
      </w:r>
    </w:p>
    <w:p w14:paraId="371F5110" w14:textId="4775B1BF" w:rsidR="0050455C" w:rsidRPr="00985A2D" w:rsidRDefault="0050455C" w:rsidP="0050455C">
      <w:pPr>
        <w:rPr>
          <w:rFonts w:ascii="Arial" w:hAnsi="Arial" w:cs="Arial"/>
          <w:szCs w:val="22"/>
        </w:rPr>
      </w:pPr>
    </w:p>
    <w:p w14:paraId="2FFD8790" w14:textId="77777777" w:rsidR="0050455C" w:rsidRPr="00985A2D" w:rsidRDefault="0050455C" w:rsidP="0050455C">
      <w:pPr>
        <w:rPr>
          <w:rFonts w:ascii="Arial" w:hAnsi="Arial" w:cs="Arial"/>
          <w:szCs w:val="22"/>
        </w:rPr>
      </w:pPr>
      <w:r w:rsidRPr="00985A2D">
        <w:rPr>
          <w:rFonts w:ascii="Arial" w:hAnsi="Arial" w:cs="Arial"/>
          <w:szCs w:val="22"/>
        </w:rPr>
        <w:t>Al desagregar este indicador según el sexo del estudiante, no se encuentran diferencias importantes, aunque el número de mujeres matriculadas en Instituciones de Educación Superior, tiende a ser levemente superior al número de hombres matriculados.</w:t>
      </w:r>
    </w:p>
    <w:p w14:paraId="0930CB8D" w14:textId="19D72A27" w:rsidR="0050455C" w:rsidRPr="00985A2D" w:rsidRDefault="0050455C" w:rsidP="0050455C">
      <w:pPr>
        <w:rPr>
          <w:rFonts w:ascii="Arial" w:hAnsi="Arial" w:cs="Arial"/>
          <w:szCs w:val="22"/>
        </w:rPr>
      </w:pPr>
    </w:p>
    <w:p w14:paraId="2BDD7FF6" w14:textId="1BE952F4" w:rsidR="0050455C" w:rsidRPr="00985A2D" w:rsidRDefault="0050455C" w:rsidP="00CA41BE">
      <w:pPr>
        <w:jc w:val="center"/>
        <w:rPr>
          <w:rFonts w:ascii="Arial" w:hAnsi="Arial" w:cs="Arial"/>
          <w:b/>
          <w:iCs/>
          <w:szCs w:val="22"/>
        </w:rPr>
      </w:pPr>
      <w:r w:rsidRPr="00985A2D">
        <w:rPr>
          <w:rFonts w:ascii="Arial" w:hAnsi="Arial" w:cs="Arial"/>
          <w:b/>
          <w:iCs/>
          <w:szCs w:val="22"/>
        </w:rPr>
        <w:t xml:space="preserve">Tabla </w:t>
      </w:r>
      <w:r w:rsidRPr="00985A2D">
        <w:rPr>
          <w:rFonts w:ascii="Arial" w:hAnsi="Arial" w:cs="Arial"/>
          <w:b/>
          <w:iCs/>
          <w:szCs w:val="22"/>
        </w:rPr>
        <w:fldChar w:fldCharType="begin"/>
      </w:r>
      <w:r w:rsidRPr="00985A2D">
        <w:rPr>
          <w:rFonts w:ascii="Arial" w:hAnsi="Arial" w:cs="Arial"/>
          <w:b/>
          <w:iCs/>
          <w:szCs w:val="22"/>
        </w:rPr>
        <w:instrText xml:space="preserve"> SEQ Tabla \* ARABIC </w:instrText>
      </w:r>
      <w:r w:rsidRPr="00985A2D">
        <w:rPr>
          <w:rFonts w:ascii="Arial" w:hAnsi="Arial" w:cs="Arial"/>
          <w:b/>
          <w:iCs/>
          <w:szCs w:val="22"/>
        </w:rPr>
        <w:fldChar w:fldCharType="separate"/>
      </w:r>
      <w:r w:rsidR="009F20F0">
        <w:rPr>
          <w:rFonts w:ascii="Arial" w:hAnsi="Arial" w:cs="Arial"/>
          <w:b/>
          <w:iCs/>
          <w:noProof/>
          <w:szCs w:val="22"/>
        </w:rPr>
        <w:t>3</w:t>
      </w:r>
      <w:r w:rsidRPr="00985A2D">
        <w:rPr>
          <w:rFonts w:ascii="Arial" w:hAnsi="Arial" w:cs="Arial"/>
          <w:szCs w:val="22"/>
        </w:rPr>
        <w:fldChar w:fldCharType="end"/>
      </w:r>
      <w:r w:rsidRPr="00985A2D">
        <w:rPr>
          <w:rFonts w:ascii="Arial" w:hAnsi="Arial" w:cs="Arial"/>
          <w:b/>
          <w:bCs/>
          <w:iCs/>
          <w:szCs w:val="22"/>
        </w:rPr>
        <w:t xml:space="preserve"> </w:t>
      </w:r>
      <w:r w:rsidRPr="00985A2D">
        <w:rPr>
          <w:rFonts w:ascii="Arial" w:hAnsi="Arial" w:cs="Arial"/>
          <w:b/>
          <w:iCs/>
          <w:szCs w:val="22"/>
        </w:rPr>
        <w:t>Matrícula por sexo (2015 – 2021)</w:t>
      </w:r>
    </w:p>
    <w:tbl>
      <w:tblPr>
        <w:tblW w:w="5000" w:type="pct"/>
        <w:tblCellMar>
          <w:left w:w="70" w:type="dxa"/>
          <w:right w:w="70" w:type="dxa"/>
        </w:tblCellMar>
        <w:tblLook w:val="04A0" w:firstRow="1" w:lastRow="0" w:firstColumn="1" w:lastColumn="0" w:noHBand="0" w:noVBand="1"/>
      </w:tblPr>
      <w:tblGrid>
        <w:gridCol w:w="1874"/>
        <w:gridCol w:w="1025"/>
        <w:gridCol w:w="1095"/>
        <w:gridCol w:w="963"/>
        <w:gridCol w:w="963"/>
        <w:gridCol w:w="972"/>
        <w:gridCol w:w="972"/>
        <w:gridCol w:w="954"/>
      </w:tblGrid>
      <w:tr w:rsidR="0050455C" w:rsidRPr="00985A2D" w14:paraId="1A28AC75" w14:textId="77777777" w:rsidTr="00D10898">
        <w:trPr>
          <w:trHeight w:val="390"/>
        </w:trPr>
        <w:tc>
          <w:tcPr>
            <w:tcW w:w="1063" w:type="pct"/>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52E4D535" w14:textId="77777777" w:rsidR="0050455C" w:rsidRPr="00985A2D" w:rsidRDefault="0050455C" w:rsidP="00D10898">
            <w:pPr>
              <w:jc w:val="cente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Sexo</w:t>
            </w:r>
          </w:p>
        </w:tc>
        <w:tc>
          <w:tcPr>
            <w:tcW w:w="581" w:type="pct"/>
            <w:tcBorders>
              <w:top w:val="single" w:sz="8" w:space="0" w:color="3366CC"/>
              <w:left w:val="nil"/>
              <w:bottom w:val="single" w:sz="8" w:space="0" w:color="3366CC"/>
              <w:right w:val="nil"/>
            </w:tcBorders>
            <w:shd w:val="clear" w:color="000000" w:fill="DDEBF7"/>
            <w:noWrap/>
            <w:vAlign w:val="center"/>
            <w:hideMark/>
          </w:tcPr>
          <w:p w14:paraId="2FD4420C" w14:textId="77777777" w:rsidR="0050455C" w:rsidRPr="00985A2D" w:rsidRDefault="0050455C" w:rsidP="00D10898">
            <w:pPr>
              <w:jc w:val="cente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2015</w:t>
            </w:r>
          </w:p>
        </w:tc>
        <w:tc>
          <w:tcPr>
            <w:tcW w:w="621" w:type="pct"/>
            <w:tcBorders>
              <w:top w:val="single" w:sz="8" w:space="0" w:color="3366CC"/>
              <w:left w:val="nil"/>
              <w:bottom w:val="single" w:sz="8" w:space="0" w:color="3366CC"/>
              <w:right w:val="nil"/>
            </w:tcBorders>
            <w:shd w:val="clear" w:color="000000" w:fill="DDEBF7"/>
            <w:vAlign w:val="center"/>
            <w:hideMark/>
          </w:tcPr>
          <w:p w14:paraId="7CF6A07F" w14:textId="77777777" w:rsidR="0050455C" w:rsidRPr="00985A2D" w:rsidRDefault="0050455C" w:rsidP="00D10898">
            <w:pPr>
              <w:jc w:val="cente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2016</w:t>
            </w:r>
          </w:p>
        </w:tc>
        <w:tc>
          <w:tcPr>
            <w:tcW w:w="546" w:type="pct"/>
            <w:tcBorders>
              <w:top w:val="single" w:sz="8" w:space="0" w:color="3366CC"/>
              <w:left w:val="nil"/>
              <w:bottom w:val="single" w:sz="8" w:space="0" w:color="3366CC"/>
              <w:right w:val="nil"/>
            </w:tcBorders>
            <w:shd w:val="clear" w:color="000000" w:fill="DDEBF7"/>
            <w:vAlign w:val="center"/>
            <w:hideMark/>
          </w:tcPr>
          <w:p w14:paraId="1C7815AF" w14:textId="77777777" w:rsidR="0050455C" w:rsidRPr="00985A2D" w:rsidRDefault="0050455C" w:rsidP="00D10898">
            <w:pPr>
              <w:jc w:val="cente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2017</w:t>
            </w:r>
          </w:p>
        </w:tc>
        <w:tc>
          <w:tcPr>
            <w:tcW w:w="546" w:type="pct"/>
            <w:tcBorders>
              <w:top w:val="single" w:sz="8" w:space="0" w:color="3366CC"/>
              <w:left w:val="nil"/>
              <w:bottom w:val="single" w:sz="8" w:space="0" w:color="3366CC"/>
              <w:right w:val="nil"/>
            </w:tcBorders>
            <w:shd w:val="clear" w:color="000000" w:fill="DDEBF7"/>
            <w:vAlign w:val="center"/>
            <w:hideMark/>
          </w:tcPr>
          <w:p w14:paraId="45E4A3A1" w14:textId="77777777" w:rsidR="0050455C" w:rsidRPr="00985A2D" w:rsidRDefault="0050455C" w:rsidP="00D10898">
            <w:pPr>
              <w:jc w:val="cente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2018</w:t>
            </w:r>
          </w:p>
        </w:tc>
        <w:tc>
          <w:tcPr>
            <w:tcW w:w="551" w:type="pct"/>
            <w:tcBorders>
              <w:top w:val="single" w:sz="8" w:space="0" w:color="3366CC"/>
              <w:left w:val="single" w:sz="4" w:space="0" w:color="808080"/>
              <w:bottom w:val="single" w:sz="8" w:space="0" w:color="3366CC"/>
              <w:right w:val="single" w:sz="4" w:space="0" w:color="808080"/>
            </w:tcBorders>
            <w:shd w:val="clear" w:color="000000" w:fill="DDEBF7"/>
            <w:vAlign w:val="center"/>
            <w:hideMark/>
          </w:tcPr>
          <w:p w14:paraId="6F663525" w14:textId="77777777" w:rsidR="0050455C" w:rsidRPr="00985A2D" w:rsidRDefault="0050455C" w:rsidP="00D10898">
            <w:pPr>
              <w:jc w:val="cente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2019</w:t>
            </w:r>
          </w:p>
        </w:tc>
        <w:tc>
          <w:tcPr>
            <w:tcW w:w="551" w:type="pct"/>
            <w:tcBorders>
              <w:top w:val="single" w:sz="8" w:space="0" w:color="3366CC"/>
              <w:left w:val="nil"/>
              <w:bottom w:val="single" w:sz="8" w:space="0" w:color="3366CC"/>
              <w:right w:val="single" w:sz="4" w:space="0" w:color="808080"/>
            </w:tcBorders>
            <w:shd w:val="clear" w:color="000000" w:fill="DDEBF7"/>
            <w:vAlign w:val="center"/>
            <w:hideMark/>
          </w:tcPr>
          <w:p w14:paraId="3F11CE98" w14:textId="77777777" w:rsidR="0050455C" w:rsidRPr="00985A2D" w:rsidRDefault="0050455C" w:rsidP="00D10898">
            <w:pPr>
              <w:jc w:val="cente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2020</w:t>
            </w:r>
          </w:p>
        </w:tc>
        <w:tc>
          <w:tcPr>
            <w:tcW w:w="541" w:type="pct"/>
            <w:tcBorders>
              <w:top w:val="single" w:sz="8" w:space="0" w:color="3366CC"/>
              <w:left w:val="nil"/>
              <w:bottom w:val="single" w:sz="8" w:space="0" w:color="3366CC"/>
              <w:right w:val="single" w:sz="8" w:space="0" w:color="3366CC"/>
            </w:tcBorders>
            <w:shd w:val="clear" w:color="000000" w:fill="DDEBF7"/>
            <w:vAlign w:val="center"/>
            <w:hideMark/>
          </w:tcPr>
          <w:p w14:paraId="292F6454" w14:textId="77777777" w:rsidR="0050455C" w:rsidRPr="00985A2D" w:rsidRDefault="0050455C" w:rsidP="00D10898">
            <w:pPr>
              <w:jc w:val="cente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2021</w:t>
            </w:r>
          </w:p>
        </w:tc>
      </w:tr>
      <w:tr w:rsidR="0050455C" w:rsidRPr="00985A2D" w14:paraId="70E18874" w14:textId="77777777" w:rsidTr="00D10898">
        <w:trPr>
          <w:trHeight w:val="375"/>
        </w:trPr>
        <w:tc>
          <w:tcPr>
            <w:tcW w:w="1063" w:type="pct"/>
            <w:tcBorders>
              <w:top w:val="single" w:sz="8" w:space="0" w:color="3366CC"/>
              <w:left w:val="single" w:sz="8" w:space="0" w:color="3366CC"/>
              <w:bottom w:val="single" w:sz="4" w:space="0" w:color="808080"/>
              <w:right w:val="single" w:sz="8" w:space="0" w:color="3366CC"/>
            </w:tcBorders>
            <w:shd w:val="clear" w:color="auto" w:fill="auto"/>
            <w:noWrap/>
            <w:vAlign w:val="center"/>
            <w:hideMark/>
          </w:tcPr>
          <w:p w14:paraId="256CB1FD"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Hombre</w:t>
            </w:r>
          </w:p>
        </w:tc>
        <w:tc>
          <w:tcPr>
            <w:tcW w:w="581" w:type="pct"/>
            <w:tcBorders>
              <w:top w:val="nil"/>
              <w:left w:val="nil"/>
              <w:bottom w:val="single" w:sz="4" w:space="0" w:color="808080"/>
              <w:right w:val="single" w:sz="4" w:space="0" w:color="808080"/>
            </w:tcBorders>
            <w:shd w:val="clear" w:color="auto" w:fill="auto"/>
            <w:noWrap/>
            <w:vAlign w:val="center"/>
            <w:hideMark/>
          </w:tcPr>
          <w:p w14:paraId="55F4F433"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22.753</w:t>
            </w:r>
          </w:p>
        </w:tc>
        <w:tc>
          <w:tcPr>
            <w:tcW w:w="621" w:type="pct"/>
            <w:tcBorders>
              <w:top w:val="nil"/>
              <w:left w:val="nil"/>
              <w:bottom w:val="single" w:sz="4" w:space="0" w:color="808080"/>
              <w:right w:val="single" w:sz="4" w:space="0" w:color="808080"/>
            </w:tcBorders>
            <w:shd w:val="clear" w:color="auto" w:fill="auto"/>
            <w:noWrap/>
            <w:vAlign w:val="center"/>
            <w:hideMark/>
          </w:tcPr>
          <w:p w14:paraId="314938B2"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24.445</w:t>
            </w:r>
          </w:p>
        </w:tc>
        <w:tc>
          <w:tcPr>
            <w:tcW w:w="546" w:type="pct"/>
            <w:tcBorders>
              <w:top w:val="nil"/>
              <w:left w:val="nil"/>
              <w:bottom w:val="single" w:sz="4" w:space="0" w:color="808080"/>
              <w:right w:val="single" w:sz="4" w:space="0" w:color="808080"/>
            </w:tcBorders>
            <w:shd w:val="clear" w:color="auto" w:fill="auto"/>
            <w:noWrap/>
            <w:vAlign w:val="center"/>
            <w:hideMark/>
          </w:tcPr>
          <w:p w14:paraId="6110DB48"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24.714</w:t>
            </w:r>
          </w:p>
        </w:tc>
        <w:tc>
          <w:tcPr>
            <w:tcW w:w="546" w:type="pct"/>
            <w:tcBorders>
              <w:top w:val="nil"/>
              <w:left w:val="nil"/>
              <w:bottom w:val="single" w:sz="4" w:space="0" w:color="808080"/>
              <w:right w:val="nil"/>
            </w:tcBorders>
            <w:shd w:val="clear" w:color="auto" w:fill="auto"/>
            <w:noWrap/>
            <w:vAlign w:val="center"/>
            <w:hideMark/>
          </w:tcPr>
          <w:p w14:paraId="5EB93218"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25.066</w:t>
            </w:r>
          </w:p>
        </w:tc>
        <w:tc>
          <w:tcPr>
            <w:tcW w:w="551" w:type="pct"/>
            <w:tcBorders>
              <w:top w:val="nil"/>
              <w:left w:val="single" w:sz="4" w:space="0" w:color="808080"/>
              <w:bottom w:val="single" w:sz="4" w:space="0" w:color="808080"/>
              <w:right w:val="nil"/>
            </w:tcBorders>
            <w:shd w:val="clear" w:color="auto" w:fill="auto"/>
            <w:noWrap/>
            <w:vAlign w:val="center"/>
            <w:hideMark/>
          </w:tcPr>
          <w:p w14:paraId="01C3B3DD"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24.711</w:t>
            </w:r>
          </w:p>
        </w:tc>
        <w:tc>
          <w:tcPr>
            <w:tcW w:w="551" w:type="pct"/>
            <w:tcBorders>
              <w:top w:val="nil"/>
              <w:left w:val="single" w:sz="4" w:space="0" w:color="808080"/>
              <w:bottom w:val="single" w:sz="4" w:space="0" w:color="808080"/>
              <w:right w:val="nil"/>
            </w:tcBorders>
            <w:shd w:val="clear" w:color="auto" w:fill="auto"/>
            <w:noWrap/>
            <w:vAlign w:val="center"/>
            <w:hideMark/>
          </w:tcPr>
          <w:p w14:paraId="4BD7E366"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24.119</w:t>
            </w:r>
          </w:p>
        </w:tc>
        <w:tc>
          <w:tcPr>
            <w:tcW w:w="541" w:type="pct"/>
            <w:tcBorders>
              <w:top w:val="nil"/>
              <w:left w:val="single" w:sz="4" w:space="0" w:color="808080"/>
              <w:bottom w:val="single" w:sz="4" w:space="0" w:color="808080"/>
              <w:right w:val="single" w:sz="8" w:space="0" w:color="3366CC"/>
            </w:tcBorders>
            <w:shd w:val="clear" w:color="auto" w:fill="auto"/>
            <w:noWrap/>
            <w:vAlign w:val="center"/>
            <w:hideMark/>
          </w:tcPr>
          <w:p w14:paraId="343BB027"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22.423</w:t>
            </w:r>
          </w:p>
        </w:tc>
      </w:tr>
      <w:tr w:rsidR="0050455C" w:rsidRPr="00985A2D" w14:paraId="3559EE76" w14:textId="77777777" w:rsidTr="00D10898">
        <w:trPr>
          <w:trHeight w:val="375"/>
        </w:trPr>
        <w:tc>
          <w:tcPr>
            <w:tcW w:w="1063" w:type="pct"/>
            <w:tcBorders>
              <w:top w:val="single" w:sz="4" w:space="0" w:color="808080"/>
              <w:left w:val="single" w:sz="8" w:space="0" w:color="3366CC"/>
              <w:bottom w:val="single" w:sz="4" w:space="0" w:color="808080"/>
              <w:right w:val="single" w:sz="8" w:space="0" w:color="3366CC"/>
            </w:tcBorders>
            <w:shd w:val="clear" w:color="auto" w:fill="auto"/>
            <w:noWrap/>
            <w:vAlign w:val="center"/>
            <w:hideMark/>
          </w:tcPr>
          <w:p w14:paraId="173CC480"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Mujer</w:t>
            </w:r>
          </w:p>
        </w:tc>
        <w:tc>
          <w:tcPr>
            <w:tcW w:w="581" w:type="pct"/>
            <w:tcBorders>
              <w:top w:val="single" w:sz="4" w:space="0" w:color="A6A6A6"/>
              <w:left w:val="nil"/>
              <w:bottom w:val="single" w:sz="4" w:space="0" w:color="A6A6A6"/>
              <w:right w:val="single" w:sz="4" w:space="0" w:color="A6A6A6"/>
            </w:tcBorders>
            <w:shd w:val="clear" w:color="auto" w:fill="auto"/>
            <w:noWrap/>
            <w:vAlign w:val="center"/>
            <w:hideMark/>
          </w:tcPr>
          <w:p w14:paraId="114B2DCE"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23.838</w:t>
            </w:r>
          </w:p>
        </w:tc>
        <w:tc>
          <w:tcPr>
            <w:tcW w:w="621" w:type="pct"/>
            <w:tcBorders>
              <w:top w:val="single" w:sz="4" w:space="0" w:color="A6A6A6"/>
              <w:left w:val="nil"/>
              <w:bottom w:val="single" w:sz="4" w:space="0" w:color="A6A6A6"/>
              <w:right w:val="single" w:sz="4" w:space="0" w:color="A6A6A6"/>
            </w:tcBorders>
            <w:shd w:val="clear" w:color="auto" w:fill="auto"/>
            <w:noWrap/>
            <w:vAlign w:val="center"/>
            <w:hideMark/>
          </w:tcPr>
          <w:p w14:paraId="0C29005F"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25.040</w:t>
            </w:r>
          </w:p>
        </w:tc>
        <w:tc>
          <w:tcPr>
            <w:tcW w:w="546" w:type="pct"/>
            <w:tcBorders>
              <w:top w:val="single" w:sz="4" w:space="0" w:color="A6A6A6"/>
              <w:left w:val="nil"/>
              <w:bottom w:val="single" w:sz="4" w:space="0" w:color="A6A6A6"/>
              <w:right w:val="single" w:sz="4" w:space="0" w:color="A6A6A6"/>
            </w:tcBorders>
            <w:shd w:val="clear" w:color="auto" w:fill="auto"/>
            <w:noWrap/>
            <w:vAlign w:val="center"/>
            <w:hideMark/>
          </w:tcPr>
          <w:p w14:paraId="1BFFE965"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25.443</w:t>
            </w:r>
          </w:p>
        </w:tc>
        <w:tc>
          <w:tcPr>
            <w:tcW w:w="546" w:type="pct"/>
            <w:tcBorders>
              <w:top w:val="single" w:sz="4" w:space="0" w:color="A6A6A6"/>
              <w:left w:val="nil"/>
              <w:bottom w:val="single" w:sz="4" w:space="0" w:color="A6A6A6"/>
              <w:right w:val="single" w:sz="4" w:space="0" w:color="A6A6A6"/>
            </w:tcBorders>
            <w:shd w:val="clear" w:color="auto" w:fill="auto"/>
            <w:noWrap/>
            <w:vAlign w:val="center"/>
            <w:hideMark/>
          </w:tcPr>
          <w:p w14:paraId="43A999F6"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26.204</w:t>
            </w:r>
          </w:p>
        </w:tc>
        <w:tc>
          <w:tcPr>
            <w:tcW w:w="551" w:type="pct"/>
            <w:tcBorders>
              <w:top w:val="nil"/>
              <w:left w:val="single" w:sz="4" w:space="0" w:color="808080"/>
              <w:bottom w:val="single" w:sz="4" w:space="0" w:color="808080"/>
              <w:right w:val="nil"/>
            </w:tcBorders>
            <w:shd w:val="clear" w:color="auto" w:fill="auto"/>
            <w:noWrap/>
            <w:vAlign w:val="center"/>
            <w:hideMark/>
          </w:tcPr>
          <w:p w14:paraId="5C845D23"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25.869</w:t>
            </w:r>
          </w:p>
        </w:tc>
        <w:tc>
          <w:tcPr>
            <w:tcW w:w="551" w:type="pct"/>
            <w:tcBorders>
              <w:top w:val="nil"/>
              <w:left w:val="single" w:sz="4" w:space="0" w:color="808080"/>
              <w:bottom w:val="single" w:sz="4" w:space="0" w:color="808080"/>
              <w:right w:val="nil"/>
            </w:tcBorders>
            <w:shd w:val="clear" w:color="auto" w:fill="auto"/>
            <w:noWrap/>
            <w:vAlign w:val="center"/>
            <w:hideMark/>
          </w:tcPr>
          <w:p w14:paraId="5CF601B2"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25.491</w:t>
            </w:r>
          </w:p>
        </w:tc>
        <w:tc>
          <w:tcPr>
            <w:tcW w:w="541" w:type="pct"/>
            <w:tcBorders>
              <w:top w:val="nil"/>
              <w:left w:val="single" w:sz="4" w:space="0" w:color="808080"/>
              <w:bottom w:val="single" w:sz="4" w:space="0" w:color="808080"/>
              <w:right w:val="single" w:sz="8" w:space="0" w:color="3366CC"/>
            </w:tcBorders>
            <w:shd w:val="clear" w:color="auto" w:fill="auto"/>
            <w:noWrap/>
            <w:vAlign w:val="center"/>
            <w:hideMark/>
          </w:tcPr>
          <w:p w14:paraId="64ABFEC6" w14:textId="77777777" w:rsidR="0050455C" w:rsidRPr="00985A2D" w:rsidRDefault="0050455C" w:rsidP="00D10898">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24.048</w:t>
            </w:r>
          </w:p>
        </w:tc>
      </w:tr>
      <w:tr w:rsidR="0050455C" w:rsidRPr="00985A2D" w14:paraId="58B19BFB" w14:textId="77777777" w:rsidTr="00D10898">
        <w:trPr>
          <w:trHeight w:val="390"/>
        </w:trPr>
        <w:tc>
          <w:tcPr>
            <w:tcW w:w="1063" w:type="pct"/>
            <w:tcBorders>
              <w:top w:val="single" w:sz="4" w:space="0" w:color="808080"/>
              <w:left w:val="single" w:sz="8" w:space="0" w:color="3366CC"/>
              <w:bottom w:val="single" w:sz="8" w:space="0" w:color="3366CC"/>
              <w:right w:val="single" w:sz="8" w:space="0" w:color="3366CC"/>
            </w:tcBorders>
            <w:shd w:val="clear" w:color="000000" w:fill="DDEBF7"/>
            <w:noWrap/>
            <w:vAlign w:val="center"/>
            <w:hideMark/>
          </w:tcPr>
          <w:p w14:paraId="561DFA5C"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Total General</w:t>
            </w:r>
          </w:p>
        </w:tc>
        <w:tc>
          <w:tcPr>
            <w:tcW w:w="581" w:type="pct"/>
            <w:tcBorders>
              <w:top w:val="nil"/>
              <w:left w:val="nil"/>
              <w:bottom w:val="single" w:sz="8" w:space="0" w:color="3366CC"/>
              <w:right w:val="single" w:sz="4" w:space="0" w:color="A6A6A6"/>
            </w:tcBorders>
            <w:shd w:val="clear" w:color="000000" w:fill="DDEBF7"/>
            <w:noWrap/>
            <w:vAlign w:val="center"/>
            <w:hideMark/>
          </w:tcPr>
          <w:p w14:paraId="571A7EED"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46.591</w:t>
            </w:r>
          </w:p>
        </w:tc>
        <w:tc>
          <w:tcPr>
            <w:tcW w:w="621" w:type="pct"/>
            <w:tcBorders>
              <w:top w:val="nil"/>
              <w:left w:val="nil"/>
              <w:bottom w:val="single" w:sz="8" w:space="0" w:color="3366CC"/>
              <w:right w:val="single" w:sz="4" w:space="0" w:color="A6A6A6"/>
            </w:tcBorders>
            <w:shd w:val="clear" w:color="000000" w:fill="DDEBF7"/>
            <w:noWrap/>
            <w:vAlign w:val="center"/>
            <w:hideMark/>
          </w:tcPr>
          <w:p w14:paraId="2E842C54"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49.485</w:t>
            </w:r>
          </w:p>
        </w:tc>
        <w:tc>
          <w:tcPr>
            <w:tcW w:w="546" w:type="pct"/>
            <w:tcBorders>
              <w:top w:val="nil"/>
              <w:left w:val="nil"/>
              <w:bottom w:val="single" w:sz="8" w:space="0" w:color="3366CC"/>
              <w:right w:val="single" w:sz="4" w:space="0" w:color="A6A6A6"/>
            </w:tcBorders>
            <w:shd w:val="clear" w:color="000000" w:fill="DDEBF7"/>
            <w:noWrap/>
            <w:vAlign w:val="center"/>
            <w:hideMark/>
          </w:tcPr>
          <w:p w14:paraId="1FA57161"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50.157</w:t>
            </w:r>
          </w:p>
        </w:tc>
        <w:tc>
          <w:tcPr>
            <w:tcW w:w="546" w:type="pct"/>
            <w:tcBorders>
              <w:top w:val="nil"/>
              <w:left w:val="nil"/>
              <w:bottom w:val="single" w:sz="8" w:space="0" w:color="3366CC"/>
              <w:right w:val="single" w:sz="4" w:space="0" w:color="A6A6A6"/>
            </w:tcBorders>
            <w:shd w:val="clear" w:color="000000" w:fill="DDEBF7"/>
            <w:noWrap/>
            <w:vAlign w:val="center"/>
            <w:hideMark/>
          </w:tcPr>
          <w:p w14:paraId="28FB4811"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51.270</w:t>
            </w:r>
          </w:p>
        </w:tc>
        <w:tc>
          <w:tcPr>
            <w:tcW w:w="551" w:type="pct"/>
            <w:tcBorders>
              <w:top w:val="nil"/>
              <w:left w:val="single" w:sz="4" w:space="0" w:color="808080"/>
              <w:bottom w:val="single" w:sz="8" w:space="0" w:color="3366CC"/>
              <w:right w:val="nil"/>
            </w:tcBorders>
            <w:shd w:val="clear" w:color="000000" w:fill="DDEBF7"/>
            <w:noWrap/>
            <w:vAlign w:val="center"/>
            <w:hideMark/>
          </w:tcPr>
          <w:p w14:paraId="4B0885FF"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50.580</w:t>
            </w:r>
          </w:p>
        </w:tc>
        <w:tc>
          <w:tcPr>
            <w:tcW w:w="551" w:type="pct"/>
            <w:tcBorders>
              <w:top w:val="nil"/>
              <w:left w:val="single" w:sz="4" w:space="0" w:color="808080"/>
              <w:bottom w:val="single" w:sz="8" w:space="0" w:color="3366CC"/>
              <w:right w:val="nil"/>
            </w:tcBorders>
            <w:shd w:val="clear" w:color="000000" w:fill="DDEBF7"/>
            <w:noWrap/>
            <w:vAlign w:val="center"/>
            <w:hideMark/>
          </w:tcPr>
          <w:p w14:paraId="21096EF7"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49.610</w:t>
            </w:r>
          </w:p>
        </w:tc>
        <w:tc>
          <w:tcPr>
            <w:tcW w:w="541" w:type="pct"/>
            <w:tcBorders>
              <w:top w:val="nil"/>
              <w:left w:val="single" w:sz="4" w:space="0" w:color="808080"/>
              <w:bottom w:val="single" w:sz="8" w:space="0" w:color="4472C4"/>
              <w:right w:val="single" w:sz="8" w:space="0" w:color="4472C4"/>
            </w:tcBorders>
            <w:shd w:val="clear" w:color="000000" w:fill="DDEBF7"/>
            <w:noWrap/>
            <w:vAlign w:val="center"/>
            <w:hideMark/>
          </w:tcPr>
          <w:p w14:paraId="01F2BFB8" w14:textId="77777777" w:rsidR="0050455C" w:rsidRPr="00985A2D" w:rsidRDefault="0050455C" w:rsidP="00D10898">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46.471</w:t>
            </w:r>
          </w:p>
        </w:tc>
      </w:tr>
    </w:tbl>
    <w:p w14:paraId="33F14F55" w14:textId="77777777" w:rsidR="0050455C" w:rsidRPr="00985A2D" w:rsidRDefault="0050455C" w:rsidP="00985A2D">
      <w:pPr>
        <w:jc w:val="left"/>
        <w:rPr>
          <w:rStyle w:val="Referenciasutil"/>
          <w:rFonts w:ascii="Arial" w:hAnsi="Arial" w:cs="Arial"/>
          <w:sz w:val="16"/>
          <w:szCs w:val="16"/>
        </w:rPr>
      </w:pPr>
      <w:r w:rsidRPr="00985A2D">
        <w:rPr>
          <w:rStyle w:val="Referenciasutil"/>
          <w:rFonts w:ascii="Arial" w:hAnsi="Arial" w:cs="Arial"/>
          <w:sz w:val="16"/>
          <w:szCs w:val="16"/>
        </w:rPr>
        <w:t>Fuente: MEN (SNIES)</w:t>
      </w:r>
    </w:p>
    <w:p w14:paraId="6E78D057" w14:textId="1E24A471" w:rsidR="0050455C" w:rsidRPr="00985A2D" w:rsidRDefault="0050455C" w:rsidP="0050455C">
      <w:pPr>
        <w:rPr>
          <w:rFonts w:ascii="Arial" w:hAnsi="Arial" w:cs="Arial"/>
          <w:szCs w:val="22"/>
        </w:rPr>
      </w:pPr>
    </w:p>
    <w:p w14:paraId="269F2EAA" w14:textId="77777777" w:rsidR="0050455C" w:rsidRPr="00985A2D" w:rsidRDefault="0050455C" w:rsidP="0050455C">
      <w:pPr>
        <w:rPr>
          <w:rFonts w:ascii="Arial" w:hAnsi="Arial" w:cs="Arial"/>
          <w:szCs w:val="22"/>
        </w:rPr>
      </w:pPr>
      <w:r w:rsidRPr="00985A2D">
        <w:rPr>
          <w:rFonts w:ascii="Arial" w:hAnsi="Arial" w:cs="Arial"/>
          <w:szCs w:val="22"/>
        </w:rPr>
        <w:t>En cuanto a la tasa de tránsito inmediato a educación superior, esta se ha mantenido en niveles cercanos al 40%. En el año 2018, accedieron a educación superior 3.227 bachilleres de los 9.359 graduados en 2017 (34,5%), mientras que en 2021 accedieron 3.315 bachilleres de 9.067 graduados en 2020 (36.6%). Aunque la tasa de 2021 presenta un incremento de 2 puntos porcentuales frente a 2018, al compararla con los dos años inmediatamente anteriores, se observa una variación negativa. Frente al consolidado nacional, la tasa departamental se encuentra en niveles cercanos.</w:t>
      </w:r>
    </w:p>
    <w:p w14:paraId="43CDF19F" w14:textId="605E2F97" w:rsidR="0050455C" w:rsidRPr="00985A2D" w:rsidRDefault="0050455C" w:rsidP="0050455C">
      <w:pPr>
        <w:rPr>
          <w:rFonts w:ascii="Arial" w:hAnsi="Arial" w:cs="Arial"/>
          <w:b/>
          <w:iCs/>
          <w:szCs w:val="22"/>
        </w:rPr>
      </w:pPr>
    </w:p>
    <w:p w14:paraId="55A182E9" w14:textId="174685B1" w:rsidR="0050455C" w:rsidRPr="00985A2D" w:rsidRDefault="0050455C" w:rsidP="001F4974">
      <w:pPr>
        <w:jc w:val="center"/>
        <w:rPr>
          <w:rFonts w:ascii="Arial" w:hAnsi="Arial" w:cs="Arial"/>
          <w:b/>
          <w:iCs/>
          <w:szCs w:val="22"/>
        </w:rPr>
      </w:pPr>
      <w:r w:rsidRPr="00985A2D">
        <w:rPr>
          <w:rFonts w:ascii="Arial" w:hAnsi="Arial" w:cs="Arial"/>
          <w:b/>
          <w:iCs/>
          <w:szCs w:val="22"/>
        </w:rPr>
        <w:lastRenderedPageBreak/>
        <w:t xml:space="preserve">Tabla </w:t>
      </w:r>
      <w:r w:rsidRPr="00985A2D">
        <w:rPr>
          <w:rFonts w:ascii="Arial" w:hAnsi="Arial" w:cs="Arial"/>
          <w:b/>
          <w:iCs/>
          <w:szCs w:val="22"/>
        </w:rPr>
        <w:fldChar w:fldCharType="begin"/>
      </w:r>
      <w:r w:rsidRPr="00985A2D">
        <w:rPr>
          <w:rFonts w:ascii="Arial" w:hAnsi="Arial" w:cs="Arial"/>
          <w:b/>
          <w:iCs/>
          <w:szCs w:val="22"/>
        </w:rPr>
        <w:instrText xml:space="preserve"> SEQ Tabla \* ARABIC </w:instrText>
      </w:r>
      <w:r w:rsidRPr="00985A2D">
        <w:rPr>
          <w:rFonts w:ascii="Arial" w:hAnsi="Arial" w:cs="Arial"/>
          <w:b/>
          <w:iCs/>
          <w:szCs w:val="22"/>
        </w:rPr>
        <w:fldChar w:fldCharType="separate"/>
      </w:r>
      <w:r w:rsidR="009F20F0">
        <w:rPr>
          <w:rFonts w:ascii="Arial" w:hAnsi="Arial" w:cs="Arial"/>
          <w:b/>
          <w:iCs/>
          <w:noProof/>
          <w:szCs w:val="22"/>
        </w:rPr>
        <w:t>4</w:t>
      </w:r>
      <w:r w:rsidRPr="00985A2D">
        <w:rPr>
          <w:rFonts w:ascii="Arial" w:hAnsi="Arial" w:cs="Arial"/>
          <w:szCs w:val="22"/>
        </w:rPr>
        <w:fldChar w:fldCharType="end"/>
      </w:r>
      <w:r w:rsidRPr="00985A2D">
        <w:rPr>
          <w:rFonts w:ascii="Arial" w:hAnsi="Arial" w:cs="Arial"/>
          <w:b/>
          <w:iCs/>
          <w:szCs w:val="22"/>
        </w:rPr>
        <w:t xml:space="preserve"> Tasa de tránsito inmediato a educación superior (2018 – 2021)</w:t>
      </w:r>
    </w:p>
    <w:tbl>
      <w:tblPr>
        <w:tblW w:w="3387" w:type="pct"/>
        <w:jc w:val="center"/>
        <w:tblCellMar>
          <w:left w:w="70" w:type="dxa"/>
          <w:right w:w="70" w:type="dxa"/>
        </w:tblCellMar>
        <w:tblLook w:val="04A0" w:firstRow="1" w:lastRow="0" w:firstColumn="1" w:lastColumn="0" w:noHBand="0" w:noVBand="1"/>
      </w:tblPr>
      <w:tblGrid>
        <w:gridCol w:w="2125"/>
        <w:gridCol w:w="962"/>
        <w:gridCol w:w="962"/>
        <w:gridCol w:w="962"/>
        <w:gridCol w:w="962"/>
      </w:tblGrid>
      <w:tr w:rsidR="0050455C" w:rsidRPr="00985A2D" w14:paraId="50891E5B" w14:textId="77777777" w:rsidTr="00CA41BE">
        <w:trPr>
          <w:trHeight w:val="354"/>
          <w:tblHeader/>
          <w:jc w:val="center"/>
        </w:trPr>
        <w:tc>
          <w:tcPr>
            <w:tcW w:w="1779" w:type="pct"/>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391B21F2" w14:textId="77777777" w:rsidR="0050455C" w:rsidRPr="00985A2D" w:rsidRDefault="0050455C" w:rsidP="0050455C">
            <w:pPr>
              <w:rPr>
                <w:rFonts w:ascii="Arial" w:hAnsi="Arial" w:cs="Arial"/>
                <w:b/>
                <w:bCs/>
                <w:sz w:val="20"/>
                <w:szCs w:val="20"/>
              </w:rPr>
            </w:pPr>
            <w:r w:rsidRPr="00985A2D">
              <w:rPr>
                <w:rFonts w:ascii="Arial" w:hAnsi="Arial" w:cs="Arial"/>
                <w:b/>
                <w:bCs/>
                <w:sz w:val="20"/>
                <w:szCs w:val="20"/>
              </w:rPr>
              <w:t>Tasa de Tránsito</w:t>
            </w:r>
          </w:p>
        </w:tc>
        <w:tc>
          <w:tcPr>
            <w:tcW w:w="805" w:type="pct"/>
            <w:tcBorders>
              <w:top w:val="single" w:sz="8" w:space="0" w:color="3366CC"/>
              <w:left w:val="nil"/>
              <w:bottom w:val="single" w:sz="8" w:space="0" w:color="3366CC"/>
              <w:right w:val="single" w:sz="8" w:space="0" w:color="3366CC"/>
            </w:tcBorders>
            <w:shd w:val="clear" w:color="000000" w:fill="DDEBF7"/>
            <w:vAlign w:val="center"/>
            <w:hideMark/>
          </w:tcPr>
          <w:p w14:paraId="60F215E2" w14:textId="77777777" w:rsidR="0050455C" w:rsidRPr="00985A2D" w:rsidRDefault="0050455C" w:rsidP="0050455C">
            <w:pPr>
              <w:rPr>
                <w:rFonts w:ascii="Arial" w:hAnsi="Arial" w:cs="Arial"/>
                <w:b/>
                <w:bCs/>
                <w:sz w:val="20"/>
                <w:szCs w:val="20"/>
              </w:rPr>
            </w:pPr>
            <w:r w:rsidRPr="00985A2D">
              <w:rPr>
                <w:rFonts w:ascii="Arial" w:hAnsi="Arial" w:cs="Arial"/>
                <w:b/>
                <w:bCs/>
                <w:sz w:val="20"/>
                <w:szCs w:val="20"/>
              </w:rPr>
              <w:t>2018</w:t>
            </w:r>
          </w:p>
        </w:tc>
        <w:tc>
          <w:tcPr>
            <w:tcW w:w="805" w:type="pct"/>
            <w:tcBorders>
              <w:top w:val="single" w:sz="8" w:space="0" w:color="3366CC"/>
              <w:left w:val="nil"/>
              <w:bottom w:val="single" w:sz="8" w:space="0" w:color="3366CC"/>
              <w:right w:val="single" w:sz="8" w:space="0" w:color="3366CC"/>
            </w:tcBorders>
            <w:shd w:val="clear" w:color="000000" w:fill="DDEBF7"/>
            <w:vAlign w:val="center"/>
            <w:hideMark/>
          </w:tcPr>
          <w:p w14:paraId="423E5831" w14:textId="77777777" w:rsidR="0050455C" w:rsidRPr="00985A2D" w:rsidRDefault="0050455C" w:rsidP="0050455C">
            <w:pPr>
              <w:rPr>
                <w:rFonts w:ascii="Arial" w:hAnsi="Arial" w:cs="Arial"/>
                <w:b/>
                <w:bCs/>
                <w:sz w:val="20"/>
                <w:szCs w:val="20"/>
              </w:rPr>
            </w:pPr>
            <w:r w:rsidRPr="00985A2D">
              <w:rPr>
                <w:rFonts w:ascii="Arial" w:hAnsi="Arial" w:cs="Arial"/>
                <w:b/>
                <w:bCs/>
                <w:sz w:val="20"/>
                <w:szCs w:val="20"/>
              </w:rPr>
              <w:t>2019</w:t>
            </w:r>
          </w:p>
        </w:tc>
        <w:tc>
          <w:tcPr>
            <w:tcW w:w="805" w:type="pct"/>
            <w:tcBorders>
              <w:top w:val="single" w:sz="8" w:space="0" w:color="3366CC"/>
              <w:left w:val="nil"/>
              <w:bottom w:val="single" w:sz="8" w:space="0" w:color="3366CC"/>
              <w:right w:val="single" w:sz="8" w:space="0" w:color="3366CC"/>
            </w:tcBorders>
            <w:shd w:val="clear" w:color="000000" w:fill="DDEBF7"/>
            <w:vAlign w:val="center"/>
            <w:hideMark/>
          </w:tcPr>
          <w:p w14:paraId="6CCA2883" w14:textId="77777777" w:rsidR="0050455C" w:rsidRPr="00985A2D" w:rsidRDefault="0050455C" w:rsidP="0050455C">
            <w:pPr>
              <w:rPr>
                <w:rFonts w:ascii="Arial" w:hAnsi="Arial" w:cs="Arial"/>
                <w:b/>
                <w:bCs/>
                <w:sz w:val="20"/>
                <w:szCs w:val="20"/>
              </w:rPr>
            </w:pPr>
            <w:r w:rsidRPr="00985A2D">
              <w:rPr>
                <w:rFonts w:ascii="Arial" w:hAnsi="Arial" w:cs="Arial"/>
                <w:b/>
                <w:bCs/>
                <w:sz w:val="20"/>
                <w:szCs w:val="20"/>
              </w:rPr>
              <w:t>2020</w:t>
            </w:r>
          </w:p>
        </w:tc>
        <w:tc>
          <w:tcPr>
            <w:tcW w:w="805" w:type="pct"/>
            <w:tcBorders>
              <w:top w:val="single" w:sz="8" w:space="0" w:color="3366CC"/>
              <w:left w:val="nil"/>
              <w:bottom w:val="single" w:sz="8" w:space="0" w:color="3366CC"/>
              <w:right w:val="single" w:sz="8" w:space="0" w:color="3366CC"/>
            </w:tcBorders>
            <w:shd w:val="clear" w:color="000000" w:fill="DDEBF7"/>
            <w:vAlign w:val="center"/>
            <w:hideMark/>
          </w:tcPr>
          <w:p w14:paraId="22812C31" w14:textId="77777777" w:rsidR="0050455C" w:rsidRPr="00985A2D" w:rsidRDefault="0050455C" w:rsidP="0050455C">
            <w:pPr>
              <w:rPr>
                <w:rFonts w:ascii="Arial" w:hAnsi="Arial" w:cs="Arial"/>
                <w:b/>
                <w:bCs/>
                <w:sz w:val="20"/>
                <w:szCs w:val="20"/>
              </w:rPr>
            </w:pPr>
            <w:r w:rsidRPr="00985A2D">
              <w:rPr>
                <w:rFonts w:ascii="Arial" w:hAnsi="Arial" w:cs="Arial"/>
                <w:b/>
                <w:bCs/>
                <w:sz w:val="20"/>
                <w:szCs w:val="20"/>
              </w:rPr>
              <w:t>2021</w:t>
            </w:r>
          </w:p>
        </w:tc>
      </w:tr>
      <w:tr w:rsidR="0050455C" w:rsidRPr="00985A2D" w14:paraId="4FF89DC0" w14:textId="77777777" w:rsidTr="00CA41BE">
        <w:trPr>
          <w:trHeight w:val="375"/>
          <w:jc w:val="center"/>
        </w:trPr>
        <w:tc>
          <w:tcPr>
            <w:tcW w:w="1779" w:type="pct"/>
            <w:tcBorders>
              <w:top w:val="single" w:sz="8" w:space="0" w:color="3366CC"/>
              <w:left w:val="single" w:sz="8" w:space="0" w:color="3366CC"/>
              <w:bottom w:val="single" w:sz="4" w:space="0" w:color="808080"/>
              <w:right w:val="single" w:sz="8" w:space="0" w:color="3366CC"/>
            </w:tcBorders>
            <w:shd w:val="clear" w:color="auto" w:fill="auto"/>
            <w:noWrap/>
            <w:vAlign w:val="center"/>
            <w:hideMark/>
          </w:tcPr>
          <w:p w14:paraId="375E58A2" w14:textId="77777777" w:rsidR="0050455C" w:rsidRPr="00985A2D" w:rsidRDefault="0050455C" w:rsidP="0050455C">
            <w:pPr>
              <w:rPr>
                <w:rFonts w:ascii="Arial" w:hAnsi="Arial" w:cs="Arial"/>
                <w:b/>
                <w:bCs/>
                <w:sz w:val="20"/>
                <w:szCs w:val="20"/>
              </w:rPr>
            </w:pPr>
            <w:r w:rsidRPr="00985A2D">
              <w:rPr>
                <w:rFonts w:ascii="Arial" w:hAnsi="Arial" w:cs="Arial"/>
                <w:b/>
                <w:bCs/>
                <w:sz w:val="20"/>
                <w:szCs w:val="20"/>
              </w:rPr>
              <w:t>Departamento</w:t>
            </w:r>
          </w:p>
        </w:tc>
        <w:tc>
          <w:tcPr>
            <w:tcW w:w="805" w:type="pct"/>
            <w:tcBorders>
              <w:top w:val="single" w:sz="4" w:space="0" w:color="808080"/>
              <w:left w:val="nil"/>
              <w:bottom w:val="single" w:sz="4" w:space="0" w:color="808080"/>
              <w:right w:val="single" w:sz="8" w:space="0" w:color="3366CC"/>
            </w:tcBorders>
            <w:shd w:val="clear" w:color="auto" w:fill="auto"/>
            <w:noWrap/>
            <w:vAlign w:val="center"/>
            <w:hideMark/>
          </w:tcPr>
          <w:p w14:paraId="397B14F2" w14:textId="77777777" w:rsidR="0050455C" w:rsidRPr="00985A2D" w:rsidRDefault="0050455C" w:rsidP="0050455C">
            <w:pPr>
              <w:rPr>
                <w:rFonts w:ascii="Arial" w:hAnsi="Arial" w:cs="Arial"/>
                <w:b/>
                <w:bCs/>
                <w:sz w:val="20"/>
                <w:szCs w:val="20"/>
              </w:rPr>
            </w:pPr>
            <w:r w:rsidRPr="00985A2D">
              <w:rPr>
                <w:rFonts w:ascii="Arial" w:hAnsi="Arial" w:cs="Arial"/>
                <w:b/>
                <w:bCs/>
                <w:sz w:val="20"/>
                <w:szCs w:val="20"/>
              </w:rPr>
              <w:t>34,5%</w:t>
            </w:r>
          </w:p>
        </w:tc>
        <w:tc>
          <w:tcPr>
            <w:tcW w:w="805" w:type="pct"/>
            <w:tcBorders>
              <w:top w:val="single" w:sz="4" w:space="0" w:color="808080"/>
              <w:left w:val="nil"/>
              <w:bottom w:val="single" w:sz="4" w:space="0" w:color="808080"/>
              <w:right w:val="single" w:sz="8" w:space="0" w:color="3366CC"/>
            </w:tcBorders>
            <w:shd w:val="clear" w:color="auto" w:fill="auto"/>
            <w:noWrap/>
            <w:vAlign w:val="center"/>
            <w:hideMark/>
          </w:tcPr>
          <w:p w14:paraId="41DF5670" w14:textId="77777777" w:rsidR="0050455C" w:rsidRPr="00985A2D" w:rsidRDefault="0050455C" w:rsidP="0050455C">
            <w:pPr>
              <w:rPr>
                <w:rFonts w:ascii="Arial" w:hAnsi="Arial" w:cs="Arial"/>
                <w:b/>
                <w:bCs/>
                <w:sz w:val="20"/>
                <w:szCs w:val="20"/>
              </w:rPr>
            </w:pPr>
            <w:r w:rsidRPr="00985A2D">
              <w:rPr>
                <w:rFonts w:ascii="Arial" w:hAnsi="Arial" w:cs="Arial"/>
                <w:b/>
                <w:bCs/>
                <w:sz w:val="20"/>
                <w:szCs w:val="20"/>
              </w:rPr>
              <w:t>39,5%</w:t>
            </w:r>
          </w:p>
        </w:tc>
        <w:tc>
          <w:tcPr>
            <w:tcW w:w="805" w:type="pct"/>
            <w:tcBorders>
              <w:top w:val="single" w:sz="4" w:space="0" w:color="808080"/>
              <w:left w:val="nil"/>
              <w:bottom w:val="single" w:sz="4" w:space="0" w:color="808080"/>
              <w:right w:val="single" w:sz="8" w:space="0" w:color="3366CC"/>
            </w:tcBorders>
            <w:shd w:val="clear" w:color="auto" w:fill="auto"/>
            <w:noWrap/>
            <w:vAlign w:val="center"/>
            <w:hideMark/>
          </w:tcPr>
          <w:p w14:paraId="3003EE51" w14:textId="77777777" w:rsidR="0050455C" w:rsidRPr="00985A2D" w:rsidRDefault="0050455C" w:rsidP="0050455C">
            <w:pPr>
              <w:rPr>
                <w:rFonts w:ascii="Arial" w:hAnsi="Arial" w:cs="Arial"/>
                <w:b/>
                <w:bCs/>
                <w:sz w:val="20"/>
                <w:szCs w:val="20"/>
              </w:rPr>
            </w:pPr>
            <w:r w:rsidRPr="00985A2D">
              <w:rPr>
                <w:rFonts w:ascii="Arial" w:hAnsi="Arial" w:cs="Arial"/>
                <w:b/>
                <w:bCs/>
                <w:sz w:val="20"/>
                <w:szCs w:val="20"/>
              </w:rPr>
              <w:t>38,7%</w:t>
            </w:r>
          </w:p>
        </w:tc>
        <w:tc>
          <w:tcPr>
            <w:tcW w:w="805" w:type="pct"/>
            <w:tcBorders>
              <w:top w:val="single" w:sz="4" w:space="0" w:color="808080"/>
              <w:left w:val="nil"/>
              <w:bottom w:val="single" w:sz="4" w:space="0" w:color="808080"/>
              <w:right w:val="single" w:sz="8" w:space="0" w:color="3366CC"/>
            </w:tcBorders>
            <w:shd w:val="clear" w:color="auto" w:fill="auto"/>
            <w:noWrap/>
            <w:vAlign w:val="center"/>
            <w:hideMark/>
          </w:tcPr>
          <w:p w14:paraId="21DA54EC" w14:textId="77777777" w:rsidR="0050455C" w:rsidRPr="00985A2D" w:rsidRDefault="0050455C" w:rsidP="0050455C">
            <w:pPr>
              <w:rPr>
                <w:rFonts w:ascii="Arial" w:hAnsi="Arial" w:cs="Arial"/>
                <w:b/>
                <w:bCs/>
                <w:sz w:val="20"/>
                <w:szCs w:val="20"/>
              </w:rPr>
            </w:pPr>
            <w:r w:rsidRPr="00985A2D">
              <w:rPr>
                <w:rFonts w:ascii="Arial" w:hAnsi="Arial" w:cs="Arial"/>
                <w:b/>
                <w:bCs/>
                <w:sz w:val="20"/>
                <w:szCs w:val="20"/>
              </w:rPr>
              <w:t>36,6%</w:t>
            </w:r>
          </w:p>
        </w:tc>
      </w:tr>
      <w:tr w:rsidR="0050455C" w:rsidRPr="00985A2D" w14:paraId="50A10C20" w14:textId="77777777" w:rsidTr="00CA41BE">
        <w:trPr>
          <w:trHeight w:val="390"/>
          <w:jc w:val="center"/>
        </w:trPr>
        <w:tc>
          <w:tcPr>
            <w:tcW w:w="1779" w:type="pct"/>
            <w:tcBorders>
              <w:top w:val="single" w:sz="4" w:space="0" w:color="808080"/>
              <w:left w:val="single" w:sz="8" w:space="0" w:color="3366CC"/>
              <w:bottom w:val="single" w:sz="8" w:space="0" w:color="3366CC"/>
              <w:right w:val="single" w:sz="8" w:space="0" w:color="3366CC"/>
            </w:tcBorders>
            <w:shd w:val="clear" w:color="auto" w:fill="auto"/>
            <w:noWrap/>
            <w:vAlign w:val="center"/>
            <w:hideMark/>
          </w:tcPr>
          <w:p w14:paraId="0FC8BB8D" w14:textId="77777777" w:rsidR="0050455C" w:rsidRPr="00985A2D" w:rsidRDefault="0050455C" w:rsidP="0050455C">
            <w:pPr>
              <w:rPr>
                <w:rFonts w:ascii="Arial" w:hAnsi="Arial" w:cs="Arial"/>
                <w:sz w:val="20"/>
                <w:szCs w:val="20"/>
              </w:rPr>
            </w:pPr>
            <w:r w:rsidRPr="00985A2D">
              <w:rPr>
                <w:rFonts w:ascii="Arial" w:hAnsi="Arial" w:cs="Arial"/>
                <w:sz w:val="20"/>
                <w:szCs w:val="20"/>
              </w:rPr>
              <w:t>Nacional</w:t>
            </w:r>
          </w:p>
        </w:tc>
        <w:tc>
          <w:tcPr>
            <w:tcW w:w="805" w:type="pct"/>
            <w:tcBorders>
              <w:top w:val="nil"/>
              <w:left w:val="nil"/>
              <w:bottom w:val="single" w:sz="8" w:space="0" w:color="3366CC"/>
              <w:right w:val="single" w:sz="8" w:space="0" w:color="3366CC"/>
            </w:tcBorders>
            <w:shd w:val="clear" w:color="auto" w:fill="auto"/>
            <w:noWrap/>
            <w:vAlign w:val="center"/>
            <w:hideMark/>
          </w:tcPr>
          <w:p w14:paraId="22CFB9CF" w14:textId="77777777" w:rsidR="0050455C" w:rsidRPr="00985A2D" w:rsidRDefault="0050455C" w:rsidP="0050455C">
            <w:pPr>
              <w:rPr>
                <w:rFonts w:ascii="Arial" w:hAnsi="Arial" w:cs="Arial"/>
                <w:sz w:val="20"/>
                <w:szCs w:val="20"/>
              </w:rPr>
            </w:pPr>
            <w:r w:rsidRPr="00985A2D">
              <w:rPr>
                <w:rFonts w:ascii="Arial" w:hAnsi="Arial" w:cs="Arial"/>
                <w:sz w:val="20"/>
                <w:szCs w:val="20"/>
              </w:rPr>
              <w:t>38,7%</w:t>
            </w:r>
          </w:p>
        </w:tc>
        <w:tc>
          <w:tcPr>
            <w:tcW w:w="805" w:type="pct"/>
            <w:tcBorders>
              <w:top w:val="nil"/>
              <w:left w:val="nil"/>
              <w:bottom w:val="single" w:sz="8" w:space="0" w:color="3366CC"/>
              <w:right w:val="single" w:sz="8" w:space="0" w:color="3366CC"/>
            </w:tcBorders>
            <w:shd w:val="clear" w:color="auto" w:fill="auto"/>
            <w:noWrap/>
            <w:vAlign w:val="center"/>
            <w:hideMark/>
          </w:tcPr>
          <w:p w14:paraId="16180CC6" w14:textId="77777777" w:rsidR="0050455C" w:rsidRPr="00985A2D" w:rsidRDefault="0050455C" w:rsidP="0050455C">
            <w:pPr>
              <w:rPr>
                <w:rFonts w:ascii="Arial" w:hAnsi="Arial" w:cs="Arial"/>
                <w:sz w:val="20"/>
                <w:szCs w:val="20"/>
              </w:rPr>
            </w:pPr>
            <w:r w:rsidRPr="00985A2D">
              <w:rPr>
                <w:rFonts w:ascii="Arial" w:hAnsi="Arial" w:cs="Arial"/>
                <w:sz w:val="20"/>
                <w:szCs w:val="20"/>
              </w:rPr>
              <w:t>39,7%</w:t>
            </w:r>
          </w:p>
        </w:tc>
        <w:tc>
          <w:tcPr>
            <w:tcW w:w="805" w:type="pct"/>
            <w:tcBorders>
              <w:top w:val="nil"/>
              <w:left w:val="nil"/>
              <w:bottom w:val="single" w:sz="8" w:space="0" w:color="3366CC"/>
              <w:right w:val="single" w:sz="8" w:space="0" w:color="3366CC"/>
            </w:tcBorders>
            <w:shd w:val="clear" w:color="auto" w:fill="auto"/>
            <w:noWrap/>
            <w:vAlign w:val="center"/>
            <w:hideMark/>
          </w:tcPr>
          <w:p w14:paraId="33AEC1DA" w14:textId="77777777" w:rsidR="0050455C" w:rsidRPr="00985A2D" w:rsidRDefault="0050455C" w:rsidP="0050455C">
            <w:pPr>
              <w:rPr>
                <w:rFonts w:ascii="Arial" w:hAnsi="Arial" w:cs="Arial"/>
                <w:sz w:val="20"/>
                <w:szCs w:val="20"/>
              </w:rPr>
            </w:pPr>
            <w:r w:rsidRPr="00985A2D">
              <w:rPr>
                <w:rFonts w:ascii="Arial" w:hAnsi="Arial" w:cs="Arial"/>
                <w:sz w:val="20"/>
                <w:szCs w:val="20"/>
              </w:rPr>
              <w:t>40,0%</w:t>
            </w:r>
          </w:p>
        </w:tc>
        <w:tc>
          <w:tcPr>
            <w:tcW w:w="805" w:type="pct"/>
            <w:tcBorders>
              <w:top w:val="nil"/>
              <w:left w:val="nil"/>
              <w:bottom w:val="single" w:sz="8" w:space="0" w:color="3366CC"/>
              <w:right w:val="single" w:sz="8" w:space="0" w:color="3366CC"/>
            </w:tcBorders>
            <w:shd w:val="clear" w:color="auto" w:fill="auto"/>
            <w:noWrap/>
            <w:vAlign w:val="center"/>
            <w:hideMark/>
          </w:tcPr>
          <w:p w14:paraId="524F8B55" w14:textId="77777777" w:rsidR="0050455C" w:rsidRPr="00985A2D" w:rsidRDefault="0050455C" w:rsidP="0050455C">
            <w:pPr>
              <w:rPr>
                <w:rFonts w:ascii="Arial" w:hAnsi="Arial" w:cs="Arial"/>
                <w:sz w:val="20"/>
                <w:szCs w:val="20"/>
              </w:rPr>
            </w:pPr>
            <w:r w:rsidRPr="00985A2D">
              <w:rPr>
                <w:rFonts w:ascii="Arial" w:hAnsi="Arial" w:cs="Arial"/>
                <w:sz w:val="20"/>
                <w:szCs w:val="20"/>
              </w:rPr>
              <w:t>39,7%</w:t>
            </w:r>
          </w:p>
        </w:tc>
      </w:tr>
    </w:tbl>
    <w:p w14:paraId="2F8D7348" w14:textId="77777777" w:rsidR="00CA41BE" w:rsidRPr="00985A2D" w:rsidRDefault="00CA41BE" w:rsidP="00985A2D">
      <w:pPr>
        <w:jc w:val="center"/>
        <w:rPr>
          <w:rStyle w:val="Referenciasutil"/>
          <w:rFonts w:ascii="Arial" w:hAnsi="Arial" w:cs="Arial"/>
          <w:sz w:val="16"/>
          <w:szCs w:val="16"/>
        </w:rPr>
      </w:pPr>
      <w:r w:rsidRPr="00985A2D">
        <w:rPr>
          <w:rStyle w:val="Referenciasutil"/>
          <w:rFonts w:ascii="Arial" w:hAnsi="Arial" w:cs="Arial"/>
          <w:sz w:val="16"/>
          <w:szCs w:val="16"/>
        </w:rPr>
        <w:t>Fuente: MEN (SNIES)</w:t>
      </w:r>
    </w:p>
    <w:p w14:paraId="7EC55206" w14:textId="348E11E2" w:rsidR="0050455C" w:rsidRPr="00985A2D" w:rsidRDefault="0050455C" w:rsidP="0050455C">
      <w:pPr>
        <w:rPr>
          <w:rFonts w:ascii="Arial" w:hAnsi="Arial" w:cs="Arial"/>
          <w:szCs w:val="22"/>
        </w:rPr>
      </w:pPr>
    </w:p>
    <w:p w14:paraId="01BAC33D" w14:textId="6BC02E14" w:rsidR="0050455C" w:rsidRPr="00985A2D" w:rsidRDefault="0050455C" w:rsidP="0050455C">
      <w:pPr>
        <w:rPr>
          <w:rFonts w:ascii="Arial" w:hAnsi="Arial" w:cs="Arial"/>
          <w:szCs w:val="22"/>
        </w:rPr>
      </w:pPr>
      <w:r w:rsidRPr="00985A2D">
        <w:rPr>
          <w:rFonts w:ascii="Arial" w:hAnsi="Arial" w:cs="Arial"/>
          <w:szCs w:val="22"/>
        </w:rPr>
        <w:t xml:space="preserve">En la siguiente tabla se observa que, de los 27 municipios del departamento, solamente 13 contaron con matrículas en IES en el año 2021. En la tasa de cobertura bruta, Manizales, en 2021, se posicionó como la primera en el desempeño de este indicador, seguida por la Dorada (42.8%) y Pensilvania (28.8%). En la tasa de tránsito inmediato, en 2021, </w:t>
      </w:r>
      <w:proofErr w:type="spellStart"/>
      <w:r w:rsidRPr="00985A2D">
        <w:rPr>
          <w:rFonts w:ascii="Arial" w:hAnsi="Arial" w:cs="Arial"/>
          <w:szCs w:val="22"/>
        </w:rPr>
        <w:t>Villamaría</w:t>
      </w:r>
      <w:proofErr w:type="spellEnd"/>
      <w:r w:rsidRPr="00985A2D">
        <w:rPr>
          <w:rFonts w:ascii="Arial" w:hAnsi="Arial" w:cs="Arial"/>
          <w:szCs w:val="22"/>
        </w:rPr>
        <w:t xml:space="preserve"> ocupó el primer lugar con 48,6%, seguida por Manizales (48,2%) y San José (38.9%).</w:t>
      </w:r>
    </w:p>
    <w:p w14:paraId="46B4B5B1" w14:textId="1DAB2E08" w:rsidR="0050455C" w:rsidRPr="00985A2D" w:rsidRDefault="0050455C" w:rsidP="0050455C">
      <w:pPr>
        <w:rPr>
          <w:rFonts w:ascii="Arial" w:hAnsi="Arial" w:cs="Arial"/>
          <w:szCs w:val="22"/>
        </w:rPr>
      </w:pPr>
    </w:p>
    <w:p w14:paraId="12B97C89" w14:textId="0C7A2A57" w:rsidR="0050455C" w:rsidRPr="00985A2D" w:rsidRDefault="0050455C" w:rsidP="001F4974">
      <w:pPr>
        <w:jc w:val="center"/>
        <w:rPr>
          <w:rFonts w:ascii="Arial" w:hAnsi="Arial" w:cs="Arial"/>
          <w:b/>
          <w:iCs/>
          <w:szCs w:val="22"/>
        </w:rPr>
      </w:pPr>
      <w:r w:rsidRPr="00985A2D">
        <w:rPr>
          <w:rFonts w:ascii="Arial" w:hAnsi="Arial" w:cs="Arial"/>
          <w:b/>
          <w:iCs/>
          <w:szCs w:val="22"/>
        </w:rPr>
        <w:t xml:space="preserve">Tabla </w:t>
      </w:r>
      <w:r w:rsidRPr="00985A2D">
        <w:rPr>
          <w:rFonts w:ascii="Arial" w:hAnsi="Arial" w:cs="Arial"/>
          <w:b/>
          <w:iCs/>
          <w:szCs w:val="22"/>
        </w:rPr>
        <w:fldChar w:fldCharType="begin"/>
      </w:r>
      <w:r w:rsidRPr="00985A2D">
        <w:rPr>
          <w:rFonts w:ascii="Arial" w:hAnsi="Arial" w:cs="Arial"/>
          <w:b/>
          <w:iCs/>
          <w:szCs w:val="22"/>
        </w:rPr>
        <w:instrText xml:space="preserve"> SEQ Tabla \* ARABIC </w:instrText>
      </w:r>
      <w:r w:rsidRPr="00985A2D">
        <w:rPr>
          <w:rFonts w:ascii="Arial" w:hAnsi="Arial" w:cs="Arial"/>
          <w:b/>
          <w:iCs/>
          <w:szCs w:val="22"/>
        </w:rPr>
        <w:fldChar w:fldCharType="separate"/>
      </w:r>
      <w:r w:rsidR="009F20F0">
        <w:rPr>
          <w:rFonts w:ascii="Arial" w:hAnsi="Arial" w:cs="Arial"/>
          <w:b/>
          <w:iCs/>
          <w:noProof/>
          <w:szCs w:val="22"/>
        </w:rPr>
        <w:t>5</w:t>
      </w:r>
      <w:r w:rsidRPr="00985A2D">
        <w:rPr>
          <w:rFonts w:ascii="Arial" w:hAnsi="Arial" w:cs="Arial"/>
          <w:szCs w:val="22"/>
        </w:rPr>
        <w:fldChar w:fldCharType="end"/>
      </w:r>
      <w:r w:rsidR="001F4974" w:rsidRPr="00985A2D">
        <w:rPr>
          <w:rFonts w:ascii="Arial" w:hAnsi="Arial" w:cs="Arial"/>
          <w:szCs w:val="22"/>
        </w:rPr>
        <w:t>.</w:t>
      </w:r>
      <w:r w:rsidRPr="00985A2D">
        <w:rPr>
          <w:rFonts w:ascii="Arial" w:hAnsi="Arial" w:cs="Arial"/>
          <w:b/>
          <w:iCs/>
          <w:szCs w:val="22"/>
        </w:rPr>
        <w:t xml:space="preserve"> Matrículas, tasa de cobertura bruta y de tránsito, según municipios de Caldas</w:t>
      </w:r>
    </w:p>
    <w:tbl>
      <w:tblPr>
        <w:tblW w:w="5000" w:type="pct"/>
        <w:tblCellMar>
          <w:left w:w="70" w:type="dxa"/>
          <w:right w:w="70" w:type="dxa"/>
        </w:tblCellMar>
        <w:tblLook w:val="04A0" w:firstRow="1" w:lastRow="0" w:firstColumn="1" w:lastColumn="0" w:noHBand="0" w:noVBand="1"/>
      </w:tblPr>
      <w:tblGrid>
        <w:gridCol w:w="2106"/>
        <w:gridCol w:w="2305"/>
        <w:gridCol w:w="2049"/>
        <w:gridCol w:w="2363"/>
      </w:tblGrid>
      <w:tr w:rsidR="001F4974" w:rsidRPr="00985A2D" w14:paraId="6A6D50EE" w14:textId="77777777" w:rsidTr="001F4974">
        <w:trPr>
          <w:trHeight w:val="20"/>
          <w:tblHeader/>
        </w:trPr>
        <w:tc>
          <w:tcPr>
            <w:tcW w:w="1193" w:type="pct"/>
            <w:tcBorders>
              <w:top w:val="single" w:sz="8" w:space="0" w:color="3366CC"/>
              <w:left w:val="single" w:sz="4" w:space="0" w:color="auto"/>
              <w:bottom w:val="single" w:sz="4" w:space="0" w:color="auto"/>
              <w:right w:val="single" w:sz="4" w:space="0" w:color="auto"/>
            </w:tcBorders>
            <w:shd w:val="clear" w:color="000000" w:fill="DDEBF7"/>
            <w:vAlign w:val="center"/>
            <w:hideMark/>
          </w:tcPr>
          <w:p w14:paraId="600C0F0D" w14:textId="77777777" w:rsidR="001F4974" w:rsidRPr="00985A2D" w:rsidRDefault="001F4974" w:rsidP="00D10898">
            <w:pPr>
              <w:rPr>
                <w:rFonts w:ascii="Arial" w:hAnsi="Arial" w:cs="Arial"/>
                <w:b/>
                <w:bCs/>
                <w:szCs w:val="22"/>
              </w:rPr>
            </w:pPr>
            <w:r w:rsidRPr="00985A2D">
              <w:rPr>
                <w:rFonts w:ascii="Arial" w:hAnsi="Arial" w:cs="Arial"/>
                <w:b/>
                <w:bCs/>
                <w:szCs w:val="22"/>
              </w:rPr>
              <w:t>Municipio</w:t>
            </w:r>
          </w:p>
        </w:tc>
        <w:tc>
          <w:tcPr>
            <w:tcW w:w="1306" w:type="pct"/>
            <w:tcBorders>
              <w:top w:val="single" w:sz="8" w:space="0" w:color="3366CC"/>
              <w:left w:val="nil"/>
              <w:bottom w:val="single" w:sz="4" w:space="0" w:color="auto"/>
              <w:right w:val="single" w:sz="8" w:space="0" w:color="3366CC"/>
            </w:tcBorders>
            <w:shd w:val="clear" w:color="000000" w:fill="DDEBF7"/>
            <w:vAlign w:val="center"/>
            <w:hideMark/>
          </w:tcPr>
          <w:p w14:paraId="49AA4841" w14:textId="77777777" w:rsidR="001F4974" w:rsidRPr="00985A2D" w:rsidRDefault="001F4974" w:rsidP="00D10898">
            <w:pPr>
              <w:jc w:val="center"/>
              <w:rPr>
                <w:rFonts w:ascii="Arial" w:hAnsi="Arial" w:cs="Arial"/>
                <w:b/>
                <w:bCs/>
                <w:szCs w:val="22"/>
              </w:rPr>
            </w:pPr>
            <w:r w:rsidRPr="00985A2D">
              <w:rPr>
                <w:rFonts w:ascii="Arial" w:hAnsi="Arial" w:cs="Arial"/>
                <w:b/>
                <w:bCs/>
                <w:szCs w:val="22"/>
              </w:rPr>
              <w:t>No. de matrículas</w:t>
            </w:r>
            <w:r w:rsidRPr="00985A2D">
              <w:rPr>
                <w:rFonts w:ascii="Arial" w:hAnsi="Arial" w:cs="Arial"/>
                <w:b/>
                <w:bCs/>
                <w:szCs w:val="22"/>
              </w:rPr>
              <w:br/>
              <w:t>2021</w:t>
            </w:r>
          </w:p>
        </w:tc>
        <w:tc>
          <w:tcPr>
            <w:tcW w:w="1161" w:type="pct"/>
            <w:tcBorders>
              <w:top w:val="single" w:sz="8" w:space="0" w:color="3366CC"/>
              <w:left w:val="nil"/>
              <w:bottom w:val="single" w:sz="4" w:space="0" w:color="auto"/>
              <w:right w:val="single" w:sz="8" w:space="0" w:color="3366CC"/>
            </w:tcBorders>
            <w:shd w:val="clear" w:color="000000" w:fill="DDEBF7"/>
            <w:vAlign w:val="center"/>
            <w:hideMark/>
          </w:tcPr>
          <w:p w14:paraId="24A2B9FC" w14:textId="77777777" w:rsidR="001F4974" w:rsidRPr="00985A2D" w:rsidRDefault="001F4974" w:rsidP="00D10898">
            <w:pPr>
              <w:jc w:val="center"/>
              <w:rPr>
                <w:rFonts w:ascii="Arial" w:hAnsi="Arial" w:cs="Arial"/>
                <w:b/>
                <w:bCs/>
                <w:szCs w:val="22"/>
              </w:rPr>
            </w:pPr>
            <w:r w:rsidRPr="00985A2D">
              <w:rPr>
                <w:rFonts w:ascii="Arial" w:hAnsi="Arial" w:cs="Arial"/>
                <w:b/>
                <w:bCs/>
                <w:szCs w:val="22"/>
              </w:rPr>
              <w:t>Tasa de cobertura bruta 2021</w:t>
            </w:r>
          </w:p>
        </w:tc>
        <w:tc>
          <w:tcPr>
            <w:tcW w:w="1339" w:type="pct"/>
            <w:tcBorders>
              <w:top w:val="single" w:sz="8" w:space="0" w:color="3366CC"/>
              <w:left w:val="single" w:sz="4" w:space="0" w:color="auto"/>
              <w:bottom w:val="single" w:sz="4" w:space="0" w:color="auto"/>
              <w:right w:val="single" w:sz="8" w:space="0" w:color="3366CC"/>
            </w:tcBorders>
            <w:shd w:val="clear" w:color="000000" w:fill="DDEBF7"/>
            <w:vAlign w:val="center"/>
            <w:hideMark/>
          </w:tcPr>
          <w:p w14:paraId="11C5C042" w14:textId="77777777" w:rsidR="001F4974" w:rsidRPr="00985A2D" w:rsidRDefault="001F4974" w:rsidP="00D10898">
            <w:pPr>
              <w:jc w:val="center"/>
              <w:rPr>
                <w:rFonts w:ascii="Arial" w:hAnsi="Arial" w:cs="Arial"/>
                <w:b/>
                <w:bCs/>
                <w:szCs w:val="22"/>
              </w:rPr>
            </w:pPr>
            <w:r w:rsidRPr="00985A2D">
              <w:rPr>
                <w:rFonts w:ascii="Arial" w:hAnsi="Arial" w:cs="Arial"/>
                <w:b/>
                <w:bCs/>
                <w:szCs w:val="22"/>
              </w:rPr>
              <w:t xml:space="preserve">Tasa de Tránsito Inmediato </w:t>
            </w:r>
            <w:r w:rsidRPr="00985A2D">
              <w:rPr>
                <w:rFonts w:ascii="Arial" w:hAnsi="Arial" w:cs="Arial"/>
                <w:b/>
                <w:bCs/>
                <w:szCs w:val="22"/>
              </w:rPr>
              <w:br/>
              <w:t>2021</w:t>
            </w:r>
          </w:p>
        </w:tc>
      </w:tr>
      <w:tr w:rsidR="001F4974" w:rsidRPr="00985A2D" w14:paraId="57733251"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7EC6BA0F" w14:textId="77777777" w:rsidR="001F4974" w:rsidRPr="00985A2D" w:rsidRDefault="001F4974" w:rsidP="00D10898">
            <w:pPr>
              <w:rPr>
                <w:rFonts w:ascii="Arial" w:hAnsi="Arial" w:cs="Arial"/>
                <w:szCs w:val="22"/>
              </w:rPr>
            </w:pPr>
            <w:r w:rsidRPr="00985A2D">
              <w:rPr>
                <w:rFonts w:ascii="Arial" w:hAnsi="Arial" w:cs="Arial"/>
                <w:szCs w:val="22"/>
              </w:rPr>
              <w:t>Manizales</w:t>
            </w:r>
          </w:p>
        </w:tc>
        <w:tc>
          <w:tcPr>
            <w:tcW w:w="1306" w:type="pct"/>
            <w:tcBorders>
              <w:top w:val="nil"/>
              <w:left w:val="nil"/>
              <w:bottom w:val="single" w:sz="4" w:space="0" w:color="auto"/>
              <w:right w:val="single" w:sz="8" w:space="0" w:color="3366CC"/>
            </w:tcBorders>
            <w:shd w:val="clear" w:color="auto" w:fill="auto"/>
            <w:noWrap/>
            <w:vAlign w:val="center"/>
            <w:hideMark/>
          </w:tcPr>
          <w:p w14:paraId="28DCDE77" w14:textId="77777777" w:rsidR="001F4974" w:rsidRPr="00985A2D" w:rsidRDefault="001F4974" w:rsidP="00D10898">
            <w:pPr>
              <w:jc w:val="center"/>
              <w:rPr>
                <w:rFonts w:ascii="Arial" w:hAnsi="Arial" w:cs="Arial"/>
                <w:szCs w:val="22"/>
              </w:rPr>
            </w:pPr>
            <w:r w:rsidRPr="00985A2D">
              <w:rPr>
                <w:rFonts w:ascii="Arial" w:hAnsi="Arial" w:cs="Arial"/>
                <w:szCs w:val="22"/>
              </w:rPr>
              <w:t>41.893</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3C4F4F60" w14:textId="77777777" w:rsidR="001F4974" w:rsidRPr="00985A2D" w:rsidRDefault="001F4974" w:rsidP="00D10898">
            <w:pPr>
              <w:jc w:val="center"/>
              <w:rPr>
                <w:rFonts w:ascii="Arial" w:hAnsi="Arial" w:cs="Arial"/>
                <w:szCs w:val="22"/>
              </w:rPr>
            </w:pPr>
            <w:r w:rsidRPr="00985A2D">
              <w:rPr>
                <w:rFonts w:ascii="Arial" w:hAnsi="Arial" w:cs="Arial"/>
                <w:szCs w:val="22"/>
              </w:rPr>
              <w:t>111,5%</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49A4EF0A" w14:textId="77777777" w:rsidR="001F4974" w:rsidRPr="00985A2D" w:rsidRDefault="001F4974" w:rsidP="00D10898">
            <w:pPr>
              <w:jc w:val="center"/>
              <w:rPr>
                <w:rFonts w:ascii="Arial" w:hAnsi="Arial" w:cs="Arial"/>
                <w:szCs w:val="22"/>
              </w:rPr>
            </w:pPr>
            <w:r w:rsidRPr="00985A2D">
              <w:rPr>
                <w:rFonts w:ascii="Arial" w:hAnsi="Arial" w:cs="Arial"/>
                <w:szCs w:val="22"/>
              </w:rPr>
              <w:t>48,2%</w:t>
            </w:r>
          </w:p>
        </w:tc>
      </w:tr>
      <w:tr w:rsidR="001F4974" w:rsidRPr="00985A2D" w14:paraId="5851C99E"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795E258A" w14:textId="77777777" w:rsidR="001F4974" w:rsidRPr="00985A2D" w:rsidRDefault="001F4974" w:rsidP="00D10898">
            <w:pPr>
              <w:rPr>
                <w:rFonts w:ascii="Arial" w:hAnsi="Arial" w:cs="Arial"/>
                <w:szCs w:val="22"/>
              </w:rPr>
            </w:pPr>
            <w:r w:rsidRPr="00985A2D">
              <w:rPr>
                <w:rFonts w:ascii="Arial" w:hAnsi="Arial" w:cs="Arial"/>
                <w:szCs w:val="22"/>
              </w:rPr>
              <w:t>Aguadas</w:t>
            </w:r>
          </w:p>
        </w:tc>
        <w:tc>
          <w:tcPr>
            <w:tcW w:w="1306" w:type="pct"/>
            <w:tcBorders>
              <w:top w:val="nil"/>
              <w:left w:val="nil"/>
              <w:bottom w:val="single" w:sz="4" w:space="0" w:color="auto"/>
              <w:right w:val="single" w:sz="8" w:space="0" w:color="3366CC"/>
            </w:tcBorders>
            <w:shd w:val="clear" w:color="auto" w:fill="auto"/>
            <w:noWrap/>
            <w:vAlign w:val="center"/>
            <w:hideMark/>
          </w:tcPr>
          <w:p w14:paraId="2BD3105A" w14:textId="77777777" w:rsidR="001F4974" w:rsidRPr="00985A2D" w:rsidRDefault="001F4974" w:rsidP="00D10898">
            <w:pPr>
              <w:jc w:val="center"/>
              <w:rPr>
                <w:rFonts w:ascii="Arial" w:hAnsi="Arial" w:cs="Arial"/>
                <w:szCs w:val="22"/>
              </w:rPr>
            </w:pPr>
            <w:r w:rsidRPr="00985A2D">
              <w:rPr>
                <w:rFonts w:ascii="Arial" w:hAnsi="Arial" w:cs="Arial"/>
                <w:szCs w:val="22"/>
              </w:rPr>
              <w:t>147</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5B2711DA" w14:textId="77777777" w:rsidR="001F4974" w:rsidRPr="00985A2D" w:rsidRDefault="001F4974" w:rsidP="00D10898">
            <w:pPr>
              <w:jc w:val="center"/>
              <w:rPr>
                <w:rFonts w:ascii="Arial" w:hAnsi="Arial" w:cs="Arial"/>
                <w:szCs w:val="22"/>
              </w:rPr>
            </w:pPr>
            <w:r w:rsidRPr="00985A2D">
              <w:rPr>
                <w:rFonts w:ascii="Arial" w:hAnsi="Arial" w:cs="Arial"/>
                <w:szCs w:val="22"/>
              </w:rPr>
              <w:t>9,4%</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04E4CB24" w14:textId="77777777" w:rsidR="001F4974" w:rsidRPr="00985A2D" w:rsidRDefault="001F4974" w:rsidP="00D10898">
            <w:pPr>
              <w:jc w:val="center"/>
              <w:rPr>
                <w:rFonts w:ascii="Arial" w:hAnsi="Arial" w:cs="Arial"/>
                <w:szCs w:val="22"/>
              </w:rPr>
            </w:pPr>
            <w:r w:rsidRPr="00985A2D">
              <w:rPr>
                <w:rFonts w:ascii="Arial" w:hAnsi="Arial" w:cs="Arial"/>
                <w:szCs w:val="22"/>
              </w:rPr>
              <w:t>19,8%</w:t>
            </w:r>
          </w:p>
        </w:tc>
      </w:tr>
      <w:tr w:rsidR="001F4974" w:rsidRPr="00985A2D" w14:paraId="31A42EF2"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54B08C50" w14:textId="77777777" w:rsidR="001F4974" w:rsidRPr="00985A2D" w:rsidRDefault="001F4974" w:rsidP="00D10898">
            <w:pPr>
              <w:rPr>
                <w:rFonts w:ascii="Arial" w:hAnsi="Arial" w:cs="Arial"/>
                <w:szCs w:val="22"/>
              </w:rPr>
            </w:pPr>
            <w:proofErr w:type="spellStart"/>
            <w:r w:rsidRPr="00985A2D">
              <w:rPr>
                <w:rFonts w:ascii="Arial" w:hAnsi="Arial" w:cs="Arial"/>
                <w:szCs w:val="22"/>
              </w:rPr>
              <w:t>Anserma</w:t>
            </w:r>
            <w:proofErr w:type="spellEnd"/>
          </w:p>
        </w:tc>
        <w:tc>
          <w:tcPr>
            <w:tcW w:w="1306" w:type="pct"/>
            <w:tcBorders>
              <w:top w:val="nil"/>
              <w:left w:val="nil"/>
              <w:bottom w:val="single" w:sz="4" w:space="0" w:color="auto"/>
              <w:right w:val="single" w:sz="8" w:space="0" w:color="3366CC"/>
            </w:tcBorders>
            <w:shd w:val="clear" w:color="auto" w:fill="auto"/>
            <w:noWrap/>
            <w:vAlign w:val="center"/>
            <w:hideMark/>
          </w:tcPr>
          <w:p w14:paraId="1403B1B5" w14:textId="77777777" w:rsidR="001F4974" w:rsidRPr="00985A2D" w:rsidRDefault="001F4974" w:rsidP="00D10898">
            <w:pPr>
              <w:jc w:val="center"/>
              <w:rPr>
                <w:rFonts w:ascii="Arial" w:hAnsi="Arial" w:cs="Arial"/>
                <w:szCs w:val="22"/>
              </w:rPr>
            </w:pPr>
            <w:r w:rsidRPr="00985A2D">
              <w:rPr>
                <w:rFonts w:ascii="Arial" w:hAnsi="Arial" w:cs="Arial"/>
                <w:szCs w:val="22"/>
              </w:rPr>
              <w:t>222</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6CC51BA8" w14:textId="77777777" w:rsidR="001F4974" w:rsidRPr="00985A2D" w:rsidRDefault="001F4974" w:rsidP="00D10898">
            <w:pPr>
              <w:jc w:val="center"/>
              <w:rPr>
                <w:rFonts w:ascii="Arial" w:hAnsi="Arial" w:cs="Arial"/>
                <w:szCs w:val="22"/>
              </w:rPr>
            </w:pPr>
            <w:r w:rsidRPr="00985A2D">
              <w:rPr>
                <w:rFonts w:ascii="Arial" w:hAnsi="Arial" w:cs="Arial"/>
                <w:szCs w:val="22"/>
              </w:rPr>
              <w:t>8,6%</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60C2F0FE" w14:textId="77777777" w:rsidR="001F4974" w:rsidRPr="00985A2D" w:rsidRDefault="001F4974" w:rsidP="00D10898">
            <w:pPr>
              <w:jc w:val="center"/>
              <w:rPr>
                <w:rFonts w:ascii="Arial" w:hAnsi="Arial" w:cs="Arial"/>
                <w:szCs w:val="22"/>
              </w:rPr>
            </w:pPr>
            <w:r w:rsidRPr="00985A2D">
              <w:rPr>
                <w:rFonts w:ascii="Arial" w:hAnsi="Arial" w:cs="Arial"/>
                <w:szCs w:val="22"/>
              </w:rPr>
              <w:t>21,0%</w:t>
            </w:r>
          </w:p>
        </w:tc>
      </w:tr>
      <w:tr w:rsidR="001F4974" w:rsidRPr="00985A2D" w14:paraId="14AA8E25"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02A9B842" w14:textId="77777777" w:rsidR="001F4974" w:rsidRPr="00985A2D" w:rsidRDefault="001F4974" w:rsidP="00D10898">
            <w:pPr>
              <w:rPr>
                <w:rFonts w:ascii="Arial" w:hAnsi="Arial" w:cs="Arial"/>
                <w:szCs w:val="22"/>
              </w:rPr>
            </w:pPr>
            <w:proofErr w:type="spellStart"/>
            <w:r w:rsidRPr="00985A2D">
              <w:rPr>
                <w:rFonts w:ascii="Arial" w:hAnsi="Arial" w:cs="Arial"/>
                <w:szCs w:val="22"/>
              </w:rPr>
              <w:t>Aranzazu</w:t>
            </w:r>
            <w:proofErr w:type="spellEnd"/>
          </w:p>
        </w:tc>
        <w:tc>
          <w:tcPr>
            <w:tcW w:w="1306" w:type="pct"/>
            <w:tcBorders>
              <w:top w:val="nil"/>
              <w:left w:val="nil"/>
              <w:bottom w:val="single" w:sz="4" w:space="0" w:color="auto"/>
              <w:right w:val="single" w:sz="8" w:space="0" w:color="3366CC"/>
            </w:tcBorders>
            <w:shd w:val="clear" w:color="auto" w:fill="auto"/>
            <w:noWrap/>
            <w:vAlign w:val="center"/>
            <w:hideMark/>
          </w:tcPr>
          <w:p w14:paraId="440E743F" w14:textId="77777777" w:rsidR="001F4974" w:rsidRPr="00985A2D" w:rsidRDefault="001F4974" w:rsidP="00D10898">
            <w:pPr>
              <w:jc w:val="center"/>
              <w:rPr>
                <w:rFonts w:ascii="Arial" w:hAnsi="Arial" w:cs="Arial"/>
                <w:szCs w:val="22"/>
              </w:rPr>
            </w:pPr>
            <w:r w:rsidRPr="00985A2D">
              <w:rPr>
                <w:rFonts w:ascii="Arial" w:hAnsi="Arial" w:cs="Arial"/>
                <w:szCs w:val="22"/>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798E7E89" w14:textId="77777777" w:rsidR="001F4974" w:rsidRPr="00985A2D" w:rsidRDefault="001F4974" w:rsidP="00D10898">
            <w:pPr>
              <w:jc w:val="center"/>
              <w:rPr>
                <w:rFonts w:ascii="Arial" w:hAnsi="Arial" w:cs="Arial"/>
                <w:szCs w:val="22"/>
              </w:rPr>
            </w:pPr>
            <w:r w:rsidRPr="00985A2D">
              <w:rPr>
                <w:rFonts w:ascii="Arial" w:hAnsi="Arial" w:cs="Arial"/>
                <w:szCs w:val="22"/>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6A9942F5" w14:textId="77777777" w:rsidR="001F4974" w:rsidRPr="00985A2D" w:rsidRDefault="001F4974" w:rsidP="00D10898">
            <w:pPr>
              <w:jc w:val="center"/>
              <w:rPr>
                <w:rFonts w:ascii="Arial" w:hAnsi="Arial" w:cs="Arial"/>
                <w:szCs w:val="22"/>
              </w:rPr>
            </w:pPr>
            <w:r w:rsidRPr="00985A2D">
              <w:rPr>
                <w:rFonts w:ascii="Arial" w:hAnsi="Arial" w:cs="Arial"/>
                <w:szCs w:val="22"/>
              </w:rPr>
              <w:t>8,8%</w:t>
            </w:r>
          </w:p>
        </w:tc>
      </w:tr>
      <w:tr w:rsidR="001F4974" w:rsidRPr="00985A2D" w14:paraId="53DF08BF"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6E1BCC73" w14:textId="77777777" w:rsidR="001F4974" w:rsidRPr="00985A2D" w:rsidRDefault="001F4974" w:rsidP="00D10898">
            <w:pPr>
              <w:rPr>
                <w:rFonts w:ascii="Arial" w:hAnsi="Arial" w:cs="Arial"/>
                <w:szCs w:val="22"/>
              </w:rPr>
            </w:pPr>
            <w:proofErr w:type="spellStart"/>
            <w:r w:rsidRPr="00985A2D">
              <w:rPr>
                <w:rFonts w:ascii="Arial" w:hAnsi="Arial" w:cs="Arial"/>
                <w:szCs w:val="22"/>
              </w:rPr>
              <w:t>Belalcázar</w:t>
            </w:r>
            <w:proofErr w:type="spellEnd"/>
          </w:p>
        </w:tc>
        <w:tc>
          <w:tcPr>
            <w:tcW w:w="1306" w:type="pct"/>
            <w:tcBorders>
              <w:top w:val="nil"/>
              <w:left w:val="nil"/>
              <w:bottom w:val="single" w:sz="4" w:space="0" w:color="auto"/>
              <w:right w:val="single" w:sz="8" w:space="0" w:color="3366CC"/>
            </w:tcBorders>
            <w:shd w:val="clear" w:color="auto" w:fill="auto"/>
            <w:noWrap/>
            <w:vAlign w:val="center"/>
            <w:hideMark/>
          </w:tcPr>
          <w:p w14:paraId="3B7F3BA8" w14:textId="77777777" w:rsidR="001F4974" w:rsidRPr="00985A2D" w:rsidRDefault="001F4974" w:rsidP="00D10898">
            <w:pPr>
              <w:jc w:val="center"/>
              <w:rPr>
                <w:rFonts w:ascii="Arial" w:hAnsi="Arial" w:cs="Arial"/>
                <w:szCs w:val="22"/>
              </w:rPr>
            </w:pPr>
            <w:r w:rsidRPr="00985A2D">
              <w:rPr>
                <w:rFonts w:ascii="Arial" w:hAnsi="Arial" w:cs="Arial"/>
                <w:szCs w:val="22"/>
              </w:rPr>
              <w:t>68</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1B207AD1" w14:textId="77777777" w:rsidR="001F4974" w:rsidRPr="00985A2D" w:rsidRDefault="001F4974" w:rsidP="00D10898">
            <w:pPr>
              <w:jc w:val="center"/>
              <w:rPr>
                <w:rFonts w:ascii="Arial" w:hAnsi="Arial" w:cs="Arial"/>
                <w:szCs w:val="22"/>
              </w:rPr>
            </w:pPr>
            <w:r w:rsidRPr="00985A2D">
              <w:rPr>
                <w:rFonts w:ascii="Arial" w:hAnsi="Arial" w:cs="Arial"/>
                <w:szCs w:val="22"/>
              </w:rPr>
              <w:t>8,5%</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48147526" w14:textId="77777777" w:rsidR="001F4974" w:rsidRPr="00985A2D" w:rsidRDefault="001F4974" w:rsidP="00D10898">
            <w:pPr>
              <w:jc w:val="center"/>
              <w:rPr>
                <w:rFonts w:ascii="Arial" w:hAnsi="Arial" w:cs="Arial"/>
                <w:szCs w:val="22"/>
              </w:rPr>
            </w:pPr>
            <w:r w:rsidRPr="00985A2D">
              <w:rPr>
                <w:rFonts w:ascii="Arial" w:hAnsi="Arial" w:cs="Arial"/>
                <w:szCs w:val="22"/>
              </w:rPr>
              <w:t>31,0%</w:t>
            </w:r>
          </w:p>
        </w:tc>
      </w:tr>
      <w:tr w:rsidR="001F4974" w:rsidRPr="00985A2D" w14:paraId="18843EA0"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2E5F6E57" w14:textId="77777777" w:rsidR="001F4974" w:rsidRPr="00985A2D" w:rsidRDefault="001F4974" w:rsidP="00D10898">
            <w:pPr>
              <w:rPr>
                <w:rFonts w:ascii="Arial" w:hAnsi="Arial" w:cs="Arial"/>
                <w:szCs w:val="22"/>
              </w:rPr>
            </w:pPr>
            <w:r w:rsidRPr="00985A2D">
              <w:rPr>
                <w:rFonts w:ascii="Arial" w:hAnsi="Arial" w:cs="Arial"/>
                <w:szCs w:val="22"/>
              </w:rPr>
              <w:t>Chinchiná</w:t>
            </w:r>
          </w:p>
        </w:tc>
        <w:tc>
          <w:tcPr>
            <w:tcW w:w="1306" w:type="pct"/>
            <w:tcBorders>
              <w:top w:val="nil"/>
              <w:left w:val="nil"/>
              <w:bottom w:val="single" w:sz="4" w:space="0" w:color="auto"/>
              <w:right w:val="single" w:sz="8" w:space="0" w:color="3366CC"/>
            </w:tcBorders>
            <w:shd w:val="clear" w:color="auto" w:fill="auto"/>
            <w:noWrap/>
            <w:vAlign w:val="center"/>
            <w:hideMark/>
          </w:tcPr>
          <w:p w14:paraId="1E18C91D" w14:textId="77777777" w:rsidR="001F4974" w:rsidRPr="00985A2D" w:rsidRDefault="001F4974" w:rsidP="00D10898">
            <w:pPr>
              <w:jc w:val="center"/>
              <w:rPr>
                <w:rFonts w:ascii="Arial" w:hAnsi="Arial" w:cs="Arial"/>
                <w:szCs w:val="22"/>
              </w:rPr>
            </w:pPr>
            <w:r w:rsidRPr="00985A2D">
              <w:rPr>
                <w:rFonts w:ascii="Arial" w:hAnsi="Arial" w:cs="Arial"/>
                <w:szCs w:val="22"/>
              </w:rPr>
              <w:t>686</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37E81848" w14:textId="77777777" w:rsidR="001F4974" w:rsidRPr="00985A2D" w:rsidRDefault="001F4974" w:rsidP="00D10898">
            <w:pPr>
              <w:jc w:val="center"/>
              <w:rPr>
                <w:rFonts w:ascii="Arial" w:hAnsi="Arial" w:cs="Arial"/>
                <w:szCs w:val="22"/>
              </w:rPr>
            </w:pPr>
            <w:r w:rsidRPr="00985A2D">
              <w:rPr>
                <w:rFonts w:ascii="Arial" w:hAnsi="Arial" w:cs="Arial"/>
                <w:szCs w:val="22"/>
              </w:rPr>
              <w:t>17,6%</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5DF84537" w14:textId="77777777" w:rsidR="001F4974" w:rsidRPr="00985A2D" w:rsidRDefault="001F4974" w:rsidP="00D10898">
            <w:pPr>
              <w:jc w:val="center"/>
              <w:rPr>
                <w:rFonts w:ascii="Arial" w:hAnsi="Arial" w:cs="Arial"/>
                <w:szCs w:val="22"/>
              </w:rPr>
            </w:pPr>
            <w:r w:rsidRPr="00985A2D">
              <w:rPr>
                <w:rFonts w:ascii="Arial" w:hAnsi="Arial" w:cs="Arial"/>
                <w:szCs w:val="22"/>
              </w:rPr>
              <w:t>37,6%</w:t>
            </w:r>
          </w:p>
        </w:tc>
      </w:tr>
      <w:tr w:rsidR="001F4974" w:rsidRPr="00985A2D" w14:paraId="7AAA0531"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24634C54" w14:textId="77777777" w:rsidR="001F4974" w:rsidRPr="00985A2D" w:rsidRDefault="001F4974" w:rsidP="00D10898">
            <w:pPr>
              <w:rPr>
                <w:rFonts w:ascii="Arial" w:hAnsi="Arial" w:cs="Arial"/>
                <w:szCs w:val="22"/>
              </w:rPr>
            </w:pPr>
            <w:r w:rsidRPr="00985A2D">
              <w:rPr>
                <w:rFonts w:ascii="Arial" w:hAnsi="Arial" w:cs="Arial"/>
                <w:szCs w:val="22"/>
              </w:rPr>
              <w:t>Filadelfia</w:t>
            </w:r>
          </w:p>
        </w:tc>
        <w:tc>
          <w:tcPr>
            <w:tcW w:w="1306" w:type="pct"/>
            <w:tcBorders>
              <w:top w:val="nil"/>
              <w:left w:val="nil"/>
              <w:bottom w:val="single" w:sz="4" w:space="0" w:color="auto"/>
              <w:right w:val="single" w:sz="8" w:space="0" w:color="3366CC"/>
            </w:tcBorders>
            <w:shd w:val="clear" w:color="auto" w:fill="auto"/>
            <w:noWrap/>
            <w:vAlign w:val="center"/>
            <w:hideMark/>
          </w:tcPr>
          <w:p w14:paraId="107401F1" w14:textId="77777777" w:rsidR="001F4974" w:rsidRPr="00985A2D" w:rsidRDefault="001F4974" w:rsidP="00D10898">
            <w:pPr>
              <w:jc w:val="center"/>
              <w:rPr>
                <w:rFonts w:ascii="Arial" w:hAnsi="Arial" w:cs="Arial"/>
                <w:szCs w:val="22"/>
              </w:rPr>
            </w:pPr>
            <w:r w:rsidRPr="00985A2D">
              <w:rPr>
                <w:rFonts w:ascii="Arial" w:hAnsi="Arial" w:cs="Arial"/>
                <w:szCs w:val="22"/>
              </w:rPr>
              <w:t>17</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4D7B42B5" w14:textId="77777777" w:rsidR="001F4974" w:rsidRPr="00985A2D" w:rsidRDefault="001F4974" w:rsidP="00D10898">
            <w:pPr>
              <w:jc w:val="center"/>
              <w:rPr>
                <w:rFonts w:ascii="Arial" w:hAnsi="Arial" w:cs="Arial"/>
                <w:szCs w:val="22"/>
              </w:rPr>
            </w:pPr>
            <w:r w:rsidRPr="00985A2D">
              <w:rPr>
                <w:rFonts w:ascii="Arial" w:hAnsi="Arial" w:cs="Arial"/>
                <w:szCs w:val="22"/>
              </w:rPr>
              <w:t>2,2%</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0CBAF086" w14:textId="77777777" w:rsidR="001F4974" w:rsidRPr="00985A2D" w:rsidRDefault="001F4974" w:rsidP="00D10898">
            <w:pPr>
              <w:jc w:val="center"/>
              <w:rPr>
                <w:rFonts w:ascii="Arial" w:hAnsi="Arial" w:cs="Arial"/>
                <w:szCs w:val="22"/>
              </w:rPr>
            </w:pPr>
            <w:r w:rsidRPr="00985A2D">
              <w:rPr>
                <w:rFonts w:ascii="Arial" w:hAnsi="Arial" w:cs="Arial"/>
                <w:szCs w:val="22"/>
              </w:rPr>
              <w:t>22,6%</w:t>
            </w:r>
          </w:p>
        </w:tc>
      </w:tr>
      <w:tr w:rsidR="001F4974" w:rsidRPr="00985A2D" w14:paraId="47A5A2C2"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679611B3" w14:textId="77777777" w:rsidR="001F4974" w:rsidRPr="00985A2D" w:rsidRDefault="001F4974" w:rsidP="00D10898">
            <w:pPr>
              <w:rPr>
                <w:rFonts w:ascii="Arial" w:hAnsi="Arial" w:cs="Arial"/>
                <w:szCs w:val="22"/>
              </w:rPr>
            </w:pPr>
            <w:r w:rsidRPr="00985A2D">
              <w:rPr>
                <w:rFonts w:ascii="Arial" w:hAnsi="Arial" w:cs="Arial"/>
                <w:szCs w:val="22"/>
              </w:rPr>
              <w:t>La Dorada</w:t>
            </w:r>
          </w:p>
        </w:tc>
        <w:tc>
          <w:tcPr>
            <w:tcW w:w="1306" w:type="pct"/>
            <w:tcBorders>
              <w:top w:val="nil"/>
              <w:left w:val="nil"/>
              <w:bottom w:val="single" w:sz="4" w:space="0" w:color="auto"/>
              <w:right w:val="single" w:sz="8" w:space="0" w:color="3366CC"/>
            </w:tcBorders>
            <w:shd w:val="clear" w:color="auto" w:fill="auto"/>
            <w:noWrap/>
            <w:vAlign w:val="center"/>
            <w:hideMark/>
          </w:tcPr>
          <w:p w14:paraId="0331E542" w14:textId="77777777" w:rsidR="001F4974" w:rsidRPr="00985A2D" w:rsidRDefault="001F4974" w:rsidP="00D10898">
            <w:pPr>
              <w:jc w:val="center"/>
              <w:rPr>
                <w:rFonts w:ascii="Arial" w:hAnsi="Arial" w:cs="Arial"/>
                <w:szCs w:val="22"/>
              </w:rPr>
            </w:pPr>
            <w:r w:rsidRPr="00985A2D">
              <w:rPr>
                <w:rFonts w:ascii="Arial" w:hAnsi="Arial" w:cs="Arial"/>
                <w:szCs w:val="22"/>
              </w:rPr>
              <w:t>2.366</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2C34D7AA" w14:textId="77777777" w:rsidR="001F4974" w:rsidRPr="00985A2D" w:rsidRDefault="001F4974" w:rsidP="00D10898">
            <w:pPr>
              <w:jc w:val="center"/>
              <w:rPr>
                <w:rFonts w:ascii="Arial" w:hAnsi="Arial" w:cs="Arial"/>
                <w:szCs w:val="22"/>
              </w:rPr>
            </w:pPr>
            <w:r w:rsidRPr="00985A2D">
              <w:rPr>
                <w:rFonts w:ascii="Arial" w:hAnsi="Arial" w:cs="Arial"/>
                <w:szCs w:val="22"/>
              </w:rPr>
              <w:t>42,8%</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02426191" w14:textId="77777777" w:rsidR="001F4974" w:rsidRPr="00985A2D" w:rsidRDefault="001F4974" w:rsidP="00D10898">
            <w:pPr>
              <w:jc w:val="center"/>
              <w:rPr>
                <w:rFonts w:ascii="Arial" w:hAnsi="Arial" w:cs="Arial"/>
                <w:szCs w:val="22"/>
              </w:rPr>
            </w:pPr>
            <w:r w:rsidRPr="00985A2D">
              <w:rPr>
                <w:rFonts w:ascii="Arial" w:hAnsi="Arial" w:cs="Arial"/>
                <w:szCs w:val="22"/>
              </w:rPr>
              <w:t>32,4%</w:t>
            </w:r>
          </w:p>
        </w:tc>
      </w:tr>
      <w:tr w:rsidR="001F4974" w:rsidRPr="00985A2D" w14:paraId="5EB4F4D6"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3861D754" w14:textId="77777777" w:rsidR="001F4974" w:rsidRPr="00985A2D" w:rsidRDefault="001F4974" w:rsidP="00D10898">
            <w:pPr>
              <w:rPr>
                <w:rFonts w:ascii="Arial" w:hAnsi="Arial" w:cs="Arial"/>
                <w:szCs w:val="22"/>
              </w:rPr>
            </w:pPr>
            <w:r w:rsidRPr="00985A2D">
              <w:rPr>
                <w:rFonts w:ascii="Arial" w:hAnsi="Arial" w:cs="Arial"/>
                <w:szCs w:val="22"/>
              </w:rPr>
              <w:t>La Merced</w:t>
            </w:r>
          </w:p>
        </w:tc>
        <w:tc>
          <w:tcPr>
            <w:tcW w:w="1306" w:type="pct"/>
            <w:tcBorders>
              <w:top w:val="nil"/>
              <w:left w:val="nil"/>
              <w:bottom w:val="single" w:sz="4" w:space="0" w:color="auto"/>
              <w:right w:val="single" w:sz="8" w:space="0" w:color="3366CC"/>
            </w:tcBorders>
            <w:shd w:val="clear" w:color="auto" w:fill="auto"/>
            <w:noWrap/>
            <w:vAlign w:val="center"/>
            <w:hideMark/>
          </w:tcPr>
          <w:p w14:paraId="1C8E7CBF" w14:textId="77777777" w:rsidR="001F4974" w:rsidRPr="00985A2D" w:rsidRDefault="001F4974" w:rsidP="00D10898">
            <w:pPr>
              <w:jc w:val="center"/>
              <w:rPr>
                <w:rFonts w:ascii="Arial" w:hAnsi="Arial" w:cs="Arial"/>
                <w:szCs w:val="22"/>
              </w:rPr>
            </w:pPr>
            <w:r w:rsidRPr="00985A2D">
              <w:rPr>
                <w:rFonts w:ascii="Arial" w:hAnsi="Arial" w:cs="Arial"/>
                <w:szCs w:val="22"/>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21546CF4" w14:textId="77777777" w:rsidR="001F4974" w:rsidRPr="00985A2D" w:rsidRDefault="001F4974" w:rsidP="00D10898">
            <w:pPr>
              <w:jc w:val="center"/>
              <w:rPr>
                <w:rFonts w:ascii="Arial" w:hAnsi="Arial" w:cs="Arial"/>
                <w:szCs w:val="22"/>
              </w:rPr>
            </w:pPr>
            <w:r w:rsidRPr="00985A2D">
              <w:rPr>
                <w:rFonts w:ascii="Arial" w:hAnsi="Arial" w:cs="Arial"/>
                <w:szCs w:val="22"/>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3EE47DA5" w14:textId="77777777" w:rsidR="001F4974" w:rsidRPr="00985A2D" w:rsidRDefault="001F4974" w:rsidP="00D10898">
            <w:pPr>
              <w:jc w:val="center"/>
              <w:rPr>
                <w:rFonts w:ascii="Arial" w:hAnsi="Arial" w:cs="Arial"/>
                <w:szCs w:val="22"/>
              </w:rPr>
            </w:pPr>
            <w:r w:rsidRPr="00985A2D">
              <w:rPr>
                <w:rFonts w:ascii="Arial" w:hAnsi="Arial" w:cs="Arial"/>
                <w:szCs w:val="22"/>
              </w:rPr>
              <w:t>12,3%</w:t>
            </w:r>
          </w:p>
        </w:tc>
      </w:tr>
      <w:tr w:rsidR="001F4974" w:rsidRPr="00985A2D" w14:paraId="12252628"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5F21A409" w14:textId="77777777" w:rsidR="001F4974" w:rsidRPr="00985A2D" w:rsidRDefault="001F4974" w:rsidP="00D10898">
            <w:pPr>
              <w:rPr>
                <w:rFonts w:ascii="Arial" w:hAnsi="Arial" w:cs="Arial"/>
                <w:szCs w:val="22"/>
              </w:rPr>
            </w:pPr>
            <w:r w:rsidRPr="00985A2D">
              <w:rPr>
                <w:rFonts w:ascii="Arial" w:hAnsi="Arial" w:cs="Arial"/>
                <w:szCs w:val="22"/>
              </w:rPr>
              <w:t>Manzanares</w:t>
            </w:r>
          </w:p>
        </w:tc>
        <w:tc>
          <w:tcPr>
            <w:tcW w:w="1306" w:type="pct"/>
            <w:tcBorders>
              <w:top w:val="nil"/>
              <w:left w:val="nil"/>
              <w:bottom w:val="single" w:sz="4" w:space="0" w:color="auto"/>
              <w:right w:val="single" w:sz="8" w:space="0" w:color="3366CC"/>
            </w:tcBorders>
            <w:shd w:val="clear" w:color="auto" w:fill="auto"/>
            <w:noWrap/>
            <w:vAlign w:val="center"/>
            <w:hideMark/>
          </w:tcPr>
          <w:p w14:paraId="289ED57F" w14:textId="77777777" w:rsidR="001F4974" w:rsidRPr="00985A2D" w:rsidRDefault="001F4974" w:rsidP="00D10898">
            <w:pPr>
              <w:jc w:val="center"/>
              <w:rPr>
                <w:rFonts w:ascii="Arial" w:hAnsi="Arial" w:cs="Arial"/>
                <w:szCs w:val="22"/>
              </w:rPr>
            </w:pPr>
            <w:r w:rsidRPr="00985A2D">
              <w:rPr>
                <w:rFonts w:ascii="Arial" w:hAnsi="Arial" w:cs="Arial"/>
                <w:szCs w:val="22"/>
              </w:rPr>
              <w:t>94</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70713603" w14:textId="77777777" w:rsidR="001F4974" w:rsidRPr="00985A2D" w:rsidRDefault="001F4974" w:rsidP="00D10898">
            <w:pPr>
              <w:jc w:val="center"/>
              <w:rPr>
                <w:rFonts w:ascii="Arial" w:hAnsi="Arial" w:cs="Arial"/>
                <w:szCs w:val="22"/>
              </w:rPr>
            </w:pPr>
            <w:r w:rsidRPr="00985A2D">
              <w:rPr>
                <w:rFonts w:ascii="Arial" w:hAnsi="Arial" w:cs="Arial"/>
                <w:szCs w:val="22"/>
              </w:rPr>
              <w:t>7,3%</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4231F8DE" w14:textId="77777777" w:rsidR="001F4974" w:rsidRPr="00985A2D" w:rsidRDefault="001F4974" w:rsidP="00D10898">
            <w:pPr>
              <w:jc w:val="center"/>
              <w:rPr>
                <w:rFonts w:ascii="Arial" w:hAnsi="Arial" w:cs="Arial"/>
                <w:szCs w:val="22"/>
              </w:rPr>
            </w:pPr>
            <w:r w:rsidRPr="00985A2D">
              <w:rPr>
                <w:rFonts w:ascii="Arial" w:hAnsi="Arial" w:cs="Arial"/>
                <w:szCs w:val="22"/>
              </w:rPr>
              <w:t>22,8%</w:t>
            </w:r>
          </w:p>
        </w:tc>
      </w:tr>
      <w:tr w:rsidR="001F4974" w:rsidRPr="00985A2D" w14:paraId="1CB43920"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36358747" w14:textId="77777777" w:rsidR="001F4974" w:rsidRPr="00985A2D" w:rsidRDefault="001F4974" w:rsidP="00D10898">
            <w:pPr>
              <w:rPr>
                <w:rFonts w:ascii="Arial" w:hAnsi="Arial" w:cs="Arial"/>
                <w:szCs w:val="22"/>
              </w:rPr>
            </w:pPr>
            <w:proofErr w:type="spellStart"/>
            <w:r w:rsidRPr="00985A2D">
              <w:rPr>
                <w:rFonts w:ascii="Arial" w:hAnsi="Arial" w:cs="Arial"/>
                <w:szCs w:val="22"/>
              </w:rPr>
              <w:t>Marmato</w:t>
            </w:r>
            <w:proofErr w:type="spellEnd"/>
          </w:p>
        </w:tc>
        <w:tc>
          <w:tcPr>
            <w:tcW w:w="1306" w:type="pct"/>
            <w:tcBorders>
              <w:top w:val="nil"/>
              <w:left w:val="nil"/>
              <w:bottom w:val="single" w:sz="4" w:space="0" w:color="auto"/>
              <w:right w:val="single" w:sz="8" w:space="0" w:color="3366CC"/>
            </w:tcBorders>
            <w:shd w:val="clear" w:color="auto" w:fill="auto"/>
            <w:noWrap/>
            <w:vAlign w:val="center"/>
            <w:hideMark/>
          </w:tcPr>
          <w:p w14:paraId="3E9371DB" w14:textId="77777777" w:rsidR="001F4974" w:rsidRPr="00985A2D" w:rsidRDefault="001F4974" w:rsidP="00D10898">
            <w:pPr>
              <w:jc w:val="center"/>
              <w:rPr>
                <w:rFonts w:ascii="Arial" w:hAnsi="Arial" w:cs="Arial"/>
                <w:szCs w:val="22"/>
              </w:rPr>
            </w:pPr>
            <w:r w:rsidRPr="00985A2D">
              <w:rPr>
                <w:rFonts w:ascii="Arial" w:hAnsi="Arial" w:cs="Arial"/>
                <w:szCs w:val="22"/>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3983A7D7" w14:textId="77777777" w:rsidR="001F4974" w:rsidRPr="00985A2D" w:rsidRDefault="001F4974" w:rsidP="00D10898">
            <w:pPr>
              <w:jc w:val="center"/>
              <w:rPr>
                <w:rFonts w:ascii="Arial" w:hAnsi="Arial" w:cs="Arial"/>
                <w:szCs w:val="22"/>
              </w:rPr>
            </w:pPr>
            <w:r w:rsidRPr="00985A2D">
              <w:rPr>
                <w:rFonts w:ascii="Arial" w:hAnsi="Arial" w:cs="Arial"/>
                <w:szCs w:val="22"/>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0ACAAF50" w14:textId="77777777" w:rsidR="001F4974" w:rsidRPr="00985A2D" w:rsidRDefault="001F4974" w:rsidP="00D10898">
            <w:pPr>
              <w:jc w:val="center"/>
              <w:rPr>
                <w:rFonts w:ascii="Arial" w:hAnsi="Arial" w:cs="Arial"/>
                <w:szCs w:val="22"/>
              </w:rPr>
            </w:pPr>
            <w:r w:rsidRPr="00985A2D">
              <w:rPr>
                <w:rFonts w:ascii="Arial" w:hAnsi="Arial" w:cs="Arial"/>
                <w:szCs w:val="22"/>
              </w:rPr>
              <w:t>17,4%</w:t>
            </w:r>
          </w:p>
        </w:tc>
      </w:tr>
      <w:tr w:rsidR="001F4974" w:rsidRPr="00985A2D" w14:paraId="741D7FC4"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490048C8" w14:textId="77777777" w:rsidR="001F4974" w:rsidRPr="00985A2D" w:rsidRDefault="001F4974" w:rsidP="00D10898">
            <w:pPr>
              <w:rPr>
                <w:rFonts w:ascii="Arial" w:hAnsi="Arial" w:cs="Arial"/>
                <w:szCs w:val="22"/>
              </w:rPr>
            </w:pPr>
            <w:proofErr w:type="spellStart"/>
            <w:r w:rsidRPr="00985A2D">
              <w:rPr>
                <w:rFonts w:ascii="Arial" w:hAnsi="Arial" w:cs="Arial"/>
                <w:szCs w:val="22"/>
              </w:rPr>
              <w:lastRenderedPageBreak/>
              <w:t>Marquetalia</w:t>
            </w:r>
            <w:proofErr w:type="spellEnd"/>
          </w:p>
        </w:tc>
        <w:tc>
          <w:tcPr>
            <w:tcW w:w="1306" w:type="pct"/>
            <w:tcBorders>
              <w:top w:val="nil"/>
              <w:left w:val="nil"/>
              <w:bottom w:val="single" w:sz="4" w:space="0" w:color="auto"/>
              <w:right w:val="single" w:sz="8" w:space="0" w:color="3366CC"/>
            </w:tcBorders>
            <w:shd w:val="clear" w:color="auto" w:fill="auto"/>
            <w:noWrap/>
            <w:vAlign w:val="center"/>
            <w:hideMark/>
          </w:tcPr>
          <w:p w14:paraId="2AF4F76D" w14:textId="77777777" w:rsidR="001F4974" w:rsidRPr="00985A2D" w:rsidRDefault="001F4974" w:rsidP="00D10898">
            <w:pPr>
              <w:jc w:val="center"/>
              <w:rPr>
                <w:rFonts w:ascii="Arial" w:hAnsi="Arial" w:cs="Arial"/>
                <w:szCs w:val="22"/>
              </w:rPr>
            </w:pPr>
            <w:r w:rsidRPr="00985A2D">
              <w:rPr>
                <w:rFonts w:ascii="Arial" w:hAnsi="Arial" w:cs="Arial"/>
                <w:szCs w:val="22"/>
              </w:rPr>
              <w:t>76</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12C4D11D" w14:textId="77777777" w:rsidR="001F4974" w:rsidRPr="00985A2D" w:rsidRDefault="001F4974" w:rsidP="00D10898">
            <w:pPr>
              <w:jc w:val="center"/>
              <w:rPr>
                <w:rFonts w:ascii="Arial" w:hAnsi="Arial" w:cs="Arial"/>
                <w:szCs w:val="22"/>
              </w:rPr>
            </w:pPr>
            <w:r w:rsidRPr="00985A2D">
              <w:rPr>
                <w:rFonts w:ascii="Arial" w:hAnsi="Arial" w:cs="Arial"/>
                <w:szCs w:val="22"/>
              </w:rPr>
              <w:t>8,0%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23970813" w14:textId="77777777" w:rsidR="001F4974" w:rsidRPr="00985A2D" w:rsidRDefault="001F4974" w:rsidP="00D10898">
            <w:pPr>
              <w:jc w:val="center"/>
              <w:rPr>
                <w:rFonts w:ascii="Arial" w:hAnsi="Arial" w:cs="Arial"/>
                <w:szCs w:val="22"/>
              </w:rPr>
            </w:pPr>
            <w:r w:rsidRPr="00985A2D">
              <w:rPr>
                <w:rFonts w:ascii="Arial" w:hAnsi="Arial" w:cs="Arial"/>
                <w:szCs w:val="22"/>
              </w:rPr>
              <w:t>27,2%</w:t>
            </w:r>
          </w:p>
        </w:tc>
      </w:tr>
      <w:tr w:rsidR="001F4974" w:rsidRPr="00985A2D" w14:paraId="3C5C08BB"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2ABB6B41" w14:textId="77777777" w:rsidR="001F4974" w:rsidRPr="00985A2D" w:rsidRDefault="001F4974" w:rsidP="00D10898">
            <w:pPr>
              <w:rPr>
                <w:rFonts w:ascii="Arial" w:hAnsi="Arial" w:cs="Arial"/>
                <w:szCs w:val="22"/>
              </w:rPr>
            </w:pPr>
            <w:r w:rsidRPr="00985A2D">
              <w:rPr>
                <w:rFonts w:ascii="Arial" w:hAnsi="Arial" w:cs="Arial"/>
                <w:szCs w:val="22"/>
              </w:rPr>
              <w:t>Marulanda</w:t>
            </w:r>
          </w:p>
        </w:tc>
        <w:tc>
          <w:tcPr>
            <w:tcW w:w="1306" w:type="pct"/>
            <w:tcBorders>
              <w:top w:val="nil"/>
              <w:left w:val="nil"/>
              <w:bottom w:val="single" w:sz="4" w:space="0" w:color="auto"/>
              <w:right w:val="single" w:sz="8" w:space="0" w:color="3366CC"/>
            </w:tcBorders>
            <w:shd w:val="clear" w:color="auto" w:fill="auto"/>
            <w:noWrap/>
            <w:vAlign w:val="center"/>
            <w:hideMark/>
          </w:tcPr>
          <w:p w14:paraId="730E6990" w14:textId="77777777" w:rsidR="001F4974" w:rsidRPr="00985A2D" w:rsidRDefault="001F4974" w:rsidP="00D10898">
            <w:pPr>
              <w:jc w:val="center"/>
              <w:rPr>
                <w:rFonts w:ascii="Arial" w:hAnsi="Arial" w:cs="Arial"/>
                <w:szCs w:val="22"/>
              </w:rPr>
            </w:pPr>
            <w:r w:rsidRPr="00985A2D">
              <w:rPr>
                <w:rFonts w:ascii="Arial" w:hAnsi="Arial" w:cs="Arial"/>
                <w:szCs w:val="22"/>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0AF4A80F" w14:textId="77777777" w:rsidR="001F4974" w:rsidRPr="00985A2D" w:rsidRDefault="001F4974" w:rsidP="00D10898">
            <w:pPr>
              <w:jc w:val="center"/>
              <w:rPr>
                <w:rFonts w:ascii="Arial" w:hAnsi="Arial" w:cs="Arial"/>
                <w:szCs w:val="22"/>
              </w:rPr>
            </w:pPr>
            <w:r w:rsidRPr="00985A2D">
              <w:rPr>
                <w:rFonts w:ascii="Arial" w:hAnsi="Arial" w:cs="Arial"/>
                <w:szCs w:val="22"/>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66E00CE8" w14:textId="77777777" w:rsidR="001F4974" w:rsidRPr="00985A2D" w:rsidRDefault="001F4974" w:rsidP="00D10898">
            <w:pPr>
              <w:jc w:val="center"/>
              <w:rPr>
                <w:rFonts w:ascii="Arial" w:hAnsi="Arial" w:cs="Arial"/>
                <w:szCs w:val="22"/>
              </w:rPr>
            </w:pPr>
            <w:r w:rsidRPr="00985A2D">
              <w:rPr>
                <w:rFonts w:ascii="Arial" w:hAnsi="Arial" w:cs="Arial"/>
                <w:szCs w:val="22"/>
              </w:rPr>
              <w:t>35,7%</w:t>
            </w:r>
          </w:p>
        </w:tc>
      </w:tr>
      <w:tr w:rsidR="001F4974" w:rsidRPr="00985A2D" w14:paraId="50283E9C"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31C7CFB7" w14:textId="77777777" w:rsidR="001F4974" w:rsidRPr="00985A2D" w:rsidRDefault="001F4974" w:rsidP="00D10898">
            <w:pPr>
              <w:rPr>
                <w:rFonts w:ascii="Arial" w:hAnsi="Arial" w:cs="Arial"/>
                <w:szCs w:val="22"/>
              </w:rPr>
            </w:pPr>
            <w:r w:rsidRPr="00985A2D">
              <w:rPr>
                <w:rFonts w:ascii="Arial" w:hAnsi="Arial" w:cs="Arial"/>
                <w:szCs w:val="22"/>
              </w:rPr>
              <w:t>Neira</w:t>
            </w:r>
          </w:p>
        </w:tc>
        <w:tc>
          <w:tcPr>
            <w:tcW w:w="1306" w:type="pct"/>
            <w:tcBorders>
              <w:top w:val="nil"/>
              <w:left w:val="nil"/>
              <w:bottom w:val="single" w:sz="4" w:space="0" w:color="auto"/>
              <w:right w:val="single" w:sz="8" w:space="0" w:color="3366CC"/>
            </w:tcBorders>
            <w:shd w:val="clear" w:color="auto" w:fill="auto"/>
            <w:noWrap/>
            <w:vAlign w:val="center"/>
            <w:hideMark/>
          </w:tcPr>
          <w:p w14:paraId="59787AE4" w14:textId="77777777" w:rsidR="001F4974" w:rsidRPr="00985A2D" w:rsidRDefault="001F4974" w:rsidP="00D10898">
            <w:pPr>
              <w:jc w:val="center"/>
              <w:rPr>
                <w:rFonts w:ascii="Arial" w:hAnsi="Arial" w:cs="Arial"/>
                <w:szCs w:val="22"/>
              </w:rPr>
            </w:pPr>
            <w:r w:rsidRPr="00985A2D">
              <w:rPr>
                <w:rFonts w:ascii="Arial" w:hAnsi="Arial" w:cs="Arial"/>
                <w:szCs w:val="22"/>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7E0F6DBE" w14:textId="77777777" w:rsidR="001F4974" w:rsidRPr="00985A2D" w:rsidRDefault="001F4974" w:rsidP="00D10898">
            <w:pPr>
              <w:jc w:val="center"/>
              <w:rPr>
                <w:rFonts w:ascii="Arial" w:hAnsi="Arial" w:cs="Arial"/>
                <w:szCs w:val="22"/>
              </w:rPr>
            </w:pPr>
            <w:r w:rsidRPr="00985A2D">
              <w:rPr>
                <w:rFonts w:ascii="Arial" w:hAnsi="Arial" w:cs="Arial"/>
                <w:szCs w:val="22"/>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30F207F6" w14:textId="77777777" w:rsidR="001F4974" w:rsidRPr="00985A2D" w:rsidRDefault="001F4974" w:rsidP="00D10898">
            <w:pPr>
              <w:jc w:val="center"/>
              <w:rPr>
                <w:rFonts w:ascii="Arial" w:hAnsi="Arial" w:cs="Arial"/>
                <w:szCs w:val="22"/>
              </w:rPr>
            </w:pPr>
            <w:r w:rsidRPr="00985A2D">
              <w:rPr>
                <w:rFonts w:ascii="Arial" w:hAnsi="Arial" w:cs="Arial"/>
                <w:szCs w:val="22"/>
              </w:rPr>
              <w:t>23,4%</w:t>
            </w:r>
          </w:p>
        </w:tc>
      </w:tr>
      <w:tr w:rsidR="001F4974" w:rsidRPr="00985A2D" w14:paraId="0519A091"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32F6C322" w14:textId="77777777" w:rsidR="001F4974" w:rsidRPr="00985A2D" w:rsidRDefault="001F4974" w:rsidP="00D10898">
            <w:pPr>
              <w:rPr>
                <w:rFonts w:ascii="Arial" w:hAnsi="Arial" w:cs="Arial"/>
                <w:szCs w:val="22"/>
              </w:rPr>
            </w:pPr>
            <w:proofErr w:type="spellStart"/>
            <w:r w:rsidRPr="00985A2D">
              <w:rPr>
                <w:rFonts w:ascii="Arial" w:hAnsi="Arial" w:cs="Arial"/>
                <w:szCs w:val="22"/>
              </w:rPr>
              <w:t>Norcasia</w:t>
            </w:r>
            <w:proofErr w:type="spellEnd"/>
          </w:p>
        </w:tc>
        <w:tc>
          <w:tcPr>
            <w:tcW w:w="1306" w:type="pct"/>
            <w:tcBorders>
              <w:top w:val="nil"/>
              <w:left w:val="nil"/>
              <w:bottom w:val="single" w:sz="4" w:space="0" w:color="auto"/>
              <w:right w:val="single" w:sz="8" w:space="0" w:color="3366CC"/>
            </w:tcBorders>
            <w:shd w:val="clear" w:color="auto" w:fill="auto"/>
            <w:noWrap/>
            <w:vAlign w:val="center"/>
            <w:hideMark/>
          </w:tcPr>
          <w:p w14:paraId="3FA8CEBC" w14:textId="77777777" w:rsidR="001F4974" w:rsidRPr="00985A2D" w:rsidRDefault="001F4974" w:rsidP="00D10898">
            <w:pPr>
              <w:jc w:val="center"/>
              <w:rPr>
                <w:rFonts w:ascii="Arial" w:hAnsi="Arial" w:cs="Arial"/>
                <w:szCs w:val="22"/>
              </w:rPr>
            </w:pPr>
            <w:r w:rsidRPr="00985A2D">
              <w:rPr>
                <w:rFonts w:ascii="Arial" w:hAnsi="Arial" w:cs="Arial"/>
                <w:szCs w:val="22"/>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4A0FE4E7" w14:textId="77777777" w:rsidR="001F4974" w:rsidRPr="00985A2D" w:rsidRDefault="001F4974" w:rsidP="00D10898">
            <w:pPr>
              <w:jc w:val="center"/>
              <w:rPr>
                <w:rFonts w:ascii="Arial" w:hAnsi="Arial" w:cs="Arial"/>
                <w:szCs w:val="22"/>
              </w:rPr>
            </w:pPr>
            <w:r w:rsidRPr="00985A2D">
              <w:rPr>
                <w:rFonts w:ascii="Arial" w:hAnsi="Arial" w:cs="Arial"/>
                <w:szCs w:val="22"/>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5ECD4D41" w14:textId="77777777" w:rsidR="001F4974" w:rsidRPr="00985A2D" w:rsidRDefault="001F4974" w:rsidP="00D10898">
            <w:pPr>
              <w:jc w:val="center"/>
              <w:rPr>
                <w:rFonts w:ascii="Arial" w:hAnsi="Arial" w:cs="Arial"/>
                <w:szCs w:val="22"/>
              </w:rPr>
            </w:pPr>
            <w:r w:rsidRPr="00985A2D">
              <w:rPr>
                <w:rFonts w:ascii="Arial" w:hAnsi="Arial" w:cs="Arial"/>
                <w:szCs w:val="22"/>
              </w:rPr>
              <w:t>17,2%</w:t>
            </w:r>
          </w:p>
        </w:tc>
      </w:tr>
      <w:tr w:rsidR="001F4974" w:rsidRPr="00985A2D" w14:paraId="4CD61148"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43318802" w14:textId="77777777" w:rsidR="001F4974" w:rsidRPr="00985A2D" w:rsidRDefault="001F4974" w:rsidP="00D10898">
            <w:pPr>
              <w:rPr>
                <w:rFonts w:ascii="Arial" w:hAnsi="Arial" w:cs="Arial"/>
                <w:szCs w:val="22"/>
              </w:rPr>
            </w:pPr>
            <w:r w:rsidRPr="00985A2D">
              <w:rPr>
                <w:rFonts w:ascii="Arial" w:hAnsi="Arial" w:cs="Arial"/>
                <w:szCs w:val="22"/>
              </w:rPr>
              <w:t>Pacora</w:t>
            </w:r>
          </w:p>
        </w:tc>
        <w:tc>
          <w:tcPr>
            <w:tcW w:w="1306" w:type="pct"/>
            <w:tcBorders>
              <w:top w:val="nil"/>
              <w:left w:val="nil"/>
              <w:bottom w:val="single" w:sz="4" w:space="0" w:color="auto"/>
              <w:right w:val="single" w:sz="8" w:space="0" w:color="3366CC"/>
            </w:tcBorders>
            <w:shd w:val="clear" w:color="auto" w:fill="auto"/>
            <w:noWrap/>
            <w:vAlign w:val="center"/>
            <w:hideMark/>
          </w:tcPr>
          <w:p w14:paraId="5E3B8A71" w14:textId="77777777" w:rsidR="001F4974" w:rsidRPr="00985A2D" w:rsidRDefault="001F4974" w:rsidP="00D10898">
            <w:pPr>
              <w:jc w:val="center"/>
              <w:rPr>
                <w:rFonts w:ascii="Arial" w:hAnsi="Arial" w:cs="Arial"/>
                <w:szCs w:val="22"/>
              </w:rPr>
            </w:pPr>
            <w:r w:rsidRPr="00985A2D">
              <w:rPr>
                <w:rFonts w:ascii="Arial" w:hAnsi="Arial" w:cs="Arial"/>
                <w:szCs w:val="22"/>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2D3B0976" w14:textId="77777777" w:rsidR="001F4974" w:rsidRPr="00985A2D" w:rsidRDefault="001F4974" w:rsidP="00D10898">
            <w:pPr>
              <w:jc w:val="center"/>
              <w:rPr>
                <w:rFonts w:ascii="Arial" w:hAnsi="Arial" w:cs="Arial"/>
                <w:szCs w:val="22"/>
              </w:rPr>
            </w:pPr>
            <w:r w:rsidRPr="00985A2D">
              <w:rPr>
                <w:rFonts w:ascii="Arial" w:hAnsi="Arial" w:cs="Arial"/>
                <w:szCs w:val="22"/>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4CE6C9BC" w14:textId="77777777" w:rsidR="001F4974" w:rsidRPr="00985A2D" w:rsidRDefault="001F4974" w:rsidP="00D10898">
            <w:pPr>
              <w:jc w:val="center"/>
              <w:rPr>
                <w:rFonts w:ascii="Arial" w:hAnsi="Arial" w:cs="Arial"/>
                <w:szCs w:val="22"/>
              </w:rPr>
            </w:pPr>
            <w:r w:rsidRPr="00985A2D">
              <w:rPr>
                <w:rFonts w:ascii="Arial" w:hAnsi="Arial" w:cs="Arial"/>
                <w:szCs w:val="22"/>
              </w:rPr>
              <w:t>17,7%</w:t>
            </w:r>
          </w:p>
        </w:tc>
      </w:tr>
      <w:tr w:rsidR="001F4974" w:rsidRPr="00985A2D" w14:paraId="553D7259"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4B61C4C8" w14:textId="77777777" w:rsidR="001F4974" w:rsidRPr="00985A2D" w:rsidRDefault="001F4974" w:rsidP="00D10898">
            <w:pPr>
              <w:rPr>
                <w:rFonts w:ascii="Arial" w:hAnsi="Arial" w:cs="Arial"/>
                <w:szCs w:val="22"/>
              </w:rPr>
            </w:pPr>
            <w:r w:rsidRPr="00985A2D">
              <w:rPr>
                <w:rFonts w:ascii="Arial" w:hAnsi="Arial" w:cs="Arial"/>
                <w:szCs w:val="22"/>
              </w:rPr>
              <w:t>Palestina</w:t>
            </w:r>
          </w:p>
        </w:tc>
        <w:tc>
          <w:tcPr>
            <w:tcW w:w="1306" w:type="pct"/>
            <w:tcBorders>
              <w:top w:val="nil"/>
              <w:left w:val="nil"/>
              <w:bottom w:val="single" w:sz="4" w:space="0" w:color="auto"/>
              <w:right w:val="single" w:sz="8" w:space="0" w:color="3366CC"/>
            </w:tcBorders>
            <w:shd w:val="clear" w:color="auto" w:fill="auto"/>
            <w:noWrap/>
            <w:vAlign w:val="center"/>
            <w:hideMark/>
          </w:tcPr>
          <w:p w14:paraId="00C70D65" w14:textId="77777777" w:rsidR="001F4974" w:rsidRPr="00985A2D" w:rsidRDefault="001F4974" w:rsidP="00D10898">
            <w:pPr>
              <w:jc w:val="center"/>
              <w:rPr>
                <w:rFonts w:ascii="Arial" w:hAnsi="Arial" w:cs="Arial"/>
                <w:szCs w:val="22"/>
              </w:rPr>
            </w:pPr>
            <w:r w:rsidRPr="00985A2D">
              <w:rPr>
                <w:rFonts w:ascii="Arial" w:hAnsi="Arial" w:cs="Arial"/>
                <w:szCs w:val="22"/>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6F597BE8" w14:textId="77777777" w:rsidR="001F4974" w:rsidRPr="00985A2D" w:rsidRDefault="001F4974" w:rsidP="00D10898">
            <w:pPr>
              <w:jc w:val="center"/>
              <w:rPr>
                <w:rFonts w:ascii="Arial" w:hAnsi="Arial" w:cs="Arial"/>
                <w:szCs w:val="22"/>
              </w:rPr>
            </w:pPr>
            <w:r w:rsidRPr="00985A2D">
              <w:rPr>
                <w:rFonts w:ascii="Arial" w:hAnsi="Arial" w:cs="Arial"/>
                <w:szCs w:val="22"/>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56F37788" w14:textId="77777777" w:rsidR="001F4974" w:rsidRPr="00985A2D" w:rsidRDefault="001F4974" w:rsidP="00D10898">
            <w:pPr>
              <w:jc w:val="center"/>
              <w:rPr>
                <w:rFonts w:ascii="Arial" w:hAnsi="Arial" w:cs="Arial"/>
                <w:szCs w:val="22"/>
              </w:rPr>
            </w:pPr>
            <w:r w:rsidRPr="00985A2D">
              <w:rPr>
                <w:rFonts w:ascii="Arial" w:hAnsi="Arial" w:cs="Arial"/>
                <w:szCs w:val="22"/>
              </w:rPr>
              <w:t>18,5%</w:t>
            </w:r>
          </w:p>
        </w:tc>
      </w:tr>
      <w:tr w:rsidR="001F4974" w:rsidRPr="00985A2D" w14:paraId="13251A32"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3158A749" w14:textId="77777777" w:rsidR="001F4974" w:rsidRPr="00985A2D" w:rsidRDefault="001F4974" w:rsidP="00D10898">
            <w:pPr>
              <w:rPr>
                <w:rFonts w:ascii="Arial" w:hAnsi="Arial" w:cs="Arial"/>
                <w:szCs w:val="22"/>
              </w:rPr>
            </w:pPr>
            <w:r w:rsidRPr="00985A2D">
              <w:rPr>
                <w:rFonts w:ascii="Arial" w:hAnsi="Arial" w:cs="Arial"/>
                <w:szCs w:val="22"/>
              </w:rPr>
              <w:t>Pensilvania</w:t>
            </w:r>
          </w:p>
        </w:tc>
        <w:tc>
          <w:tcPr>
            <w:tcW w:w="1306" w:type="pct"/>
            <w:tcBorders>
              <w:top w:val="nil"/>
              <w:left w:val="nil"/>
              <w:bottom w:val="single" w:sz="4" w:space="0" w:color="auto"/>
              <w:right w:val="single" w:sz="8" w:space="0" w:color="3366CC"/>
            </w:tcBorders>
            <w:shd w:val="clear" w:color="auto" w:fill="auto"/>
            <w:noWrap/>
            <w:vAlign w:val="center"/>
            <w:hideMark/>
          </w:tcPr>
          <w:p w14:paraId="31166507" w14:textId="77777777" w:rsidR="001F4974" w:rsidRPr="00985A2D" w:rsidRDefault="001F4974" w:rsidP="00D10898">
            <w:pPr>
              <w:jc w:val="center"/>
              <w:rPr>
                <w:rFonts w:ascii="Arial" w:hAnsi="Arial" w:cs="Arial"/>
                <w:szCs w:val="22"/>
              </w:rPr>
            </w:pPr>
            <w:r w:rsidRPr="00985A2D">
              <w:rPr>
                <w:rFonts w:ascii="Arial" w:hAnsi="Arial" w:cs="Arial"/>
                <w:szCs w:val="22"/>
              </w:rPr>
              <w:t>405</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432E7849" w14:textId="77777777" w:rsidR="001F4974" w:rsidRPr="00985A2D" w:rsidRDefault="001F4974" w:rsidP="00D10898">
            <w:pPr>
              <w:jc w:val="center"/>
              <w:rPr>
                <w:rFonts w:ascii="Arial" w:hAnsi="Arial" w:cs="Arial"/>
                <w:szCs w:val="22"/>
              </w:rPr>
            </w:pPr>
            <w:r w:rsidRPr="00985A2D">
              <w:rPr>
                <w:rFonts w:ascii="Arial" w:hAnsi="Arial" w:cs="Arial"/>
                <w:szCs w:val="22"/>
              </w:rPr>
              <w:t>28,8%</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68C971F1" w14:textId="77777777" w:rsidR="001F4974" w:rsidRPr="00985A2D" w:rsidRDefault="001F4974" w:rsidP="00D10898">
            <w:pPr>
              <w:jc w:val="center"/>
              <w:rPr>
                <w:rFonts w:ascii="Arial" w:hAnsi="Arial" w:cs="Arial"/>
                <w:szCs w:val="22"/>
              </w:rPr>
            </w:pPr>
            <w:r w:rsidRPr="00985A2D">
              <w:rPr>
                <w:rFonts w:ascii="Arial" w:hAnsi="Arial" w:cs="Arial"/>
                <w:szCs w:val="22"/>
              </w:rPr>
              <w:t>46,2%</w:t>
            </w:r>
          </w:p>
        </w:tc>
      </w:tr>
      <w:tr w:rsidR="001F4974" w:rsidRPr="00985A2D" w14:paraId="7210835B"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116ABC5F" w14:textId="77777777" w:rsidR="001F4974" w:rsidRPr="00985A2D" w:rsidRDefault="001F4974" w:rsidP="00D10898">
            <w:pPr>
              <w:rPr>
                <w:rFonts w:ascii="Arial" w:hAnsi="Arial" w:cs="Arial"/>
                <w:szCs w:val="22"/>
              </w:rPr>
            </w:pPr>
            <w:proofErr w:type="spellStart"/>
            <w:r w:rsidRPr="00985A2D">
              <w:rPr>
                <w:rFonts w:ascii="Arial" w:hAnsi="Arial" w:cs="Arial"/>
                <w:szCs w:val="22"/>
              </w:rPr>
              <w:t>Riosucio</w:t>
            </w:r>
            <w:proofErr w:type="spellEnd"/>
          </w:p>
        </w:tc>
        <w:tc>
          <w:tcPr>
            <w:tcW w:w="1306" w:type="pct"/>
            <w:tcBorders>
              <w:top w:val="nil"/>
              <w:left w:val="nil"/>
              <w:bottom w:val="single" w:sz="4" w:space="0" w:color="auto"/>
              <w:right w:val="single" w:sz="8" w:space="0" w:color="3366CC"/>
            </w:tcBorders>
            <w:shd w:val="clear" w:color="auto" w:fill="auto"/>
            <w:noWrap/>
            <w:vAlign w:val="center"/>
            <w:hideMark/>
          </w:tcPr>
          <w:p w14:paraId="46C93193" w14:textId="77777777" w:rsidR="001F4974" w:rsidRPr="00985A2D" w:rsidRDefault="001F4974" w:rsidP="00D10898">
            <w:pPr>
              <w:jc w:val="center"/>
              <w:rPr>
                <w:rFonts w:ascii="Arial" w:hAnsi="Arial" w:cs="Arial"/>
                <w:szCs w:val="22"/>
              </w:rPr>
            </w:pPr>
            <w:r w:rsidRPr="00985A2D">
              <w:rPr>
                <w:rFonts w:ascii="Arial" w:hAnsi="Arial" w:cs="Arial"/>
                <w:szCs w:val="22"/>
              </w:rPr>
              <w:t>377</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2F7F9C8F" w14:textId="77777777" w:rsidR="001F4974" w:rsidRPr="00985A2D" w:rsidRDefault="001F4974" w:rsidP="00D10898">
            <w:pPr>
              <w:jc w:val="center"/>
              <w:rPr>
                <w:rFonts w:ascii="Arial" w:hAnsi="Arial" w:cs="Arial"/>
                <w:szCs w:val="22"/>
              </w:rPr>
            </w:pPr>
            <w:r w:rsidRPr="00985A2D">
              <w:rPr>
                <w:rFonts w:ascii="Arial" w:hAnsi="Arial" w:cs="Arial"/>
                <w:szCs w:val="22"/>
              </w:rPr>
              <w:t>8,8%</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4DA5F0B7" w14:textId="77777777" w:rsidR="001F4974" w:rsidRPr="00985A2D" w:rsidRDefault="001F4974" w:rsidP="00D10898">
            <w:pPr>
              <w:jc w:val="center"/>
              <w:rPr>
                <w:rFonts w:ascii="Arial" w:hAnsi="Arial" w:cs="Arial"/>
                <w:szCs w:val="22"/>
              </w:rPr>
            </w:pPr>
            <w:r w:rsidRPr="00985A2D">
              <w:rPr>
                <w:rFonts w:ascii="Arial" w:hAnsi="Arial" w:cs="Arial"/>
                <w:szCs w:val="22"/>
              </w:rPr>
              <w:t>21,3%</w:t>
            </w:r>
          </w:p>
        </w:tc>
      </w:tr>
      <w:tr w:rsidR="001F4974" w:rsidRPr="00985A2D" w14:paraId="6F019A87"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7E8C22F4" w14:textId="77777777" w:rsidR="001F4974" w:rsidRPr="00985A2D" w:rsidRDefault="001F4974" w:rsidP="00D10898">
            <w:pPr>
              <w:rPr>
                <w:rFonts w:ascii="Arial" w:hAnsi="Arial" w:cs="Arial"/>
                <w:szCs w:val="22"/>
              </w:rPr>
            </w:pPr>
            <w:r w:rsidRPr="00985A2D">
              <w:rPr>
                <w:rFonts w:ascii="Arial" w:hAnsi="Arial" w:cs="Arial"/>
                <w:szCs w:val="22"/>
              </w:rPr>
              <w:t>Risaralda</w:t>
            </w:r>
          </w:p>
        </w:tc>
        <w:tc>
          <w:tcPr>
            <w:tcW w:w="1306" w:type="pct"/>
            <w:tcBorders>
              <w:top w:val="nil"/>
              <w:left w:val="nil"/>
              <w:bottom w:val="single" w:sz="4" w:space="0" w:color="auto"/>
              <w:right w:val="single" w:sz="8" w:space="0" w:color="3366CC"/>
            </w:tcBorders>
            <w:shd w:val="clear" w:color="auto" w:fill="auto"/>
            <w:noWrap/>
            <w:vAlign w:val="center"/>
            <w:hideMark/>
          </w:tcPr>
          <w:p w14:paraId="6125F63B" w14:textId="77777777" w:rsidR="001F4974" w:rsidRPr="00985A2D" w:rsidRDefault="001F4974" w:rsidP="00D10898">
            <w:pPr>
              <w:jc w:val="center"/>
              <w:rPr>
                <w:rFonts w:ascii="Arial" w:hAnsi="Arial" w:cs="Arial"/>
                <w:szCs w:val="22"/>
              </w:rPr>
            </w:pPr>
            <w:r w:rsidRPr="00985A2D">
              <w:rPr>
                <w:rFonts w:ascii="Arial" w:hAnsi="Arial" w:cs="Arial"/>
                <w:szCs w:val="22"/>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08641E90" w14:textId="77777777" w:rsidR="001F4974" w:rsidRPr="00985A2D" w:rsidRDefault="001F4974" w:rsidP="00D10898">
            <w:pPr>
              <w:jc w:val="center"/>
              <w:rPr>
                <w:rFonts w:ascii="Arial" w:hAnsi="Arial" w:cs="Arial"/>
                <w:szCs w:val="22"/>
              </w:rPr>
            </w:pPr>
            <w:r w:rsidRPr="00985A2D">
              <w:rPr>
                <w:rFonts w:ascii="Arial" w:hAnsi="Arial" w:cs="Arial"/>
                <w:szCs w:val="22"/>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03F527B9" w14:textId="77777777" w:rsidR="001F4974" w:rsidRPr="00985A2D" w:rsidRDefault="001F4974" w:rsidP="00D10898">
            <w:pPr>
              <w:jc w:val="center"/>
              <w:rPr>
                <w:rFonts w:ascii="Arial" w:hAnsi="Arial" w:cs="Arial"/>
                <w:szCs w:val="22"/>
              </w:rPr>
            </w:pPr>
            <w:r w:rsidRPr="00985A2D">
              <w:rPr>
                <w:rFonts w:ascii="Arial" w:hAnsi="Arial" w:cs="Arial"/>
                <w:szCs w:val="22"/>
              </w:rPr>
              <w:t>27,2%</w:t>
            </w:r>
          </w:p>
        </w:tc>
      </w:tr>
      <w:tr w:rsidR="001F4974" w:rsidRPr="00985A2D" w14:paraId="1459D48A"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2B922155" w14:textId="77777777" w:rsidR="001F4974" w:rsidRPr="00985A2D" w:rsidRDefault="001F4974" w:rsidP="00D10898">
            <w:pPr>
              <w:rPr>
                <w:rFonts w:ascii="Arial" w:hAnsi="Arial" w:cs="Arial"/>
                <w:szCs w:val="22"/>
              </w:rPr>
            </w:pPr>
            <w:r w:rsidRPr="00985A2D">
              <w:rPr>
                <w:rFonts w:ascii="Arial" w:hAnsi="Arial" w:cs="Arial"/>
                <w:szCs w:val="22"/>
              </w:rPr>
              <w:t>Salamina</w:t>
            </w:r>
          </w:p>
        </w:tc>
        <w:tc>
          <w:tcPr>
            <w:tcW w:w="1306" w:type="pct"/>
            <w:tcBorders>
              <w:top w:val="nil"/>
              <w:left w:val="nil"/>
              <w:bottom w:val="single" w:sz="4" w:space="0" w:color="auto"/>
              <w:right w:val="single" w:sz="8" w:space="0" w:color="3366CC"/>
            </w:tcBorders>
            <w:shd w:val="clear" w:color="auto" w:fill="auto"/>
            <w:noWrap/>
            <w:vAlign w:val="center"/>
            <w:hideMark/>
          </w:tcPr>
          <w:p w14:paraId="20159020" w14:textId="77777777" w:rsidR="001F4974" w:rsidRPr="00985A2D" w:rsidRDefault="001F4974" w:rsidP="00D10898">
            <w:pPr>
              <w:jc w:val="center"/>
              <w:rPr>
                <w:rFonts w:ascii="Arial" w:hAnsi="Arial" w:cs="Arial"/>
                <w:szCs w:val="22"/>
              </w:rPr>
            </w:pPr>
            <w:r w:rsidRPr="00985A2D">
              <w:rPr>
                <w:rFonts w:ascii="Arial" w:hAnsi="Arial" w:cs="Arial"/>
                <w:szCs w:val="22"/>
              </w:rPr>
              <w:t>50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7646D1B8" w14:textId="77777777" w:rsidR="001F4974" w:rsidRPr="00985A2D" w:rsidRDefault="001F4974" w:rsidP="00D10898">
            <w:pPr>
              <w:jc w:val="center"/>
              <w:rPr>
                <w:rFonts w:ascii="Arial" w:hAnsi="Arial" w:cs="Arial"/>
                <w:szCs w:val="22"/>
              </w:rPr>
            </w:pPr>
            <w:r w:rsidRPr="00985A2D">
              <w:rPr>
                <w:rFonts w:ascii="Arial" w:hAnsi="Arial" w:cs="Arial"/>
                <w:szCs w:val="22"/>
              </w:rPr>
              <w:t>3,9%</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15E88598" w14:textId="77777777" w:rsidR="001F4974" w:rsidRPr="00985A2D" w:rsidRDefault="001F4974" w:rsidP="00D10898">
            <w:pPr>
              <w:jc w:val="center"/>
              <w:rPr>
                <w:rFonts w:ascii="Arial" w:hAnsi="Arial" w:cs="Arial"/>
                <w:szCs w:val="22"/>
              </w:rPr>
            </w:pPr>
            <w:r w:rsidRPr="00985A2D">
              <w:rPr>
                <w:rFonts w:ascii="Arial" w:hAnsi="Arial" w:cs="Arial"/>
                <w:szCs w:val="22"/>
              </w:rPr>
              <w:t>25,2%</w:t>
            </w:r>
          </w:p>
        </w:tc>
      </w:tr>
      <w:tr w:rsidR="001F4974" w:rsidRPr="00985A2D" w14:paraId="2A3317C1"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553B6E13" w14:textId="5BF1F011" w:rsidR="001F4974" w:rsidRPr="00985A2D" w:rsidRDefault="001F4974" w:rsidP="00D10898">
            <w:pPr>
              <w:rPr>
                <w:rFonts w:ascii="Arial" w:hAnsi="Arial" w:cs="Arial"/>
                <w:szCs w:val="22"/>
              </w:rPr>
            </w:pPr>
            <w:r w:rsidRPr="00985A2D">
              <w:rPr>
                <w:rFonts w:ascii="Arial" w:hAnsi="Arial" w:cs="Arial"/>
                <w:szCs w:val="22"/>
              </w:rPr>
              <w:t>Samaná</w:t>
            </w:r>
          </w:p>
        </w:tc>
        <w:tc>
          <w:tcPr>
            <w:tcW w:w="1306" w:type="pct"/>
            <w:tcBorders>
              <w:top w:val="nil"/>
              <w:left w:val="nil"/>
              <w:bottom w:val="single" w:sz="4" w:space="0" w:color="auto"/>
              <w:right w:val="single" w:sz="8" w:space="0" w:color="3366CC"/>
            </w:tcBorders>
            <w:shd w:val="clear" w:color="auto" w:fill="auto"/>
            <w:noWrap/>
            <w:vAlign w:val="center"/>
            <w:hideMark/>
          </w:tcPr>
          <w:p w14:paraId="63FAB4BA" w14:textId="77777777" w:rsidR="001F4974" w:rsidRPr="00985A2D" w:rsidRDefault="001F4974" w:rsidP="00D10898">
            <w:pPr>
              <w:jc w:val="center"/>
              <w:rPr>
                <w:rFonts w:ascii="Arial" w:hAnsi="Arial" w:cs="Arial"/>
                <w:szCs w:val="22"/>
              </w:rPr>
            </w:pPr>
            <w:r w:rsidRPr="00985A2D">
              <w:rPr>
                <w:rFonts w:ascii="Arial" w:hAnsi="Arial" w:cs="Arial"/>
                <w:szCs w:val="22"/>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23F43E01" w14:textId="77777777" w:rsidR="001F4974" w:rsidRPr="00985A2D" w:rsidRDefault="001F4974" w:rsidP="00D10898">
            <w:pPr>
              <w:jc w:val="center"/>
              <w:rPr>
                <w:rFonts w:ascii="Arial" w:hAnsi="Arial" w:cs="Arial"/>
                <w:szCs w:val="22"/>
              </w:rPr>
            </w:pPr>
            <w:r w:rsidRPr="00985A2D">
              <w:rPr>
                <w:rFonts w:ascii="Arial" w:hAnsi="Arial" w:cs="Arial"/>
                <w:szCs w:val="22"/>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6BFB7E8F" w14:textId="77777777" w:rsidR="001F4974" w:rsidRPr="00985A2D" w:rsidRDefault="001F4974" w:rsidP="00D10898">
            <w:pPr>
              <w:jc w:val="center"/>
              <w:rPr>
                <w:rFonts w:ascii="Arial" w:hAnsi="Arial" w:cs="Arial"/>
                <w:szCs w:val="22"/>
              </w:rPr>
            </w:pPr>
            <w:r w:rsidRPr="00985A2D">
              <w:rPr>
                <w:rFonts w:ascii="Arial" w:hAnsi="Arial" w:cs="Arial"/>
                <w:szCs w:val="22"/>
              </w:rPr>
              <w:t>27,6%</w:t>
            </w:r>
          </w:p>
        </w:tc>
      </w:tr>
      <w:tr w:rsidR="001F4974" w:rsidRPr="00985A2D" w14:paraId="332CD392"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05231EDC" w14:textId="6B963574" w:rsidR="001F4974" w:rsidRPr="00985A2D" w:rsidRDefault="001F4974" w:rsidP="00D10898">
            <w:pPr>
              <w:rPr>
                <w:rFonts w:ascii="Arial" w:hAnsi="Arial" w:cs="Arial"/>
                <w:szCs w:val="22"/>
              </w:rPr>
            </w:pPr>
            <w:r w:rsidRPr="00985A2D">
              <w:rPr>
                <w:rFonts w:ascii="Arial" w:hAnsi="Arial" w:cs="Arial"/>
                <w:szCs w:val="22"/>
              </w:rPr>
              <w:t>San José</w:t>
            </w:r>
          </w:p>
        </w:tc>
        <w:tc>
          <w:tcPr>
            <w:tcW w:w="1306" w:type="pct"/>
            <w:tcBorders>
              <w:top w:val="nil"/>
              <w:left w:val="nil"/>
              <w:bottom w:val="single" w:sz="4" w:space="0" w:color="auto"/>
              <w:right w:val="single" w:sz="8" w:space="0" w:color="3366CC"/>
            </w:tcBorders>
            <w:shd w:val="clear" w:color="auto" w:fill="auto"/>
            <w:noWrap/>
            <w:vAlign w:val="center"/>
            <w:hideMark/>
          </w:tcPr>
          <w:p w14:paraId="2F6385EF" w14:textId="77777777" w:rsidR="001F4974" w:rsidRPr="00985A2D" w:rsidRDefault="001F4974" w:rsidP="00D10898">
            <w:pPr>
              <w:jc w:val="center"/>
              <w:rPr>
                <w:rFonts w:ascii="Arial" w:hAnsi="Arial" w:cs="Arial"/>
                <w:szCs w:val="22"/>
              </w:rPr>
            </w:pPr>
            <w:r w:rsidRPr="00985A2D">
              <w:rPr>
                <w:rFonts w:ascii="Arial" w:hAnsi="Arial" w:cs="Arial"/>
                <w:szCs w:val="22"/>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1815FB84" w14:textId="77777777" w:rsidR="001F4974" w:rsidRPr="00985A2D" w:rsidRDefault="001F4974" w:rsidP="00D10898">
            <w:pPr>
              <w:jc w:val="center"/>
              <w:rPr>
                <w:rFonts w:ascii="Arial" w:hAnsi="Arial" w:cs="Arial"/>
                <w:szCs w:val="22"/>
              </w:rPr>
            </w:pPr>
            <w:r w:rsidRPr="00985A2D">
              <w:rPr>
                <w:rFonts w:ascii="Arial" w:hAnsi="Arial" w:cs="Arial"/>
                <w:szCs w:val="22"/>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1E5EBAB1" w14:textId="77777777" w:rsidR="001F4974" w:rsidRPr="00985A2D" w:rsidRDefault="001F4974" w:rsidP="00D10898">
            <w:pPr>
              <w:jc w:val="center"/>
              <w:rPr>
                <w:rFonts w:ascii="Arial" w:hAnsi="Arial" w:cs="Arial"/>
                <w:szCs w:val="22"/>
              </w:rPr>
            </w:pPr>
            <w:r w:rsidRPr="00985A2D">
              <w:rPr>
                <w:rFonts w:ascii="Arial" w:hAnsi="Arial" w:cs="Arial"/>
                <w:szCs w:val="22"/>
              </w:rPr>
              <w:t>38,9%</w:t>
            </w:r>
          </w:p>
        </w:tc>
      </w:tr>
      <w:tr w:rsidR="001F4974" w:rsidRPr="00985A2D" w14:paraId="1547EE95"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59BD5584" w14:textId="77777777" w:rsidR="001F4974" w:rsidRPr="00985A2D" w:rsidRDefault="001F4974" w:rsidP="00D10898">
            <w:pPr>
              <w:rPr>
                <w:rFonts w:ascii="Arial" w:hAnsi="Arial" w:cs="Arial"/>
                <w:szCs w:val="22"/>
              </w:rPr>
            </w:pPr>
            <w:proofErr w:type="spellStart"/>
            <w:r w:rsidRPr="00985A2D">
              <w:rPr>
                <w:rFonts w:ascii="Arial" w:hAnsi="Arial" w:cs="Arial"/>
                <w:szCs w:val="22"/>
              </w:rPr>
              <w:t>Supía</w:t>
            </w:r>
            <w:proofErr w:type="spellEnd"/>
          </w:p>
        </w:tc>
        <w:tc>
          <w:tcPr>
            <w:tcW w:w="1306" w:type="pct"/>
            <w:tcBorders>
              <w:top w:val="nil"/>
              <w:left w:val="nil"/>
              <w:bottom w:val="single" w:sz="4" w:space="0" w:color="auto"/>
              <w:right w:val="single" w:sz="8" w:space="0" w:color="3366CC"/>
            </w:tcBorders>
            <w:shd w:val="clear" w:color="auto" w:fill="auto"/>
            <w:noWrap/>
            <w:vAlign w:val="center"/>
            <w:hideMark/>
          </w:tcPr>
          <w:p w14:paraId="4F867BC0" w14:textId="77777777" w:rsidR="001F4974" w:rsidRPr="00985A2D" w:rsidRDefault="001F4974" w:rsidP="00D10898">
            <w:pPr>
              <w:jc w:val="center"/>
              <w:rPr>
                <w:rFonts w:ascii="Arial" w:hAnsi="Arial" w:cs="Arial"/>
                <w:szCs w:val="22"/>
              </w:rPr>
            </w:pPr>
            <w:r w:rsidRPr="00985A2D">
              <w:rPr>
                <w:rFonts w:ascii="Arial" w:hAnsi="Arial" w:cs="Arial"/>
                <w:szCs w:val="22"/>
              </w:rPr>
              <w:t>70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75464392" w14:textId="77777777" w:rsidR="001F4974" w:rsidRPr="00985A2D" w:rsidRDefault="001F4974" w:rsidP="00D10898">
            <w:pPr>
              <w:jc w:val="center"/>
              <w:rPr>
                <w:rFonts w:ascii="Arial" w:hAnsi="Arial" w:cs="Arial"/>
                <w:szCs w:val="22"/>
              </w:rPr>
            </w:pPr>
            <w:r w:rsidRPr="00985A2D">
              <w:rPr>
                <w:rFonts w:ascii="Arial" w:hAnsi="Arial" w:cs="Arial"/>
                <w:szCs w:val="22"/>
              </w:rPr>
              <w:t>3,1%</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239B3B8A" w14:textId="77777777" w:rsidR="001F4974" w:rsidRPr="00985A2D" w:rsidRDefault="001F4974" w:rsidP="00D10898">
            <w:pPr>
              <w:jc w:val="center"/>
              <w:rPr>
                <w:rFonts w:ascii="Arial" w:hAnsi="Arial" w:cs="Arial"/>
                <w:szCs w:val="22"/>
              </w:rPr>
            </w:pPr>
            <w:r w:rsidRPr="00985A2D">
              <w:rPr>
                <w:rFonts w:ascii="Arial" w:hAnsi="Arial" w:cs="Arial"/>
                <w:szCs w:val="22"/>
              </w:rPr>
              <w:t>27,1%</w:t>
            </w:r>
          </w:p>
        </w:tc>
      </w:tr>
      <w:tr w:rsidR="001F4974" w:rsidRPr="00985A2D" w14:paraId="53DB3000"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03988E9E" w14:textId="77777777" w:rsidR="001F4974" w:rsidRPr="00985A2D" w:rsidRDefault="001F4974" w:rsidP="00D10898">
            <w:pPr>
              <w:rPr>
                <w:rFonts w:ascii="Arial" w:hAnsi="Arial" w:cs="Arial"/>
                <w:szCs w:val="22"/>
              </w:rPr>
            </w:pPr>
            <w:r w:rsidRPr="00985A2D">
              <w:rPr>
                <w:rFonts w:ascii="Arial" w:hAnsi="Arial" w:cs="Arial"/>
                <w:szCs w:val="22"/>
              </w:rPr>
              <w:t>Victoria</w:t>
            </w:r>
          </w:p>
        </w:tc>
        <w:tc>
          <w:tcPr>
            <w:tcW w:w="1306" w:type="pct"/>
            <w:tcBorders>
              <w:top w:val="nil"/>
              <w:left w:val="nil"/>
              <w:bottom w:val="single" w:sz="4" w:space="0" w:color="auto"/>
              <w:right w:val="single" w:sz="8" w:space="0" w:color="3366CC"/>
            </w:tcBorders>
            <w:shd w:val="clear" w:color="auto" w:fill="auto"/>
            <w:noWrap/>
            <w:vAlign w:val="center"/>
            <w:hideMark/>
          </w:tcPr>
          <w:p w14:paraId="0EA3F7A0" w14:textId="77777777" w:rsidR="001F4974" w:rsidRPr="00985A2D" w:rsidRDefault="001F4974" w:rsidP="00D10898">
            <w:pPr>
              <w:jc w:val="center"/>
              <w:rPr>
                <w:rFonts w:ascii="Arial" w:hAnsi="Arial" w:cs="Arial"/>
                <w:szCs w:val="22"/>
              </w:rPr>
            </w:pPr>
            <w:r w:rsidRPr="00985A2D">
              <w:rPr>
                <w:rFonts w:ascii="Arial" w:hAnsi="Arial" w:cs="Arial"/>
                <w:szCs w:val="22"/>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435F7FC1" w14:textId="77777777" w:rsidR="001F4974" w:rsidRPr="00985A2D" w:rsidRDefault="001F4974" w:rsidP="00D10898">
            <w:pPr>
              <w:jc w:val="center"/>
              <w:rPr>
                <w:rFonts w:ascii="Arial" w:hAnsi="Arial" w:cs="Arial"/>
                <w:szCs w:val="22"/>
              </w:rPr>
            </w:pPr>
            <w:r w:rsidRPr="00985A2D">
              <w:rPr>
                <w:rFonts w:ascii="Arial" w:hAnsi="Arial" w:cs="Arial"/>
                <w:szCs w:val="22"/>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41B4E5A8" w14:textId="77777777" w:rsidR="001F4974" w:rsidRPr="00985A2D" w:rsidRDefault="001F4974" w:rsidP="00D10898">
            <w:pPr>
              <w:jc w:val="center"/>
              <w:rPr>
                <w:rFonts w:ascii="Arial" w:hAnsi="Arial" w:cs="Arial"/>
                <w:szCs w:val="22"/>
              </w:rPr>
            </w:pPr>
            <w:r w:rsidRPr="00985A2D">
              <w:rPr>
                <w:rFonts w:ascii="Arial" w:hAnsi="Arial" w:cs="Arial"/>
                <w:szCs w:val="22"/>
              </w:rPr>
              <w:t>23,7%</w:t>
            </w:r>
          </w:p>
        </w:tc>
      </w:tr>
      <w:tr w:rsidR="001F4974" w:rsidRPr="00985A2D" w14:paraId="62F70147"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1ACD6544" w14:textId="3FEA2F56" w:rsidR="001F4974" w:rsidRPr="00985A2D" w:rsidRDefault="001F4974" w:rsidP="00D10898">
            <w:pPr>
              <w:rPr>
                <w:rFonts w:ascii="Arial" w:hAnsi="Arial" w:cs="Arial"/>
                <w:szCs w:val="22"/>
              </w:rPr>
            </w:pPr>
            <w:proofErr w:type="spellStart"/>
            <w:r w:rsidRPr="00985A2D">
              <w:rPr>
                <w:rFonts w:ascii="Arial" w:hAnsi="Arial" w:cs="Arial"/>
                <w:szCs w:val="22"/>
              </w:rPr>
              <w:t>Villamaría</w:t>
            </w:r>
            <w:proofErr w:type="spellEnd"/>
          </w:p>
        </w:tc>
        <w:tc>
          <w:tcPr>
            <w:tcW w:w="1306" w:type="pct"/>
            <w:tcBorders>
              <w:top w:val="nil"/>
              <w:left w:val="nil"/>
              <w:bottom w:val="single" w:sz="4" w:space="0" w:color="auto"/>
              <w:right w:val="single" w:sz="8" w:space="0" w:color="3366CC"/>
            </w:tcBorders>
            <w:shd w:val="clear" w:color="auto" w:fill="auto"/>
            <w:noWrap/>
            <w:vAlign w:val="center"/>
            <w:hideMark/>
          </w:tcPr>
          <w:p w14:paraId="54B29F71" w14:textId="77777777" w:rsidR="001F4974" w:rsidRPr="00985A2D" w:rsidRDefault="001F4974" w:rsidP="00D10898">
            <w:pPr>
              <w:jc w:val="center"/>
              <w:rPr>
                <w:rFonts w:ascii="Arial" w:hAnsi="Arial" w:cs="Arial"/>
                <w:szCs w:val="22"/>
              </w:rPr>
            </w:pPr>
            <w:r w:rsidRPr="00985A2D">
              <w:rPr>
                <w:rFonts w:ascii="Arial" w:hAnsi="Arial" w:cs="Arial"/>
                <w:szCs w:val="22"/>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639BA5AA" w14:textId="77777777" w:rsidR="001F4974" w:rsidRPr="00985A2D" w:rsidRDefault="001F4974" w:rsidP="00D10898">
            <w:pPr>
              <w:jc w:val="center"/>
              <w:rPr>
                <w:rFonts w:ascii="Arial" w:hAnsi="Arial" w:cs="Arial"/>
                <w:szCs w:val="22"/>
              </w:rPr>
            </w:pPr>
            <w:r w:rsidRPr="00985A2D">
              <w:rPr>
                <w:rFonts w:ascii="Arial" w:hAnsi="Arial" w:cs="Arial"/>
                <w:szCs w:val="22"/>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652F4F03" w14:textId="77777777" w:rsidR="001F4974" w:rsidRPr="00985A2D" w:rsidRDefault="001F4974" w:rsidP="00D10898">
            <w:pPr>
              <w:jc w:val="center"/>
              <w:rPr>
                <w:rFonts w:ascii="Arial" w:hAnsi="Arial" w:cs="Arial"/>
                <w:szCs w:val="22"/>
              </w:rPr>
            </w:pPr>
            <w:r w:rsidRPr="00985A2D">
              <w:rPr>
                <w:rFonts w:ascii="Arial" w:hAnsi="Arial" w:cs="Arial"/>
                <w:szCs w:val="22"/>
              </w:rPr>
              <w:t>48,6%</w:t>
            </w:r>
          </w:p>
        </w:tc>
      </w:tr>
      <w:tr w:rsidR="001F4974" w:rsidRPr="00985A2D" w14:paraId="58EE60A8" w14:textId="77777777" w:rsidTr="001F4974">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38F8DCCE" w14:textId="77777777" w:rsidR="001F4974" w:rsidRPr="00985A2D" w:rsidRDefault="001F4974" w:rsidP="00D10898">
            <w:pPr>
              <w:rPr>
                <w:rFonts w:ascii="Arial" w:hAnsi="Arial" w:cs="Arial"/>
                <w:szCs w:val="22"/>
              </w:rPr>
            </w:pPr>
            <w:r w:rsidRPr="00985A2D">
              <w:rPr>
                <w:rFonts w:ascii="Arial" w:hAnsi="Arial" w:cs="Arial"/>
                <w:szCs w:val="22"/>
              </w:rPr>
              <w:t>Viterbo</w:t>
            </w:r>
          </w:p>
        </w:tc>
        <w:tc>
          <w:tcPr>
            <w:tcW w:w="1306" w:type="pct"/>
            <w:tcBorders>
              <w:top w:val="nil"/>
              <w:left w:val="nil"/>
              <w:bottom w:val="single" w:sz="4" w:space="0" w:color="auto"/>
              <w:right w:val="single" w:sz="8" w:space="0" w:color="3366CC"/>
            </w:tcBorders>
            <w:shd w:val="clear" w:color="auto" w:fill="auto"/>
            <w:noWrap/>
            <w:vAlign w:val="center"/>
            <w:hideMark/>
          </w:tcPr>
          <w:p w14:paraId="3E3BA6C6" w14:textId="77777777" w:rsidR="001F4974" w:rsidRPr="00985A2D" w:rsidRDefault="001F4974" w:rsidP="00D10898">
            <w:pPr>
              <w:jc w:val="center"/>
              <w:rPr>
                <w:rFonts w:ascii="Arial" w:hAnsi="Arial" w:cs="Arial"/>
                <w:szCs w:val="22"/>
              </w:rPr>
            </w:pPr>
            <w:r w:rsidRPr="00985A2D">
              <w:rPr>
                <w:rFonts w:ascii="Arial" w:hAnsi="Arial" w:cs="Arial"/>
                <w:szCs w:val="22"/>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1179CEE7" w14:textId="77777777" w:rsidR="001F4974" w:rsidRPr="00985A2D" w:rsidRDefault="001F4974" w:rsidP="00D10898">
            <w:pPr>
              <w:jc w:val="center"/>
              <w:rPr>
                <w:rFonts w:ascii="Arial" w:hAnsi="Arial" w:cs="Arial"/>
                <w:szCs w:val="22"/>
              </w:rPr>
            </w:pPr>
            <w:r w:rsidRPr="00985A2D">
              <w:rPr>
                <w:rFonts w:ascii="Arial" w:hAnsi="Arial" w:cs="Arial"/>
                <w:szCs w:val="22"/>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090326A6" w14:textId="77777777" w:rsidR="001F4974" w:rsidRPr="00985A2D" w:rsidRDefault="001F4974" w:rsidP="00D10898">
            <w:pPr>
              <w:jc w:val="center"/>
              <w:rPr>
                <w:rFonts w:ascii="Arial" w:hAnsi="Arial" w:cs="Arial"/>
                <w:szCs w:val="22"/>
              </w:rPr>
            </w:pPr>
            <w:r w:rsidRPr="00985A2D">
              <w:rPr>
                <w:rFonts w:ascii="Arial" w:hAnsi="Arial" w:cs="Arial"/>
                <w:szCs w:val="22"/>
              </w:rPr>
              <w:t>19,8%</w:t>
            </w:r>
          </w:p>
        </w:tc>
      </w:tr>
    </w:tbl>
    <w:p w14:paraId="7108816D" w14:textId="77777777" w:rsidR="001F4974" w:rsidRPr="00C8330C" w:rsidRDefault="001F4974" w:rsidP="001F4974">
      <w:pPr>
        <w:jc w:val="center"/>
        <w:rPr>
          <w:rStyle w:val="Referenciasutil"/>
          <w:rFonts w:ascii="Arial" w:hAnsi="Arial" w:cs="Arial"/>
          <w:sz w:val="16"/>
          <w:szCs w:val="16"/>
        </w:rPr>
      </w:pPr>
      <w:r w:rsidRPr="00C8330C">
        <w:rPr>
          <w:rStyle w:val="Referenciasutil"/>
          <w:rFonts w:ascii="Arial" w:hAnsi="Arial" w:cs="Arial"/>
          <w:sz w:val="16"/>
          <w:szCs w:val="16"/>
        </w:rPr>
        <w:t>Fuente: MEN (SNIES)</w:t>
      </w:r>
    </w:p>
    <w:p w14:paraId="3738F435" w14:textId="0732768E" w:rsidR="0050455C" w:rsidRPr="00985A2D" w:rsidRDefault="0050455C" w:rsidP="0050455C">
      <w:pPr>
        <w:rPr>
          <w:rFonts w:ascii="Arial" w:hAnsi="Arial" w:cs="Arial"/>
          <w:szCs w:val="22"/>
        </w:rPr>
      </w:pPr>
    </w:p>
    <w:p w14:paraId="73031D0E" w14:textId="0159090F" w:rsidR="0050455C" w:rsidRPr="00985A2D" w:rsidRDefault="0050455C" w:rsidP="0050455C">
      <w:pPr>
        <w:rPr>
          <w:rFonts w:ascii="Arial" w:hAnsi="Arial" w:cs="Arial"/>
          <w:szCs w:val="22"/>
        </w:rPr>
      </w:pPr>
      <w:r w:rsidRPr="00985A2D">
        <w:rPr>
          <w:rFonts w:ascii="Arial" w:hAnsi="Arial" w:cs="Arial"/>
          <w:szCs w:val="22"/>
        </w:rPr>
        <w:t xml:space="preserve">Manizales Como Vamos (2020), menciona que año tras años, el análisis del origen de los </w:t>
      </w:r>
      <w:r w:rsidR="00ED19F3" w:rsidRPr="00985A2D">
        <w:rPr>
          <w:rFonts w:ascii="Arial" w:hAnsi="Arial" w:cs="Arial"/>
          <w:szCs w:val="22"/>
        </w:rPr>
        <w:t>estudiantes</w:t>
      </w:r>
      <w:r w:rsidRPr="00985A2D">
        <w:rPr>
          <w:rFonts w:ascii="Arial" w:hAnsi="Arial" w:cs="Arial"/>
          <w:szCs w:val="22"/>
        </w:rPr>
        <w:t xml:space="preserve"> da cuenta de la valoración de Manizales como ciudad con vocación universitaria con casi la mitad de sus estudiantes provenientes de otras partes del país e incluso del extranjero. Como muestra la siguiente gráfica, el 53,7% de los estudiantes que se encuentran matriculados en algún nivel de pregrado de la ciudad, reportaron como su lugar de origen a Manizales. Una proporción levemente inferior (46,3%), se distribuye entre quienes provienen de otros municipios del departamento (16,8%), otros departamentos (29,3%) y el extranjero (0,2%).</w:t>
      </w:r>
    </w:p>
    <w:p w14:paraId="35FACAD4" w14:textId="366385AC" w:rsidR="0050455C" w:rsidRPr="00985A2D" w:rsidRDefault="0050455C" w:rsidP="0050455C">
      <w:pPr>
        <w:rPr>
          <w:rFonts w:ascii="Arial" w:hAnsi="Arial" w:cs="Arial"/>
          <w:szCs w:val="22"/>
        </w:rPr>
      </w:pPr>
    </w:p>
    <w:p w14:paraId="50115977" w14:textId="51F96646" w:rsidR="0050455C" w:rsidRPr="00985A2D" w:rsidRDefault="0050455C" w:rsidP="0050455C">
      <w:pPr>
        <w:rPr>
          <w:rFonts w:ascii="Arial" w:hAnsi="Arial" w:cs="Arial"/>
          <w:b/>
          <w:szCs w:val="22"/>
        </w:rPr>
      </w:pPr>
      <w:bookmarkStart w:id="1" w:name="_Toc63666813"/>
      <w:r w:rsidRPr="00985A2D">
        <w:rPr>
          <w:rFonts w:ascii="Arial" w:hAnsi="Arial" w:cs="Arial"/>
          <w:b/>
          <w:szCs w:val="22"/>
        </w:rPr>
        <w:t xml:space="preserve">Gráfica </w:t>
      </w:r>
      <w:r w:rsidRPr="00985A2D">
        <w:rPr>
          <w:rFonts w:ascii="Arial" w:hAnsi="Arial" w:cs="Arial"/>
          <w:b/>
          <w:szCs w:val="22"/>
        </w:rPr>
        <w:fldChar w:fldCharType="begin"/>
      </w:r>
      <w:r w:rsidRPr="00985A2D">
        <w:rPr>
          <w:rFonts w:ascii="Arial" w:hAnsi="Arial" w:cs="Arial"/>
          <w:b/>
          <w:szCs w:val="22"/>
        </w:rPr>
        <w:instrText xml:space="preserve"> SEQ Gráfica \* ARABIC </w:instrText>
      </w:r>
      <w:r w:rsidRPr="00985A2D">
        <w:rPr>
          <w:rFonts w:ascii="Arial" w:hAnsi="Arial" w:cs="Arial"/>
          <w:b/>
          <w:szCs w:val="22"/>
        </w:rPr>
        <w:fldChar w:fldCharType="separate"/>
      </w:r>
      <w:r w:rsidR="009F20F0">
        <w:rPr>
          <w:rFonts w:ascii="Arial" w:hAnsi="Arial" w:cs="Arial"/>
          <w:b/>
          <w:noProof/>
          <w:szCs w:val="22"/>
        </w:rPr>
        <w:t>3</w:t>
      </w:r>
      <w:r w:rsidRPr="00985A2D">
        <w:rPr>
          <w:rFonts w:ascii="Arial" w:hAnsi="Arial" w:cs="Arial"/>
          <w:szCs w:val="22"/>
        </w:rPr>
        <w:fldChar w:fldCharType="end"/>
      </w:r>
      <w:r w:rsidRPr="00985A2D">
        <w:rPr>
          <w:rFonts w:ascii="Arial" w:hAnsi="Arial" w:cs="Arial"/>
          <w:b/>
          <w:szCs w:val="22"/>
        </w:rPr>
        <w:t>. Lugar de origen de los estudiantes de pregrado en Manizales (2020)</w:t>
      </w:r>
      <w:bookmarkEnd w:id="1"/>
    </w:p>
    <w:p w14:paraId="3CB1A618" w14:textId="15BE49FB" w:rsidR="00ED19F3" w:rsidRPr="00985A2D" w:rsidRDefault="00ED19F3" w:rsidP="00ED19F3">
      <w:pPr>
        <w:jc w:val="center"/>
        <w:rPr>
          <w:rFonts w:ascii="Arial" w:hAnsi="Arial" w:cs="Arial"/>
          <w:szCs w:val="22"/>
        </w:rPr>
      </w:pPr>
      <w:r w:rsidRPr="00985A2D">
        <w:rPr>
          <w:rFonts w:ascii="Arial" w:hAnsi="Arial" w:cs="Arial"/>
          <w:noProof/>
          <w:szCs w:val="22"/>
          <w:lang w:eastAsia="es-CO"/>
        </w:rPr>
        <w:drawing>
          <wp:inline distT="0" distB="0" distL="0" distR="0" wp14:anchorId="5606BFFE" wp14:editId="44659004">
            <wp:extent cx="3619500" cy="2171700"/>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0C10441" w14:textId="36613C21" w:rsidR="00ED19F3" w:rsidRPr="00C8330C" w:rsidRDefault="00ED19F3" w:rsidP="00ED19F3">
      <w:pPr>
        <w:rPr>
          <w:rStyle w:val="Referenciasutil"/>
          <w:rFonts w:ascii="Arial" w:hAnsi="Arial" w:cs="Arial"/>
          <w:sz w:val="16"/>
          <w:szCs w:val="16"/>
        </w:rPr>
      </w:pPr>
      <w:r w:rsidRPr="00C8330C">
        <w:rPr>
          <w:rStyle w:val="Referenciasutil"/>
          <w:rFonts w:ascii="Arial" w:hAnsi="Arial" w:cs="Arial"/>
          <w:sz w:val="16"/>
          <w:szCs w:val="16"/>
        </w:rPr>
        <w:t>Fuente: Cálculos MCV con base en información de las Oficinas de Registro Académico y de Planeación de las universidades de la ciudad</w:t>
      </w:r>
    </w:p>
    <w:p w14:paraId="4B4C84F2" w14:textId="77777777" w:rsidR="00ED19F3" w:rsidRPr="00985A2D" w:rsidRDefault="00ED19F3" w:rsidP="00ED19F3">
      <w:pPr>
        <w:rPr>
          <w:rFonts w:ascii="Arial" w:hAnsi="Arial" w:cs="Arial"/>
          <w:color w:val="808080" w:themeColor="background1" w:themeShade="80"/>
          <w:szCs w:val="22"/>
        </w:rPr>
      </w:pPr>
    </w:p>
    <w:p w14:paraId="5270CD71" w14:textId="12EB3F11" w:rsidR="00ED19F3" w:rsidRPr="00985A2D" w:rsidRDefault="00ED19F3" w:rsidP="00ED19F3">
      <w:pPr>
        <w:rPr>
          <w:rFonts w:ascii="Arial" w:hAnsi="Arial" w:cs="Arial"/>
          <w:szCs w:val="22"/>
        </w:rPr>
      </w:pPr>
      <w:r w:rsidRPr="00985A2D">
        <w:rPr>
          <w:rFonts w:ascii="Arial" w:hAnsi="Arial" w:cs="Arial"/>
          <w:szCs w:val="22"/>
        </w:rPr>
        <w:t>Un análisis a través de los años revela que la proporción de estudiantes foráneos viene ganando peso en términos relativos. Mientras que, en 2016, representaban el 43%, en 2020 aumentó cuatro puntos porcentuales. La distribución entre estudiantes de otros municipios de Caldas y otros departamentos ha permanecido relativamente estable, con una tercera parte de estudiantes que llegan desde otras regiones del país a cursar sus estudios de pregrado en nuestra ciudad.</w:t>
      </w:r>
    </w:p>
    <w:p w14:paraId="44CA2B5C" w14:textId="77777777" w:rsidR="00197864" w:rsidRPr="00985A2D" w:rsidRDefault="00197864" w:rsidP="00ED19F3">
      <w:pPr>
        <w:rPr>
          <w:rFonts w:ascii="Arial" w:hAnsi="Arial" w:cs="Arial"/>
          <w:b/>
          <w:szCs w:val="22"/>
        </w:rPr>
      </w:pPr>
      <w:bookmarkStart w:id="2" w:name="_Toc63666814"/>
    </w:p>
    <w:p w14:paraId="4949D5C8" w14:textId="77777777" w:rsidR="00C8330C" w:rsidRDefault="00C8330C" w:rsidP="00ED19F3">
      <w:pPr>
        <w:rPr>
          <w:rFonts w:ascii="Arial" w:hAnsi="Arial" w:cs="Arial"/>
          <w:b/>
          <w:szCs w:val="22"/>
        </w:rPr>
      </w:pPr>
    </w:p>
    <w:p w14:paraId="4AFF98BC" w14:textId="77777777" w:rsidR="00C8330C" w:rsidRDefault="00C8330C" w:rsidP="00ED19F3">
      <w:pPr>
        <w:rPr>
          <w:rFonts w:ascii="Arial" w:hAnsi="Arial" w:cs="Arial"/>
          <w:b/>
          <w:szCs w:val="22"/>
        </w:rPr>
      </w:pPr>
    </w:p>
    <w:p w14:paraId="0CF77F92" w14:textId="77777777" w:rsidR="00C8330C" w:rsidRDefault="00C8330C" w:rsidP="00ED19F3">
      <w:pPr>
        <w:rPr>
          <w:rFonts w:ascii="Arial" w:hAnsi="Arial" w:cs="Arial"/>
          <w:b/>
          <w:szCs w:val="22"/>
        </w:rPr>
      </w:pPr>
    </w:p>
    <w:p w14:paraId="44478BE3" w14:textId="77777777" w:rsidR="00C8330C" w:rsidRDefault="00C8330C" w:rsidP="00ED19F3">
      <w:pPr>
        <w:rPr>
          <w:rFonts w:ascii="Arial" w:hAnsi="Arial" w:cs="Arial"/>
          <w:b/>
          <w:szCs w:val="22"/>
        </w:rPr>
      </w:pPr>
    </w:p>
    <w:p w14:paraId="13BBA10D" w14:textId="77777777" w:rsidR="00C8330C" w:rsidRDefault="00C8330C" w:rsidP="00ED19F3">
      <w:pPr>
        <w:rPr>
          <w:rFonts w:ascii="Arial" w:hAnsi="Arial" w:cs="Arial"/>
          <w:b/>
          <w:szCs w:val="22"/>
        </w:rPr>
      </w:pPr>
    </w:p>
    <w:p w14:paraId="43581DBD" w14:textId="77777777" w:rsidR="00C8330C" w:rsidRDefault="00C8330C" w:rsidP="00ED19F3">
      <w:pPr>
        <w:rPr>
          <w:rFonts w:ascii="Arial" w:hAnsi="Arial" w:cs="Arial"/>
          <w:b/>
          <w:szCs w:val="22"/>
        </w:rPr>
      </w:pPr>
    </w:p>
    <w:p w14:paraId="428BA98E" w14:textId="378E870D" w:rsidR="00ED19F3" w:rsidRPr="00985A2D" w:rsidRDefault="00ED19F3" w:rsidP="00ED19F3">
      <w:pPr>
        <w:rPr>
          <w:rFonts w:ascii="Arial" w:hAnsi="Arial" w:cs="Arial"/>
          <w:b/>
          <w:szCs w:val="22"/>
        </w:rPr>
      </w:pPr>
      <w:r w:rsidRPr="00985A2D">
        <w:rPr>
          <w:rFonts w:ascii="Arial" w:hAnsi="Arial" w:cs="Arial"/>
          <w:b/>
          <w:szCs w:val="22"/>
        </w:rPr>
        <w:t xml:space="preserve">Gráfica </w:t>
      </w:r>
      <w:r w:rsidRPr="00985A2D">
        <w:rPr>
          <w:rFonts w:ascii="Arial" w:hAnsi="Arial" w:cs="Arial"/>
          <w:b/>
          <w:szCs w:val="22"/>
        </w:rPr>
        <w:fldChar w:fldCharType="begin"/>
      </w:r>
      <w:r w:rsidRPr="00985A2D">
        <w:rPr>
          <w:rFonts w:ascii="Arial" w:hAnsi="Arial" w:cs="Arial"/>
          <w:b/>
          <w:szCs w:val="22"/>
        </w:rPr>
        <w:instrText xml:space="preserve"> SEQ Gráfica \* ARABIC </w:instrText>
      </w:r>
      <w:r w:rsidRPr="00985A2D">
        <w:rPr>
          <w:rFonts w:ascii="Arial" w:hAnsi="Arial" w:cs="Arial"/>
          <w:b/>
          <w:szCs w:val="22"/>
        </w:rPr>
        <w:fldChar w:fldCharType="separate"/>
      </w:r>
      <w:r w:rsidR="009F20F0">
        <w:rPr>
          <w:rFonts w:ascii="Arial" w:hAnsi="Arial" w:cs="Arial"/>
          <w:b/>
          <w:noProof/>
          <w:szCs w:val="22"/>
        </w:rPr>
        <w:t>4</w:t>
      </w:r>
      <w:r w:rsidRPr="00985A2D">
        <w:rPr>
          <w:rFonts w:ascii="Arial" w:hAnsi="Arial" w:cs="Arial"/>
          <w:szCs w:val="22"/>
        </w:rPr>
        <w:fldChar w:fldCharType="end"/>
      </w:r>
      <w:r w:rsidRPr="00985A2D">
        <w:rPr>
          <w:rFonts w:ascii="Arial" w:hAnsi="Arial" w:cs="Arial"/>
          <w:b/>
          <w:szCs w:val="22"/>
        </w:rPr>
        <w:t>. Origen de los estudiantes de pregrado en Manizales (2016 – 2020)</w:t>
      </w:r>
      <w:bookmarkEnd w:id="2"/>
    </w:p>
    <w:p w14:paraId="3F0D9D1D" w14:textId="77777777" w:rsidR="00ED19F3" w:rsidRPr="00985A2D" w:rsidRDefault="00ED19F3" w:rsidP="00ED19F3">
      <w:pPr>
        <w:rPr>
          <w:rFonts w:ascii="Arial" w:hAnsi="Arial" w:cs="Arial"/>
          <w:b/>
          <w:szCs w:val="22"/>
        </w:rPr>
      </w:pPr>
    </w:p>
    <w:p w14:paraId="01916992" w14:textId="6BA82437" w:rsidR="00ED19F3" w:rsidRPr="00985A2D" w:rsidRDefault="00ED19F3" w:rsidP="00ED19F3">
      <w:pPr>
        <w:jc w:val="center"/>
        <w:rPr>
          <w:rFonts w:ascii="Arial" w:hAnsi="Arial" w:cs="Arial"/>
          <w:szCs w:val="22"/>
        </w:rPr>
      </w:pPr>
      <w:r w:rsidRPr="00985A2D">
        <w:rPr>
          <w:rFonts w:ascii="Arial" w:hAnsi="Arial" w:cs="Arial"/>
          <w:noProof/>
          <w:szCs w:val="22"/>
          <w:lang w:eastAsia="es-CO"/>
        </w:rPr>
        <w:lastRenderedPageBreak/>
        <w:drawing>
          <wp:inline distT="0" distB="0" distL="0" distR="0" wp14:anchorId="227F0300" wp14:editId="34E85B7B">
            <wp:extent cx="4219575" cy="2114550"/>
            <wp:effectExtent l="0" t="0" r="9525"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D11985" w14:textId="1FC00C96" w:rsidR="00ED19F3" w:rsidRPr="00C8330C" w:rsidRDefault="00ED19F3" w:rsidP="00ED19F3">
      <w:pPr>
        <w:rPr>
          <w:rStyle w:val="Referenciasutil"/>
          <w:rFonts w:ascii="Arial" w:hAnsi="Arial" w:cs="Arial"/>
          <w:sz w:val="16"/>
          <w:szCs w:val="16"/>
        </w:rPr>
      </w:pPr>
      <w:r w:rsidRPr="00C8330C">
        <w:rPr>
          <w:rStyle w:val="Referenciasutil"/>
          <w:rFonts w:ascii="Arial" w:hAnsi="Arial" w:cs="Arial"/>
          <w:sz w:val="16"/>
          <w:szCs w:val="16"/>
        </w:rPr>
        <w:t>Fuente: Cálculos MCV con base en información de las Oficinas de Registro Académico y de Planeación de las universidades de la ciudad</w:t>
      </w:r>
    </w:p>
    <w:p w14:paraId="2C8243F3" w14:textId="1F432B59" w:rsidR="00ED19F3" w:rsidRPr="00985A2D" w:rsidRDefault="00ED19F3" w:rsidP="0050455C">
      <w:pPr>
        <w:rPr>
          <w:rFonts w:ascii="Arial" w:hAnsi="Arial" w:cs="Arial"/>
          <w:szCs w:val="22"/>
        </w:rPr>
      </w:pPr>
    </w:p>
    <w:p w14:paraId="550E6ED1" w14:textId="77777777" w:rsidR="006809C2" w:rsidRPr="00985A2D" w:rsidRDefault="006809C2" w:rsidP="006809C2">
      <w:pPr>
        <w:rPr>
          <w:rFonts w:ascii="Arial" w:hAnsi="Arial" w:cs="Arial"/>
          <w:szCs w:val="22"/>
        </w:rPr>
      </w:pPr>
      <w:r w:rsidRPr="00985A2D">
        <w:rPr>
          <w:rFonts w:ascii="Arial" w:hAnsi="Arial" w:cs="Arial"/>
          <w:szCs w:val="22"/>
        </w:rPr>
        <w:t>La ciudad sigue siendo una plaza atractiva para estudiantes de todo el país, al encontrarse una procedencia de todos los departamentos, así como extranjeros provenientes de España, Aruba, Estados Unidos, Venezuela, Argentina y México. Sin embargo, como se ha constatado anteriormente, la ciudad es un destino importante para estudiantes de Nariño, Risaralda y Valle del Cauca, especialmente. Estos tres departamentos participan con casi el 50% de la matrícula foránea.</w:t>
      </w:r>
    </w:p>
    <w:p w14:paraId="6EE2C7AD" w14:textId="12E5ECB2" w:rsidR="006809C2" w:rsidRPr="00985A2D" w:rsidRDefault="006809C2" w:rsidP="0050455C">
      <w:pPr>
        <w:rPr>
          <w:rFonts w:ascii="Arial" w:hAnsi="Arial" w:cs="Arial"/>
          <w:szCs w:val="22"/>
        </w:rPr>
      </w:pPr>
    </w:p>
    <w:p w14:paraId="6C2647FA" w14:textId="78110D19" w:rsidR="006809C2" w:rsidRPr="00985A2D" w:rsidRDefault="006809C2" w:rsidP="0008115D">
      <w:pPr>
        <w:jc w:val="center"/>
        <w:rPr>
          <w:rFonts w:ascii="Arial" w:hAnsi="Arial" w:cs="Arial"/>
          <w:b/>
          <w:szCs w:val="22"/>
        </w:rPr>
      </w:pPr>
      <w:bookmarkStart w:id="3" w:name="_Toc63666858"/>
      <w:r w:rsidRPr="00985A2D">
        <w:rPr>
          <w:rFonts w:ascii="Arial" w:hAnsi="Arial" w:cs="Arial"/>
          <w:b/>
          <w:bCs/>
          <w:szCs w:val="22"/>
        </w:rPr>
        <w:t xml:space="preserve">Tabla </w:t>
      </w:r>
      <w:r w:rsidRPr="00985A2D">
        <w:rPr>
          <w:rFonts w:ascii="Arial" w:hAnsi="Arial" w:cs="Arial"/>
          <w:b/>
          <w:bCs/>
          <w:szCs w:val="22"/>
        </w:rPr>
        <w:fldChar w:fldCharType="begin"/>
      </w:r>
      <w:r w:rsidRPr="00985A2D">
        <w:rPr>
          <w:rFonts w:ascii="Arial" w:hAnsi="Arial" w:cs="Arial"/>
          <w:b/>
          <w:bCs/>
          <w:szCs w:val="22"/>
        </w:rPr>
        <w:instrText xml:space="preserve"> SEQ Tabla \* ARABIC </w:instrText>
      </w:r>
      <w:r w:rsidRPr="00985A2D">
        <w:rPr>
          <w:rFonts w:ascii="Arial" w:hAnsi="Arial" w:cs="Arial"/>
          <w:b/>
          <w:bCs/>
          <w:szCs w:val="22"/>
        </w:rPr>
        <w:fldChar w:fldCharType="separate"/>
      </w:r>
      <w:r w:rsidR="009F20F0">
        <w:rPr>
          <w:rFonts w:ascii="Arial" w:hAnsi="Arial" w:cs="Arial"/>
          <w:b/>
          <w:bCs/>
          <w:noProof/>
          <w:szCs w:val="22"/>
        </w:rPr>
        <w:t>6</w:t>
      </w:r>
      <w:r w:rsidRPr="00985A2D">
        <w:rPr>
          <w:rFonts w:ascii="Arial" w:hAnsi="Arial" w:cs="Arial"/>
          <w:szCs w:val="22"/>
        </w:rPr>
        <w:fldChar w:fldCharType="end"/>
      </w:r>
      <w:r w:rsidRPr="00985A2D">
        <w:rPr>
          <w:rFonts w:ascii="Arial" w:hAnsi="Arial" w:cs="Arial"/>
          <w:b/>
          <w:bCs/>
          <w:szCs w:val="22"/>
        </w:rPr>
        <w:t>.</w:t>
      </w:r>
      <w:r w:rsidRPr="00985A2D">
        <w:rPr>
          <w:rFonts w:ascii="Arial" w:hAnsi="Arial" w:cs="Arial"/>
          <w:szCs w:val="22"/>
        </w:rPr>
        <w:t xml:space="preserve"> </w:t>
      </w:r>
      <w:r w:rsidRPr="00985A2D">
        <w:rPr>
          <w:rFonts w:ascii="Arial" w:hAnsi="Arial" w:cs="Arial"/>
          <w:b/>
          <w:szCs w:val="22"/>
        </w:rPr>
        <w:t>Procedencia de los estudiantes en Manizales según departamento (2019)</w:t>
      </w:r>
      <w:bookmarkEnd w:id="3"/>
    </w:p>
    <w:p w14:paraId="19B613D3" w14:textId="53FBCEA0" w:rsidR="006809C2" w:rsidRPr="00985A2D" w:rsidRDefault="006809C2" w:rsidP="0050455C">
      <w:pPr>
        <w:rPr>
          <w:rFonts w:ascii="Arial" w:hAnsi="Arial" w:cs="Arial"/>
          <w:szCs w:val="22"/>
        </w:rPr>
      </w:pPr>
    </w:p>
    <w:tbl>
      <w:tblPr>
        <w:tblW w:w="3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1239"/>
      </w:tblGrid>
      <w:tr w:rsidR="006809C2" w:rsidRPr="00C8330C" w14:paraId="04072C4A" w14:textId="77777777" w:rsidTr="0008115D">
        <w:trPr>
          <w:trHeight w:val="300"/>
          <w:tblHeader/>
          <w:jc w:val="center"/>
        </w:trPr>
        <w:tc>
          <w:tcPr>
            <w:tcW w:w="2127" w:type="dxa"/>
            <w:shd w:val="clear" w:color="DDEBF7" w:fill="DDEBF7"/>
            <w:noWrap/>
            <w:vAlign w:val="bottom"/>
            <w:hideMark/>
          </w:tcPr>
          <w:p w14:paraId="285256E2" w14:textId="77777777" w:rsidR="006809C2" w:rsidRPr="00C8330C" w:rsidRDefault="006809C2" w:rsidP="006809C2">
            <w:pPr>
              <w:rPr>
                <w:rFonts w:ascii="Arial" w:hAnsi="Arial" w:cs="Arial"/>
                <w:b/>
                <w:bCs/>
                <w:sz w:val="20"/>
                <w:szCs w:val="20"/>
              </w:rPr>
            </w:pPr>
            <w:r w:rsidRPr="00C8330C">
              <w:rPr>
                <w:rFonts w:ascii="Arial" w:hAnsi="Arial" w:cs="Arial"/>
                <w:b/>
                <w:bCs/>
                <w:sz w:val="20"/>
                <w:szCs w:val="20"/>
              </w:rPr>
              <w:t>Departamento</w:t>
            </w:r>
          </w:p>
        </w:tc>
        <w:tc>
          <w:tcPr>
            <w:tcW w:w="1239" w:type="dxa"/>
            <w:shd w:val="clear" w:color="DDEBF7" w:fill="DDEBF7"/>
            <w:noWrap/>
            <w:vAlign w:val="bottom"/>
            <w:hideMark/>
          </w:tcPr>
          <w:p w14:paraId="79DBE5AE" w14:textId="77777777" w:rsidR="006809C2" w:rsidRPr="00C8330C" w:rsidRDefault="006809C2" w:rsidP="006809C2">
            <w:pPr>
              <w:rPr>
                <w:rFonts w:ascii="Arial" w:hAnsi="Arial" w:cs="Arial"/>
                <w:b/>
                <w:bCs/>
                <w:sz w:val="20"/>
                <w:szCs w:val="20"/>
              </w:rPr>
            </w:pPr>
            <w:r w:rsidRPr="00C8330C">
              <w:rPr>
                <w:rFonts w:ascii="Arial" w:hAnsi="Arial" w:cs="Arial"/>
                <w:b/>
                <w:bCs/>
                <w:sz w:val="20"/>
                <w:szCs w:val="20"/>
              </w:rPr>
              <w:t>Pregrado</w:t>
            </w:r>
          </w:p>
        </w:tc>
      </w:tr>
      <w:tr w:rsidR="006809C2" w:rsidRPr="00C8330C" w14:paraId="3B6BEA45" w14:textId="77777777" w:rsidTr="006809C2">
        <w:trPr>
          <w:trHeight w:val="300"/>
          <w:jc w:val="center"/>
        </w:trPr>
        <w:tc>
          <w:tcPr>
            <w:tcW w:w="2127" w:type="dxa"/>
            <w:shd w:val="clear" w:color="auto" w:fill="auto"/>
            <w:noWrap/>
            <w:vAlign w:val="bottom"/>
            <w:hideMark/>
          </w:tcPr>
          <w:p w14:paraId="223AD1E6" w14:textId="77777777" w:rsidR="006809C2" w:rsidRPr="00C8330C" w:rsidRDefault="006809C2" w:rsidP="006809C2">
            <w:pPr>
              <w:rPr>
                <w:rFonts w:ascii="Arial" w:hAnsi="Arial" w:cs="Arial"/>
                <w:sz w:val="20"/>
                <w:szCs w:val="20"/>
              </w:rPr>
            </w:pPr>
            <w:r w:rsidRPr="00C8330C">
              <w:rPr>
                <w:rFonts w:ascii="Arial" w:hAnsi="Arial" w:cs="Arial"/>
                <w:sz w:val="20"/>
                <w:szCs w:val="20"/>
              </w:rPr>
              <w:t xml:space="preserve">Nariño </w:t>
            </w:r>
          </w:p>
        </w:tc>
        <w:tc>
          <w:tcPr>
            <w:tcW w:w="1239" w:type="dxa"/>
            <w:shd w:val="clear" w:color="auto" w:fill="auto"/>
            <w:noWrap/>
            <w:vAlign w:val="bottom"/>
            <w:hideMark/>
          </w:tcPr>
          <w:p w14:paraId="4593352D" w14:textId="77777777" w:rsidR="006809C2" w:rsidRPr="00C8330C" w:rsidRDefault="006809C2" w:rsidP="006809C2">
            <w:pPr>
              <w:rPr>
                <w:rFonts w:ascii="Arial" w:hAnsi="Arial" w:cs="Arial"/>
                <w:sz w:val="20"/>
                <w:szCs w:val="20"/>
              </w:rPr>
            </w:pPr>
            <w:r w:rsidRPr="00C8330C">
              <w:rPr>
                <w:rFonts w:ascii="Arial" w:hAnsi="Arial" w:cs="Arial"/>
                <w:sz w:val="20"/>
                <w:szCs w:val="20"/>
              </w:rPr>
              <w:t>16,6%</w:t>
            </w:r>
          </w:p>
        </w:tc>
      </w:tr>
      <w:tr w:rsidR="006809C2" w:rsidRPr="00C8330C" w14:paraId="737D67C4" w14:textId="77777777" w:rsidTr="006809C2">
        <w:trPr>
          <w:trHeight w:val="300"/>
          <w:jc w:val="center"/>
        </w:trPr>
        <w:tc>
          <w:tcPr>
            <w:tcW w:w="2127" w:type="dxa"/>
            <w:shd w:val="clear" w:color="auto" w:fill="auto"/>
            <w:noWrap/>
            <w:vAlign w:val="bottom"/>
            <w:hideMark/>
          </w:tcPr>
          <w:p w14:paraId="36073AA0" w14:textId="77777777" w:rsidR="006809C2" w:rsidRPr="00C8330C" w:rsidRDefault="006809C2" w:rsidP="006809C2">
            <w:pPr>
              <w:rPr>
                <w:rFonts w:ascii="Arial" w:hAnsi="Arial" w:cs="Arial"/>
                <w:sz w:val="20"/>
                <w:szCs w:val="20"/>
              </w:rPr>
            </w:pPr>
            <w:r w:rsidRPr="00C8330C">
              <w:rPr>
                <w:rFonts w:ascii="Arial" w:hAnsi="Arial" w:cs="Arial"/>
                <w:sz w:val="20"/>
                <w:szCs w:val="20"/>
              </w:rPr>
              <w:t xml:space="preserve">Risaralda </w:t>
            </w:r>
          </w:p>
        </w:tc>
        <w:tc>
          <w:tcPr>
            <w:tcW w:w="1239" w:type="dxa"/>
            <w:shd w:val="clear" w:color="auto" w:fill="auto"/>
            <w:noWrap/>
            <w:vAlign w:val="bottom"/>
            <w:hideMark/>
          </w:tcPr>
          <w:p w14:paraId="4E60D2A2" w14:textId="77777777" w:rsidR="006809C2" w:rsidRPr="00C8330C" w:rsidRDefault="006809C2" w:rsidP="006809C2">
            <w:pPr>
              <w:rPr>
                <w:rFonts w:ascii="Arial" w:hAnsi="Arial" w:cs="Arial"/>
                <w:sz w:val="20"/>
                <w:szCs w:val="20"/>
              </w:rPr>
            </w:pPr>
            <w:r w:rsidRPr="00C8330C">
              <w:rPr>
                <w:rFonts w:ascii="Arial" w:hAnsi="Arial" w:cs="Arial"/>
                <w:sz w:val="20"/>
                <w:szCs w:val="20"/>
              </w:rPr>
              <w:t>14,8%</w:t>
            </w:r>
          </w:p>
        </w:tc>
      </w:tr>
      <w:tr w:rsidR="006809C2" w:rsidRPr="00C8330C" w14:paraId="4E404105" w14:textId="77777777" w:rsidTr="006809C2">
        <w:trPr>
          <w:trHeight w:val="300"/>
          <w:jc w:val="center"/>
        </w:trPr>
        <w:tc>
          <w:tcPr>
            <w:tcW w:w="2127" w:type="dxa"/>
            <w:shd w:val="clear" w:color="auto" w:fill="auto"/>
            <w:noWrap/>
            <w:vAlign w:val="bottom"/>
            <w:hideMark/>
          </w:tcPr>
          <w:p w14:paraId="2D02BF05" w14:textId="77777777" w:rsidR="006809C2" w:rsidRPr="00C8330C" w:rsidRDefault="006809C2" w:rsidP="006809C2">
            <w:pPr>
              <w:rPr>
                <w:rFonts w:ascii="Arial" w:hAnsi="Arial" w:cs="Arial"/>
                <w:sz w:val="20"/>
                <w:szCs w:val="20"/>
              </w:rPr>
            </w:pPr>
            <w:r w:rsidRPr="00C8330C">
              <w:rPr>
                <w:rFonts w:ascii="Arial" w:hAnsi="Arial" w:cs="Arial"/>
                <w:sz w:val="20"/>
                <w:szCs w:val="20"/>
              </w:rPr>
              <w:t xml:space="preserve">Valle del Cauca </w:t>
            </w:r>
          </w:p>
        </w:tc>
        <w:tc>
          <w:tcPr>
            <w:tcW w:w="1239" w:type="dxa"/>
            <w:shd w:val="clear" w:color="auto" w:fill="auto"/>
            <w:noWrap/>
            <w:vAlign w:val="bottom"/>
            <w:hideMark/>
          </w:tcPr>
          <w:p w14:paraId="5D66DD2F" w14:textId="77777777" w:rsidR="006809C2" w:rsidRPr="00C8330C" w:rsidRDefault="006809C2" w:rsidP="006809C2">
            <w:pPr>
              <w:rPr>
                <w:rFonts w:ascii="Arial" w:hAnsi="Arial" w:cs="Arial"/>
                <w:sz w:val="20"/>
                <w:szCs w:val="20"/>
              </w:rPr>
            </w:pPr>
            <w:r w:rsidRPr="00C8330C">
              <w:rPr>
                <w:rFonts w:ascii="Arial" w:hAnsi="Arial" w:cs="Arial"/>
                <w:sz w:val="20"/>
                <w:szCs w:val="20"/>
              </w:rPr>
              <w:t>14,5%</w:t>
            </w:r>
          </w:p>
        </w:tc>
      </w:tr>
      <w:tr w:rsidR="006809C2" w:rsidRPr="00C8330C" w14:paraId="1A2ED4E1" w14:textId="77777777" w:rsidTr="006809C2">
        <w:trPr>
          <w:trHeight w:val="300"/>
          <w:jc w:val="center"/>
        </w:trPr>
        <w:tc>
          <w:tcPr>
            <w:tcW w:w="2127" w:type="dxa"/>
            <w:shd w:val="clear" w:color="auto" w:fill="auto"/>
            <w:noWrap/>
            <w:vAlign w:val="bottom"/>
            <w:hideMark/>
          </w:tcPr>
          <w:p w14:paraId="120B3AB4" w14:textId="77777777" w:rsidR="006809C2" w:rsidRPr="00C8330C" w:rsidRDefault="006809C2" w:rsidP="006809C2">
            <w:pPr>
              <w:rPr>
                <w:rFonts w:ascii="Arial" w:hAnsi="Arial" w:cs="Arial"/>
                <w:sz w:val="20"/>
                <w:szCs w:val="20"/>
              </w:rPr>
            </w:pPr>
            <w:r w:rsidRPr="00C8330C">
              <w:rPr>
                <w:rFonts w:ascii="Arial" w:hAnsi="Arial" w:cs="Arial"/>
                <w:sz w:val="20"/>
                <w:szCs w:val="20"/>
              </w:rPr>
              <w:t xml:space="preserve">Tolima </w:t>
            </w:r>
          </w:p>
        </w:tc>
        <w:tc>
          <w:tcPr>
            <w:tcW w:w="1239" w:type="dxa"/>
            <w:shd w:val="clear" w:color="auto" w:fill="auto"/>
            <w:noWrap/>
            <w:vAlign w:val="bottom"/>
            <w:hideMark/>
          </w:tcPr>
          <w:p w14:paraId="53D7D5B8" w14:textId="77777777" w:rsidR="006809C2" w:rsidRPr="00C8330C" w:rsidRDefault="006809C2" w:rsidP="006809C2">
            <w:pPr>
              <w:rPr>
                <w:rFonts w:ascii="Arial" w:hAnsi="Arial" w:cs="Arial"/>
                <w:sz w:val="20"/>
                <w:szCs w:val="20"/>
              </w:rPr>
            </w:pPr>
            <w:r w:rsidRPr="00C8330C">
              <w:rPr>
                <w:rFonts w:ascii="Arial" w:hAnsi="Arial" w:cs="Arial"/>
                <w:sz w:val="20"/>
                <w:szCs w:val="20"/>
              </w:rPr>
              <w:t>9,0%</w:t>
            </w:r>
          </w:p>
        </w:tc>
      </w:tr>
      <w:tr w:rsidR="006809C2" w:rsidRPr="00C8330C" w14:paraId="61A30B7B" w14:textId="77777777" w:rsidTr="006809C2">
        <w:trPr>
          <w:trHeight w:val="300"/>
          <w:jc w:val="center"/>
        </w:trPr>
        <w:tc>
          <w:tcPr>
            <w:tcW w:w="2127" w:type="dxa"/>
            <w:shd w:val="clear" w:color="auto" w:fill="auto"/>
            <w:noWrap/>
            <w:vAlign w:val="bottom"/>
            <w:hideMark/>
          </w:tcPr>
          <w:p w14:paraId="11A977D5" w14:textId="77777777" w:rsidR="006809C2" w:rsidRPr="00C8330C" w:rsidRDefault="006809C2" w:rsidP="006809C2">
            <w:pPr>
              <w:rPr>
                <w:rFonts w:ascii="Arial" w:hAnsi="Arial" w:cs="Arial"/>
                <w:sz w:val="20"/>
                <w:szCs w:val="20"/>
              </w:rPr>
            </w:pPr>
            <w:r w:rsidRPr="00C8330C">
              <w:rPr>
                <w:rFonts w:ascii="Arial" w:hAnsi="Arial" w:cs="Arial"/>
                <w:sz w:val="20"/>
                <w:szCs w:val="20"/>
              </w:rPr>
              <w:t xml:space="preserve">Bogotá D.C. </w:t>
            </w:r>
          </w:p>
        </w:tc>
        <w:tc>
          <w:tcPr>
            <w:tcW w:w="1239" w:type="dxa"/>
            <w:shd w:val="clear" w:color="auto" w:fill="auto"/>
            <w:noWrap/>
            <w:vAlign w:val="bottom"/>
            <w:hideMark/>
          </w:tcPr>
          <w:p w14:paraId="2D66F3C8" w14:textId="77777777" w:rsidR="006809C2" w:rsidRPr="00C8330C" w:rsidRDefault="006809C2" w:rsidP="006809C2">
            <w:pPr>
              <w:rPr>
                <w:rFonts w:ascii="Arial" w:hAnsi="Arial" w:cs="Arial"/>
                <w:sz w:val="20"/>
                <w:szCs w:val="20"/>
              </w:rPr>
            </w:pPr>
            <w:r w:rsidRPr="00C8330C">
              <w:rPr>
                <w:rFonts w:ascii="Arial" w:hAnsi="Arial" w:cs="Arial"/>
                <w:sz w:val="20"/>
                <w:szCs w:val="20"/>
              </w:rPr>
              <w:t>6,2%</w:t>
            </w:r>
          </w:p>
        </w:tc>
      </w:tr>
      <w:tr w:rsidR="006809C2" w:rsidRPr="00C8330C" w14:paraId="39365D2A" w14:textId="77777777" w:rsidTr="006809C2">
        <w:trPr>
          <w:trHeight w:val="300"/>
          <w:jc w:val="center"/>
        </w:trPr>
        <w:tc>
          <w:tcPr>
            <w:tcW w:w="2127" w:type="dxa"/>
            <w:shd w:val="clear" w:color="auto" w:fill="auto"/>
            <w:noWrap/>
            <w:vAlign w:val="bottom"/>
            <w:hideMark/>
          </w:tcPr>
          <w:p w14:paraId="46FC66FE" w14:textId="77777777" w:rsidR="006809C2" w:rsidRPr="00C8330C" w:rsidRDefault="006809C2" w:rsidP="006809C2">
            <w:pPr>
              <w:rPr>
                <w:rFonts w:ascii="Arial" w:hAnsi="Arial" w:cs="Arial"/>
                <w:sz w:val="20"/>
                <w:szCs w:val="20"/>
              </w:rPr>
            </w:pPr>
            <w:r w:rsidRPr="00C8330C">
              <w:rPr>
                <w:rFonts w:ascii="Arial" w:hAnsi="Arial" w:cs="Arial"/>
                <w:sz w:val="20"/>
                <w:szCs w:val="20"/>
              </w:rPr>
              <w:t xml:space="preserve">Putumayo </w:t>
            </w:r>
          </w:p>
        </w:tc>
        <w:tc>
          <w:tcPr>
            <w:tcW w:w="1239" w:type="dxa"/>
            <w:shd w:val="clear" w:color="auto" w:fill="auto"/>
            <w:noWrap/>
            <w:vAlign w:val="bottom"/>
            <w:hideMark/>
          </w:tcPr>
          <w:p w14:paraId="5C07FB09" w14:textId="77777777" w:rsidR="006809C2" w:rsidRPr="00C8330C" w:rsidRDefault="006809C2" w:rsidP="006809C2">
            <w:pPr>
              <w:rPr>
                <w:rFonts w:ascii="Arial" w:hAnsi="Arial" w:cs="Arial"/>
                <w:sz w:val="20"/>
                <w:szCs w:val="20"/>
              </w:rPr>
            </w:pPr>
            <w:r w:rsidRPr="00C8330C">
              <w:rPr>
                <w:rFonts w:ascii="Arial" w:hAnsi="Arial" w:cs="Arial"/>
                <w:sz w:val="20"/>
                <w:szCs w:val="20"/>
              </w:rPr>
              <w:t>5,6%</w:t>
            </w:r>
          </w:p>
        </w:tc>
      </w:tr>
      <w:tr w:rsidR="006809C2" w:rsidRPr="00C8330C" w14:paraId="444A58D7" w14:textId="77777777" w:rsidTr="006809C2">
        <w:trPr>
          <w:trHeight w:val="300"/>
          <w:jc w:val="center"/>
        </w:trPr>
        <w:tc>
          <w:tcPr>
            <w:tcW w:w="2127" w:type="dxa"/>
            <w:shd w:val="clear" w:color="auto" w:fill="auto"/>
            <w:noWrap/>
            <w:vAlign w:val="bottom"/>
            <w:hideMark/>
          </w:tcPr>
          <w:p w14:paraId="75A0E660" w14:textId="77777777" w:rsidR="006809C2" w:rsidRPr="00C8330C" w:rsidRDefault="006809C2" w:rsidP="006809C2">
            <w:pPr>
              <w:rPr>
                <w:rFonts w:ascii="Arial" w:hAnsi="Arial" w:cs="Arial"/>
                <w:sz w:val="20"/>
                <w:szCs w:val="20"/>
              </w:rPr>
            </w:pPr>
            <w:r w:rsidRPr="00C8330C">
              <w:rPr>
                <w:rFonts w:ascii="Arial" w:hAnsi="Arial" w:cs="Arial"/>
                <w:sz w:val="20"/>
                <w:szCs w:val="20"/>
              </w:rPr>
              <w:t xml:space="preserve">Quindío </w:t>
            </w:r>
          </w:p>
        </w:tc>
        <w:tc>
          <w:tcPr>
            <w:tcW w:w="1239" w:type="dxa"/>
            <w:shd w:val="clear" w:color="auto" w:fill="auto"/>
            <w:noWrap/>
            <w:vAlign w:val="bottom"/>
            <w:hideMark/>
          </w:tcPr>
          <w:p w14:paraId="38B2F413" w14:textId="77777777" w:rsidR="006809C2" w:rsidRPr="00C8330C" w:rsidRDefault="006809C2" w:rsidP="006809C2">
            <w:pPr>
              <w:rPr>
                <w:rFonts w:ascii="Arial" w:hAnsi="Arial" w:cs="Arial"/>
                <w:sz w:val="20"/>
                <w:szCs w:val="20"/>
              </w:rPr>
            </w:pPr>
            <w:r w:rsidRPr="00C8330C">
              <w:rPr>
                <w:rFonts w:ascii="Arial" w:hAnsi="Arial" w:cs="Arial"/>
                <w:sz w:val="20"/>
                <w:szCs w:val="20"/>
              </w:rPr>
              <w:t>4,0%</w:t>
            </w:r>
          </w:p>
        </w:tc>
      </w:tr>
      <w:tr w:rsidR="006809C2" w:rsidRPr="00C8330C" w14:paraId="02582311" w14:textId="77777777" w:rsidTr="006809C2">
        <w:trPr>
          <w:trHeight w:val="300"/>
          <w:jc w:val="center"/>
        </w:trPr>
        <w:tc>
          <w:tcPr>
            <w:tcW w:w="2127" w:type="dxa"/>
            <w:shd w:val="clear" w:color="auto" w:fill="auto"/>
            <w:noWrap/>
            <w:vAlign w:val="bottom"/>
            <w:hideMark/>
          </w:tcPr>
          <w:p w14:paraId="733F0512" w14:textId="77777777" w:rsidR="006809C2" w:rsidRPr="00C8330C" w:rsidRDefault="006809C2" w:rsidP="006809C2">
            <w:pPr>
              <w:rPr>
                <w:rFonts w:ascii="Arial" w:hAnsi="Arial" w:cs="Arial"/>
                <w:sz w:val="20"/>
                <w:szCs w:val="20"/>
              </w:rPr>
            </w:pPr>
            <w:r w:rsidRPr="00C8330C">
              <w:rPr>
                <w:rFonts w:ascii="Arial" w:hAnsi="Arial" w:cs="Arial"/>
                <w:sz w:val="20"/>
                <w:szCs w:val="20"/>
              </w:rPr>
              <w:lastRenderedPageBreak/>
              <w:t xml:space="preserve">Huila </w:t>
            </w:r>
          </w:p>
        </w:tc>
        <w:tc>
          <w:tcPr>
            <w:tcW w:w="1239" w:type="dxa"/>
            <w:shd w:val="clear" w:color="auto" w:fill="auto"/>
            <w:noWrap/>
            <w:vAlign w:val="bottom"/>
            <w:hideMark/>
          </w:tcPr>
          <w:p w14:paraId="53B282FE" w14:textId="77777777" w:rsidR="006809C2" w:rsidRPr="00C8330C" w:rsidRDefault="006809C2" w:rsidP="006809C2">
            <w:pPr>
              <w:rPr>
                <w:rFonts w:ascii="Arial" w:hAnsi="Arial" w:cs="Arial"/>
                <w:sz w:val="20"/>
                <w:szCs w:val="20"/>
              </w:rPr>
            </w:pPr>
            <w:r w:rsidRPr="00C8330C">
              <w:rPr>
                <w:rFonts w:ascii="Arial" w:hAnsi="Arial" w:cs="Arial"/>
                <w:sz w:val="20"/>
                <w:szCs w:val="20"/>
              </w:rPr>
              <w:t>3,8%</w:t>
            </w:r>
          </w:p>
        </w:tc>
      </w:tr>
      <w:tr w:rsidR="006809C2" w:rsidRPr="00C8330C" w14:paraId="2FD74C53" w14:textId="77777777" w:rsidTr="006809C2">
        <w:trPr>
          <w:trHeight w:val="300"/>
          <w:jc w:val="center"/>
        </w:trPr>
        <w:tc>
          <w:tcPr>
            <w:tcW w:w="2127" w:type="dxa"/>
            <w:shd w:val="clear" w:color="auto" w:fill="auto"/>
            <w:noWrap/>
            <w:vAlign w:val="bottom"/>
            <w:hideMark/>
          </w:tcPr>
          <w:p w14:paraId="0A460005" w14:textId="77777777" w:rsidR="006809C2" w:rsidRPr="00C8330C" w:rsidRDefault="006809C2" w:rsidP="006809C2">
            <w:pPr>
              <w:rPr>
                <w:rFonts w:ascii="Arial" w:hAnsi="Arial" w:cs="Arial"/>
                <w:sz w:val="20"/>
                <w:szCs w:val="20"/>
              </w:rPr>
            </w:pPr>
            <w:r w:rsidRPr="00C8330C">
              <w:rPr>
                <w:rFonts w:ascii="Arial" w:hAnsi="Arial" w:cs="Arial"/>
                <w:sz w:val="20"/>
                <w:szCs w:val="20"/>
              </w:rPr>
              <w:t xml:space="preserve">Antioquia </w:t>
            </w:r>
          </w:p>
        </w:tc>
        <w:tc>
          <w:tcPr>
            <w:tcW w:w="1239" w:type="dxa"/>
            <w:shd w:val="clear" w:color="auto" w:fill="auto"/>
            <w:noWrap/>
            <w:vAlign w:val="bottom"/>
            <w:hideMark/>
          </w:tcPr>
          <w:p w14:paraId="3A7B862D" w14:textId="77777777" w:rsidR="006809C2" w:rsidRPr="00C8330C" w:rsidRDefault="006809C2" w:rsidP="006809C2">
            <w:pPr>
              <w:rPr>
                <w:rFonts w:ascii="Arial" w:hAnsi="Arial" w:cs="Arial"/>
                <w:sz w:val="20"/>
                <w:szCs w:val="20"/>
              </w:rPr>
            </w:pPr>
            <w:r w:rsidRPr="00C8330C">
              <w:rPr>
                <w:rFonts w:ascii="Arial" w:hAnsi="Arial" w:cs="Arial"/>
                <w:sz w:val="20"/>
                <w:szCs w:val="20"/>
              </w:rPr>
              <w:t>3,5%</w:t>
            </w:r>
          </w:p>
        </w:tc>
      </w:tr>
      <w:tr w:rsidR="006809C2" w:rsidRPr="00C8330C" w14:paraId="2274D982" w14:textId="77777777" w:rsidTr="006809C2">
        <w:trPr>
          <w:trHeight w:val="300"/>
          <w:jc w:val="center"/>
        </w:trPr>
        <w:tc>
          <w:tcPr>
            <w:tcW w:w="2127" w:type="dxa"/>
            <w:shd w:val="clear" w:color="auto" w:fill="auto"/>
            <w:noWrap/>
            <w:vAlign w:val="bottom"/>
            <w:hideMark/>
          </w:tcPr>
          <w:p w14:paraId="7197CA7D" w14:textId="77777777" w:rsidR="006809C2" w:rsidRPr="00C8330C" w:rsidRDefault="006809C2" w:rsidP="006809C2">
            <w:pPr>
              <w:rPr>
                <w:rFonts w:ascii="Arial" w:hAnsi="Arial" w:cs="Arial"/>
                <w:sz w:val="20"/>
                <w:szCs w:val="20"/>
              </w:rPr>
            </w:pPr>
            <w:r w:rsidRPr="00C8330C">
              <w:rPr>
                <w:rFonts w:ascii="Arial" w:hAnsi="Arial" w:cs="Arial"/>
                <w:sz w:val="20"/>
                <w:szCs w:val="20"/>
              </w:rPr>
              <w:t xml:space="preserve">Cundinamarca </w:t>
            </w:r>
          </w:p>
        </w:tc>
        <w:tc>
          <w:tcPr>
            <w:tcW w:w="1239" w:type="dxa"/>
            <w:shd w:val="clear" w:color="auto" w:fill="auto"/>
            <w:noWrap/>
            <w:vAlign w:val="bottom"/>
            <w:hideMark/>
          </w:tcPr>
          <w:p w14:paraId="67402268" w14:textId="77777777" w:rsidR="006809C2" w:rsidRPr="00C8330C" w:rsidRDefault="006809C2" w:rsidP="006809C2">
            <w:pPr>
              <w:rPr>
                <w:rFonts w:ascii="Arial" w:hAnsi="Arial" w:cs="Arial"/>
                <w:sz w:val="20"/>
                <w:szCs w:val="20"/>
              </w:rPr>
            </w:pPr>
            <w:r w:rsidRPr="00C8330C">
              <w:rPr>
                <w:rFonts w:ascii="Arial" w:hAnsi="Arial" w:cs="Arial"/>
                <w:sz w:val="20"/>
                <w:szCs w:val="20"/>
              </w:rPr>
              <w:t>3,4%</w:t>
            </w:r>
          </w:p>
        </w:tc>
      </w:tr>
      <w:tr w:rsidR="006809C2" w:rsidRPr="00C8330C" w14:paraId="1D38CEC5" w14:textId="77777777" w:rsidTr="006809C2">
        <w:trPr>
          <w:trHeight w:val="300"/>
          <w:jc w:val="center"/>
        </w:trPr>
        <w:tc>
          <w:tcPr>
            <w:tcW w:w="2127" w:type="dxa"/>
            <w:shd w:val="clear" w:color="auto" w:fill="auto"/>
            <w:noWrap/>
            <w:vAlign w:val="bottom"/>
            <w:hideMark/>
          </w:tcPr>
          <w:p w14:paraId="77C90F03" w14:textId="77777777" w:rsidR="006809C2" w:rsidRPr="00C8330C" w:rsidRDefault="006809C2" w:rsidP="006809C2">
            <w:pPr>
              <w:rPr>
                <w:rFonts w:ascii="Arial" w:hAnsi="Arial" w:cs="Arial"/>
                <w:sz w:val="20"/>
                <w:szCs w:val="20"/>
              </w:rPr>
            </w:pPr>
            <w:r w:rsidRPr="00C8330C">
              <w:rPr>
                <w:rFonts w:ascii="Arial" w:hAnsi="Arial" w:cs="Arial"/>
                <w:sz w:val="20"/>
                <w:szCs w:val="20"/>
              </w:rPr>
              <w:t xml:space="preserve">Cauca </w:t>
            </w:r>
          </w:p>
        </w:tc>
        <w:tc>
          <w:tcPr>
            <w:tcW w:w="1239" w:type="dxa"/>
            <w:shd w:val="clear" w:color="auto" w:fill="auto"/>
            <w:noWrap/>
            <w:vAlign w:val="bottom"/>
            <w:hideMark/>
          </w:tcPr>
          <w:p w14:paraId="7751EE88" w14:textId="77777777" w:rsidR="006809C2" w:rsidRPr="00C8330C" w:rsidRDefault="006809C2" w:rsidP="006809C2">
            <w:pPr>
              <w:rPr>
                <w:rFonts w:ascii="Arial" w:hAnsi="Arial" w:cs="Arial"/>
                <w:sz w:val="20"/>
                <w:szCs w:val="20"/>
              </w:rPr>
            </w:pPr>
            <w:r w:rsidRPr="00C8330C">
              <w:rPr>
                <w:rFonts w:ascii="Arial" w:hAnsi="Arial" w:cs="Arial"/>
                <w:sz w:val="20"/>
                <w:szCs w:val="20"/>
              </w:rPr>
              <w:t>2,9%</w:t>
            </w:r>
          </w:p>
        </w:tc>
      </w:tr>
      <w:tr w:rsidR="006809C2" w:rsidRPr="00C8330C" w14:paraId="3F68C39D" w14:textId="77777777" w:rsidTr="006809C2">
        <w:trPr>
          <w:trHeight w:val="300"/>
          <w:jc w:val="center"/>
        </w:trPr>
        <w:tc>
          <w:tcPr>
            <w:tcW w:w="2127" w:type="dxa"/>
            <w:shd w:val="clear" w:color="auto" w:fill="auto"/>
            <w:noWrap/>
            <w:vAlign w:val="bottom"/>
            <w:hideMark/>
          </w:tcPr>
          <w:p w14:paraId="27611CAE" w14:textId="77777777" w:rsidR="006809C2" w:rsidRPr="00C8330C" w:rsidRDefault="006809C2" w:rsidP="006809C2">
            <w:pPr>
              <w:rPr>
                <w:rFonts w:ascii="Arial" w:hAnsi="Arial" w:cs="Arial"/>
                <w:sz w:val="20"/>
                <w:szCs w:val="20"/>
              </w:rPr>
            </w:pPr>
            <w:r w:rsidRPr="00C8330C">
              <w:rPr>
                <w:rFonts w:ascii="Arial" w:hAnsi="Arial" w:cs="Arial"/>
                <w:sz w:val="20"/>
                <w:szCs w:val="20"/>
              </w:rPr>
              <w:t xml:space="preserve">Caquetá </w:t>
            </w:r>
          </w:p>
        </w:tc>
        <w:tc>
          <w:tcPr>
            <w:tcW w:w="1239" w:type="dxa"/>
            <w:shd w:val="clear" w:color="auto" w:fill="auto"/>
            <w:noWrap/>
            <w:vAlign w:val="bottom"/>
            <w:hideMark/>
          </w:tcPr>
          <w:p w14:paraId="53961321" w14:textId="77777777" w:rsidR="006809C2" w:rsidRPr="00C8330C" w:rsidRDefault="006809C2" w:rsidP="006809C2">
            <w:pPr>
              <w:rPr>
                <w:rFonts w:ascii="Arial" w:hAnsi="Arial" w:cs="Arial"/>
                <w:sz w:val="20"/>
                <w:szCs w:val="20"/>
              </w:rPr>
            </w:pPr>
            <w:r w:rsidRPr="00C8330C">
              <w:rPr>
                <w:rFonts w:ascii="Arial" w:hAnsi="Arial" w:cs="Arial"/>
                <w:sz w:val="20"/>
                <w:szCs w:val="20"/>
              </w:rPr>
              <w:t>2,4%</w:t>
            </w:r>
          </w:p>
        </w:tc>
      </w:tr>
      <w:tr w:rsidR="006809C2" w:rsidRPr="00C8330C" w14:paraId="1670872A" w14:textId="77777777" w:rsidTr="006809C2">
        <w:trPr>
          <w:trHeight w:val="300"/>
          <w:jc w:val="center"/>
        </w:trPr>
        <w:tc>
          <w:tcPr>
            <w:tcW w:w="2127" w:type="dxa"/>
            <w:shd w:val="clear" w:color="auto" w:fill="auto"/>
            <w:noWrap/>
            <w:vAlign w:val="bottom"/>
            <w:hideMark/>
          </w:tcPr>
          <w:p w14:paraId="312523B8" w14:textId="77777777" w:rsidR="006809C2" w:rsidRPr="00C8330C" w:rsidRDefault="006809C2" w:rsidP="006809C2">
            <w:pPr>
              <w:rPr>
                <w:rFonts w:ascii="Arial" w:hAnsi="Arial" w:cs="Arial"/>
                <w:sz w:val="20"/>
                <w:szCs w:val="20"/>
              </w:rPr>
            </w:pPr>
            <w:r w:rsidRPr="00C8330C">
              <w:rPr>
                <w:rFonts w:ascii="Arial" w:hAnsi="Arial" w:cs="Arial"/>
                <w:sz w:val="20"/>
                <w:szCs w:val="20"/>
              </w:rPr>
              <w:t xml:space="preserve">Santander </w:t>
            </w:r>
          </w:p>
        </w:tc>
        <w:tc>
          <w:tcPr>
            <w:tcW w:w="1239" w:type="dxa"/>
            <w:shd w:val="clear" w:color="auto" w:fill="auto"/>
            <w:noWrap/>
            <w:vAlign w:val="bottom"/>
            <w:hideMark/>
          </w:tcPr>
          <w:p w14:paraId="78D820D5" w14:textId="77777777" w:rsidR="006809C2" w:rsidRPr="00C8330C" w:rsidRDefault="006809C2" w:rsidP="006809C2">
            <w:pPr>
              <w:rPr>
                <w:rFonts w:ascii="Arial" w:hAnsi="Arial" w:cs="Arial"/>
                <w:sz w:val="20"/>
                <w:szCs w:val="20"/>
              </w:rPr>
            </w:pPr>
            <w:r w:rsidRPr="00C8330C">
              <w:rPr>
                <w:rFonts w:ascii="Arial" w:hAnsi="Arial" w:cs="Arial"/>
                <w:sz w:val="20"/>
                <w:szCs w:val="20"/>
              </w:rPr>
              <w:t>1,9%</w:t>
            </w:r>
          </w:p>
        </w:tc>
      </w:tr>
      <w:tr w:rsidR="006809C2" w:rsidRPr="00C8330C" w14:paraId="78A4E1B2" w14:textId="77777777" w:rsidTr="006809C2">
        <w:trPr>
          <w:trHeight w:val="300"/>
          <w:jc w:val="center"/>
        </w:trPr>
        <w:tc>
          <w:tcPr>
            <w:tcW w:w="2127" w:type="dxa"/>
            <w:shd w:val="clear" w:color="auto" w:fill="auto"/>
            <w:noWrap/>
            <w:vAlign w:val="bottom"/>
            <w:hideMark/>
          </w:tcPr>
          <w:p w14:paraId="75FE0C6E" w14:textId="77777777" w:rsidR="006809C2" w:rsidRPr="00C8330C" w:rsidRDefault="006809C2" w:rsidP="006809C2">
            <w:pPr>
              <w:rPr>
                <w:rFonts w:ascii="Arial" w:hAnsi="Arial" w:cs="Arial"/>
                <w:sz w:val="20"/>
                <w:szCs w:val="20"/>
              </w:rPr>
            </w:pPr>
            <w:r w:rsidRPr="00C8330C">
              <w:rPr>
                <w:rFonts w:ascii="Arial" w:hAnsi="Arial" w:cs="Arial"/>
                <w:sz w:val="20"/>
                <w:szCs w:val="20"/>
              </w:rPr>
              <w:t xml:space="preserve">Norte de Santander </w:t>
            </w:r>
          </w:p>
        </w:tc>
        <w:tc>
          <w:tcPr>
            <w:tcW w:w="1239" w:type="dxa"/>
            <w:shd w:val="clear" w:color="auto" w:fill="auto"/>
            <w:noWrap/>
            <w:vAlign w:val="bottom"/>
            <w:hideMark/>
          </w:tcPr>
          <w:p w14:paraId="2E2FBE50" w14:textId="77777777" w:rsidR="006809C2" w:rsidRPr="00C8330C" w:rsidRDefault="006809C2" w:rsidP="006809C2">
            <w:pPr>
              <w:rPr>
                <w:rFonts w:ascii="Arial" w:hAnsi="Arial" w:cs="Arial"/>
                <w:sz w:val="20"/>
                <w:szCs w:val="20"/>
              </w:rPr>
            </w:pPr>
            <w:r w:rsidRPr="00C8330C">
              <w:rPr>
                <w:rFonts w:ascii="Arial" w:hAnsi="Arial" w:cs="Arial"/>
                <w:sz w:val="20"/>
                <w:szCs w:val="20"/>
              </w:rPr>
              <w:t>1,4%</w:t>
            </w:r>
          </w:p>
        </w:tc>
      </w:tr>
      <w:tr w:rsidR="006809C2" w:rsidRPr="00C8330C" w14:paraId="3778D0D5" w14:textId="77777777" w:rsidTr="006809C2">
        <w:trPr>
          <w:trHeight w:val="300"/>
          <w:jc w:val="center"/>
        </w:trPr>
        <w:tc>
          <w:tcPr>
            <w:tcW w:w="2127" w:type="dxa"/>
            <w:shd w:val="clear" w:color="auto" w:fill="auto"/>
            <w:noWrap/>
            <w:vAlign w:val="bottom"/>
            <w:hideMark/>
          </w:tcPr>
          <w:p w14:paraId="68735350" w14:textId="77777777" w:rsidR="006809C2" w:rsidRPr="00C8330C" w:rsidRDefault="006809C2" w:rsidP="006809C2">
            <w:pPr>
              <w:rPr>
                <w:rFonts w:ascii="Arial" w:hAnsi="Arial" w:cs="Arial"/>
                <w:sz w:val="20"/>
                <w:szCs w:val="20"/>
              </w:rPr>
            </w:pPr>
            <w:r w:rsidRPr="00C8330C">
              <w:rPr>
                <w:rFonts w:ascii="Arial" w:hAnsi="Arial" w:cs="Arial"/>
                <w:sz w:val="20"/>
                <w:szCs w:val="20"/>
              </w:rPr>
              <w:t xml:space="preserve">Córdoba </w:t>
            </w:r>
          </w:p>
        </w:tc>
        <w:tc>
          <w:tcPr>
            <w:tcW w:w="1239" w:type="dxa"/>
            <w:shd w:val="clear" w:color="auto" w:fill="auto"/>
            <w:noWrap/>
            <w:vAlign w:val="bottom"/>
            <w:hideMark/>
          </w:tcPr>
          <w:p w14:paraId="2B500266" w14:textId="77777777" w:rsidR="006809C2" w:rsidRPr="00C8330C" w:rsidRDefault="006809C2" w:rsidP="006809C2">
            <w:pPr>
              <w:rPr>
                <w:rFonts w:ascii="Arial" w:hAnsi="Arial" w:cs="Arial"/>
                <w:sz w:val="20"/>
                <w:szCs w:val="20"/>
              </w:rPr>
            </w:pPr>
            <w:r w:rsidRPr="00C8330C">
              <w:rPr>
                <w:rFonts w:ascii="Arial" w:hAnsi="Arial" w:cs="Arial"/>
                <w:sz w:val="20"/>
                <w:szCs w:val="20"/>
              </w:rPr>
              <w:t>1,4%</w:t>
            </w:r>
          </w:p>
        </w:tc>
      </w:tr>
      <w:tr w:rsidR="006809C2" w:rsidRPr="00C8330C" w14:paraId="11DD036E" w14:textId="77777777" w:rsidTr="006809C2">
        <w:trPr>
          <w:trHeight w:val="300"/>
          <w:jc w:val="center"/>
        </w:trPr>
        <w:tc>
          <w:tcPr>
            <w:tcW w:w="2127" w:type="dxa"/>
            <w:shd w:val="clear" w:color="auto" w:fill="auto"/>
            <w:noWrap/>
            <w:vAlign w:val="bottom"/>
            <w:hideMark/>
          </w:tcPr>
          <w:p w14:paraId="30F043B0" w14:textId="77777777" w:rsidR="006809C2" w:rsidRPr="00C8330C" w:rsidRDefault="006809C2" w:rsidP="006809C2">
            <w:pPr>
              <w:rPr>
                <w:rFonts w:ascii="Arial" w:hAnsi="Arial" w:cs="Arial"/>
                <w:sz w:val="20"/>
                <w:szCs w:val="20"/>
              </w:rPr>
            </w:pPr>
            <w:r w:rsidRPr="00C8330C">
              <w:rPr>
                <w:rFonts w:ascii="Arial" w:hAnsi="Arial" w:cs="Arial"/>
                <w:sz w:val="20"/>
                <w:szCs w:val="20"/>
              </w:rPr>
              <w:t xml:space="preserve">Boyacá </w:t>
            </w:r>
          </w:p>
        </w:tc>
        <w:tc>
          <w:tcPr>
            <w:tcW w:w="1239" w:type="dxa"/>
            <w:shd w:val="clear" w:color="auto" w:fill="auto"/>
            <w:noWrap/>
            <w:vAlign w:val="bottom"/>
            <w:hideMark/>
          </w:tcPr>
          <w:p w14:paraId="0C617548" w14:textId="77777777" w:rsidR="006809C2" w:rsidRPr="00C8330C" w:rsidRDefault="006809C2" w:rsidP="006809C2">
            <w:pPr>
              <w:rPr>
                <w:rFonts w:ascii="Arial" w:hAnsi="Arial" w:cs="Arial"/>
                <w:sz w:val="20"/>
                <w:szCs w:val="20"/>
              </w:rPr>
            </w:pPr>
            <w:r w:rsidRPr="00C8330C">
              <w:rPr>
                <w:rFonts w:ascii="Arial" w:hAnsi="Arial" w:cs="Arial"/>
                <w:sz w:val="20"/>
                <w:szCs w:val="20"/>
              </w:rPr>
              <w:t>1,1%</w:t>
            </w:r>
          </w:p>
        </w:tc>
      </w:tr>
      <w:tr w:rsidR="006809C2" w:rsidRPr="00C8330C" w14:paraId="2106D1BE" w14:textId="77777777" w:rsidTr="006809C2">
        <w:trPr>
          <w:trHeight w:val="300"/>
          <w:jc w:val="center"/>
        </w:trPr>
        <w:tc>
          <w:tcPr>
            <w:tcW w:w="2127" w:type="dxa"/>
            <w:shd w:val="clear" w:color="auto" w:fill="auto"/>
            <w:noWrap/>
            <w:vAlign w:val="bottom"/>
            <w:hideMark/>
          </w:tcPr>
          <w:p w14:paraId="66D9563F" w14:textId="77777777" w:rsidR="006809C2" w:rsidRPr="00C8330C" w:rsidRDefault="006809C2" w:rsidP="006809C2">
            <w:pPr>
              <w:rPr>
                <w:rFonts w:ascii="Arial" w:hAnsi="Arial" w:cs="Arial"/>
                <w:sz w:val="20"/>
                <w:szCs w:val="20"/>
              </w:rPr>
            </w:pPr>
            <w:r w:rsidRPr="00C8330C">
              <w:rPr>
                <w:rFonts w:ascii="Arial" w:hAnsi="Arial" w:cs="Arial"/>
                <w:sz w:val="20"/>
                <w:szCs w:val="20"/>
              </w:rPr>
              <w:t xml:space="preserve">Meta </w:t>
            </w:r>
          </w:p>
        </w:tc>
        <w:tc>
          <w:tcPr>
            <w:tcW w:w="1239" w:type="dxa"/>
            <w:shd w:val="clear" w:color="auto" w:fill="auto"/>
            <w:noWrap/>
            <w:vAlign w:val="bottom"/>
            <w:hideMark/>
          </w:tcPr>
          <w:p w14:paraId="3ACE8D12" w14:textId="77777777" w:rsidR="006809C2" w:rsidRPr="00C8330C" w:rsidRDefault="006809C2" w:rsidP="006809C2">
            <w:pPr>
              <w:rPr>
                <w:rFonts w:ascii="Arial" w:hAnsi="Arial" w:cs="Arial"/>
                <w:sz w:val="20"/>
                <w:szCs w:val="20"/>
              </w:rPr>
            </w:pPr>
            <w:r w:rsidRPr="00C8330C">
              <w:rPr>
                <w:rFonts w:ascii="Arial" w:hAnsi="Arial" w:cs="Arial"/>
                <w:sz w:val="20"/>
                <w:szCs w:val="20"/>
              </w:rPr>
              <w:t>1,1%</w:t>
            </w:r>
          </w:p>
        </w:tc>
      </w:tr>
      <w:tr w:rsidR="006809C2" w:rsidRPr="00C8330C" w14:paraId="20A58FF4" w14:textId="77777777" w:rsidTr="006809C2">
        <w:trPr>
          <w:trHeight w:val="300"/>
          <w:jc w:val="center"/>
        </w:trPr>
        <w:tc>
          <w:tcPr>
            <w:tcW w:w="2127" w:type="dxa"/>
            <w:shd w:val="clear" w:color="auto" w:fill="auto"/>
            <w:noWrap/>
            <w:vAlign w:val="bottom"/>
            <w:hideMark/>
          </w:tcPr>
          <w:p w14:paraId="1DA93693" w14:textId="77777777" w:rsidR="006809C2" w:rsidRPr="00C8330C" w:rsidRDefault="006809C2" w:rsidP="006809C2">
            <w:pPr>
              <w:rPr>
                <w:rFonts w:ascii="Arial" w:hAnsi="Arial" w:cs="Arial"/>
                <w:sz w:val="20"/>
                <w:szCs w:val="20"/>
              </w:rPr>
            </w:pPr>
            <w:r w:rsidRPr="00C8330C">
              <w:rPr>
                <w:rFonts w:ascii="Arial" w:hAnsi="Arial" w:cs="Arial"/>
                <w:sz w:val="20"/>
                <w:szCs w:val="20"/>
              </w:rPr>
              <w:t xml:space="preserve">Sucre </w:t>
            </w:r>
          </w:p>
        </w:tc>
        <w:tc>
          <w:tcPr>
            <w:tcW w:w="1239" w:type="dxa"/>
            <w:shd w:val="clear" w:color="auto" w:fill="auto"/>
            <w:noWrap/>
            <w:vAlign w:val="bottom"/>
            <w:hideMark/>
          </w:tcPr>
          <w:p w14:paraId="7F9F62FD" w14:textId="77777777" w:rsidR="006809C2" w:rsidRPr="00C8330C" w:rsidRDefault="006809C2" w:rsidP="006809C2">
            <w:pPr>
              <w:rPr>
                <w:rFonts w:ascii="Arial" w:hAnsi="Arial" w:cs="Arial"/>
                <w:sz w:val="20"/>
                <w:szCs w:val="20"/>
              </w:rPr>
            </w:pPr>
            <w:r w:rsidRPr="00C8330C">
              <w:rPr>
                <w:rFonts w:ascii="Arial" w:hAnsi="Arial" w:cs="Arial"/>
                <w:sz w:val="20"/>
                <w:szCs w:val="20"/>
              </w:rPr>
              <w:t>6,2%</w:t>
            </w:r>
          </w:p>
        </w:tc>
      </w:tr>
      <w:tr w:rsidR="006809C2" w:rsidRPr="00C8330C" w14:paraId="7FE66217" w14:textId="77777777" w:rsidTr="006809C2">
        <w:trPr>
          <w:trHeight w:val="300"/>
          <w:jc w:val="center"/>
        </w:trPr>
        <w:tc>
          <w:tcPr>
            <w:tcW w:w="2127" w:type="dxa"/>
            <w:shd w:val="clear" w:color="auto" w:fill="auto"/>
            <w:noWrap/>
            <w:vAlign w:val="bottom"/>
            <w:hideMark/>
          </w:tcPr>
          <w:p w14:paraId="0A9049DA" w14:textId="77777777" w:rsidR="006809C2" w:rsidRPr="00C8330C" w:rsidRDefault="006809C2" w:rsidP="006809C2">
            <w:pPr>
              <w:rPr>
                <w:rFonts w:ascii="Arial" w:hAnsi="Arial" w:cs="Arial"/>
                <w:b/>
                <w:bCs/>
                <w:sz w:val="20"/>
                <w:szCs w:val="20"/>
              </w:rPr>
            </w:pPr>
            <w:r w:rsidRPr="00C8330C">
              <w:rPr>
                <w:rFonts w:ascii="Arial" w:hAnsi="Arial" w:cs="Arial"/>
                <w:b/>
                <w:bCs/>
                <w:sz w:val="20"/>
                <w:szCs w:val="20"/>
              </w:rPr>
              <w:t>Total</w:t>
            </w:r>
          </w:p>
        </w:tc>
        <w:tc>
          <w:tcPr>
            <w:tcW w:w="1239" w:type="dxa"/>
            <w:shd w:val="clear" w:color="auto" w:fill="auto"/>
            <w:noWrap/>
            <w:vAlign w:val="bottom"/>
            <w:hideMark/>
          </w:tcPr>
          <w:p w14:paraId="5C6DEB3D" w14:textId="77777777" w:rsidR="006809C2" w:rsidRPr="00C8330C" w:rsidRDefault="006809C2" w:rsidP="006809C2">
            <w:pPr>
              <w:rPr>
                <w:rFonts w:ascii="Arial" w:hAnsi="Arial" w:cs="Arial"/>
                <w:b/>
                <w:bCs/>
                <w:sz w:val="20"/>
                <w:szCs w:val="20"/>
              </w:rPr>
            </w:pPr>
            <w:r w:rsidRPr="00C8330C">
              <w:rPr>
                <w:rFonts w:ascii="Arial" w:hAnsi="Arial" w:cs="Arial"/>
                <w:b/>
                <w:bCs/>
                <w:sz w:val="20"/>
                <w:szCs w:val="20"/>
              </w:rPr>
              <w:t>100,0%</w:t>
            </w:r>
          </w:p>
        </w:tc>
      </w:tr>
    </w:tbl>
    <w:p w14:paraId="3C0DDF6A" w14:textId="3FEEDB2C" w:rsidR="006809C2" w:rsidRPr="00C8330C" w:rsidRDefault="006809C2" w:rsidP="006809C2">
      <w:pPr>
        <w:rPr>
          <w:rStyle w:val="Referenciasutil"/>
          <w:rFonts w:ascii="Arial" w:hAnsi="Arial" w:cs="Arial"/>
          <w:sz w:val="16"/>
          <w:szCs w:val="16"/>
        </w:rPr>
      </w:pPr>
      <w:r w:rsidRPr="00C8330C">
        <w:rPr>
          <w:rStyle w:val="Referenciasutil"/>
          <w:rFonts w:ascii="Arial" w:hAnsi="Arial" w:cs="Arial"/>
          <w:sz w:val="16"/>
          <w:szCs w:val="16"/>
        </w:rPr>
        <w:t>Fuente: Cálculos MCV con base en información de las Oficinas de Registro Académico y de Planeación de las universidades de la ciudad</w:t>
      </w:r>
    </w:p>
    <w:p w14:paraId="495B0DDD" w14:textId="452FA549" w:rsidR="006809C2" w:rsidRPr="00985A2D" w:rsidRDefault="006809C2" w:rsidP="006809C2">
      <w:pPr>
        <w:rPr>
          <w:rFonts w:ascii="Arial" w:hAnsi="Arial" w:cs="Arial"/>
          <w:color w:val="808080" w:themeColor="background1" w:themeShade="80"/>
          <w:szCs w:val="22"/>
        </w:rPr>
      </w:pPr>
    </w:p>
    <w:p w14:paraId="59A69C67" w14:textId="7F2171E3" w:rsidR="006809C2" w:rsidRPr="00985A2D" w:rsidRDefault="006809C2" w:rsidP="006809C2">
      <w:pPr>
        <w:rPr>
          <w:rFonts w:ascii="Arial" w:hAnsi="Arial" w:cs="Arial"/>
          <w:szCs w:val="22"/>
        </w:rPr>
      </w:pPr>
      <w:r w:rsidRPr="00985A2D">
        <w:rPr>
          <w:rFonts w:ascii="Arial" w:hAnsi="Arial" w:cs="Arial"/>
          <w:szCs w:val="22"/>
        </w:rPr>
        <w:t>En el nivel de posgrado, se invierte la participación entre estudiantes locales y foráneos. Según se observa, mientras que una tercera parte corresponde a estudiantes de la ciudad, casi el 70% pertenece a otras regiones del país o son extranjeros. Este resultado puede deberse a que este año las universidades reportaron también la matrícula bajo la metodología virtual, la cual tiende a tener una participación alta de estudiantes foráneos aprovechando las tecnologías de la información y la comunicación.</w:t>
      </w:r>
    </w:p>
    <w:p w14:paraId="23B3BE03" w14:textId="77777777" w:rsidR="00C8330C" w:rsidRDefault="00C8330C" w:rsidP="006809C2">
      <w:pPr>
        <w:rPr>
          <w:rFonts w:ascii="Arial" w:hAnsi="Arial" w:cs="Arial"/>
          <w:b/>
          <w:szCs w:val="22"/>
        </w:rPr>
      </w:pPr>
      <w:bookmarkStart w:id="4" w:name="_Toc63666815"/>
    </w:p>
    <w:p w14:paraId="655FE9E2" w14:textId="77777777" w:rsidR="00C8330C" w:rsidRDefault="00C8330C" w:rsidP="006809C2">
      <w:pPr>
        <w:rPr>
          <w:rFonts w:ascii="Arial" w:hAnsi="Arial" w:cs="Arial"/>
          <w:b/>
          <w:szCs w:val="22"/>
        </w:rPr>
      </w:pPr>
    </w:p>
    <w:p w14:paraId="293EB45F" w14:textId="77777777" w:rsidR="00C8330C" w:rsidRDefault="00C8330C" w:rsidP="006809C2">
      <w:pPr>
        <w:rPr>
          <w:rFonts w:ascii="Arial" w:hAnsi="Arial" w:cs="Arial"/>
          <w:b/>
          <w:szCs w:val="22"/>
        </w:rPr>
      </w:pPr>
    </w:p>
    <w:p w14:paraId="6E46EF0D" w14:textId="77777777" w:rsidR="00C8330C" w:rsidRDefault="00C8330C" w:rsidP="006809C2">
      <w:pPr>
        <w:rPr>
          <w:rFonts w:ascii="Arial" w:hAnsi="Arial" w:cs="Arial"/>
          <w:b/>
          <w:szCs w:val="22"/>
        </w:rPr>
      </w:pPr>
    </w:p>
    <w:p w14:paraId="6B58D628" w14:textId="77777777" w:rsidR="00C8330C" w:rsidRDefault="00C8330C" w:rsidP="006809C2">
      <w:pPr>
        <w:rPr>
          <w:rFonts w:ascii="Arial" w:hAnsi="Arial" w:cs="Arial"/>
          <w:b/>
          <w:szCs w:val="22"/>
        </w:rPr>
      </w:pPr>
    </w:p>
    <w:p w14:paraId="4A30F940" w14:textId="77777777" w:rsidR="00C8330C" w:rsidRDefault="00C8330C" w:rsidP="006809C2">
      <w:pPr>
        <w:rPr>
          <w:rFonts w:ascii="Arial" w:hAnsi="Arial" w:cs="Arial"/>
          <w:b/>
          <w:szCs w:val="22"/>
        </w:rPr>
      </w:pPr>
    </w:p>
    <w:p w14:paraId="43E4CE7E" w14:textId="00B18015" w:rsidR="006809C2" w:rsidRPr="00985A2D" w:rsidRDefault="006809C2" w:rsidP="006809C2">
      <w:pPr>
        <w:rPr>
          <w:rFonts w:ascii="Arial" w:hAnsi="Arial" w:cs="Arial"/>
          <w:b/>
          <w:szCs w:val="22"/>
        </w:rPr>
      </w:pPr>
      <w:r w:rsidRPr="00985A2D">
        <w:rPr>
          <w:rFonts w:ascii="Arial" w:hAnsi="Arial" w:cs="Arial"/>
          <w:b/>
          <w:szCs w:val="22"/>
        </w:rPr>
        <w:t xml:space="preserve">Gráfica </w:t>
      </w:r>
      <w:r w:rsidRPr="00985A2D">
        <w:rPr>
          <w:rFonts w:ascii="Arial" w:hAnsi="Arial" w:cs="Arial"/>
          <w:b/>
          <w:szCs w:val="22"/>
        </w:rPr>
        <w:fldChar w:fldCharType="begin"/>
      </w:r>
      <w:r w:rsidRPr="00985A2D">
        <w:rPr>
          <w:rFonts w:ascii="Arial" w:hAnsi="Arial" w:cs="Arial"/>
          <w:b/>
          <w:szCs w:val="22"/>
        </w:rPr>
        <w:instrText xml:space="preserve"> SEQ Gráfica \* ARABIC </w:instrText>
      </w:r>
      <w:r w:rsidRPr="00985A2D">
        <w:rPr>
          <w:rFonts w:ascii="Arial" w:hAnsi="Arial" w:cs="Arial"/>
          <w:b/>
          <w:szCs w:val="22"/>
        </w:rPr>
        <w:fldChar w:fldCharType="separate"/>
      </w:r>
      <w:r w:rsidR="009F20F0">
        <w:rPr>
          <w:rFonts w:ascii="Arial" w:hAnsi="Arial" w:cs="Arial"/>
          <w:b/>
          <w:noProof/>
          <w:szCs w:val="22"/>
        </w:rPr>
        <w:t>5</w:t>
      </w:r>
      <w:r w:rsidRPr="00985A2D">
        <w:rPr>
          <w:rFonts w:ascii="Arial" w:hAnsi="Arial" w:cs="Arial"/>
          <w:szCs w:val="22"/>
        </w:rPr>
        <w:fldChar w:fldCharType="end"/>
      </w:r>
      <w:r w:rsidRPr="00985A2D">
        <w:rPr>
          <w:rFonts w:ascii="Arial" w:hAnsi="Arial" w:cs="Arial"/>
          <w:b/>
          <w:szCs w:val="22"/>
        </w:rPr>
        <w:t>. Procedencia de los estudiantes de posgrado en Manizales (2020)</w:t>
      </w:r>
      <w:bookmarkEnd w:id="4"/>
    </w:p>
    <w:p w14:paraId="645C4C37" w14:textId="77777777" w:rsidR="006809C2" w:rsidRPr="00985A2D" w:rsidRDefault="006809C2" w:rsidP="006809C2">
      <w:pPr>
        <w:rPr>
          <w:rFonts w:ascii="Arial" w:hAnsi="Arial" w:cs="Arial"/>
          <w:szCs w:val="22"/>
        </w:rPr>
      </w:pPr>
    </w:p>
    <w:p w14:paraId="7E32BBB8" w14:textId="49FC9563" w:rsidR="006809C2" w:rsidRPr="00985A2D" w:rsidRDefault="006809C2" w:rsidP="0008115D">
      <w:pPr>
        <w:jc w:val="center"/>
        <w:rPr>
          <w:rFonts w:ascii="Arial" w:hAnsi="Arial" w:cs="Arial"/>
          <w:szCs w:val="22"/>
        </w:rPr>
      </w:pPr>
      <w:r w:rsidRPr="00985A2D">
        <w:rPr>
          <w:rFonts w:ascii="Arial" w:hAnsi="Arial" w:cs="Arial"/>
          <w:noProof/>
          <w:szCs w:val="22"/>
          <w:lang w:eastAsia="es-CO"/>
        </w:rPr>
        <w:lastRenderedPageBreak/>
        <w:drawing>
          <wp:inline distT="0" distB="0" distL="0" distR="0" wp14:anchorId="167879D2" wp14:editId="26E623B0">
            <wp:extent cx="4572000" cy="2743200"/>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FBE4CE" w14:textId="1AEE305B" w:rsidR="006809C2" w:rsidRPr="00C8330C" w:rsidRDefault="006809C2" w:rsidP="00197864">
      <w:pPr>
        <w:rPr>
          <w:rFonts w:ascii="Arial" w:hAnsi="Arial" w:cs="Arial"/>
          <w:i/>
          <w:iCs/>
          <w:smallCaps/>
          <w:color w:val="5A5A5A" w:themeColor="text1" w:themeTint="A5"/>
          <w:sz w:val="16"/>
          <w:szCs w:val="16"/>
        </w:rPr>
      </w:pPr>
      <w:r w:rsidRPr="00C8330C">
        <w:rPr>
          <w:rStyle w:val="Referenciasutil"/>
          <w:rFonts w:ascii="Arial" w:hAnsi="Arial" w:cs="Arial"/>
          <w:sz w:val="16"/>
          <w:szCs w:val="16"/>
        </w:rPr>
        <w:t>Fuente: Cálculos MCV con base en información de las Oficinas de Registro Académico y de Planeación de las universidades de la ciudad</w:t>
      </w:r>
    </w:p>
    <w:p w14:paraId="338AF3A1" w14:textId="77777777" w:rsidR="006809C2" w:rsidRPr="00985A2D" w:rsidRDefault="006809C2" w:rsidP="006809C2">
      <w:pPr>
        <w:pStyle w:val="Ttulo1"/>
        <w:rPr>
          <w:rFonts w:ascii="Arial" w:hAnsi="Arial" w:cs="Arial"/>
          <w:sz w:val="22"/>
          <w:szCs w:val="22"/>
        </w:rPr>
      </w:pPr>
      <w:r w:rsidRPr="00985A2D">
        <w:rPr>
          <w:rFonts w:ascii="Arial" w:hAnsi="Arial" w:cs="Arial"/>
          <w:sz w:val="22"/>
          <w:szCs w:val="22"/>
        </w:rPr>
        <w:t>Comportamiento de la matrícula por Institución de Educación Superior y por sector</w:t>
      </w:r>
    </w:p>
    <w:p w14:paraId="40A8A706" w14:textId="506F2F0D" w:rsidR="006809C2" w:rsidRPr="00985A2D" w:rsidRDefault="006809C2" w:rsidP="00CA41BE">
      <w:pPr>
        <w:rPr>
          <w:rFonts w:ascii="Arial" w:hAnsi="Arial" w:cs="Arial"/>
          <w:szCs w:val="22"/>
        </w:rPr>
      </w:pPr>
    </w:p>
    <w:p w14:paraId="151ACF25" w14:textId="77777777" w:rsidR="006809C2" w:rsidRPr="00985A2D" w:rsidRDefault="006809C2" w:rsidP="006809C2">
      <w:pPr>
        <w:rPr>
          <w:rFonts w:ascii="Arial" w:hAnsi="Arial" w:cs="Arial"/>
          <w:szCs w:val="22"/>
        </w:rPr>
      </w:pPr>
      <w:r w:rsidRPr="00985A2D">
        <w:rPr>
          <w:rFonts w:ascii="Arial" w:hAnsi="Arial" w:cs="Arial"/>
          <w:szCs w:val="22"/>
        </w:rPr>
        <w:t>Las seis instituciones con domicilio en el departamento (Universidad de Caldas, Universidad Nacional de Colombia -sede Manizales-, Universidad Autónoma de Manizales, Universidad Católica de Manizales, Universidad de Manizales y el Colegio Integrado Nacional Oriente de Caldas), concentraron el 75% de la matrícula total en el año 2021. De esta proporción, la matrícula de la Universidad de Caldas participa con casi una tercera parte, con 14.055 estudiantes. En la matrícula oficial, esta Institución concentra casi la mitad de los estudiantes. La Universidad Nacional de Colombia, con 6.007 estudiantes, participa con el 21% de la matrícula oficial y con el 17% de la total. La matrícula total del sector oficial de la ciudad alcanzó en 2021 28.567 estudiantes.</w:t>
      </w:r>
    </w:p>
    <w:p w14:paraId="4089725E" w14:textId="77777777" w:rsidR="006809C2" w:rsidRPr="00985A2D" w:rsidRDefault="006809C2" w:rsidP="006809C2">
      <w:pPr>
        <w:rPr>
          <w:rFonts w:ascii="Arial" w:hAnsi="Arial" w:cs="Arial"/>
          <w:szCs w:val="22"/>
        </w:rPr>
      </w:pPr>
    </w:p>
    <w:p w14:paraId="73F55544" w14:textId="3FD1F6FC" w:rsidR="006809C2" w:rsidRPr="00985A2D" w:rsidRDefault="006809C2" w:rsidP="006809C2">
      <w:pPr>
        <w:rPr>
          <w:rFonts w:ascii="Arial" w:hAnsi="Arial" w:cs="Arial"/>
          <w:szCs w:val="22"/>
        </w:rPr>
      </w:pPr>
      <w:r w:rsidRPr="00985A2D">
        <w:rPr>
          <w:rFonts w:ascii="Arial" w:hAnsi="Arial" w:cs="Arial"/>
          <w:szCs w:val="22"/>
        </w:rPr>
        <w:t xml:space="preserve">Las Instituciones de Educación Superior privadas con oferta en el departamento tienen 17.904 estudiantes, con una gran parte (39%) en la Universidad de Manizales. Otra </w:t>
      </w:r>
      <w:r w:rsidRPr="00985A2D">
        <w:rPr>
          <w:rFonts w:ascii="Arial" w:hAnsi="Arial" w:cs="Arial"/>
          <w:szCs w:val="22"/>
        </w:rPr>
        <w:lastRenderedPageBreak/>
        <w:t xml:space="preserve">universidad con una participación importante en la matrícula privada es la Universidad Autónoma de Manizales con 4.729 estudiantes, seguida por la universidad </w:t>
      </w:r>
      <w:r w:rsidR="003D0818" w:rsidRPr="00985A2D">
        <w:rPr>
          <w:rFonts w:ascii="Arial" w:hAnsi="Arial" w:cs="Arial"/>
          <w:szCs w:val="22"/>
        </w:rPr>
        <w:t>católica</w:t>
      </w:r>
      <w:r w:rsidRPr="00985A2D">
        <w:rPr>
          <w:rFonts w:ascii="Arial" w:hAnsi="Arial" w:cs="Arial"/>
          <w:szCs w:val="22"/>
        </w:rPr>
        <w:t xml:space="preserve"> de Manizales con 2.671 estudiantes (15%). Entre las Instituciones de Educación Superior con oferta en Manizales, pero con domicilio por fuera de ella, se destacan en SENA con 4.535 estudiantes, la Universidad Católica Luis Amigó con 1.865 y Universidad Nacional Abierta y a Distancia con 1.332 estudiantes.</w:t>
      </w:r>
    </w:p>
    <w:p w14:paraId="79DD5D07" w14:textId="3C46DC7D" w:rsidR="003D0818" w:rsidRPr="00985A2D" w:rsidRDefault="003D0818">
      <w:pPr>
        <w:jc w:val="left"/>
        <w:rPr>
          <w:rFonts w:ascii="Arial" w:hAnsi="Arial" w:cs="Arial"/>
          <w:b/>
          <w:iCs/>
          <w:szCs w:val="22"/>
        </w:rPr>
      </w:pPr>
    </w:p>
    <w:p w14:paraId="6F7C6FA9" w14:textId="19DAC706" w:rsidR="00CE77CA" w:rsidRPr="00985A2D" w:rsidRDefault="006809C2" w:rsidP="0008115D">
      <w:pPr>
        <w:jc w:val="center"/>
        <w:rPr>
          <w:rFonts w:ascii="Arial" w:hAnsi="Arial" w:cs="Arial"/>
          <w:b/>
          <w:iCs/>
          <w:szCs w:val="22"/>
        </w:rPr>
      </w:pPr>
      <w:r w:rsidRPr="00985A2D">
        <w:rPr>
          <w:rFonts w:ascii="Arial" w:hAnsi="Arial" w:cs="Arial"/>
          <w:b/>
          <w:iCs/>
          <w:szCs w:val="22"/>
        </w:rPr>
        <w:t xml:space="preserve">Tabla </w:t>
      </w:r>
      <w:r w:rsidR="0009503A" w:rsidRPr="00985A2D">
        <w:rPr>
          <w:rFonts w:ascii="Arial" w:hAnsi="Arial" w:cs="Arial"/>
          <w:b/>
          <w:iCs/>
          <w:szCs w:val="22"/>
        </w:rPr>
        <w:t>7</w:t>
      </w:r>
      <w:r w:rsidRPr="00985A2D">
        <w:rPr>
          <w:rFonts w:ascii="Arial" w:hAnsi="Arial" w:cs="Arial"/>
          <w:b/>
          <w:iCs/>
          <w:szCs w:val="22"/>
        </w:rPr>
        <w:t xml:space="preserve"> Instituciones de Educación Superior que reportan estudiantes atendidos en programas ofertados en el departamento</w:t>
      </w:r>
    </w:p>
    <w:tbl>
      <w:tblPr>
        <w:tblW w:w="8818" w:type="dxa"/>
        <w:tblCellMar>
          <w:left w:w="70" w:type="dxa"/>
          <w:right w:w="70" w:type="dxa"/>
        </w:tblCellMar>
        <w:tblLook w:val="04A0" w:firstRow="1" w:lastRow="0" w:firstColumn="1" w:lastColumn="0" w:noHBand="0" w:noVBand="1"/>
      </w:tblPr>
      <w:tblGrid>
        <w:gridCol w:w="3247"/>
        <w:gridCol w:w="1471"/>
        <w:gridCol w:w="938"/>
        <w:gridCol w:w="2152"/>
        <w:gridCol w:w="1010"/>
      </w:tblGrid>
      <w:tr w:rsidR="0008115D" w:rsidRPr="00C8330C" w14:paraId="5B8D05EF" w14:textId="77777777" w:rsidTr="00197864">
        <w:trPr>
          <w:trHeight w:val="315"/>
          <w:tblHeader/>
        </w:trPr>
        <w:tc>
          <w:tcPr>
            <w:tcW w:w="3281" w:type="dxa"/>
            <w:tcBorders>
              <w:top w:val="single" w:sz="8" w:space="0" w:color="3366CC"/>
              <w:left w:val="single" w:sz="8" w:space="0" w:color="3366CC"/>
              <w:bottom w:val="single" w:sz="8" w:space="0" w:color="3366CC"/>
              <w:right w:val="single" w:sz="8" w:space="0" w:color="3366CC"/>
            </w:tcBorders>
            <w:shd w:val="clear" w:color="auto" w:fill="auto"/>
            <w:noWrap/>
            <w:vAlign w:val="center"/>
            <w:hideMark/>
          </w:tcPr>
          <w:p w14:paraId="6066EA9C" w14:textId="77777777" w:rsidR="0008115D" w:rsidRPr="00C8330C" w:rsidRDefault="0008115D" w:rsidP="0008115D">
            <w:pPr>
              <w:spacing w:line="240" w:lineRule="auto"/>
              <w:jc w:val="center"/>
              <w:rPr>
                <w:rFonts w:ascii="Arial" w:eastAsia="Times New Roman" w:hAnsi="Arial" w:cs="Arial"/>
                <w:b/>
                <w:bCs/>
                <w:color w:val="000000"/>
                <w:sz w:val="20"/>
                <w:szCs w:val="20"/>
                <w:lang w:eastAsia="es-CO"/>
              </w:rPr>
            </w:pPr>
            <w:r w:rsidRPr="00C8330C">
              <w:rPr>
                <w:rFonts w:ascii="Arial" w:eastAsia="Times New Roman" w:hAnsi="Arial" w:cs="Arial"/>
                <w:b/>
                <w:bCs/>
                <w:iCs/>
                <w:color w:val="000000"/>
                <w:sz w:val="20"/>
                <w:szCs w:val="20"/>
                <w:lang w:eastAsia="es-CO"/>
              </w:rPr>
              <w:t>Institución de Educación Superior</w:t>
            </w:r>
          </w:p>
        </w:tc>
        <w:tc>
          <w:tcPr>
            <w:tcW w:w="1432" w:type="dxa"/>
            <w:tcBorders>
              <w:top w:val="single" w:sz="8" w:space="0" w:color="3366CC"/>
              <w:left w:val="nil"/>
              <w:bottom w:val="single" w:sz="8" w:space="0" w:color="3366CC"/>
              <w:right w:val="single" w:sz="8" w:space="0" w:color="3366CC"/>
            </w:tcBorders>
            <w:shd w:val="clear" w:color="auto" w:fill="auto"/>
            <w:noWrap/>
            <w:vAlign w:val="center"/>
            <w:hideMark/>
          </w:tcPr>
          <w:p w14:paraId="67434D38" w14:textId="77777777" w:rsidR="0008115D" w:rsidRPr="00C8330C" w:rsidRDefault="0008115D" w:rsidP="0008115D">
            <w:pPr>
              <w:spacing w:line="240" w:lineRule="auto"/>
              <w:jc w:val="center"/>
              <w:rPr>
                <w:rFonts w:ascii="Arial" w:eastAsia="Times New Roman" w:hAnsi="Arial" w:cs="Arial"/>
                <w:b/>
                <w:bCs/>
                <w:color w:val="000000"/>
                <w:sz w:val="20"/>
                <w:szCs w:val="20"/>
                <w:lang w:eastAsia="es-CO"/>
              </w:rPr>
            </w:pPr>
            <w:r w:rsidRPr="00C8330C">
              <w:rPr>
                <w:rFonts w:ascii="Arial" w:eastAsia="Times New Roman" w:hAnsi="Arial" w:cs="Arial"/>
                <w:b/>
                <w:bCs/>
                <w:iCs/>
                <w:color w:val="000000"/>
                <w:sz w:val="20"/>
                <w:szCs w:val="20"/>
                <w:lang w:eastAsia="es-CO"/>
              </w:rPr>
              <w:t>Departamento de domicilio de la IES</w:t>
            </w:r>
          </w:p>
        </w:tc>
        <w:tc>
          <w:tcPr>
            <w:tcW w:w="947" w:type="dxa"/>
            <w:tcBorders>
              <w:top w:val="single" w:sz="8" w:space="0" w:color="3366CC"/>
              <w:left w:val="nil"/>
              <w:bottom w:val="single" w:sz="8" w:space="0" w:color="3366CC"/>
              <w:right w:val="single" w:sz="8" w:space="0" w:color="3366CC"/>
            </w:tcBorders>
            <w:shd w:val="clear" w:color="auto" w:fill="auto"/>
            <w:noWrap/>
            <w:vAlign w:val="center"/>
            <w:hideMark/>
          </w:tcPr>
          <w:p w14:paraId="1BF6426D" w14:textId="77777777" w:rsidR="0008115D" w:rsidRPr="00C8330C" w:rsidRDefault="0008115D" w:rsidP="0008115D">
            <w:pPr>
              <w:spacing w:line="240" w:lineRule="auto"/>
              <w:jc w:val="center"/>
              <w:rPr>
                <w:rFonts w:ascii="Arial" w:eastAsia="Times New Roman" w:hAnsi="Arial" w:cs="Arial"/>
                <w:b/>
                <w:bCs/>
                <w:color w:val="000000"/>
                <w:sz w:val="20"/>
                <w:szCs w:val="20"/>
                <w:lang w:eastAsia="es-CO"/>
              </w:rPr>
            </w:pPr>
            <w:r w:rsidRPr="00C8330C">
              <w:rPr>
                <w:rFonts w:ascii="Arial" w:eastAsia="Times New Roman" w:hAnsi="Arial" w:cs="Arial"/>
                <w:b/>
                <w:bCs/>
                <w:iCs/>
                <w:color w:val="000000"/>
                <w:sz w:val="20"/>
                <w:szCs w:val="20"/>
                <w:lang w:eastAsia="es-CO"/>
              </w:rPr>
              <w:t>Sector IES</w:t>
            </w:r>
          </w:p>
        </w:tc>
        <w:tc>
          <w:tcPr>
            <w:tcW w:w="2174" w:type="dxa"/>
            <w:tcBorders>
              <w:top w:val="single" w:sz="8" w:space="0" w:color="3366CC"/>
              <w:left w:val="nil"/>
              <w:bottom w:val="single" w:sz="8" w:space="0" w:color="3366CC"/>
              <w:right w:val="single" w:sz="8" w:space="0" w:color="3366CC"/>
            </w:tcBorders>
            <w:shd w:val="clear" w:color="auto" w:fill="auto"/>
            <w:noWrap/>
            <w:vAlign w:val="center"/>
            <w:hideMark/>
          </w:tcPr>
          <w:p w14:paraId="515F0459" w14:textId="77777777" w:rsidR="0008115D" w:rsidRPr="00C8330C" w:rsidRDefault="0008115D" w:rsidP="0008115D">
            <w:pPr>
              <w:spacing w:line="240" w:lineRule="auto"/>
              <w:jc w:val="center"/>
              <w:rPr>
                <w:rFonts w:ascii="Arial" w:eastAsia="Times New Roman" w:hAnsi="Arial" w:cs="Arial"/>
                <w:b/>
                <w:bCs/>
                <w:color w:val="000000"/>
                <w:sz w:val="20"/>
                <w:szCs w:val="20"/>
                <w:lang w:eastAsia="es-CO"/>
              </w:rPr>
            </w:pPr>
            <w:r w:rsidRPr="00C8330C">
              <w:rPr>
                <w:rFonts w:ascii="Arial" w:eastAsia="Times New Roman" w:hAnsi="Arial" w:cs="Arial"/>
                <w:b/>
                <w:bCs/>
                <w:iCs/>
                <w:color w:val="000000"/>
                <w:sz w:val="20"/>
                <w:szCs w:val="20"/>
                <w:lang w:eastAsia="es-CO"/>
              </w:rPr>
              <w:t>Carácter IES</w:t>
            </w:r>
          </w:p>
        </w:tc>
        <w:tc>
          <w:tcPr>
            <w:tcW w:w="984" w:type="dxa"/>
            <w:tcBorders>
              <w:top w:val="single" w:sz="8" w:space="0" w:color="3366CC"/>
              <w:left w:val="nil"/>
              <w:bottom w:val="single" w:sz="8" w:space="0" w:color="3366CC"/>
              <w:right w:val="single" w:sz="8" w:space="0" w:color="3366CC"/>
            </w:tcBorders>
            <w:shd w:val="clear" w:color="auto" w:fill="auto"/>
            <w:noWrap/>
            <w:vAlign w:val="center"/>
            <w:hideMark/>
          </w:tcPr>
          <w:p w14:paraId="45369F60" w14:textId="77777777" w:rsidR="0008115D" w:rsidRPr="00C8330C" w:rsidRDefault="0008115D" w:rsidP="0008115D">
            <w:pPr>
              <w:spacing w:line="240" w:lineRule="auto"/>
              <w:jc w:val="center"/>
              <w:rPr>
                <w:rFonts w:ascii="Arial" w:eastAsia="Times New Roman" w:hAnsi="Arial" w:cs="Arial"/>
                <w:b/>
                <w:bCs/>
                <w:color w:val="000000"/>
                <w:sz w:val="20"/>
                <w:szCs w:val="20"/>
                <w:lang w:eastAsia="es-CO"/>
              </w:rPr>
            </w:pPr>
            <w:r w:rsidRPr="00C8330C">
              <w:rPr>
                <w:rFonts w:ascii="Arial" w:eastAsia="Times New Roman" w:hAnsi="Arial" w:cs="Arial"/>
                <w:b/>
                <w:bCs/>
                <w:iCs/>
                <w:color w:val="000000"/>
                <w:sz w:val="20"/>
                <w:szCs w:val="20"/>
                <w:lang w:eastAsia="es-CO"/>
              </w:rPr>
              <w:t>Matrícula 2021</w:t>
            </w:r>
          </w:p>
        </w:tc>
      </w:tr>
      <w:tr w:rsidR="0008115D" w:rsidRPr="00C8330C" w14:paraId="307067D4" w14:textId="77777777" w:rsidTr="00197864">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4C29766B"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 Nacional De Colombia</w:t>
            </w:r>
          </w:p>
        </w:tc>
        <w:tc>
          <w:tcPr>
            <w:tcW w:w="1432" w:type="dxa"/>
            <w:tcBorders>
              <w:top w:val="nil"/>
              <w:left w:val="nil"/>
              <w:bottom w:val="single" w:sz="8" w:space="0" w:color="3366CC"/>
              <w:right w:val="single" w:sz="8" w:space="0" w:color="3366CC"/>
            </w:tcBorders>
            <w:shd w:val="clear" w:color="auto" w:fill="auto"/>
            <w:noWrap/>
            <w:vAlign w:val="center"/>
            <w:hideMark/>
          </w:tcPr>
          <w:p w14:paraId="6DB0C37B"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Caldas</w:t>
            </w:r>
          </w:p>
        </w:tc>
        <w:tc>
          <w:tcPr>
            <w:tcW w:w="947" w:type="dxa"/>
            <w:tcBorders>
              <w:top w:val="nil"/>
              <w:left w:val="nil"/>
              <w:bottom w:val="single" w:sz="8" w:space="0" w:color="3366CC"/>
              <w:right w:val="single" w:sz="8" w:space="0" w:color="3366CC"/>
            </w:tcBorders>
            <w:shd w:val="clear" w:color="auto" w:fill="auto"/>
            <w:noWrap/>
            <w:vAlign w:val="center"/>
            <w:hideMark/>
          </w:tcPr>
          <w:p w14:paraId="31483301"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Oficial</w:t>
            </w:r>
          </w:p>
        </w:tc>
        <w:tc>
          <w:tcPr>
            <w:tcW w:w="2174" w:type="dxa"/>
            <w:tcBorders>
              <w:top w:val="nil"/>
              <w:left w:val="nil"/>
              <w:bottom w:val="single" w:sz="8" w:space="0" w:color="3366CC"/>
              <w:right w:val="single" w:sz="8" w:space="0" w:color="3366CC"/>
            </w:tcBorders>
            <w:shd w:val="clear" w:color="auto" w:fill="auto"/>
            <w:noWrap/>
            <w:vAlign w:val="center"/>
            <w:hideMark/>
          </w:tcPr>
          <w:p w14:paraId="39D987CD"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693BA687"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6.007</w:t>
            </w:r>
          </w:p>
        </w:tc>
      </w:tr>
      <w:tr w:rsidR="0008115D" w:rsidRPr="00C8330C" w14:paraId="4674AE4B" w14:textId="77777777" w:rsidTr="00197864">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634C013C"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 de Caldas</w:t>
            </w:r>
          </w:p>
        </w:tc>
        <w:tc>
          <w:tcPr>
            <w:tcW w:w="1432" w:type="dxa"/>
            <w:tcBorders>
              <w:top w:val="nil"/>
              <w:left w:val="nil"/>
              <w:bottom w:val="single" w:sz="8" w:space="0" w:color="3366CC"/>
              <w:right w:val="single" w:sz="8" w:space="0" w:color="3366CC"/>
            </w:tcBorders>
            <w:shd w:val="clear" w:color="auto" w:fill="auto"/>
            <w:noWrap/>
            <w:vAlign w:val="center"/>
            <w:hideMark/>
          </w:tcPr>
          <w:p w14:paraId="75D8571A"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Caldas</w:t>
            </w:r>
          </w:p>
        </w:tc>
        <w:tc>
          <w:tcPr>
            <w:tcW w:w="947" w:type="dxa"/>
            <w:tcBorders>
              <w:top w:val="nil"/>
              <w:left w:val="nil"/>
              <w:bottom w:val="single" w:sz="8" w:space="0" w:color="3366CC"/>
              <w:right w:val="single" w:sz="8" w:space="0" w:color="3366CC"/>
            </w:tcBorders>
            <w:shd w:val="clear" w:color="auto" w:fill="auto"/>
            <w:noWrap/>
            <w:vAlign w:val="center"/>
            <w:hideMark/>
          </w:tcPr>
          <w:p w14:paraId="07926767"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Oficial</w:t>
            </w:r>
          </w:p>
        </w:tc>
        <w:tc>
          <w:tcPr>
            <w:tcW w:w="2174" w:type="dxa"/>
            <w:tcBorders>
              <w:top w:val="nil"/>
              <w:left w:val="nil"/>
              <w:bottom w:val="single" w:sz="8" w:space="0" w:color="3366CC"/>
              <w:right w:val="single" w:sz="8" w:space="0" w:color="3366CC"/>
            </w:tcBorders>
            <w:shd w:val="clear" w:color="auto" w:fill="auto"/>
            <w:noWrap/>
            <w:vAlign w:val="center"/>
            <w:hideMark/>
          </w:tcPr>
          <w:p w14:paraId="16957DB6"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000477CD"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14.055</w:t>
            </w:r>
          </w:p>
        </w:tc>
      </w:tr>
      <w:tr w:rsidR="0008115D" w:rsidRPr="00C8330C" w14:paraId="1D48F874" w14:textId="77777777" w:rsidTr="00197864">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054F3D48"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 de Quindío</w:t>
            </w:r>
          </w:p>
        </w:tc>
        <w:tc>
          <w:tcPr>
            <w:tcW w:w="1432" w:type="dxa"/>
            <w:tcBorders>
              <w:top w:val="nil"/>
              <w:left w:val="nil"/>
              <w:bottom w:val="single" w:sz="8" w:space="0" w:color="3366CC"/>
              <w:right w:val="single" w:sz="8" w:space="0" w:color="3366CC"/>
            </w:tcBorders>
            <w:shd w:val="clear" w:color="auto" w:fill="auto"/>
            <w:noWrap/>
            <w:vAlign w:val="center"/>
            <w:hideMark/>
          </w:tcPr>
          <w:p w14:paraId="4BEE9FD0"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Quindío</w:t>
            </w:r>
          </w:p>
        </w:tc>
        <w:tc>
          <w:tcPr>
            <w:tcW w:w="947" w:type="dxa"/>
            <w:tcBorders>
              <w:top w:val="nil"/>
              <w:left w:val="nil"/>
              <w:bottom w:val="single" w:sz="8" w:space="0" w:color="3366CC"/>
              <w:right w:val="single" w:sz="8" w:space="0" w:color="3366CC"/>
            </w:tcBorders>
            <w:shd w:val="clear" w:color="auto" w:fill="auto"/>
            <w:noWrap/>
            <w:vAlign w:val="center"/>
            <w:hideMark/>
          </w:tcPr>
          <w:p w14:paraId="1C75D24B"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Oficial</w:t>
            </w:r>
          </w:p>
        </w:tc>
        <w:tc>
          <w:tcPr>
            <w:tcW w:w="2174" w:type="dxa"/>
            <w:tcBorders>
              <w:top w:val="nil"/>
              <w:left w:val="nil"/>
              <w:bottom w:val="single" w:sz="8" w:space="0" w:color="3366CC"/>
              <w:right w:val="single" w:sz="8" w:space="0" w:color="3366CC"/>
            </w:tcBorders>
            <w:shd w:val="clear" w:color="auto" w:fill="auto"/>
            <w:noWrap/>
            <w:vAlign w:val="center"/>
            <w:hideMark/>
          </w:tcPr>
          <w:p w14:paraId="6F115804"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076A8A51"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406</w:t>
            </w:r>
          </w:p>
        </w:tc>
      </w:tr>
      <w:tr w:rsidR="0008115D" w:rsidRPr="00C8330C" w14:paraId="53B585E0" w14:textId="77777777" w:rsidTr="00197864">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1370485E"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 Santo Tomas</w:t>
            </w:r>
          </w:p>
        </w:tc>
        <w:tc>
          <w:tcPr>
            <w:tcW w:w="1432" w:type="dxa"/>
            <w:tcBorders>
              <w:top w:val="nil"/>
              <w:left w:val="nil"/>
              <w:bottom w:val="single" w:sz="8" w:space="0" w:color="3366CC"/>
              <w:right w:val="single" w:sz="8" w:space="0" w:color="3366CC"/>
            </w:tcBorders>
            <w:shd w:val="clear" w:color="auto" w:fill="auto"/>
            <w:noWrap/>
            <w:vAlign w:val="center"/>
            <w:hideMark/>
          </w:tcPr>
          <w:p w14:paraId="559509E6"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Bogotá, D.C.</w:t>
            </w:r>
          </w:p>
        </w:tc>
        <w:tc>
          <w:tcPr>
            <w:tcW w:w="947" w:type="dxa"/>
            <w:tcBorders>
              <w:top w:val="nil"/>
              <w:left w:val="nil"/>
              <w:bottom w:val="single" w:sz="8" w:space="0" w:color="3366CC"/>
              <w:right w:val="single" w:sz="8" w:space="0" w:color="3366CC"/>
            </w:tcBorders>
            <w:shd w:val="clear" w:color="auto" w:fill="auto"/>
            <w:noWrap/>
            <w:vAlign w:val="center"/>
            <w:hideMark/>
          </w:tcPr>
          <w:p w14:paraId="51A9AEE5"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Privada</w:t>
            </w:r>
          </w:p>
        </w:tc>
        <w:tc>
          <w:tcPr>
            <w:tcW w:w="2174" w:type="dxa"/>
            <w:tcBorders>
              <w:top w:val="nil"/>
              <w:left w:val="nil"/>
              <w:bottom w:val="single" w:sz="8" w:space="0" w:color="3366CC"/>
              <w:right w:val="single" w:sz="8" w:space="0" w:color="3366CC"/>
            </w:tcBorders>
            <w:shd w:val="clear" w:color="auto" w:fill="auto"/>
            <w:noWrap/>
            <w:vAlign w:val="center"/>
            <w:hideMark/>
          </w:tcPr>
          <w:p w14:paraId="75A76812"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3250756C"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107</w:t>
            </w:r>
          </w:p>
        </w:tc>
      </w:tr>
      <w:tr w:rsidR="0008115D" w:rsidRPr="00C8330C" w14:paraId="4F5E3BA7" w14:textId="77777777" w:rsidTr="00197864">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75DDD3D0"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 Pontificia Bolivariana</w:t>
            </w:r>
          </w:p>
        </w:tc>
        <w:tc>
          <w:tcPr>
            <w:tcW w:w="1432" w:type="dxa"/>
            <w:tcBorders>
              <w:top w:val="nil"/>
              <w:left w:val="nil"/>
              <w:bottom w:val="single" w:sz="8" w:space="0" w:color="3366CC"/>
              <w:right w:val="single" w:sz="8" w:space="0" w:color="3366CC"/>
            </w:tcBorders>
            <w:shd w:val="clear" w:color="auto" w:fill="auto"/>
            <w:noWrap/>
            <w:vAlign w:val="center"/>
            <w:hideMark/>
          </w:tcPr>
          <w:p w14:paraId="5A13D2EA"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Antioquia</w:t>
            </w:r>
          </w:p>
        </w:tc>
        <w:tc>
          <w:tcPr>
            <w:tcW w:w="947" w:type="dxa"/>
            <w:tcBorders>
              <w:top w:val="nil"/>
              <w:left w:val="nil"/>
              <w:bottom w:val="single" w:sz="8" w:space="0" w:color="3366CC"/>
              <w:right w:val="single" w:sz="8" w:space="0" w:color="3366CC"/>
            </w:tcBorders>
            <w:shd w:val="clear" w:color="auto" w:fill="auto"/>
            <w:noWrap/>
            <w:vAlign w:val="center"/>
            <w:hideMark/>
          </w:tcPr>
          <w:p w14:paraId="458F3AB1"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Privada</w:t>
            </w:r>
          </w:p>
        </w:tc>
        <w:tc>
          <w:tcPr>
            <w:tcW w:w="2174" w:type="dxa"/>
            <w:tcBorders>
              <w:top w:val="nil"/>
              <w:left w:val="nil"/>
              <w:bottom w:val="single" w:sz="8" w:space="0" w:color="3366CC"/>
              <w:right w:val="single" w:sz="8" w:space="0" w:color="3366CC"/>
            </w:tcBorders>
            <w:shd w:val="clear" w:color="auto" w:fill="auto"/>
            <w:noWrap/>
            <w:vAlign w:val="center"/>
            <w:hideMark/>
          </w:tcPr>
          <w:p w14:paraId="22CB706B"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71A483B9"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7</w:t>
            </w:r>
          </w:p>
        </w:tc>
      </w:tr>
      <w:tr w:rsidR="0008115D" w:rsidRPr="00C8330C" w14:paraId="6B95AA1E" w14:textId="77777777" w:rsidTr="00197864">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6D2361C9"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 De Manizales</w:t>
            </w:r>
          </w:p>
        </w:tc>
        <w:tc>
          <w:tcPr>
            <w:tcW w:w="1432" w:type="dxa"/>
            <w:tcBorders>
              <w:top w:val="nil"/>
              <w:left w:val="nil"/>
              <w:bottom w:val="single" w:sz="8" w:space="0" w:color="3366CC"/>
              <w:right w:val="single" w:sz="8" w:space="0" w:color="3366CC"/>
            </w:tcBorders>
            <w:shd w:val="clear" w:color="auto" w:fill="auto"/>
            <w:noWrap/>
            <w:vAlign w:val="center"/>
            <w:hideMark/>
          </w:tcPr>
          <w:p w14:paraId="016B6059"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Caldas</w:t>
            </w:r>
          </w:p>
        </w:tc>
        <w:tc>
          <w:tcPr>
            <w:tcW w:w="947" w:type="dxa"/>
            <w:tcBorders>
              <w:top w:val="nil"/>
              <w:left w:val="nil"/>
              <w:bottom w:val="single" w:sz="8" w:space="0" w:color="3366CC"/>
              <w:right w:val="single" w:sz="8" w:space="0" w:color="3366CC"/>
            </w:tcBorders>
            <w:shd w:val="clear" w:color="auto" w:fill="auto"/>
            <w:noWrap/>
            <w:vAlign w:val="center"/>
            <w:hideMark/>
          </w:tcPr>
          <w:p w14:paraId="0F5BE16B"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Privada</w:t>
            </w:r>
          </w:p>
        </w:tc>
        <w:tc>
          <w:tcPr>
            <w:tcW w:w="2174" w:type="dxa"/>
            <w:tcBorders>
              <w:top w:val="nil"/>
              <w:left w:val="nil"/>
              <w:bottom w:val="single" w:sz="8" w:space="0" w:color="3366CC"/>
              <w:right w:val="single" w:sz="8" w:space="0" w:color="3366CC"/>
            </w:tcBorders>
            <w:shd w:val="clear" w:color="auto" w:fill="auto"/>
            <w:noWrap/>
            <w:vAlign w:val="center"/>
            <w:hideMark/>
          </w:tcPr>
          <w:p w14:paraId="52E38A5B"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7E3FAB25"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6.931</w:t>
            </w:r>
          </w:p>
        </w:tc>
      </w:tr>
      <w:tr w:rsidR="0008115D" w:rsidRPr="00C8330C" w14:paraId="14DF58A6" w14:textId="77777777" w:rsidTr="00197864">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67AC2E84"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 Autónoma de Manizales</w:t>
            </w:r>
          </w:p>
        </w:tc>
        <w:tc>
          <w:tcPr>
            <w:tcW w:w="1432" w:type="dxa"/>
            <w:tcBorders>
              <w:top w:val="nil"/>
              <w:left w:val="nil"/>
              <w:bottom w:val="single" w:sz="8" w:space="0" w:color="3366CC"/>
              <w:right w:val="single" w:sz="8" w:space="0" w:color="3366CC"/>
            </w:tcBorders>
            <w:shd w:val="clear" w:color="auto" w:fill="auto"/>
            <w:noWrap/>
            <w:vAlign w:val="center"/>
            <w:hideMark/>
          </w:tcPr>
          <w:p w14:paraId="53817444"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Caldas</w:t>
            </w:r>
          </w:p>
        </w:tc>
        <w:tc>
          <w:tcPr>
            <w:tcW w:w="947" w:type="dxa"/>
            <w:tcBorders>
              <w:top w:val="nil"/>
              <w:left w:val="nil"/>
              <w:bottom w:val="single" w:sz="8" w:space="0" w:color="3366CC"/>
              <w:right w:val="single" w:sz="8" w:space="0" w:color="3366CC"/>
            </w:tcBorders>
            <w:shd w:val="clear" w:color="auto" w:fill="auto"/>
            <w:noWrap/>
            <w:vAlign w:val="center"/>
            <w:hideMark/>
          </w:tcPr>
          <w:p w14:paraId="28562747"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Privada</w:t>
            </w:r>
          </w:p>
        </w:tc>
        <w:tc>
          <w:tcPr>
            <w:tcW w:w="2174" w:type="dxa"/>
            <w:tcBorders>
              <w:top w:val="nil"/>
              <w:left w:val="nil"/>
              <w:bottom w:val="single" w:sz="8" w:space="0" w:color="3366CC"/>
              <w:right w:val="single" w:sz="8" w:space="0" w:color="3366CC"/>
            </w:tcBorders>
            <w:shd w:val="clear" w:color="auto" w:fill="auto"/>
            <w:noWrap/>
            <w:vAlign w:val="center"/>
            <w:hideMark/>
          </w:tcPr>
          <w:p w14:paraId="0C2D88B7"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49E2979E"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4.729</w:t>
            </w:r>
          </w:p>
        </w:tc>
      </w:tr>
      <w:tr w:rsidR="0008115D" w:rsidRPr="00C8330C" w14:paraId="50C8FC4D" w14:textId="77777777" w:rsidTr="00197864">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5758A062"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 Antonio Nariño</w:t>
            </w:r>
          </w:p>
        </w:tc>
        <w:tc>
          <w:tcPr>
            <w:tcW w:w="1432" w:type="dxa"/>
            <w:tcBorders>
              <w:top w:val="nil"/>
              <w:left w:val="nil"/>
              <w:bottom w:val="single" w:sz="8" w:space="0" w:color="3366CC"/>
              <w:right w:val="single" w:sz="8" w:space="0" w:color="3366CC"/>
            </w:tcBorders>
            <w:shd w:val="clear" w:color="auto" w:fill="auto"/>
            <w:noWrap/>
            <w:vAlign w:val="center"/>
            <w:hideMark/>
          </w:tcPr>
          <w:p w14:paraId="7E0DC5C3"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Bogotá, D.C.</w:t>
            </w:r>
          </w:p>
        </w:tc>
        <w:tc>
          <w:tcPr>
            <w:tcW w:w="947" w:type="dxa"/>
            <w:tcBorders>
              <w:top w:val="nil"/>
              <w:left w:val="nil"/>
              <w:bottom w:val="single" w:sz="8" w:space="0" w:color="3366CC"/>
              <w:right w:val="single" w:sz="8" w:space="0" w:color="3366CC"/>
            </w:tcBorders>
            <w:shd w:val="clear" w:color="auto" w:fill="auto"/>
            <w:noWrap/>
            <w:vAlign w:val="center"/>
            <w:hideMark/>
          </w:tcPr>
          <w:p w14:paraId="7168B4D6"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Privada</w:t>
            </w:r>
          </w:p>
        </w:tc>
        <w:tc>
          <w:tcPr>
            <w:tcW w:w="2174" w:type="dxa"/>
            <w:tcBorders>
              <w:top w:val="nil"/>
              <w:left w:val="nil"/>
              <w:bottom w:val="single" w:sz="8" w:space="0" w:color="3366CC"/>
              <w:right w:val="single" w:sz="8" w:space="0" w:color="3366CC"/>
            </w:tcBorders>
            <w:shd w:val="clear" w:color="auto" w:fill="auto"/>
            <w:noWrap/>
            <w:vAlign w:val="center"/>
            <w:hideMark/>
          </w:tcPr>
          <w:p w14:paraId="58EE5E44"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4BA33F87"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41</w:t>
            </w:r>
          </w:p>
        </w:tc>
      </w:tr>
      <w:tr w:rsidR="0008115D" w:rsidRPr="00C8330C" w14:paraId="170D266F" w14:textId="77777777" w:rsidTr="00197864">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49840325"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 Católica de Manizales</w:t>
            </w:r>
          </w:p>
        </w:tc>
        <w:tc>
          <w:tcPr>
            <w:tcW w:w="1432" w:type="dxa"/>
            <w:tcBorders>
              <w:top w:val="nil"/>
              <w:left w:val="nil"/>
              <w:bottom w:val="single" w:sz="8" w:space="0" w:color="3366CC"/>
              <w:right w:val="single" w:sz="8" w:space="0" w:color="3366CC"/>
            </w:tcBorders>
            <w:shd w:val="clear" w:color="auto" w:fill="auto"/>
            <w:noWrap/>
            <w:vAlign w:val="center"/>
            <w:hideMark/>
          </w:tcPr>
          <w:p w14:paraId="68796EDE"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Caldas</w:t>
            </w:r>
          </w:p>
        </w:tc>
        <w:tc>
          <w:tcPr>
            <w:tcW w:w="947" w:type="dxa"/>
            <w:tcBorders>
              <w:top w:val="nil"/>
              <w:left w:val="nil"/>
              <w:bottom w:val="single" w:sz="8" w:space="0" w:color="3366CC"/>
              <w:right w:val="single" w:sz="8" w:space="0" w:color="3366CC"/>
            </w:tcBorders>
            <w:shd w:val="clear" w:color="auto" w:fill="auto"/>
            <w:noWrap/>
            <w:vAlign w:val="center"/>
            <w:hideMark/>
          </w:tcPr>
          <w:p w14:paraId="159F1EFB"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Privada</w:t>
            </w:r>
          </w:p>
        </w:tc>
        <w:tc>
          <w:tcPr>
            <w:tcW w:w="2174" w:type="dxa"/>
            <w:tcBorders>
              <w:top w:val="nil"/>
              <w:left w:val="nil"/>
              <w:bottom w:val="single" w:sz="8" w:space="0" w:color="3366CC"/>
              <w:right w:val="single" w:sz="8" w:space="0" w:color="3366CC"/>
            </w:tcBorders>
            <w:shd w:val="clear" w:color="auto" w:fill="auto"/>
            <w:noWrap/>
            <w:vAlign w:val="center"/>
            <w:hideMark/>
          </w:tcPr>
          <w:p w14:paraId="14743EFB"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4AA0D4B6"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2.671</w:t>
            </w:r>
          </w:p>
        </w:tc>
      </w:tr>
      <w:tr w:rsidR="0008115D" w:rsidRPr="00C8330C" w14:paraId="56276A90" w14:textId="77777777" w:rsidTr="00197864">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6E881B68"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 xml:space="preserve">Universidad Nacional Abierta Y A Distancia </w:t>
            </w:r>
            <w:proofErr w:type="spellStart"/>
            <w:r w:rsidRPr="00C8330C">
              <w:rPr>
                <w:rFonts w:ascii="Arial" w:eastAsia="Times New Roman" w:hAnsi="Arial" w:cs="Arial"/>
                <w:color w:val="000000"/>
                <w:sz w:val="20"/>
                <w:szCs w:val="20"/>
                <w:lang w:eastAsia="es-CO"/>
              </w:rPr>
              <w:t>Unad</w:t>
            </w:r>
            <w:proofErr w:type="spellEnd"/>
          </w:p>
        </w:tc>
        <w:tc>
          <w:tcPr>
            <w:tcW w:w="1432" w:type="dxa"/>
            <w:tcBorders>
              <w:top w:val="nil"/>
              <w:left w:val="nil"/>
              <w:bottom w:val="single" w:sz="8" w:space="0" w:color="3366CC"/>
              <w:right w:val="single" w:sz="8" w:space="0" w:color="3366CC"/>
            </w:tcBorders>
            <w:shd w:val="clear" w:color="auto" w:fill="auto"/>
            <w:noWrap/>
            <w:vAlign w:val="center"/>
            <w:hideMark/>
          </w:tcPr>
          <w:p w14:paraId="76904FA0"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Bogotá, D.C.</w:t>
            </w:r>
          </w:p>
        </w:tc>
        <w:tc>
          <w:tcPr>
            <w:tcW w:w="947" w:type="dxa"/>
            <w:tcBorders>
              <w:top w:val="nil"/>
              <w:left w:val="nil"/>
              <w:bottom w:val="single" w:sz="8" w:space="0" w:color="3366CC"/>
              <w:right w:val="single" w:sz="8" w:space="0" w:color="3366CC"/>
            </w:tcBorders>
            <w:shd w:val="clear" w:color="auto" w:fill="auto"/>
            <w:noWrap/>
            <w:vAlign w:val="center"/>
            <w:hideMark/>
          </w:tcPr>
          <w:p w14:paraId="194BAE3B"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Oficial</w:t>
            </w:r>
          </w:p>
        </w:tc>
        <w:tc>
          <w:tcPr>
            <w:tcW w:w="2174" w:type="dxa"/>
            <w:tcBorders>
              <w:top w:val="nil"/>
              <w:left w:val="nil"/>
              <w:bottom w:val="single" w:sz="8" w:space="0" w:color="3366CC"/>
              <w:right w:val="single" w:sz="8" w:space="0" w:color="3366CC"/>
            </w:tcBorders>
            <w:shd w:val="clear" w:color="auto" w:fill="auto"/>
            <w:noWrap/>
            <w:vAlign w:val="center"/>
            <w:hideMark/>
          </w:tcPr>
          <w:p w14:paraId="0767BFB7"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32327E63"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1.332</w:t>
            </w:r>
          </w:p>
        </w:tc>
      </w:tr>
      <w:tr w:rsidR="0008115D" w:rsidRPr="00C8330C" w14:paraId="63425231" w14:textId="77777777" w:rsidTr="00197864">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413004E8"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Escuela Superior De Administración Publica-</w:t>
            </w:r>
            <w:proofErr w:type="spellStart"/>
            <w:r w:rsidRPr="00C8330C">
              <w:rPr>
                <w:rFonts w:ascii="Arial" w:eastAsia="Times New Roman" w:hAnsi="Arial" w:cs="Arial"/>
                <w:color w:val="000000"/>
                <w:sz w:val="20"/>
                <w:szCs w:val="20"/>
                <w:lang w:eastAsia="es-CO"/>
              </w:rPr>
              <w:t>Esap</w:t>
            </w:r>
            <w:proofErr w:type="spellEnd"/>
            <w:r w:rsidRPr="00C8330C">
              <w:rPr>
                <w:rFonts w:ascii="Arial" w:eastAsia="Times New Roman" w:hAnsi="Arial" w:cs="Arial"/>
                <w:color w:val="000000"/>
                <w:sz w:val="20"/>
                <w:szCs w:val="20"/>
                <w:lang w:eastAsia="es-CO"/>
              </w:rPr>
              <w:t>-</w:t>
            </w:r>
          </w:p>
        </w:tc>
        <w:tc>
          <w:tcPr>
            <w:tcW w:w="1432" w:type="dxa"/>
            <w:tcBorders>
              <w:top w:val="nil"/>
              <w:left w:val="nil"/>
              <w:bottom w:val="single" w:sz="8" w:space="0" w:color="3366CC"/>
              <w:right w:val="single" w:sz="8" w:space="0" w:color="3366CC"/>
            </w:tcBorders>
            <w:shd w:val="clear" w:color="auto" w:fill="auto"/>
            <w:noWrap/>
            <w:vAlign w:val="center"/>
            <w:hideMark/>
          </w:tcPr>
          <w:p w14:paraId="6A391604"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Bogotá, D.C.</w:t>
            </w:r>
          </w:p>
        </w:tc>
        <w:tc>
          <w:tcPr>
            <w:tcW w:w="947" w:type="dxa"/>
            <w:tcBorders>
              <w:top w:val="nil"/>
              <w:left w:val="nil"/>
              <w:bottom w:val="single" w:sz="8" w:space="0" w:color="3366CC"/>
              <w:right w:val="single" w:sz="8" w:space="0" w:color="3366CC"/>
            </w:tcBorders>
            <w:shd w:val="clear" w:color="auto" w:fill="auto"/>
            <w:noWrap/>
            <w:vAlign w:val="center"/>
            <w:hideMark/>
          </w:tcPr>
          <w:p w14:paraId="2B0E7A36"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Oficial</w:t>
            </w:r>
          </w:p>
        </w:tc>
        <w:tc>
          <w:tcPr>
            <w:tcW w:w="2174" w:type="dxa"/>
            <w:tcBorders>
              <w:top w:val="nil"/>
              <w:left w:val="nil"/>
              <w:bottom w:val="single" w:sz="8" w:space="0" w:color="3366CC"/>
              <w:right w:val="single" w:sz="8" w:space="0" w:color="3366CC"/>
            </w:tcBorders>
            <w:shd w:val="clear" w:color="auto" w:fill="auto"/>
            <w:noWrap/>
            <w:vAlign w:val="center"/>
            <w:hideMark/>
          </w:tcPr>
          <w:p w14:paraId="65732C87"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Institución Universitaria/Escuela Tecnológica</w:t>
            </w:r>
          </w:p>
        </w:tc>
        <w:tc>
          <w:tcPr>
            <w:tcW w:w="984" w:type="dxa"/>
            <w:tcBorders>
              <w:top w:val="nil"/>
              <w:left w:val="nil"/>
              <w:bottom w:val="single" w:sz="8" w:space="0" w:color="3366CC"/>
              <w:right w:val="single" w:sz="8" w:space="0" w:color="3366CC"/>
            </w:tcBorders>
            <w:shd w:val="clear" w:color="auto" w:fill="auto"/>
            <w:noWrap/>
            <w:vAlign w:val="center"/>
            <w:hideMark/>
          </w:tcPr>
          <w:p w14:paraId="0E8018C1"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806</w:t>
            </w:r>
          </w:p>
        </w:tc>
      </w:tr>
      <w:tr w:rsidR="0008115D" w:rsidRPr="00C8330C" w14:paraId="2CC215DC" w14:textId="77777777" w:rsidTr="00197864">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025816D8"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Dirección Nacional De Escuelas</w:t>
            </w:r>
          </w:p>
        </w:tc>
        <w:tc>
          <w:tcPr>
            <w:tcW w:w="1432" w:type="dxa"/>
            <w:tcBorders>
              <w:top w:val="nil"/>
              <w:left w:val="nil"/>
              <w:bottom w:val="single" w:sz="8" w:space="0" w:color="3366CC"/>
              <w:right w:val="single" w:sz="8" w:space="0" w:color="3366CC"/>
            </w:tcBorders>
            <w:shd w:val="clear" w:color="auto" w:fill="auto"/>
            <w:noWrap/>
            <w:vAlign w:val="center"/>
            <w:hideMark/>
          </w:tcPr>
          <w:p w14:paraId="0871054F"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Bogotá, D.C.</w:t>
            </w:r>
          </w:p>
        </w:tc>
        <w:tc>
          <w:tcPr>
            <w:tcW w:w="947" w:type="dxa"/>
            <w:tcBorders>
              <w:top w:val="nil"/>
              <w:left w:val="nil"/>
              <w:bottom w:val="single" w:sz="8" w:space="0" w:color="3366CC"/>
              <w:right w:val="single" w:sz="8" w:space="0" w:color="3366CC"/>
            </w:tcBorders>
            <w:shd w:val="clear" w:color="auto" w:fill="auto"/>
            <w:noWrap/>
            <w:vAlign w:val="center"/>
            <w:hideMark/>
          </w:tcPr>
          <w:p w14:paraId="72E55AF3"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Oficial</w:t>
            </w:r>
          </w:p>
        </w:tc>
        <w:tc>
          <w:tcPr>
            <w:tcW w:w="2174" w:type="dxa"/>
            <w:tcBorders>
              <w:top w:val="nil"/>
              <w:left w:val="nil"/>
              <w:bottom w:val="single" w:sz="8" w:space="0" w:color="3366CC"/>
              <w:right w:val="single" w:sz="8" w:space="0" w:color="3366CC"/>
            </w:tcBorders>
            <w:shd w:val="clear" w:color="auto" w:fill="auto"/>
            <w:noWrap/>
            <w:vAlign w:val="center"/>
            <w:hideMark/>
          </w:tcPr>
          <w:p w14:paraId="63DF1666"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Institución Universitaria/Escuela Tecnológica</w:t>
            </w:r>
          </w:p>
        </w:tc>
        <w:tc>
          <w:tcPr>
            <w:tcW w:w="984" w:type="dxa"/>
            <w:tcBorders>
              <w:top w:val="nil"/>
              <w:left w:val="nil"/>
              <w:bottom w:val="single" w:sz="8" w:space="0" w:color="3366CC"/>
              <w:right w:val="single" w:sz="8" w:space="0" w:color="3366CC"/>
            </w:tcBorders>
            <w:shd w:val="clear" w:color="auto" w:fill="auto"/>
            <w:noWrap/>
            <w:vAlign w:val="center"/>
            <w:hideMark/>
          </w:tcPr>
          <w:p w14:paraId="006B3AF9"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810</w:t>
            </w:r>
          </w:p>
        </w:tc>
      </w:tr>
      <w:tr w:rsidR="0008115D" w:rsidRPr="00C8330C" w14:paraId="4B43F497" w14:textId="77777777" w:rsidTr="00197864">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2CCD63A1"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 Católica Luis Amigó</w:t>
            </w:r>
          </w:p>
        </w:tc>
        <w:tc>
          <w:tcPr>
            <w:tcW w:w="1432" w:type="dxa"/>
            <w:tcBorders>
              <w:top w:val="nil"/>
              <w:left w:val="nil"/>
              <w:bottom w:val="single" w:sz="8" w:space="0" w:color="3366CC"/>
              <w:right w:val="single" w:sz="8" w:space="0" w:color="3366CC"/>
            </w:tcBorders>
            <w:shd w:val="clear" w:color="auto" w:fill="auto"/>
            <w:noWrap/>
            <w:vAlign w:val="center"/>
            <w:hideMark/>
          </w:tcPr>
          <w:p w14:paraId="5E73DA23"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Antioquia</w:t>
            </w:r>
          </w:p>
        </w:tc>
        <w:tc>
          <w:tcPr>
            <w:tcW w:w="947" w:type="dxa"/>
            <w:tcBorders>
              <w:top w:val="nil"/>
              <w:left w:val="nil"/>
              <w:bottom w:val="single" w:sz="8" w:space="0" w:color="3366CC"/>
              <w:right w:val="single" w:sz="8" w:space="0" w:color="3366CC"/>
            </w:tcBorders>
            <w:shd w:val="clear" w:color="auto" w:fill="auto"/>
            <w:noWrap/>
            <w:vAlign w:val="center"/>
            <w:hideMark/>
          </w:tcPr>
          <w:p w14:paraId="1D844D37"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Privada</w:t>
            </w:r>
          </w:p>
        </w:tc>
        <w:tc>
          <w:tcPr>
            <w:tcW w:w="2174" w:type="dxa"/>
            <w:tcBorders>
              <w:top w:val="nil"/>
              <w:left w:val="nil"/>
              <w:bottom w:val="single" w:sz="8" w:space="0" w:color="3366CC"/>
              <w:right w:val="single" w:sz="8" w:space="0" w:color="3366CC"/>
            </w:tcBorders>
            <w:shd w:val="clear" w:color="auto" w:fill="auto"/>
            <w:noWrap/>
            <w:vAlign w:val="center"/>
            <w:hideMark/>
          </w:tcPr>
          <w:p w14:paraId="779306B3"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5E750B6B"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1.865</w:t>
            </w:r>
          </w:p>
        </w:tc>
      </w:tr>
      <w:tr w:rsidR="0008115D" w:rsidRPr="00C8330C" w14:paraId="20D319F2" w14:textId="77777777" w:rsidTr="00197864">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090B3434"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Corporación Universitaria Minuto De Dios -</w:t>
            </w:r>
            <w:proofErr w:type="spellStart"/>
            <w:r w:rsidRPr="00C8330C">
              <w:rPr>
                <w:rFonts w:ascii="Arial" w:eastAsia="Times New Roman" w:hAnsi="Arial" w:cs="Arial"/>
                <w:color w:val="000000"/>
                <w:sz w:val="20"/>
                <w:szCs w:val="20"/>
                <w:lang w:eastAsia="es-CO"/>
              </w:rPr>
              <w:t>Uniminuto</w:t>
            </w:r>
            <w:proofErr w:type="spellEnd"/>
            <w:r w:rsidRPr="00C8330C">
              <w:rPr>
                <w:rFonts w:ascii="Arial" w:eastAsia="Times New Roman" w:hAnsi="Arial" w:cs="Arial"/>
                <w:color w:val="000000"/>
                <w:sz w:val="20"/>
                <w:szCs w:val="20"/>
                <w:lang w:eastAsia="es-CO"/>
              </w:rPr>
              <w:t>-</w:t>
            </w:r>
          </w:p>
        </w:tc>
        <w:tc>
          <w:tcPr>
            <w:tcW w:w="1432" w:type="dxa"/>
            <w:tcBorders>
              <w:top w:val="nil"/>
              <w:left w:val="nil"/>
              <w:bottom w:val="single" w:sz="8" w:space="0" w:color="3366CC"/>
              <w:right w:val="single" w:sz="8" w:space="0" w:color="3366CC"/>
            </w:tcBorders>
            <w:shd w:val="clear" w:color="auto" w:fill="auto"/>
            <w:noWrap/>
            <w:vAlign w:val="center"/>
            <w:hideMark/>
          </w:tcPr>
          <w:p w14:paraId="0DDE5F39"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Bogotá, D.C.</w:t>
            </w:r>
          </w:p>
        </w:tc>
        <w:tc>
          <w:tcPr>
            <w:tcW w:w="947" w:type="dxa"/>
            <w:tcBorders>
              <w:top w:val="nil"/>
              <w:left w:val="nil"/>
              <w:bottom w:val="single" w:sz="8" w:space="0" w:color="3366CC"/>
              <w:right w:val="single" w:sz="8" w:space="0" w:color="3366CC"/>
            </w:tcBorders>
            <w:shd w:val="clear" w:color="auto" w:fill="auto"/>
            <w:noWrap/>
            <w:vAlign w:val="center"/>
            <w:hideMark/>
          </w:tcPr>
          <w:p w14:paraId="26F7C741"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Privada</w:t>
            </w:r>
          </w:p>
        </w:tc>
        <w:tc>
          <w:tcPr>
            <w:tcW w:w="2174" w:type="dxa"/>
            <w:tcBorders>
              <w:top w:val="nil"/>
              <w:left w:val="nil"/>
              <w:bottom w:val="single" w:sz="8" w:space="0" w:color="3366CC"/>
              <w:right w:val="single" w:sz="8" w:space="0" w:color="3366CC"/>
            </w:tcBorders>
            <w:shd w:val="clear" w:color="auto" w:fill="auto"/>
            <w:noWrap/>
            <w:vAlign w:val="center"/>
            <w:hideMark/>
          </w:tcPr>
          <w:p w14:paraId="0AA3CF46"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Institución Universitaria/Escuela Tecnológica</w:t>
            </w:r>
          </w:p>
        </w:tc>
        <w:tc>
          <w:tcPr>
            <w:tcW w:w="984" w:type="dxa"/>
            <w:tcBorders>
              <w:top w:val="nil"/>
              <w:left w:val="nil"/>
              <w:bottom w:val="single" w:sz="8" w:space="0" w:color="3366CC"/>
              <w:right w:val="single" w:sz="8" w:space="0" w:color="3366CC"/>
            </w:tcBorders>
            <w:shd w:val="clear" w:color="auto" w:fill="auto"/>
            <w:noWrap/>
            <w:vAlign w:val="center"/>
            <w:hideMark/>
          </w:tcPr>
          <w:p w14:paraId="49536EEB"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686</w:t>
            </w:r>
          </w:p>
        </w:tc>
      </w:tr>
      <w:tr w:rsidR="0008115D" w:rsidRPr="00C8330C" w14:paraId="4F9C4322" w14:textId="77777777" w:rsidTr="00197864">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5D9713F5"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lastRenderedPageBreak/>
              <w:t>Corporación Universitaria Remington</w:t>
            </w:r>
          </w:p>
        </w:tc>
        <w:tc>
          <w:tcPr>
            <w:tcW w:w="1432" w:type="dxa"/>
            <w:tcBorders>
              <w:top w:val="nil"/>
              <w:left w:val="nil"/>
              <w:bottom w:val="single" w:sz="8" w:space="0" w:color="3366CC"/>
              <w:right w:val="single" w:sz="8" w:space="0" w:color="3366CC"/>
            </w:tcBorders>
            <w:shd w:val="clear" w:color="auto" w:fill="auto"/>
            <w:noWrap/>
            <w:vAlign w:val="center"/>
            <w:hideMark/>
          </w:tcPr>
          <w:p w14:paraId="07E57CF1"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Antioquia</w:t>
            </w:r>
          </w:p>
        </w:tc>
        <w:tc>
          <w:tcPr>
            <w:tcW w:w="947" w:type="dxa"/>
            <w:tcBorders>
              <w:top w:val="nil"/>
              <w:left w:val="nil"/>
              <w:bottom w:val="single" w:sz="8" w:space="0" w:color="3366CC"/>
              <w:right w:val="single" w:sz="8" w:space="0" w:color="3366CC"/>
            </w:tcBorders>
            <w:shd w:val="clear" w:color="auto" w:fill="auto"/>
            <w:noWrap/>
            <w:vAlign w:val="center"/>
            <w:hideMark/>
          </w:tcPr>
          <w:p w14:paraId="09F6E25A"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Privada</w:t>
            </w:r>
          </w:p>
        </w:tc>
        <w:tc>
          <w:tcPr>
            <w:tcW w:w="2174" w:type="dxa"/>
            <w:tcBorders>
              <w:top w:val="nil"/>
              <w:left w:val="nil"/>
              <w:bottom w:val="single" w:sz="8" w:space="0" w:color="3366CC"/>
              <w:right w:val="single" w:sz="8" w:space="0" w:color="3366CC"/>
            </w:tcBorders>
            <w:shd w:val="clear" w:color="auto" w:fill="auto"/>
            <w:noWrap/>
            <w:vAlign w:val="center"/>
            <w:hideMark/>
          </w:tcPr>
          <w:p w14:paraId="5F563E08"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Institución Universitaria/Escuela Tecnológica</w:t>
            </w:r>
          </w:p>
        </w:tc>
        <w:tc>
          <w:tcPr>
            <w:tcW w:w="984" w:type="dxa"/>
            <w:tcBorders>
              <w:top w:val="nil"/>
              <w:left w:val="nil"/>
              <w:bottom w:val="single" w:sz="8" w:space="0" w:color="3366CC"/>
              <w:right w:val="single" w:sz="8" w:space="0" w:color="3366CC"/>
            </w:tcBorders>
            <w:shd w:val="clear" w:color="auto" w:fill="auto"/>
            <w:noWrap/>
            <w:vAlign w:val="center"/>
            <w:hideMark/>
          </w:tcPr>
          <w:p w14:paraId="0A96A09C"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866</w:t>
            </w:r>
          </w:p>
        </w:tc>
      </w:tr>
      <w:tr w:rsidR="0008115D" w:rsidRPr="00C8330C" w14:paraId="64671ED9" w14:textId="77777777" w:rsidTr="00197864">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38C84D9D"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 xml:space="preserve">Corporación de Educación Del Norte Del Tolima - </w:t>
            </w:r>
            <w:proofErr w:type="spellStart"/>
            <w:r w:rsidRPr="00C8330C">
              <w:rPr>
                <w:rFonts w:ascii="Arial" w:eastAsia="Times New Roman" w:hAnsi="Arial" w:cs="Arial"/>
                <w:color w:val="000000"/>
                <w:sz w:val="20"/>
                <w:szCs w:val="20"/>
                <w:lang w:eastAsia="es-CO"/>
              </w:rPr>
              <w:t>Coreducacion</w:t>
            </w:r>
            <w:proofErr w:type="spellEnd"/>
          </w:p>
        </w:tc>
        <w:tc>
          <w:tcPr>
            <w:tcW w:w="1432" w:type="dxa"/>
            <w:tcBorders>
              <w:top w:val="nil"/>
              <w:left w:val="nil"/>
              <w:bottom w:val="single" w:sz="8" w:space="0" w:color="3366CC"/>
              <w:right w:val="single" w:sz="8" w:space="0" w:color="3366CC"/>
            </w:tcBorders>
            <w:shd w:val="clear" w:color="auto" w:fill="auto"/>
            <w:noWrap/>
            <w:vAlign w:val="center"/>
            <w:hideMark/>
          </w:tcPr>
          <w:p w14:paraId="775646D7"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Tolima</w:t>
            </w:r>
          </w:p>
        </w:tc>
        <w:tc>
          <w:tcPr>
            <w:tcW w:w="947" w:type="dxa"/>
            <w:tcBorders>
              <w:top w:val="nil"/>
              <w:left w:val="nil"/>
              <w:bottom w:val="single" w:sz="8" w:space="0" w:color="3366CC"/>
              <w:right w:val="single" w:sz="8" w:space="0" w:color="3366CC"/>
            </w:tcBorders>
            <w:shd w:val="clear" w:color="auto" w:fill="auto"/>
            <w:noWrap/>
            <w:vAlign w:val="center"/>
            <w:hideMark/>
          </w:tcPr>
          <w:p w14:paraId="43E898E5"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Privada</w:t>
            </w:r>
          </w:p>
        </w:tc>
        <w:tc>
          <w:tcPr>
            <w:tcW w:w="2174" w:type="dxa"/>
            <w:tcBorders>
              <w:top w:val="nil"/>
              <w:left w:val="nil"/>
              <w:bottom w:val="single" w:sz="8" w:space="0" w:color="3366CC"/>
              <w:right w:val="single" w:sz="8" w:space="0" w:color="3366CC"/>
            </w:tcBorders>
            <w:shd w:val="clear" w:color="auto" w:fill="auto"/>
            <w:noWrap/>
            <w:vAlign w:val="center"/>
            <w:hideMark/>
          </w:tcPr>
          <w:p w14:paraId="4D3E6D85"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Institución Tecnológica</w:t>
            </w:r>
          </w:p>
        </w:tc>
        <w:tc>
          <w:tcPr>
            <w:tcW w:w="984" w:type="dxa"/>
            <w:tcBorders>
              <w:top w:val="nil"/>
              <w:left w:val="nil"/>
              <w:bottom w:val="single" w:sz="8" w:space="0" w:color="3366CC"/>
              <w:right w:val="single" w:sz="8" w:space="0" w:color="3366CC"/>
            </w:tcBorders>
            <w:shd w:val="clear" w:color="auto" w:fill="auto"/>
            <w:noWrap/>
            <w:vAlign w:val="center"/>
            <w:hideMark/>
          </w:tcPr>
          <w:p w14:paraId="6EFC6978"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1</w:t>
            </w:r>
          </w:p>
        </w:tc>
      </w:tr>
      <w:tr w:rsidR="0008115D" w:rsidRPr="00C8330C" w14:paraId="26D1BB0F" w14:textId="77777777" w:rsidTr="00197864">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63174738"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 xml:space="preserve">Colegio Integrado Nacional Oriente de Caldas - </w:t>
            </w:r>
            <w:proofErr w:type="spellStart"/>
            <w:r w:rsidRPr="00C8330C">
              <w:rPr>
                <w:rFonts w:ascii="Arial" w:eastAsia="Times New Roman" w:hAnsi="Arial" w:cs="Arial"/>
                <w:color w:val="000000"/>
                <w:sz w:val="20"/>
                <w:szCs w:val="20"/>
                <w:lang w:eastAsia="es-CO"/>
              </w:rPr>
              <w:t>Ies</w:t>
            </w:r>
            <w:proofErr w:type="spellEnd"/>
            <w:r w:rsidRPr="00C8330C">
              <w:rPr>
                <w:rFonts w:ascii="Arial" w:eastAsia="Times New Roman" w:hAnsi="Arial" w:cs="Arial"/>
                <w:color w:val="000000"/>
                <w:sz w:val="20"/>
                <w:szCs w:val="20"/>
                <w:lang w:eastAsia="es-CO"/>
              </w:rPr>
              <w:t xml:space="preserve"> </w:t>
            </w:r>
            <w:proofErr w:type="spellStart"/>
            <w:r w:rsidRPr="00C8330C">
              <w:rPr>
                <w:rFonts w:ascii="Arial" w:eastAsia="Times New Roman" w:hAnsi="Arial" w:cs="Arial"/>
                <w:color w:val="000000"/>
                <w:sz w:val="20"/>
                <w:szCs w:val="20"/>
                <w:lang w:eastAsia="es-CO"/>
              </w:rPr>
              <w:t>Cinoc</w:t>
            </w:r>
            <w:proofErr w:type="spellEnd"/>
          </w:p>
        </w:tc>
        <w:tc>
          <w:tcPr>
            <w:tcW w:w="1432" w:type="dxa"/>
            <w:tcBorders>
              <w:top w:val="nil"/>
              <w:left w:val="nil"/>
              <w:bottom w:val="single" w:sz="8" w:space="0" w:color="3366CC"/>
              <w:right w:val="single" w:sz="8" w:space="0" w:color="3366CC"/>
            </w:tcBorders>
            <w:shd w:val="clear" w:color="auto" w:fill="auto"/>
            <w:noWrap/>
            <w:vAlign w:val="center"/>
            <w:hideMark/>
          </w:tcPr>
          <w:p w14:paraId="0F1407C3"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Caldas</w:t>
            </w:r>
          </w:p>
        </w:tc>
        <w:tc>
          <w:tcPr>
            <w:tcW w:w="947" w:type="dxa"/>
            <w:tcBorders>
              <w:top w:val="nil"/>
              <w:left w:val="nil"/>
              <w:bottom w:val="single" w:sz="8" w:space="0" w:color="3366CC"/>
              <w:right w:val="single" w:sz="8" w:space="0" w:color="3366CC"/>
            </w:tcBorders>
            <w:shd w:val="clear" w:color="auto" w:fill="auto"/>
            <w:noWrap/>
            <w:vAlign w:val="center"/>
            <w:hideMark/>
          </w:tcPr>
          <w:p w14:paraId="0E7A8435"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Oficial</w:t>
            </w:r>
          </w:p>
        </w:tc>
        <w:tc>
          <w:tcPr>
            <w:tcW w:w="2174" w:type="dxa"/>
            <w:tcBorders>
              <w:top w:val="nil"/>
              <w:left w:val="nil"/>
              <w:bottom w:val="single" w:sz="8" w:space="0" w:color="3366CC"/>
              <w:right w:val="single" w:sz="8" w:space="0" w:color="3366CC"/>
            </w:tcBorders>
            <w:shd w:val="clear" w:color="auto" w:fill="auto"/>
            <w:noWrap/>
            <w:vAlign w:val="center"/>
            <w:hideMark/>
          </w:tcPr>
          <w:p w14:paraId="0D2E99DB"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Institución Técnica Profesional</w:t>
            </w:r>
          </w:p>
        </w:tc>
        <w:tc>
          <w:tcPr>
            <w:tcW w:w="984" w:type="dxa"/>
            <w:tcBorders>
              <w:top w:val="nil"/>
              <w:left w:val="nil"/>
              <w:bottom w:val="single" w:sz="8" w:space="0" w:color="3366CC"/>
              <w:right w:val="single" w:sz="8" w:space="0" w:color="3366CC"/>
            </w:tcBorders>
            <w:shd w:val="clear" w:color="auto" w:fill="auto"/>
            <w:noWrap/>
            <w:vAlign w:val="center"/>
            <w:hideMark/>
          </w:tcPr>
          <w:p w14:paraId="4FD12DAA"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615</w:t>
            </w:r>
          </w:p>
        </w:tc>
      </w:tr>
      <w:tr w:rsidR="0008115D" w:rsidRPr="00C8330C" w14:paraId="381D894C" w14:textId="77777777" w:rsidTr="00197864">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5702024B"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Servicio Nacional de Aprendizaje-Sena-</w:t>
            </w:r>
          </w:p>
        </w:tc>
        <w:tc>
          <w:tcPr>
            <w:tcW w:w="1432" w:type="dxa"/>
            <w:tcBorders>
              <w:top w:val="nil"/>
              <w:left w:val="nil"/>
              <w:bottom w:val="single" w:sz="8" w:space="0" w:color="3366CC"/>
              <w:right w:val="single" w:sz="8" w:space="0" w:color="3366CC"/>
            </w:tcBorders>
            <w:shd w:val="clear" w:color="auto" w:fill="auto"/>
            <w:noWrap/>
            <w:vAlign w:val="center"/>
            <w:hideMark/>
          </w:tcPr>
          <w:p w14:paraId="031EDAE8"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Bogotá, D.C.</w:t>
            </w:r>
          </w:p>
        </w:tc>
        <w:tc>
          <w:tcPr>
            <w:tcW w:w="947" w:type="dxa"/>
            <w:tcBorders>
              <w:top w:val="nil"/>
              <w:left w:val="nil"/>
              <w:bottom w:val="single" w:sz="8" w:space="0" w:color="3366CC"/>
              <w:right w:val="single" w:sz="8" w:space="0" w:color="3366CC"/>
            </w:tcBorders>
            <w:shd w:val="clear" w:color="auto" w:fill="auto"/>
            <w:noWrap/>
            <w:vAlign w:val="center"/>
            <w:hideMark/>
          </w:tcPr>
          <w:p w14:paraId="51C099B9"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Oficial</w:t>
            </w:r>
          </w:p>
        </w:tc>
        <w:tc>
          <w:tcPr>
            <w:tcW w:w="2174" w:type="dxa"/>
            <w:tcBorders>
              <w:top w:val="nil"/>
              <w:left w:val="nil"/>
              <w:bottom w:val="single" w:sz="8" w:space="0" w:color="3366CC"/>
              <w:right w:val="single" w:sz="8" w:space="0" w:color="3366CC"/>
            </w:tcBorders>
            <w:shd w:val="clear" w:color="auto" w:fill="auto"/>
            <w:noWrap/>
            <w:vAlign w:val="center"/>
            <w:hideMark/>
          </w:tcPr>
          <w:p w14:paraId="64D624D3"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Institución Tecnológica</w:t>
            </w:r>
          </w:p>
        </w:tc>
        <w:tc>
          <w:tcPr>
            <w:tcW w:w="984" w:type="dxa"/>
            <w:tcBorders>
              <w:top w:val="nil"/>
              <w:left w:val="nil"/>
              <w:bottom w:val="single" w:sz="8" w:space="0" w:color="3366CC"/>
              <w:right w:val="single" w:sz="8" w:space="0" w:color="3366CC"/>
            </w:tcBorders>
            <w:shd w:val="clear" w:color="auto" w:fill="auto"/>
            <w:noWrap/>
            <w:vAlign w:val="center"/>
            <w:hideMark/>
          </w:tcPr>
          <w:p w14:paraId="064FA299"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4.535</w:t>
            </w:r>
          </w:p>
        </w:tc>
      </w:tr>
      <w:tr w:rsidR="0008115D" w:rsidRPr="00C8330C" w14:paraId="56E1DA0E" w14:textId="77777777" w:rsidTr="00197864">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6028E78C"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 xml:space="preserve">Universidad Autónoma Indígena Intercultural - </w:t>
            </w:r>
            <w:proofErr w:type="spellStart"/>
            <w:r w:rsidRPr="00C8330C">
              <w:rPr>
                <w:rFonts w:ascii="Arial" w:eastAsia="Times New Roman" w:hAnsi="Arial" w:cs="Arial"/>
                <w:color w:val="000000"/>
                <w:sz w:val="20"/>
                <w:szCs w:val="20"/>
                <w:lang w:eastAsia="es-CO"/>
              </w:rPr>
              <w:t>Uaiin</w:t>
            </w:r>
            <w:proofErr w:type="spellEnd"/>
          </w:p>
        </w:tc>
        <w:tc>
          <w:tcPr>
            <w:tcW w:w="1432" w:type="dxa"/>
            <w:tcBorders>
              <w:top w:val="nil"/>
              <w:left w:val="nil"/>
              <w:bottom w:val="single" w:sz="8" w:space="0" w:color="3366CC"/>
              <w:right w:val="single" w:sz="8" w:space="0" w:color="3366CC"/>
            </w:tcBorders>
            <w:shd w:val="clear" w:color="auto" w:fill="auto"/>
            <w:noWrap/>
            <w:vAlign w:val="center"/>
            <w:hideMark/>
          </w:tcPr>
          <w:p w14:paraId="1C47D5E1"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Cauca</w:t>
            </w:r>
          </w:p>
        </w:tc>
        <w:tc>
          <w:tcPr>
            <w:tcW w:w="947" w:type="dxa"/>
            <w:tcBorders>
              <w:top w:val="nil"/>
              <w:left w:val="nil"/>
              <w:bottom w:val="single" w:sz="8" w:space="0" w:color="3366CC"/>
              <w:right w:val="single" w:sz="8" w:space="0" w:color="3366CC"/>
            </w:tcBorders>
            <w:shd w:val="clear" w:color="auto" w:fill="auto"/>
            <w:noWrap/>
            <w:vAlign w:val="center"/>
            <w:hideMark/>
          </w:tcPr>
          <w:p w14:paraId="0AE4E16C"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Oficial</w:t>
            </w:r>
          </w:p>
        </w:tc>
        <w:tc>
          <w:tcPr>
            <w:tcW w:w="2174" w:type="dxa"/>
            <w:tcBorders>
              <w:top w:val="nil"/>
              <w:left w:val="nil"/>
              <w:bottom w:val="single" w:sz="8" w:space="0" w:color="3366CC"/>
              <w:right w:val="single" w:sz="8" w:space="0" w:color="3366CC"/>
            </w:tcBorders>
            <w:shd w:val="clear" w:color="auto" w:fill="auto"/>
            <w:noWrap/>
            <w:vAlign w:val="center"/>
            <w:hideMark/>
          </w:tcPr>
          <w:p w14:paraId="09A8A70F"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261D8E1E" w14:textId="77777777" w:rsidR="0008115D" w:rsidRPr="00C8330C" w:rsidRDefault="0008115D" w:rsidP="0008115D">
            <w:pPr>
              <w:spacing w:line="240" w:lineRule="auto"/>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1</w:t>
            </w:r>
          </w:p>
        </w:tc>
      </w:tr>
    </w:tbl>
    <w:p w14:paraId="17B53C5D" w14:textId="1FC1462B" w:rsidR="0008115D" w:rsidRPr="00985A2D" w:rsidRDefault="003F3D36" w:rsidP="003F3D36">
      <w:pPr>
        <w:jc w:val="left"/>
        <w:rPr>
          <w:rFonts w:ascii="Arial" w:hAnsi="Arial" w:cs="Arial"/>
          <w:b/>
          <w:iCs/>
          <w:szCs w:val="22"/>
        </w:rPr>
      </w:pPr>
      <w:r w:rsidRPr="00985A2D">
        <w:rPr>
          <w:rStyle w:val="Referenciasutil"/>
          <w:rFonts w:ascii="Arial" w:hAnsi="Arial" w:cs="Arial"/>
          <w:sz w:val="22"/>
          <w:szCs w:val="22"/>
        </w:rPr>
        <w:t>Fuente: Cálculos MCV</w:t>
      </w:r>
    </w:p>
    <w:p w14:paraId="17E15FC1" w14:textId="77777777" w:rsidR="0008115D" w:rsidRPr="00985A2D" w:rsidRDefault="0008115D" w:rsidP="0008115D">
      <w:pPr>
        <w:jc w:val="center"/>
        <w:rPr>
          <w:rFonts w:ascii="Arial" w:hAnsi="Arial" w:cs="Arial"/>
          <w:b/>
          <w:iCs/>
          <w:szCs w:val="22"/>
        </w:rPr>
      </w:pPr>
    </w:p>
    <w:p w14:paraId="2B8B411A" w14:textId="77777777" w:rsidR="00C64C9B" w:rsidRPr="00985A2D" w:rsidRDefault="00C64C9B" w:rsidP="00C64C9B">
      <w:pPr>
        <w:rPr>
          <w:rFonts w:ascii="Arial" w:hAnsi="Arial" w:cs="Arial"/>
          <w:bCs/>
          <w:iCs/>
          <w:szCs w:val="22"/>
        </w:rPr>
      </w:pPr>
      <w:r w:rsidRPr="00985A2D">
        <w:rPr>
          <w:rFonts w:ascii="Arial" w:hAnsi="Arial" w:cs="Arial"/>
          <w:bCs/>
          <w:iCs/>
          <w:szCs w:val="22"/>
        </w:rPr>
        <w:t>En la siguiente tabla se observa que entre 2015 y 2016 la matrícula reportó un crecimiento en las Instituciones de Educación Superior oficiales y privadas, de 1.500 estudiantes en promedio.  En las Instituciones privadas este incremento se mantuvo hasta el año 2018 y a partir de este año empezó a caer en ambos sectores hasta el año 2021, en el cual la matrícula se consolidó en 28.567 estudiantes en el sector oficial (un 6% menos que en 2020) y 17.904 estudiantes en el sector privado (7% menos que en 2020).</w:t>
      </w:r>
    </w:p>
    <w:p w14:paraId="7BB189AC" w14:textId="77777777" w:rsidR="006E549B" w:rsidRPr="00985A2D" w:rsidRDefault="006E549B" w:rsidP="00C64C9B">
      <w:pPr>
        <w:rPr>
          <w:rFonts w:ascii="Arial" w:hAnsi="Arial" w:cs="Arial"/>
          <w:b/>
          <w:iCs/>
          <w:szCs w:val="22"/>
        </w:rPr>
      </w:pPr>
    </w:p>
    <w:p w14:paraId="0B9A2253" w14:textId="0D46275B" w:rsidR="00C64C9B" w:rsidRPr="00985A2D" w:rsidRDefault="00C64C9B" w:rsidP="00C64C9B">
      <w:pPr>
        <w:rPr>
          <w:rFonts w:ascii="Arial" w:hAnsi="Arial" w:cs="Arial"/>
          <w:b/>
          <w:iCs/>
          <w:szCs w:val="22"/>
        </w:rPr>
      </w:pPr>
      <w:r w:rsidRPr="00985A2D">
        <w:rPr>
          <w:rFonts w:ascii="Arial" w:hAnsi="Arial" w:cs="Arial"/>
          <w:b/>
          <w:iCs/>
          <w:szCs w:val="22"/>
        </w:rPr>
        <w:t xml:space="preserve">Tabla </w:t>
      </w:r>
      <w:r w:rsidR="0009503A" w:rsidRPr="00985A2D">
        <w:rPr>
          <w:rFonts w:ascii="Arial" w:hAnsi="Arial" w:cs="Arial"/>
          <w:b/>
          <w:iCs/>
          <w:szCs w:val="22"/>
        </w:rPr>
        <w:t>8</w:t>
      </w:r>
      <w:r w:rsidRPr="00985A2D">
        <w:rPr>
          <w:rFonts w:ascii="Arial" w:hAnsi="Arial" w:cs="Arial"/>
          <w:b/>
          <w:iCs/>
          <w:szCs w:val="22"/>
        </w:rPr>
        <w:t xml:space="preserve"> Matrícula por sector (2015 – 2021)</w:t>
      </w:r>
    </w:p>
    <w:tbl>
      <w:tblPr>
        <w:tblW w:w="5000" w:type="pct"/>
        <w:tblCellMar>
          <w:left w:w="70" w:type="dxa"/>
          <w:right w:w="70" w:type="dxa"/>
        </w:tblCellMar>
        <w:tblLook w:val="04A0" w:firstRow="1" w:lastRow="0" w:firstColumn="1" w:lastColumn="0" w:noHBand="0" w:noVBand="1"/>
      </w:tblPr>
      <w:tblGrid>
        <w:gridCol w:w="1874"/>
        <w:gridCol w:w="1025"/>
        <w:gridCol w:w="1095"/>
        <w:gridCol w:w="963"/>
        <w:gridCol w:w="963"/>
        <w:gridCol w:w="972"/>
        <w:gridCol w:w="972"/>
        <w:gridCol w:w="954"/>
      </w:tblGrid>
      <w:tr w:rsidR="00C64C9B" w:rsidRPr="00C8330C" w14:paraId="216D5CFB" w14:textId="77777777" w:rsidTr="003F3D36">
        <w:trPr>
          <w:trHeight w:val="20"/>
          <w:tblHeader/>
        </w:trPr>
        <w:tc>
          <w:tcPr>
            <w:tcW w:w="1063" w:type="pct"/>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2AA75982" w14:textId="77777777" w:rsidR="00C64C9B" w:rsidRPr="00C8330C" w:rsidRDefault="00C64C9B" w:rsidP="00C64C9B">
            <w:pPr>
              <w:rPr>
                <w:rFonts w:ascii="Arial" w:hAnsi="Arial" w:cs="Arial"/>
                <w:b/>
                <w:bCs/>
                <w:iCs/>
                <w:sz w:val="20"/>
                <w:szCs w:val="20"/>
              </w:rPr>
            </w:pPr>
            <w:r w:rsidRPr="00C8330C">
              <w:rPr>
                <w:rFonts w:ascii="Arial" w:hAnsi="Arial" w:cs="Arial"/>
                <w:b/>
                <w:bCs/>
                <w:iCs/>
                <w:sz w:val="20"/>
                <w:szCs w:val="20"/>
              </w:rPr>
              <w:t>Sector</w:t>
            </w:r>
          </w:p>
        </w:tc>
        <w:tc>
          <w:tcPr>
            <w:tcW w:w="581" w:type="pct"/>
            <w:tcBorders>
              <w:top w:val="single" w:sz="8" w:space="0" w:color="3366CC"/>
              <w:left w:val="nil"/>
              <w:bottom w:val="single" w:sz="8" w:space="0" w:color="3366CC"/>
              <w:right w:val="nil"/>
            </w:tcBorders>
            <w:shd w:val="clear" w:color="000000" w:fill="DDEBF7"/>
            <w:noWrap/>
            <w:vAlign w:val="center"/>
            <w:hideMark/>
          </w:tcPr>
          <w:p w14:paraId="71219336" w14:textId="77777777" w:rsidR="00C64C9B" w:rsidRPr="00C8330C" w:rsidRDefault="00C64C9B" w:rsidP="00C64C9B">
            <w:pPr>
              <w:rPr>
                <w:rFonts w:ascii="Arial" w:hAnsi="Arial" w:cs="Arial"/>
                <w:b/>
                <w:bCs/>
                <w:iCs/>
                <w:sz w:val="20"/>
                <w:szCs w:val="20"/>
              </w:rPr>
            </w:pPr>
            <w:r w:rsidRPr="00C8330C">
              <w:rPr>
                <w:rFonts w:ascii="Arial" w:hAnsi="Arial" w:cs="Arial"/>
                <w:b/>
                <w:bCs/>
                <w:iCs/>
                <w:sz w:val="20"/>
                <w:szCs w:val="20"/>
              </w:rPr>
              <w:t>2015</w:t>
            </w:r>
          </w:p>
        </w:tc>
        <w:tc>
          <w:tcPr>
            <w:tcW w:w="621" w:type="pct"/>
            <w:tcBorders>
              <w:top w:val="single" w:sz="8" w:space="0" w:color="3366CC"/>
              <w:left w:val="nil"/>
              <w:bottom w:val="single" w:sz="8" w:space="0" w:color="3366CC"/>
              <w:right w:val="nil"/>
            </w:tcBorders>
            <w:shd w:val="clear" w:color="000000" w:fill="DDEBF7"/>
            <w:vAlign w:val="center"/>
            <w:hideMark/>
          </w:tcPr>
          <w:p w14:paraId="3019674B" w14:textId="77777777" w:rsidR="00C64C9B" w:rsidRPr="00C8330C" w:rsidRDefault="00C64C9B" w:rsidP="00C64C9B">
            <w:pPr>
              <w:rPr>
                <w:rFonts w:ascii="Arial" w:hAnsi="Arial" w:cs="Arial"/>
                <w:b/>
                <w:bCs/>
                <w:iCs/>
                <w:sz w:val="20"/>
                <w:szCs w:val="20"/>
              </w:rPr>
            </w:pPr>
            <w:r w:rsidRPr="00C8330C">
              <w:rPr>
                <w:rFonts w:ascii="Arial" w:hAnsi="Arial" w:cs="Arial"/>
                <w:b/>
                <w:bCs/>
                <w:iCs/>
                <w:sz w:val="20"/>
                <w:szCs w:val="20"/>
              </w:rPr>
              <w:t>2016</w:t>
            </w:r>
          </w:p>
        </w:tc>
        <w:tc>
          <w:tcPr>
            <w:tcW w:w="546" w:type="pct"/>
            <w:tcBorders>
              <w:top w:val="single" w:sz="8" w:space="0" w:color="3366CC"/>
              <w:left w:val="nil"/>
              <w:bottom w:val="single" w:sz="8" w:space="0" w:color="3366CC"/>
              <w:right w:val="nil"/>
            </w:tcBorders>
            <w:shd w:val="clear" w:color="000000" w:fill="DDEBF7"/>
            <w:vAlign w:val="center"/>
            <w:hideMark/>
          </w:tcPr>
          <w:p w14:paraId="599C78A5" w14:textId="77777777" w:rsidR="00C64C9B" w:rsidRPr="00C8330C" w:rsidRDefault="00C64C9B" w:rsidP="00C64C9B">
            <w:pPr>
              <w:rPr>
                <w:rFonts w:ascii="Arial" w:hAnsi="Arial" w:cs="Arial"/>
                <w:b/>
                <w:bCs/>
                <w:iCs/>
                <w:sz w:val="20"/>
                <w:szCs w:val="20"/>
              </w:rPr>
            </w:pPr>
            <w:r w:rsidRPr="00C8330C">
              <w:rPr>
                <w:rFonts w:ascii="Arial" w:hAnsi="Arial" w:cs="Arial"/>
                <w:b/>
                <w:bCs/>
                <w:iCs/>
                <w:sz w:val="20"/>
                <w:szCs w:val="20"/>
              </w:rPr>
              <w:t>2017</w:t>
            </w:r>
          </w:p>
        </w:tc>
        <w:tc>
          <w:tcPr>
            <w:tcW w:w="546" w:type="pct"/>
            <w:tcBorders>
              <w:top w:val="single" w:sz="8" w:space="0" w:color="3366CC"/>
              <w:left w:val="nil"/>
              <w:bottom w:val="single" w:sz="8" w:space="0" w:color="3366CC"/>
              <w:right w:val="nil"/>
            </w:tcBorders>
            <w:shd w:val="clear" w:color="000000" w:fill="DDEBF7"/>
            <w:vAlign w:val="center"/>
            <w:hideMark/>
          </w:tcPr>
          <w:p w14:paraId="62CD27F5" w14:textId="77777777" w:rsidR="00C64C9B" w:rsidRPr="00C8330C" w:rsidRDefault="00C64C9B" w:rsidP="00C64C9B">
            <w:pPr>
              <w:rPr>
                <w:rFonts w:ascii="Arial" w:hAnsi="Arial" w:cs="Arial"/>
                <w:b/>
                <w:bCs/>
                <w:iCs/>
                <w:sz w:val="20"/>
                <w:szCs w:val="20"/>
              </w:rPr>
            </w:pPr>
            <w:r w:rsidRPr="00C8330C">
              <w:rPr>
                <w:rFonts w:ascii="Arial" w:hAnsi="Arial" w:cs="Arial"/>
                <w:b/>
                <w:bCs/>
                <w:iCs/>
                <w:sz w:val="20"/>
                <w:szCs w:val="20"/>
              </w:rPr>
              <w:t>2018</w:t>
            </w:r>
          </w:p>
        </w:tc>
        <w:tc>
          <w:tcPr>
            <w:tcW w:w="551" w:type="pct"/>
            <w:tcBorders>
              <w:top w:val="single" w:sz="8" w:space="0" w:color="3366CC"/>
              <w:left w:val="single" w:sz="4" w:space="0" w:color="808080"/>
              <w:bottom w:val="single" w:sz="8" w:space="0" w:color="3366CC"/>
              <w:right w:val="single" w:sz="4" w:space="0" w:color="808080"/>
            </w:tcBorders>
            <w:shd w:val="clear" w:color="000000" w:fill="DDEBF7"/>
            <w:vAlign w:val="center"/>
            <w:hideMark/>
          </w:tcPr>
          <w:p w14:paraId="7382CFEC" w14:textId="77777777" w:rsidR="00C64C9B" w:rsidRPr="00C8330C" w:rsidRDefault="00C64C9B" w:rsidP="00C64C9B">
            <w:pPr>
              <w:rPr>
                <w:rFonts w:ascii="Arial" w:hAnsi="Arial" w:cs="Arial"/>
                <w:b/>
                <w:bCs/>
                <w:iCs/>
                <w:sz w:val="20"/>
                <w:szCs w:val="20"/>
              </w:rPr>
            </w:pPr>
            <w:r w:rsidRPr="00C8330C">
              <w:rPr>
                <w:rFonts w:ascii="Arial" w:hAnsi="Arial" w:cs="Arial"/>
                <w:b/>
                <w:bCs/>
                <w:iCs/>
                <w:sz w:val="20"/>
                <w:szCs w:val="20"/>
              </w:rPr>
              <w:t>2019</w:t>
            </w:r>
          </w:p>
        </w:tc>
        <w:tc>
          <w:tcPr>
            <w:tcW w:w="551" w:type="pct"/>
            <w:tcBorders>
              <w:top w:val="single" w:sz="8" w:space="0" w:color="3366CC"/>
              <w:left w:val="nil"/>
              <w:bottom w:val="single" w:sz="8" w:space="0" w:color="3366CC"/>
              <w:right w:val="single" w:sz="4" w:space="0" w:color="808080"/>
            </w:tcBorders>
            <w:shd w:val="clear" w:color="000000" w:fill="DDEBF7"/>
            <w:vAlign w:val="center"/>
            <w:hideMark/>
          </w:tcPr>
          <w:p w14:paraId="7C6F7C7A" w14:textId="77777777" w:rsidR="00C64C9B" w:rsidRPr="00C8330C" w:rsidRDefault="00C64C9B" w:rsidP="00C64C9B">
            <w:pPr>
              <w:rPr>
                <w:rFonts w:ascii="Arial" w:hAnsi="Arial" w:cs="Arial"/>
                <w:b/>
                <w:bCs/>
                <w:iCs/>
                <w:sz w:val="20"/>
                <w:szCs w:val="20"/>
              </w:rPr>
            </w:pPr>
            <w:r w:rsidRPr="00C8330C">
              <w:rPr>
                <w:rFonts w:ascii="Arial" w:hAnsi="Arial" w:cs="Arial"/>
                <w:b/>
                <w:bCs/>
                <w:iCs/>
                <w:sz w:val="20"/>
                <w:szCs w:val="20"/>
              </w:rPr>
              <w:t>2020</w:t>
            </w:r>
          </w:p>
        </w:tc>
        <w:tc>
          <w:tcPr>
            <w:tcW w:w="541" w:type="pct"/>
            <w:tcBorders>
              <w:top w:val="single" w:sz="8" w:space="0" w:color="3366CC"/>
              <w:left w:val="nil"/>
              <w:bottom w:val="single" w:sz="8" w:space="0" w:color="3366CC"/>
              <w:right w:val="single" w:sz="8" w:space="0" w:color="3366CC"/>
            </w:tcBorders>
            <w:shd w:val="clear" w:color="000000" w:fill="DDEBF7"/>
            <w:vAlign w:val="center"/>
            <w:hideMark/>
          </w:tcPr>
          <w:p w14:paraId="5C075C50" w14:textId="77777777" w:rsidR="00C64C9B" w:rsidRPr="00C8330C" w:rsidRDefault="00C64C9B" w:rsidP="00C64C9B">
            <w:pPr>
              <w:rPr>
                <w:rFonts w:ascii="Arial" w:hAnsi="Arial" w:cs="Arial"/>
                <w:b/>
                <w:bCs/>
                <w:iCs/>
                <w:sz w:val="20"/>
                <w:szCs w:val="20"/>
              </w:rPr>
            </w:pPr>
            <w:r w:rsidRPr="00C8330C">
              <w:rPr>
                <w:rFonts w:ascii="Arial" w:hAnsi="Arial" w:cs="Arial"/>
                <w:b/>
                <w:bCs/>
                <w:iCs/>
                <w:sz w:val="20"/>
                <w:szCs w:val="20"/>
              </w:rPr>
              <w:t>2021</w:t>
            </w:r>
          </w:p>
        </w:tc>
      </w:tr>
      <w:tr w:rsidR="00C64C9B" w:rsidRPr="00C8330C" w14:paraId="163CDD12" w14:textId="77777777" w:rsidTr="003F3D36">
        <w:trPr>
          <w:trHeight w:val="20"/>
        </w:trPr>
        <w:tc>
          <w:tcPr>
            <w:tcW w:w="1063" w:type="pct"/>
            <w:tcBorders>
              <w:top w:val="single" w:sz="8" w:space="0" w:color="3366CC"/>
              <w:left w:val="single" w:sz="8" w:space="0" w:color="3366CC"/>
              <w:bottom w:val="single" w:sz="4" w:space="0" w:color="808080"/>
              <w:right w:val="single" w:sz="8" w:space="0" w:color="3366CC"/>
            </w:tcBorders>
            <w:shd w:val="clear" w:color="auto" w:fill="auto"/>
            <w:noWrap/>
            <w:vAlign w:val="center"/>
            <w:hideMark/>
          </w:tcPr>
          <w:p w14:paraId="7B94BC95" w14:textId="77777777" w:rsidR="00C64C9B" w:rsidRPr="00C8330C" w:rsidRDefault="00C64C9B" w:rsidP="00C64C9B">
            <w:pPr>
              <w:rPr>
                <w:rFonts w:ascii="Arial" w:hAnsi="Arial" w:cs="Arial"/>
                <w:bCs/>
                <w:iCs/>
                <w:sz w:val="20"/>
                <w:szCs w:val="20"/>
              </w:rPr>
            </w:pPr>
            <w:r w:rsidRPr="00C8330C">
              <w:rPr>
                <w:rFonts w:ascii="Arial" w:hAnsi="Arial" w:cs="Arial"/>
                <w:bCs/>
                <w:iCs/>
                <w:sz w:val="20"/>
                <w:szCs w:val="20"/>
              </w:rPr>
              <w:t>Oficial</w:t>
            </w:r>
          </w:p>
        </w:tc>
        <w:tc>
          <w:tcPr>
            <w:tcW w:w="581" w:type="pct"/>
            <w:tcBorders>
              <w:top w:val="nil"/>
              <w:left w:val="nil"/>
              <w:bottom w:val="single" w:sz="4" w:space="0" w:color="808080"/>
              <w:right w:val="single" w:sz="4" w:space="0" w:color="808080"/>
            </w:tcBorders>
            <w:shd w:val="clear" w:color="auto" w:fill="auto"/>
            <w:noWrap/>
            <w:vAlign w:val="center"/>
            <w:hideMark/>
          </w:tcPr>
          <w:p w14:paraId="14139133" w14:textId="77777777" w:rsidR="00C64C9B" w:rsidRPr="00C8330C" w:rsidRDefault="00C64C9B" w:rsidP="00C64C9B">
            <w:pPr>
              <w:rPr>
                <w:rFonts w:ascii="Arial" w:hAnsi="Arial" w:cs="Arial"/>
                <w:bCs/>
                <w:iCs/>
                <w:sz w:val="20"/>
                <w:szCs w:val="20"/>
              </w:rPr>
            </w:pPr>
            <w:r w:rsidRPr="00C8330C">
              <w:rPr>
                <w:rFonts w:ascii="Arial" w:hAnsi="Arial" w:cs="Arial"/>
                <w:bCs/>
                <w:iCs/>
                <w:sz w:val="20"/>
                <w:szCs w:val="20"/>
              </w:rPr>
              <w:t>29.753</w:t>
            </w:r>
          </w:p>
        </w:tc>
        <w:tc>
          <w:tcPr>
            <w:tcW w:w="621" w:type="pct"/>
            <w:tcBorders>
              <w:top w:val="nil"/>
              <w:left w:val="nil"/>
              <w:bottom w:val="single" w:sz="4" w:space="0" w:color="808080"/>
              <w:right w:val="single" w:sz="4" w:space="0" w:color="808080"/>
            </w:tcBorders>
            <w:shd w:val="clear" w:color="auto" w:fill="auto"/>
            <w:noWrap/>
            <w:vAlign w:val="center"/>
            <w:hideMark/>
          </w:tcPr>
          <w:p w14:paraId="4DB608C0" w14:textId="77777777" w:rsidR="00C64C9B" w:rsidRPr="00C8330C" w:rsidRDefault="00C64C9B" w:rsidP="00C64C9B">
            <w:pPr>
              <w:rPr>
                <w:rFonts w:ascii="Arial" w:hAnsi="Arial" w:cs="Arial"/>
                <w:bCs/>
                <w:iCs/>
                <w:sz w:val="20"/>
                <w:szCs w:val="20"/>
              </w:rPr>
            </w:pPr>
            <w:r w:rsidRPr="00C8330C">
              <w:rPr>
                <w:rFonts w:ascii="Arial" w:hAnsi="Arial" w:cs="Arial"/>
                <w:bCs/>
                <w:iCs/>
                <w:sz w:val="20"/>
                <w:szCs w:val="20"/>
              </w:rPr>
              <w:t>31.007</w:t>
            </w:r>
          </w:p>
        </w:tc>
        <w:tc>
          <w:tcPr>
            <w:tcW w:w="546" w:type="pct"/>
            <w:tcBorders>
              <w:top w:val="nil"/>
              <w:left w:val="nil"/>
              <w:bottom w:val="single" w:sz="4" w:space="0" w:color="808080"/>
              <w:right w:val="single" w:sz="4" w:space="0" w:color="808080"/>
            </w:tcBorders>
            <w:shd w:val="clear" w:color="auto" w:fill="auto"/>
            <w:noWrap/>
            <w:vAlign w:val="center"/>
            <w:hideMark/>
          </w:tcPr>
          <w:p w14:paraId="5B7A8291" w14:textId="77777777" w:rsidR="00C64C9B" w:rsidRPr="00C8330C" w:rsidRDefault="00C64C9B" w:rsidP="00C64C9B">
            <w:pPr>
              <w:rPr>
                <w:rFonts w:ascii="Arial" w:hAnsi="Arial" w:cs="Arial"/>
                <w:bCs/>
                <w:iCs/>
                <w:sz w:val="20"/>
                <w:szCs w:val="20"/>
              </w:rPr>
            </w:pPr>
            <w:r w:rsidRPr="00C8330C">
              <w:rPr>
                <w:rFonts w:ascii="Arial" w:hAnsi="Arial" w:cs="Arial"/>
                <w:bCs/>
                <w:iCs/>
                <w:sz w:val="20"/>
                <w:szCs w:val="20"/>
              </w:rPr>
              <w:t>30.277</w:t>
            </w:r>
          </w:p>
        </w:tc>
        <w:tc>
          <w:tcPr>
            <w:tcW w:w="546" w:type="pct"/>
            <w:tcBorders>
              <w:top w:val="nil"/>
              <w:left w:val="nil"/>
              <w:bottom w:val="single" w:sz="4" w:space="0" w:color="808080"/>
              <w:right w:val="nil"/>
            </w:tcBorders>
            <w:shd w:val="clear" w:color="auto" w:fill="auto"/>
            <w:noWrap/>
            <w:vAlign w:val="center"/>
            <w:hideMark/>
          </w:tcPr>
          <w:p w14:paraId="05EFE632" w14:textId="77777777" w:rsidR="00C64C9B" w:rsidRPr="00C8330C" w:rsidRDefault="00C64C9B" w:rsidP="00C64C9B">
            <w:pPr>
              <w:rPr>
                <w:rFonts w:ascii="Arial" w:hAnsi="Arial" w:cs="Arial"/>
                <w:bCs/>
                <w:iCs/>
                <w:sz w:val="20"/>
                <w:szCs w:val="20"/>
              </w:rPr>
            </w:pPr>
            <w:r w:rsidRPr="00C8330C">
              <w:rPr>
                <w:rFonts w:ascii="Arial" w:hAnsi="Arial" w:cs="Arial"/>
                <w:bCs/>
                <w:iCs/>
                <w:sz w:val="20"/>
                <w:szCs w:val="20"/>
              </w:rPr>
              <w:t>30.516</w:t>
            </w:r>
          </w:p>
        </w:tc>
        <w:tc>
          <w:tcPr>
            <w:tcW w:w="551" w:type="pct"/>
            <w:tcBorders>
              <w:top w:val="nil"/>
              <w:left w:val="single" w:sz="4" w:space="0" w:color="808080"/>
              <w:bottom w:val="single" w:sz="4" w:space="0" w:color="808080"/>
              <w:right w:val="nil"/>
            </w:tcBorders>
            <w:shd w:val="clear" w:color="auto" w:fill="auto"/>
            <w:noWrap/>
            <w:vAlign w:val="center"/>
            <w:hideMark/>
          </w:tcPr>
          <w:p w14:paraId="5F5EC6C2" w14:textId="77777777" w:rsidR="00C64C9B" w:rsidRPr="00C8330C" w:rsidRDefault="00C64C9B" w:rsidP="00C64C9B">
            <w:pPr>
              <w:rPr>
                <w:rFonts w:ascii="Arial" w:hAnsi="Arial" w:cs="Arial"/>
                <w:bCs/>
                <w:iCs/>
                <w:sz w:val="20"/>
                <w:szCs w:val="20"/>
              </w:rPr>
            </w:pPr>
            <w:r w:rsidRPr="00C8330C">
              <w:rPr>
                <w:rFonts w:ascii="Arial" w:hAnsi="Arial" w:cs="Arial"/>
                <w:bCs/>
                <w:iCs/>
                <w:sz w:val="20"/>
                <w:szCs w:val="20"/>
              </w:rPr>
              <w:t>30.468</w:t>
            </w:r>
          </w:p>
        </w:tc>
        <w:tc>
          <w:tcPr>
            <w:tcW w:w="551" w:type="pct"/>
            <w:tcBorders>
              <w:top w:val="nil"/>
              <w:left w:val="single" w:sz="4" w:space="0" w:color="808080"/>
              <w:bottom w:val="single" w:sz="4" w:space="0" w:color="808080"/>
              <w:right w:val="nil"/>
            </w:tcBorders>
            <w:shd w:val="clear" w:color="auto" w:fill="auto"/>
            <w:noWrap/>
            <w:vAlign w:val="center"/>
            <w:hideMark/>
          </w:tcPr>
          <w:p w14:paraId="51FBDBF7" w14:textId="77777777" w:rsidR="00C64C9B" w:rsidRPr="00C8330C" w:rsidRDefault="00C64C9B" w:rsidP="00C64C9B">
            <w:pPr>
              <w:rPr>
                <w:rFonts w:ascii="Arial" w:hAnsi="Arial" w:cs="Arial"/>
                <w:bCs/>
                <w:iCs/>
                <w:sz w:val="20"/>
                <w:szCs w:val="20"/>
              </w:rPr>
            </w:pPr>
            <w:r w:rsidRPr="00C8330C">
              <w:rPr>
                <w:rFonts w:ascii="Arial" w:hAnsi="Arial" w:cs="Arial"/>
                <w:bCs/>
                <w:iCs/>
                <w:sz w:val="20"/>
                <w:szCs w:val="20"/>
              </w:rPr>
              <w:t>30.420</w:t>
            </w:r>
          </w:p>
        </w:tc>
        <w:tc>
          <w:tcPr>
            <w:tcW w:w="541" w:type="pct"/>
            <w:tcBorders>
              <w:top w:val="nil"/>
              <w:left w:val="single" w:sz="4" w:space="0" w:color="808080"/>
              <w:bottom w:val="single" w:sz="4" w:space="0" w:color="808080"/>
              <w:right w:val="single" w:sz="8" w:space="0" w:color="3366CC"/>
            </w:tcBorders>
            <w:shd w:val="clear" w:color="auto" w:fill="auto"/>
            <w:noWrap/>
            <w:vAlign w:val="center"/>
            <w:hideMark/>
          </w:tcPr>
          <w:p w14:paraId="46326441" w14:textId="77777777" w:rsidR="00C64C9B" w:rsidRPr="00C8330C" w:rsidRDefault="00C64C9B" w:rsidP="00C64C9B">
            <w:pPr>
              <w:rPr>
                <w:rFonts w:ascii="Arial" w:hAnsi="Arial" w:cs="Arial"/>
                <w:bCs/>
                <w:iCs/>
                <w:sz w:val="20"/>
                <w:szCs w:val="20"/>
              </w:rPr>
            </w:pPr>
            <w:r w:rsidRPr="00C8330C">
              <w:rPr>
                <w:rFonts w:ascii="Arial" w:hAnsi="Arial" w:cs="Arial"/>
                <w:bCs/>
                <w:iCs/>
                <w:sz w:val="20"/>
                <w:szCs w:val="20"/>
              </w:rPr>
              <w:t>28.567</w:t>
            </w:r>
          </w:p>
        </w:tc>
      </w:tr>
      <w:tr w:rsidR="00C64C9B" w:rsidRPr="00C8330C" w14:paraId="526E57E2" w14:textId="77777777" w:rsidTr="003F3D36">
        <w:trPr>
          <w:trHeight w:val="20"/>
        </w:trPr>
        <w:tc>
          <w:tcPr>
            <w:tcW w:w="1063" w:type="pct"/>
            <w:tcBorders>
              <w:top w:val="single" w:sz="4" w:space="0" w:color="808080"/>
              <w:left w:val="single" w:sz="8" w:space="0" w:color="3366CC"/>
              <w:bottom w:val="single" w:sz="4" w:space="0" w:color="808080"/>
              <w:right w:val="single" w:sz="8" w:space="0" w:color="3366CC"/>
            </w:tcBorders>
            <w:shd w:val="clear" w:color="auto" w:fill="auto"/>
            <w:noWrap/>
            <w:vAlign w:val="center"/>
            <w:hideMark/>
          </w:tcPr>
          <w:p w14:paraId="37F9ABA5" w14:textId="77777777" w:rsidR="00C64C9B" w:rsidRPr="00C8330C" w:rsidRDefault="00C64C9B" w:rsidP="00C64C9B">
            <w:pPr>
              <w:rPr>
                <w:rFonts w:ascii="Arial" w:hAnsi="Arial" w:cs="Arial"/>
                <w:bCs/>
                <w:iCs/>
                <w:sz w:val="20"/>
                <w:szCs w:val="20"/>
              </w:rPr>
            </w:pPr>
            <w:r w:rsidRPr="00C8330C">
              <w:rPr>
                <w:rFonts w:ascii="Arial" w:hAnsi="Arial" w:cs="Arial"/>
                <w:bCs/>
                <w:iCs/>
                <w:sz w:val="20"/>
                <w:szCs w:val="20"/>
              </w:rPr>
              <w:t>Privada</w:t>
            </w:r>
          </w:p>
        </w:tc>
        <w:tc>
          <w:tcPr>
            <w:tcW w:w="581" w:type="pct"/>
            <w:tcBorders>
              <w:top w:val="nil"/>
              <w:left w:val="nil"/>
              <w:bottom w:val="single" w:sz="4" w:space="0" w:color="808080"/>
              <w:right w:val="single" w:sz="4" w:space="0" w:color="808080"/>
            </w:tcBorders>
            <w:shd w:val="clear" w:color="auto" w:fill="auto"/>
            <w:noWrap/>
            <w:vAlign w:val="center"/>
            <w:hideMark/>
          </w:tcPr>
          <w:p w14:paraId="003AA3F3" w14:textId="77777777" w:rsidR="00C64C9B" w:rsidRPr="00C8330C" w:rsidRDefault="00C64C9B" w:rsidP="00C64C9B">
            <w:pPr>
              <w:rPr>
                <w:rFonts w:ascii="Arial" w:hAnsi="Arial" w:cs="Arial"/>
                <w:bCs/>
                <w:iCs/>
                <w:sz w:val="20"/>
                <w:szCs w:val="20"/>
              </w:rPr>
            </w:pPr>
            <w:r w:rsidRPr="00C8330C">
              <w:rPr>
                <w:rFonts w:ascii="Arial" w:hAnsi="Arial" w:cs="Arial"/>
                <w:bCs/>
                <w:iCs/>
                <w:sz w:val="20"/>
                <w:szCs w:val="20"/>
              </w:rPr>
              <w:t>16.838</w:t>
            </w:r>
          </w:p>
        </w:tc>
        <w:tc>
          <w:tcPr>
            <w:tcW w:w="621" w:type="pct"/>
            <w:tcBorders>
              <w:top w:val="nil"/>
              <w:left w:val="nil"/>
              <w:bottom w:val="single" w:sz="4" w:space="0" w:color="808080"/>
              <w:right w:val="single" w:sz="4" w:space="0" w:color="808080"/>
            </w:tcBorders>
            <w:shd w:val="clear" w:color="auto" w:fill="auto"/>
            <w:noWrap/>
            <w:vAlign w:val="center"/>
            <w:hideMark/>
          </w:tcPr>
          <w:p w14:paraId="64B04DEF" w14:textId="77777777" w:rsidR="00C64C9B" w:rsidRPr="00C8330C" w:rsidRDefault="00C64C9B" w:rsidP="00C64C9B">
            <w:pPr>
              <w:rPr>
                <w:rFonts w:ascii="Arial" w:hAnsi="Arial" w:cs="Arial"/>
                <w:bCs/>
                <w:iCs/>
                <w:sz w:val="20"/>
                <w:szCs w:val="20"/>
              </w:rPr>
            </w:pPr>
            <w:r w:rsidRPr="00C8330C">
              <w:rPr>
                <w:rFonts w:ascii="Arial" w:hAnsi="Arial" w:cs="Arial"/>
                <w:bCs/>
                <w:iCs/>
                <w:sz w:val="20"/>
                <w:szCs w:val="20"/>
              </w:rPr>
              <w:t>18.478</w:t>
            </w:r>
          </w:p>
        </w:tc>
        <w:tc>
          <w:tcPr>
            <w:tcW w:w="546" w:type="pct"/>
            <w:tcBorders>
              <w:top w:val="nil"/>
              <w:left w:val="nil"/>
              <w:bottom w:val="single" w:sz="4" w:space="0" w:color="808080"/>
              <w:right w:val="single" w:sz="4" w:space="0" w:color="808080"/>
            </w:tcBorders>
            <w:shd w:val="clear" w:color="auto" w:fill="auto"/>
            <w:noWrap/>
            <w:vAlign w:val="center"/>
            <w:hideMark/>
          </w:tcPr>
          <w:p w14:paraId="5AAAAD8E" w14:textId="77777777" w:rsidR="00C64C9B" w:rsidRPr="00C8330C" w:rsidRDefault="00C64C9B" w:rsidP="00C64C9B">
            <w:pPr>
              <w:rPr>
                <w:rFonts w:ascii="Arial" w:hAnsi="Arial" w:cs="Arial"/>
                <w:bCs/>
                <w:iCs/>
                <w:sz w:val="20"/>
                <w:szCs w:val="20"/>
              </w:rPr>
            </w:pPr>
            <w:r w:rsidRPr="00C8330C">
              <w:rPr>
                <w:rFonts w:ascii="Arial" w:hAnsi="Arial" w:cs="Arial"/>
                <w:bCs/>
                <w:iCs/>
                <w:sz w:val="20"/>
                <w:szCs w:val="20"/>
              </w:rPr>
              <w:t>19.880</w:t>
            </w:r>
          </w:p>
        </w:tc>
        <w:tc>
          <w:tcPr>
            <w:tcW w:w="546" w:type="pct"/>
            <w:tcBorders>
              <w:top w:val="nil"/>
              <w:left w:val="nil"/>
              <w:bottom w:val="single" w:sz="4" w:space="0" w:color="808080"/>
              <w:right w:val="nil"/>
            </w:tcBorders>
            <w:shd w:val="clear" w:color="auto" w:fill="auto"/>
            <w:noWrap/>
            <w:vAlign w:val="center"/>
            <w:hideMark/>
          </w:tcPr>
          <w:p w14:paraId="60D0FFBE" w14:textId="77777777" w:rsidR="00C64C9B" w:rsidRPr="00C8330C" w:rsidRDefault="00C64C9B" w:rsidP="00C64C9B">
            <w:pPr>
              <w:rPr>
                <w:rFonts w:ascii="Arial" w:hAnsi="Arial" w:cs="Arial"/>
                <w:bCs/>
                <w:iCs/>
                <w:sz w:val="20"/>
                <w:szCs w:val="20"/>
              </w:rPr>
            </w:pPr>
            <w:r w:rsidRPr="00C8330C">
              <w:rPr>
                <w:rFonts w:ascii="Arial" w:hAnsi="Arial" w:cs="Arial"/>
                <w:bCs/>
                <w:iCs/>
                <w:sz w:val="20"/>
                <w:szCs w:val="20"/>
              </w:rPr>
              <w:t>20.754</w:t>
            </w:r>
          </w:p>
        </w:tc>
        <w:tc>
          <w:tcPr>
            <w:tcW w:w="551" w:type="pct"/>
            <w:tcBorders>
              <w:top w:val="nil"/>
              <w:left w:val="single" w:sz="4" w:space="0" w:color="808080"/>
              <w:bottom w:val="single" w:sz="4" w:space="0" w:color="808080"/>
              <w:right w:val="nil"/>
            </w:tcBorders>
            <w:shd w:val="clear" w:color="auto" w:fill="auto"/>
            <w:noWrap/>
            <w:vAlign w:val="center"/>
            <w:hideMark/>
          </w:tcPr>
          <w:p w14:paraId="4CF01016" w14:textId="77777777" w:rsidR="00C64C9B" w:rsidRPr="00C8330C" w:rsidRDefault="00C64C9B" w:rsidP="00C64C9B">
            <w:pPr>
              <w:rPr>
                <w:rFonts w:ascii="Arial" w:hAnsi="Arial" w:cs="Arial"/>
                <w:bCs/>
                <w:iCs/>
                <w:sz w:val="20"/>
                <w:szCs w:val="20"/>
              </w:rPr>
            </w:pPr>
            <w:r w:rsidRPr="00C8330C">
              <w:rPr>
                <w:rFonts w:ascii="Arial" w:hAnsi="Arial" w:cs="Arial"/>
                <w:bCs/>
                <w:iCs/>
                <w:sz w:val="20"/>
                <w:szCs w:val="20"/>
              </w:rPr>
              <w:t>20.112</w:t>
            </w:r>
          </w:p>
        </w:tc>
        <w:tc>
          <w:tcPr>
            <w:tcW w:w="551" w:type="pct"/>
            <w:tcBorders>
              <w:top w:val="nil"/>
              <w:left w:val="single" w:sz="4" w:space="0" w:color="808080"/>
              <w:bottom w:val="single" w:sz="4" w:space="0" w:color="808080"/>
              <w:right w:val="nil"/>
            </w:tcBorders>
            <w:shd w:val="clear" w:color="auto" w:fill="auto"/>
            <w:noWrap/>
            <w:vAlign w:val="center"/>
            <w:hideMark/>
          </w:tcPr>
          <w:p w14:paraId="30A603B2" w14:textId="77777777" w:rsidR="00C64C9B" w:rsidRPr="00C8330C" w:rsidRDefault="00C64C9B" w:rsidP="00C64C9B">
            <w:pPr>
              <w:rPr>
                <w:rFonts w:ascii="Arial" w:hAnsi="Arial" w:cs="Arial"/>
                <w:bCs/>
                <w:iCs/>
                <w:sz w:val="20"/>
                <w:szCs w:val="20"/>
              </w:rPr>
            </w:pPr>
            <w:r w:rsidRPr="00C8330C">
              <w:rPr>
                <w:rFonts w:ascii="Arial" w:hAnsi="Arial" w:cs="Arial"/>
                <w:bCs/>
                <w:iCs/>
                <w:sz w:val="20"/>
                <w:szCs w:val="20"/>
              </w:rPr>
              <w:t>19.190</w:t>
            </w:r>
          </w:p>
        </w:tc>
        <w:tc>
          <w:tcPr>
            <w:tcW w:w="541" w:type="pct"/>
            <w:tcBorders>
              <w:top w:val="nil"/>
              <w:left w:val="single" w:sz="4" w:space="0" w:color="808080"/>
              <w:bottom w:val="single" w:sz="4" w:space="0" w:color="808080"/>
              <w:right w:val="single" w:sz="8" w:space="0" w:color="3366CC"/>
            </w:tcBorders>
            <w:shd w:val="clear" w:color="auto" w:fill="auto"/>
            <w:noWrap/>
            <w:vAlign w:val="center"/>
            <w:hideMark/>
          </w:tcPr>
          <w:p w14:paraId="6BE88620" w14:textId="77777777" w:rsidR="00C64C9B" w:rsidRPr="00C8330C" w:rsidRDefault="00C64C9B" w:rsidP="00C64C9B">
            <w:pPr>
              <w:rPr>
                <w:rFonts w:ascii="Arial" w:hAnsi="Arial" w:cs="Arial"/>
                <w:bCs/>
                <w:iCs/>
                <w:sz w:val="20"/>
                <w:szCs w:val="20"/>
              </w:rPr>
            </w:pPr>
            <w:r w:rsidRPr="00C8330C">
              <w:rPr>
                <w:rFonts w:ascii="Arial" w:hAnsi="Arial" w:cs="Arial"/>
                <w:bCs/>
                <w:iCs/>
                <w:sz w:val="20"/>
                <w:szCs w:val="20"/>
              </w:rPr>
              <w:t>17.904</w:t>
            </w:r>
          </w:p>
        </w:tc>
      </w:tr>
      <w:tr w:rsidR="00C64C9B" w:rsidRPr="00C8330C" w14:paraId="087440BE" w14:textId="77777777" w:rsidTr="003F3D36">
        <w:trPr>
          <w:trHeight w:val="20"/>
        </w:trPr>
        <w:tc>
          <w:tcPr>
            <w:tcW w:w="1063" w:type="pct"/>
            <w:tcBorders>
              <w:top w:val="single" w:sz="4" w:space="0" w:color="808080"/>
              <w:left w:val="single" w:sz="8" w:space="0" w:color="3366CC"/>
              <w:bottom w:val="single" w:sz="8" w:space="0" w:color="3366CC"/>
              <w:right w:val="single" w:sz="8" w:space="0" w:color="3366CC"/>
            </w:tcBorders>
            <w:shd w:val="clear" w:color="000000" w:fill="DDEBF7"/>
            <w:noWrap/>
            <w:vAlign w:val="center"/>
            <w:hideMark/>
          </w:tcPr>
          <w:p w14:paraId="6E2E666B" w14:textId="77777777" w:rsidR="00C64C9B" w:rsidRPr="00C8330C" w:rsidRDefault="00C64C9B" w:rsidP="00C64C9B">
            <w:pPr>
              <w:rPr>
                <w:rFonts w:ascii="Arial" w:hAnsi="Arial" w:cs="Arial"/>
                <w:b/>
                <w:bCs/>
                <w:iCs/>
                <w:sz w:val="20"/>
                <w:szCs w:val="20"/>
              </w:rPr>
            </w:pPr>
            <w:r w:rsidRPr="00C8330C">
              <w:rPr>
                <w:rFonts w:ascii="Arial" w:hAnsi="Arial" w:cs="Arial"/>
                <w:b/>
                <w:bCs/>
                <w:iCs/>
                <w:sz w:val="20"/>
                <w:szCs w:val="20"/>
              </w:rPr>
              <w:t>Total General</w:t>
            </w:r>
          </w:p>
        </w:tc>
        <w:tc>
          <w:tcPr>
            <w:tcW w:w="581" w:type="pct"/>
            <w:tcBorders>
              <w:top w:val="nil"/>
              <w:left w:val="nil"/>
              <w:bottom w:val="single" w:sz="8" w:space="0" w:color="3366CC"/>
              <w:right w:val="single" w:sz="4" w:space="0" w:color="808080"/>
            </w:tcBorders>
            <w:shd w:val="clear" w:color="000000" w:fill="DDEBF7"/>
            <w:noWrap/>
            <w:vAlign w:val="center"/>
            <w:hideMark/>
          </w:tcPr>
          <w:p w14:paraId="051C179A" w14:textId="77777777" w:rsidR="00C64C9B" w:rsidRPr="00C8330C" w:rsidRDefault="00C64C9B" w:rsidP="00C64C9B">
            <w:pPr>
              <w:rPr>
                <w:rFonts w:ascii="Arial" w:hAnsi="Arial" w:cs="Arial"/>
                <w:b/>
                <w:bCs/>
                <w:iCs/>
                <w:sz w:val="20"/>
                <w:szCs w:val="20"/>
              </w:rPr>
            </w:pPr>
            <w:r w:rsidRPr="00C8330C">
              <w:rPr>
                <w:rFonts w:ascii="Arial" w:hAnsi="Arial" w:cs="Arial"/>
                <w:b/>
                <w:bCs/>
                <w:iCs/>
                <w:sz w:val="20"/>
                <w:szCs w:val="20"/>
              </w:rPr>
              <w:t>46.591</w:t>
            </w:r>
          </w:p>
        </w:tc>
        <w:tc>
          <w:tcPr>
            <w:tcW w:w="621" w:type="pct"/>
            <w:tcBorders>
              <w:top w:val="nil"/>
              <w:left w:val="nil"/>
              <w:bottom w:val="single" w:sz="8" w:space="0" w:color="3366CC"/>
              <w:right w:val="single" w:sz="4" w:space="0" w:color="808080"/>
            </w:tcBorders>
            <w:shd w:val="clear" w:color="000000" w:fill="DDEBF7"/>
            <w:noWrap/>
            <w:vAlign w:val="center"/>
            <w:hideMark/>
          </w:tcPr>
          <w:p w14:paraId="21C224D2" w14:textId="77777777" w:rsidR="00C64C9B" w:rsidRPr="00C8330C" w:rsidRDefault="00C64C9B" w:rsidP="00C64C9B">
            <w:pPr>
              <w:rPr>
                <w:rFonts w:ascii="Arial" w:hAnsi="Arial" w:cs="Arial"/>
                <w:b/>
                <w:bCs/>
                <w:iCs/>
                <w:sz w:val="20"/>
                <w:szCs w:val="20"/>
              </w:rPr>
            </w:pPr>
            <w:r w:rsidRPr="00C8330C">
              <w:rPr>
                <w:rFonts w:ascii="Arial" w:hAnsi="Arial" w:cs="Arial"/>
                <w:b/>
                <w:bCs/>
                <w:iCs/>
                <w:sz w:val="20"/>
                <w:szCs w:val="20"/>
              </w:rPr>
              <w:t>49.485</w:t>
            </w:r>
          </w:p>
        </w:tc>
        <w:tc>
          <w:tcPr>
            <w:tcW w:w="546" w:type="pct"/>
            <w:tcBorders>
              <w:top w:val="nil"/>
              <w:left w:val="nil"/>
              <w:bottom w:val="single" w:sz="8" w:space="0" w:color="3366CC"/>
              <w:right w:val="single" w:sz="4" w:space="0" w:color="808080"/>
            </w:tcBorders>
            <w:shd w:val="clear" w:color="000000" w:fill="DDEBF7"/>
            <w:noWrap/>
            <w:vAlign w:val="center"/>
            <w:hideMark/>
          </w:tcPr>
          <w:p w14:paraId="300B56C5" w14:textId="77777777" w:rsidR="00C64C9B" w:rsidRPr="00C8330C" w:rsidRDefault="00C64C9B" w:rsidP="00C64C9B">
            <w:pPr>
              <w:rPr>
                <w:rFonts w:ascii="Arial" w:hAnsi="Arial" w:cs="Arial"/>
                <w:b/>
                <w:bCs/>
                <w:iCs/>
                <w:sz w:val="20"/>
                <w:szCs w:val="20"/>
              </w:rPr>
            </w:pPr>
            <w:r w:rsidRPr="00C8330C">
              <w:rPr>
                <w:rFonts w:ascii="Arial" w:hAnsi="Arial" w:cs="Arial"/>
                <w:b/>
                <w:bCs/>
                <w:iCs/>
                <w:sz w:val="20"/>
                <w:szCs w:val="20"/>
              </w:rPr>
              <w:t>50.157</w:t>
            </w:r>
          </w:p>
        </w:tc>
        <w:tc>
          <w:tcPr>
            <w:tcW w:w="546" w:type="pct"/>
            <w:tcBorders>
              <w:top w:val="nil"/>
              <w:left w:val="nil"/>
              <w:bottom w:val="single" w:sz="8" w:space="0" w:color="3366CC"/>
              <w:right w:val="nil"/>
            </w:tcBorders>
            <w:shd w:val="clear" w:color="000000" w:fill="DDEBF7"/>
            <w:noWrap/>
            <w:vAlign w:val="center"/>
            <w:hideMark/>
          </w:tcPr>
          <w:p w14:paraId="3E0C8C2C" w14:textId="77777777" w:rsidR="00C64C9B" w:rsidRPr="00C8330C" w:rsidRDefault="00C64C9B" w:rsidP="00C64C9B">
            <w:pPr>
              <w:rPr>
                <w:rFonts w:ascii="Arial" w:hAnsi="Arial" w:cs="Arial"/>
                <w:b/>
                <w:bCs/>
                <w:iCs/>
                <w:sz w:val="20"/>
                <w:szCs w:val="20"/>
              </w:rPr>
            </w:pPr>
            <w:r w:rsidRPr="00C8330C">
              <w:rPr>
                <w:rFonts w:ascii="Arial" w:hAnsi="Arial" w:cs="Arial"/>
                <w:b/>
                <w:bCs/>
                <w:iCs/>
                <w:sz w:val="20"/>
                <w:szCs w:val="20"/>
              </w:rPr>
              <w:t>51.270</w:t>
            </w:r>
          </w:p>
        </w:tc>
        <w:tc>
          <w:tcPr>
            <w:tcW w:w="551" w:type="pct"/>
            <w:tcBorders>
              <w:top w:val="nil"/>
              <w:left w:val="single" w:sz="4" w:space="0" w:color="808080"/>
              <w:bottom w:val="single" w:sz="8" w:space="0" w:color="3366CC"/>
              <w:right w:val="nil"/>
            </w:tcBorders>
            <w:shd w:val="clear" w:color="000000" w:fill="DDEBF7"/>
            <w:noWrap/>
            <w:vAlign w:val="center"/>
            <w:hideMark/>
          </w:tcPr>
          <w:p w14:paraId="026A4E34" w14:textId="77777777" w:rsidR="00C64C9B" w:rsidRPr="00C8330C" w:rsidRDefault="00C64C9B" w:rsidP="00C64C9B">
            <w:pPr>
              <w:rPr>
                <w:rFonts w:ascii="Arial" w:hAnsi="Arial" w:cs="Arial"/>
                <w:b/>
                <w:bCs/>
                <w:iCs/>
                <w:sz w:val="20"/>
                <w:szCs w:val="20"/>
              </w:rPr>
            </w:pPr>
            <w:r w:rsidRPr="00C8330C">
              <w:rPr>
                <w:rFonts w:ascii="Arial" w:hAnsi="Arial" w:cs="Arial"/>
                <w:b/>
                <w:bCs/>
                <w:iCs/>
                <w:sz w:val="20"/>
                <w:szCs w:val="20"/>
              </w:rPr>
              <w:t>50.580</w:t>
            </w:r>
          </w:p>
        </w:tc>
        <w:tc>
          <w:tcPr>
            <w:tcW w:w="551" w:type="pct"/>
            <w:tcBorders>
              <w:top w:val="nil"/>
              <w:left w:val="single" w:sz="4" w:space="0" w:color="808080"/>
              <w:bottom w:val="single" w:sz="8" w:space="0" w:color="3366CC"/>
              <w:right w:val="nil"/>
            </w:tcBorders>
            <w:shd w:val="clear" w:color="000000" w:fill="DDEBF7"/>
            <w:noWrap/>
            <w:vAlign w:val="center"/>
            <w:hideMark/>
          </w:tcPr>
          <w:p w14:paraId="4346C8AD" w14:textId="77777777" w:rsidR="00C64C9B" w:rsidRPr="00C8330C" w:rsidRDefault="00C64C9B" w:rsidP="00C64C9B">
            <w:pPr>
              <w:rPr>
                <w:rFonts w:ascii="Arial" w:hAnsi="Arial" w:cs="Arial"/>
                <w:b/>
                <w:bCs/>
                <w:iCs/>
                <w:sz w:val="20"/>
                <w:szCs w:val="20"/>
              </w:rPr>
            </w:pPr>
            <w:r w:rsidRPr="00C8330C">
              <w:rPr>
                <w:rFonts w:ascii="Arial" w:hAnsi="Arial" w:cs="Arial"/>
                <w:b/>
                <w:bCs/>
                <w:iCs/>
                <w:sz w:val="20"/>
                <w:szCs w:val="20"/>
              </w:rPr>
              <w:t>49.610</w:t>
            </w:r>
          </w:p>
        </w:tc>
        <w:tc>
          <w:tcPr>
            <w:tcW w:w="541" w:type="pct"/>
            <w:tcBorders>
              <w:top w:val="nil"/>
              <w:left w:val="single" w:sz="4" w:space="0" w:color="808080"/>
              <w:bottom w:val="single" w:sz="8" w:space="0" w:color="3366CC"/>
              <w:right w:val="single" w:sz="8" w:space="0" w:color="3366CC"/>
            </w:tcBorders>
            <w:shd w:val="clear" w:color="000000" w:fill="DDEBF7"/>
            <w:noWrap/>
            <w:vAlign w:val="center"/>
            <w:hideMark/>
          </w:tcPr>
          <w:p w14:paraId="0D8D8000" w14:textId="77777777" w:rsidR="00C64C9B" w:rsidRPr="00C8330C" w:rsidRDefault="00C64C9B" w:rsidP="00C64C9B">
            <w:pPr>
              <w:rPr>
                <w:rFonts w:ascii="Arial" w:hAnsi="Arial" w:cs="Arial"/>
                <w:b/>
                <w:bCs/>
                <w:iCs/>
                <w:sz w:val="20"/>
                <w:szCs w:val="20"/>
              </w:rPr>
            </w:pPr>
            <w:r w:rsidRPr="00C8330C">
              <w:rPr>
                <w:rFonts w:ascii="Arial" w:hAnsi="Arial" w:cs="Arial"/>
                <w:b/>
                <w:bCs/>
                <w:iCs/>
                <w:sz w:val="20"/>
                <w:szCs w:val="20"/>
              </w:rPr>
              <w:t>46.471</w:t>
            </w:r>
          </w:p>
        </w:tc>
      </w:tr>
    </w:tbl>
    <w:p w14:paraId="5A418500" w14:textId="1E983E79" w:rsidR="003F3D36" w:rsidRPr="00C8330C" w:rsidRDefault="003F3D36" w:rsidP="003F3D36">
      <w:pPr>
        <w:rPr>
          <w:rFonts w:ascii="Arial" w:hAnsi="Arial" w:cs="Arial"/>
          <w:sz w:val="16"/>
          <w:szCs w:val="16"/>
        </w:rPr>
      </w:pPr>
      <w:r w:rsidRPr="00C8330C">
        <w:rPr>
          <w:rStyle w:val="Referenciasutil"/>
          <w:rFonts w:ascii="Arial" w:hAnsi="Arial" w:cs="Arial"/>
          <w:sz w:val="16"/>
          <w:szCs w:val="16"/>
        </w:rPr>
        <w:t>Fuente: Cálculos MCV</w:t>
      </w:r>
    </w:p>
    <w:p w14:paraId="03230FE4" w14:textId="24FB5D93" w:rsidR="00C64C9B" w:rsidRPr="00985A2D" w:rsidRDefault="006E549B" w:rsidP="006E549B">
      <w:pPr>
        <w:pStyle w:val="Ttulo1"/>
        <w:rPr>
          <w:rFonts w:ascii="Arial" w:hAnsi="Arial" w:cs="Arial"/>
          <w:sz w:val="22"/>
          <w:szCs w:val="22"/>
        </w:rPr>
      </w:pPr>
      <w:r w:rsidRPr="00985A2D">
        <w:rPr>
          <w:rFonts w:ascii="Arial" w:hAnsi="Arial" w:cs="Arial"/>
          <w:sz w:val="22"/>
          <w:szCs w:val="22"/>
        </w:rPr>
        <w:t xml:space="preserve">Acceso a la educación superior según nivel de formación </w:t>
      </w:r>
    </w:p>
    <w:p w14:paraId="2FC0D03B" w14:textId="38A99A64" w:rsidR="006E549B" w:rsidRPr="00985A2D" w:rsidRDefault="006E549B" w:rsidP="006E549B">
      <w:pPr>
        <w:rPr>
          <w:rFonts w:ascii="Arial" w:hAnsi="Arial" w:cs="Arial"/>
          <w:szCs w:val="22"/>
        </w:rPr>
      </w:pPr>
    </w:p>
    <w:p w14:paraId="4D09194C" w14:textId="77777777" w:rsidR="006E549B" w:rsidRPr="00985A2D" w:rsidRDefault="006E549B" w:rsidP="006E549B">
      <w:pPr>
        <w:rPr>
          <w:rFonts w:ascii="Arial" w:hAnsi="Arial" w:cs="Arial"/>
          <w:szCs w:val="22"/>
        </w:rPr>
      </w:pPr>
      <w:r w:rsidRPr="00985A2D">
        <w:rPr>
          <w:rFonts w:ascii="Arial" w:hAnsi="Arial" w:cs="Arial"/>
          <w:szCs w:val="22"/>
        </w:rPr>
        <w:t xml:space="preserve">La composición de la matrícula según el nivel de formación revela que la fortaleza del departamento está en el de nivel de formación universitario con el 69% en el año 2021. El </w:t>
      </w:r>
      <w:r w:rsidRPr="00985A2D">
        <w:rPr>
          <w:rFonts w:ascii="Arial" w:hAnsi="Arial" w:cs="Arial"/>
          <w:szCs w:val="22"/>
        </w:rPr>
        <w:lastRenderedPageBreak/>
        <w:t xml:space="preserve">departamento no solo se destaca por su vocación universitaria, sino también por brindar diversas oportunidades de formación a la población que opta por continuar con educación terciaria. </w:t>
      </w:r>
    </w:p>
    <w:p w14:paraId="711C524C" w14:textId="77777777" w:rsidR="006E549B" w:rsidRPr="00985A2D" w:rsidRDefault="006E549B" w:rsidP="006E549B">
      <w:pPr>
        <w:rPr>
          <w:rFonts w:ascii="Arial" w:hAnsi="Arial" w:cs="Arial"/>
          <w:szCs w:val="22"/>
        </w:rPr>
      </w:pPr>
    </w:p>
    <w:p w14:paraId="668E232B" w14:textId="6482E989" w:rsidR="006E549B" w:rsidRPr="00985A2D" w:rsidRDefault="006E549B" w:rsidP="006E549B">
      <w:pPr>
        <w:rPr>
          <w:rFonts w:ascii="Arial" w:hAnsi="Arial" w:cs="Arial"/>
          <w:szCs w:val="22"/>
        </w:rPr>
      </w:pPr>
      <w:r w:rsidRPr="00985A2D">
        <w:rPr>
          <w:rFonts w:ascii="Arial" w:hAnsi="Arial" w:cs="Arial"/>
          <w:szCs w:val="22"/>
        </w:rPr>
        <w:t xml:space="preserve">La distribución muestra </w:t>
      </w:r>
      <w:r w:rsidR="00CE77CA" w:rsidRPr="00985A2D">
        <w:rPr>
          <w:rFonts w:ascii="Arial" w:hAnsi="Arial" w:cs="Arial"/>
          <w:szCs w:val="22"/>
        </w:rPr>
        <w:t>que,</w:t>
      </w:r>
      <w:r w:rsidRPr="00985A2D">
        <w:rPr>
          <w:rFonts w:ascii="Arial" w:hAnsi="Arial" w:cs="Arial"/>
          <w:szCs w:val="22"/>
        </w:rPr>
        <w:t xml:space="preserve"> en el año 2021, en Caldas, de cada 100 estudiantes de educación superior, 69 fueron universitarios, 21 cursaron educación técnica y tecnológica y 10 cursaron un posgrado. Vale la pena mencionar que esta composición tiene una tendencia estructural con muy poca variación entre años.</w:t>
      </w:r>
    </w:p>
    <w:p w14:paraId="5D94C997" w14:textId="2E2FB5F7" w:rsidR="006E549B" w:rsidRPr="00985A2D" w:rsidRDefault="006E549B" w:rsidP="006E549B">
      <w:pPr>
        <w:rPr>
          <w:rFonts w:ascii="Arial" w:hAnsi="Arial" w:cs="Arial"/>
          <w:szCs w:val="22"/>
        </w:rPr>
      </w:pPr>
    </w:p>
    <w:p w14:paraId="1A23A4FB" w14:textId="4DC9EF22" w:rsidR="006E549B" w:rsidRPr="00985A2D" w:rsidRDefault="006E549B" w:rsidP="006E549B">
      <w:pPr>
        <w:rPr>
          <w:rFonts w:ascii="Arial" w:hAnsi="Arial" w:cs="Arial"/>
          <w:b/>
          <w:iCs/>
          <w:szCs w:val="22"/>
        </w:rPr>
      </w:pPr>
      <w:r w:rsidRPr="00985A2D">
        <w:rPr>
          <w:rFonts w:ascii="Arial" w:hAnsi="Arial" w:cs="Arial"/>
          <w:b/>
          <w:iCs/>
          <w:szCs w:val="22"/>
        </w:rPr>
        <w:t xml:space="preserve">Tabla </w:t>
      </w:r>
      <w:r w:rsidR="0009503A" w:rsidRPr="00985A2D">
        <w:rPr>
          <w:rFonts w:ascii="Arial" w:hAnsi="Arial" w:cs="Arial"/>
          <w:b/>
          <w:iCs/>
          <w:szCs w:val="22"/>
        </w:rPr>
        <w:t>9</w:t>
      </w:r>
      <w:r w:rsidRPr="00985A2D">
        <w:rPr>
          <w:rFonts w:ascii="Arial" w:hAnsi="Arial" w:cs="Arial"/>
          <w:b/>
          <w:iCs/>
          <w:szCs w:val="22"/>
        </w:rPr>
        <w:t xml:space="preserve"> Matrícula por nivel de formación (2015 – 2021)</w:t>
      </w:r>
    </w:p>
    <w:p w14:paraId="77B4606A" w14:textId="77777777" w:rsidR="006E549B" w:rsidRPr="00985A2D" w:rsidRDefault="006E549B" w:rsidP="006E549B">
      <w:pPr>
        <w:rPr>
          <w:rFonts w:ascii="Arial" w:hAnsi="Arial" w:cs="Arial"/>
          <w:b/>
          <w:iCs/>
          <w:szCs w:val="22"/>
        </w:rPr>
      </w:pPr>
    </w:p>
    <w:tbl>
      <w:tblPr>
        <w:tblW w:w="5000" w:type="pct"/>
        <w:tblCellMar>
          <w:left w:w="70" w:type="dxa"/>
          <w:right w:w="70" w:type="dxa"/>
        </w:tblCellMar>
        <w:tblLook w:val="04A0" w:firstRow="1" w:lastRow="0" w:firstColumn="1" w:lastColumn="0" w:noHBand="0" w:noVBand="1"/>
      </w:tblPr>
      <w:tblGrid>
        <w:gridCol w:w="2448"/>
        <w:gridCol w:w="940"/>
        <w:gridCol w:w="1011"/>
        <w:gridCol w:w="878"/>
        <w:gridCol w:w="878"/>
        <w:gridCol w:w="928"/>
        <w:gridCol w:w="908"/>
        <w:gridCol w:w="827"/>
      </w:tblGrid>
      <w:tr w:rsidR="006E549B" w:rsidRPr="00C8330C" w14:paraId="32A6AF57" w14:textId="77777777" w:rsidTr="006E549B">
        <w:trPr>
          <w:trHeight w:val="390"/>
        </w:trPr>
        <w:tc>
          <w:tcPr>
            <w:tcW w:w="1388" w:type="pct"/>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20DD701F" w14:textId="77777777" w:rsidR="006E549B" w:rsidRPr="00C8330C" w:rsidRDefault="006E549B" w:rsidP="006E549B">
            <w:pPr>
              <w:rPr>
                <w:rFonts w:ascii="Arial" w:hAnsi="Arial" w:cs="Arial"/>
                <w:b/>
                <w:bCs/>
                <w:sz w:val="20"/>
                <w:szCs w:val="20"/>
              </w:rPr>
            </w:pPr>
            <w:r w:rsidRPr="00C8330C">
              <w:rPr>
                <w:rFonts w:ascii="Arial" w:hAnsi="Arial" w:cs="Arial"/>
                <w:b/>
                <w:bCs/>
                <w:sz w:val="20"/>
                <w:szCs w:val="20"/>
              </w:rPr>
              <w:t>Nivel de formación</w:t>
            </w:r>
          </w:p>
        </w:tc>
        <w:tc>
          <w:tcPr>
            <w:tcW w:w="533" w:type="pct"/>
            <w:tcBorders>
              <w:top w:val="single" w:sz="8" w:space="0" w:color="3366CC"/>
              <w:left w:val="nil"/>
              <w:bottom w:val="single" w:sz="8" w:space="0" w:color="3366CC"/>
              <w:right w:val="nil"/>
            </w:tcBorders>
            <w:shd w:val="clear" w:color="000000" w:fill="DDEBF7"/>
            <w:noWrap/>
            <w:vAlign w:val="center"/>
            <w:hideMark/>
          </w:tcPr>
          <w:p w14:paraId="6A23092F" w14:textId="77777777" w:rsidR="006E549B" w:rsidRPr="00C8330C" w:rsidRDefault="006E549B" w:rsidP="006E549B">
            <w:pPr>
              <w:rPr>
                <w:rFonts w:ascii="Arial" w:hAnsi="Arial" w:cs="Arial"/>
                <w:b/>
                <w:bCs/>
                <w:sz w:val="20"/>
                <w:szCs w:val="20"/>
              </w:rPr>
            </w:pPr>
            <w:r w:rsidRPr="00C8330C">
              <w:rPr>
                <w:rFonts w:ascii="Arial" w:hAnsi="Arial" w:cs="Arial"/>
                <w:b/>
                <w:bCs/>
                <w:sz w:val="20"/>
                <w:szCs w:val="20"/>
              </w:rPr>
              <w:t>2015</w:t>
            </w:r>
          </w:p>
        </w:tc>
        <w:tc>
          <w:tcPr>
            <w:tcW w:w="573" w:type="pct"/>
            <w:tcBorders>
              <w:top w:val="single" w:sz="8" w:space="0" w:color="3366CC"/>
              <w:left w:val="nil"/>
              <w:bottom w:val="single" w:sz="8" w:space="0" w:color="3366CC"/>
              <w:right w:val="nil"/>
            </w:tcBorders>
            <w:shd w:val="clear" w:color="000000" w:fill="DDEBF7"/>
            <w:vAlign w:val="center"/>
            <w:hideMark/>
          </w:tcPr>
          <w:p w14:paraId="5D244B8E" w14:textId="77777777" w:rsidR="006E549B" w:rsidRPr="00C8330C" w:rsidRDefault="006E549B" w:rsidP="006E549B">
            <w:pPr>
              <w:rPr>
                <w:rFonts w:ascii="Arial" w:hAnsi="Arial" w:cs="Arial"/>
                <w:b/>
                <w:bCs/>
                <w:sz w:val="20"/>
                <w:szCs w:val="20"/>
              </w:rPr>
            </w:pPr>
            <w:r w:rsidRPr="00C8330C">
              <w:rPr>
                <w:rFonts w:ascii="Arial" w:hAnsi="Arial" w:cs="Arial"/>
                <w:b/>
                <w:bCs/>
                <w:sz w:val="20"/>
                <w:szCs w:val="20"/>
              </w:rPr>
              <w:t>2016</w:t>
            </w:r>
          </w:p>
        </w:tc>
        <w:tc>
          <w:tcPr>
            <w:tcW w:w="498" w:type="pct"/>
            <w:tcBorders>
              <w:top w:val="single" w:sz="8" w:space="0" w:color="3366CC"/>
              <w:left w:val="nil"/>
              <w:bottom w:val="single" w:sz="8" w:space="0" w:color="3366CC"/>
              <w:right w:val="nil"/>
            </w:tcBorders>
            <w:shd w:val="clear" w:color="000000" w:fill="DDEBF7"/>
            <w:vAlign w:val="center"/>
            <w:hideMark/>
          </w:tcPr>
          <w:p w14:paraId="54736D9D" w14:textId="77777777" w:rsidR="006E549B" w:rsidRPr="00C8330C" w:rsidRDefault="006E549B" w:rsidP="006E549B">
            <w:pPr>
              <w:rPr>
                <w:rFonts w:ascii="Arial" w:hAnsi="Arial" w:cs="Arial"/>
                <w:b/>
                <w:bCs/>
                <w:sz w:val="20"/>
                <w:szCs w:val="20"/>
              </w:rPr>
            </w:pPr>
            <w:r w:rsidRPr="00C8330C">
              <w:rPr>
                <w:rFonts w:ascii="Arial" w:hAnsi="Arial" w:cs="Arial"/>
                <w:b/>
                <w:bCs/>
                <w:sz w:val="20"/>
                <w:szCs w:val="20"/>
              </w:rPr>
              <w:t>2017</w:t>
            </w:r>
          </w:p>
        </w:tc>
        <w:tc>
          <w:tcPr>
            <w:tcW w:w="498" w:type="pct"/>
            <w:tcBorders>
              <w:top w:val="single" w:sz="8" w:space="0" w:color="3366CC"/>
              <w:left w:val="nil"/>
              <w:bottom w:val="single" w:sz="8" w:space="0" w:color="3366CC"/>
              <w:right w:val="nil"/>
            </w:tcBorders>
            <w:shd w:val="clear" w:color="000000" w:fill="DDEBF7"/>
            <w:vAlign w:val="center"/>
            <w:hideMark/>
          </w:tcPr>
          <w:p w14:paraId="6B40F081" w14:textId="77777777" w:rsidR="006E549B" w:rsidRPr="00C8330C" w:rsidRDefault="006E549B" w:rsidP="006E549B">
            <w:pPr>
              <w:rPr>
                <w:rFonts w:ascii="Arial" w:hAnsi="Arial" w:cs="Arial"/>
                <w:b/>
                <w:bCs/>
                <w:sz w:val="20"/>
                <w:szCs w:val="20"/>
              </w:rPr>
            </w:pPr>
            <w:r w:rsidRPr="00C8330C">
              <w:rPr>
                <w:rFonts w:ascii="Arial" w:hAnsi="Arial" w:cs="Arial"/>
                <w:b/>
                <w:bCs/>
                <w:sz w:val="20"/>
                <w:szCs w:val="20"/>
              </w:rPr>
              <w:t>2018</w:t>
            </w:r>
          </w:p>
        </w:tc>
        <w:tc>
          <w:tcPr>
            <w:tcW w:w="526" w:type="pct"/>
            <w:tcBorders>
              <w:top w:val="single" w:sz="8" w:space="0" w:color="3366CC"/>
              <w:left w:val="single" w:sz="4" w:space="0" w:color="808080"/>
              <w:bottom w:val="single" w:sz="8" w:space="0" w:color="3366CC"/>
              <w:right w:val="single" w:sz="4" w:space="0" w:color="808080"/>
            </w:tcBorders>
            <w:shd w:val="clear" w:color="000000" w:fill="DDEBF7"/>
            <w:vAlign w:val="center"/>
            <w:hideMark/>
          </w:tcPr>
          <w:p w14:paraId="35578837" w14:textId="77777777" w:rsidR="006E549B" w:rsidRPr="00C8330C" w:rsidRDefault="006E549B" w:rsidP="006E549B">
            <w:pPr>
              <w:rPr>
                <w:rFonts w:ascii="Arial" w:hAnsi="Arial" w:cs="Arial"/>
                <w:b/>
                <w:bCs/>
                <w:sz w:val="20"/>
                <w:szCs w:val="20"/>
              </w:rPr>
            </w:pPr>
            <w:r w:rsidRPr="00C8330C">
              <w:rPr>
                <w:rFonts w:ascii="Arial" w:hAnsi="Arial" w:cs="Arial"/>
                <w:b/>
                <w:bCs/>
                <w:sz w:val="20"/>
                <w:szCs w:val="20"/>
              </w:rPr>
              <w:t>2019</w:t>
            </w:r>
          </w:p>
        </w:tc>
        <w:tc>
          <w:tcPr>
            <w:tcW w:w="515" w:type="pct"/>
            <w:tcBorders>
              <w:top w:val="single" w:sz="8" w:space="0" w:color="3366CC"/>
              <w:left w:val="nil"/>
              <w:bottom w:val="single" w:sz="8" w:space="0" w:color="3366CC"/>
              <w:right w:val="single" w:sz="4" w:space="0" w:color="808080"/>
            </w:tcBorders>
            <w:shd w:val="clear" w:color="000000" w:fill="DDEBF7"/>
            <w:vAlign w:val="center"/>
            <w:hideMark/>
          </w:tcPr>
          <w:p w14:paraId="7A11697D" w14:textId="77777777" w:rsidR="006E549B" w:rsidRPr="00C8330C" w:rsidRDefault="006E549B" w:rsidP="006E549B">
            <w:pPr>
              <w:rPr>
                <w:rFonts w:ascii="Arial" w:hAnsi="Arial" w:cs="Arial"/>
                <w:b/>
                <w:bCs/>
                <w:sz w:val="20"/>
                <w:szCs w:val="20"/>
              </w:rPr>
            </w:pPr>
            <w:r w:rsidRPr="00C8330C">
              <w:rPr>
                <w:rFonts w:ascii="Arial" w:hAnsi="Arial" w:cs="Arial"/>
                <w:b/>
                <w:bCs/>
                <w:sz w:val="20"/>
                <w:szCs w:val="20"/>
              </w:rPr>
              <w:t>2020</w:t>
            </w:r>
          </w:p>
        </w:tc>
        <w:tc>
          <w:tcPr>
            <w:tcW w:w="469" w:type="pct"/>
            <w:tcBorders>
              <w:top w:val="single" w:sz="8" w:space="0" w:color="3366CC"/>
              <w:left w:val="nil"/>
              <w:bottom w:val="single" w:sz="8" w:space="0" w:color="3366CC"/>
              <w:right w:val="single" w:sz="8" w:space="0" w:color="3366CC"/>
            </w:tcBorders>
            <w:shd w:val="clear" w:color="000000" w:fill="DDEBF7"/>
            <w:vAlign w:val="center"/>
            <w:hideMark/>
          </w:tcPr>
          <w:p w14:paraId="0908D381" w14:textId="77777777" w:rsidR="006E549B" w:rsidRPr="00C8330C" w:rsidRDefault="006E549B" w:rsidP="006E549B">
            <w:pPr>
              <w:rPr>
                <w:rFonts w:ascii="Arial" w:hAnsi="Arial" w:cs="Arial"/>
                <w:b/>
                <w:bCs/>
                <w:sz w:val="20"/>
                <w:szCs w:val="20"/>
              </w:rPr>
            </w:pPr>
            <w:r w:rsidRPr="00C8330C">
              <w:rPr>
                <w:rFonts w:ascii="Arial" w:hAnsi="Arial" w:cs="Arial"/>
                <w:b/>
                <w:bCs/>
                <w:sz w:val="20"/>
                <w:szCs w:val="20"/>
              </w:rPr>
              <w:t>2021</w:t>
            </w:r>
          </w:p>
        </w:tc>
      </w:tr>
      <w:tr w:rsidR="006E549B" w:rsidRPr="00C8330C" w14:paraId="38E3E3EB" w14:textId="77777777" w:rsidTr="006E549B">
        <w:trPr>
          <w:trHeight w:val="375"/>
        </w:trPr>
        <w:tc>
          <w:tcPr>
            <w:tcW w:w="1388" w:type="pct"/>
            <w:tcBorders>
              <w:top w:val="single" w:sz="8" w:space="0" w:color="3366CC"/>
              <w:left w:val="single" w:sz="8" w:space="0" w:color="3366CC"/>
              <w:bottom w:val="single" w:sz="4" w:space="0" w:color="A6A6A6"/>
              <w:right w:val="single" w:sz="8" w:space="0" w:color="3366CC"/>
            </w:tcBorders>
            <w:shd w:val="clear" w:color="auto" w:fill="auto"/>
            <w:noWrap/>
            <w:vAlign w:val="center"/>
            <w:hideMark/>
          </w:tcPr>
          <w:p w14:paraId="3FA16E47" w14:textId="77777777" w:rsidR="006E549B" w:rsidRPr="00C8330C" w:rsidRDefault="006E549B" w:rsidP="006E549B">
            <w:pPr>
              <w:rPr>
                <w:rFonts w:ascii="Arial" w:hAnsi="Arial" w:cs="Arial"/>
                <w:sz w:val="20"/>
                <w:szCs w:val="20"/>
              </w:rPr>
            </w:pPr>
            <w:r w:rsidRPr="00C8330C">
              <w:rPr>
                <w:rFonts w:ascii="Arial" w:hAnsi="Arial" w:cs="Arial"/>
                <w:sz w:val="20"/>
                <w:szCs w:val="20"/>
              </w:rPr>
              <w:t>Técnica Profesional</w:t>
            </w:r>
          </w:p>
        </w:tc>
        <w:tc>
          <w:tcPr>
            <w:tcW w:w="533" w:type="pct"/>
            <w:tcBorders>
              <w:top w:val="nil"/>
              <w:left w:val="nil"/>
              <w:bottom w:val="single" w:sz="4" w:space="0" w:color="A6A6A6"/>
              <w:right w:val="single" w:sz="4" w:space="0" w:color="A6A6A6"/>
            </w:tcBorders>
            <w:shd w:val="clear" w:color="auto" w:fill="auto"/>
            <w:noWrap/>
            <w:vAlign w:val="center"/>
            <w:hideMark/>
          </w:tcPr>
          <w:p w14:paraId="2F10732F" w14:textId="77777777" w:rsidR="006E549B" w:rsidRPr="00C8330C" w:rsidRDefault="006E549B" w:rsidP="006E549B">
            <w:pPr>
              <w:rPr>
                <w:rFonts w:ascii="Arial" w:hAnsi="Arial" w:cs="Arial"/>
                <w:sz w:val="20"/>
                <w:szCs w:val="20"/>
              </w:rPr>
            </w:pPr>
            <w:r w:rsidRPr="00C8330C">
              <w:rPr>
                <w:rFonts w:ascii="Arial" w:hAnsi="Arial" w:cs="Arial"/>
                <w:sz w:val="20"/>
                <w:szCs w:val="20"/>
              </w:rPr>
              <w:t>2.298</w:t>
            </w:r>
          </w:p>
        </w:tc>
        <w:tc>
          <w:tcPr>
            <w:tcW w:w="573" w:type="pct"/>
            <w:tcBorders>
              <w:top w:val="nil"/>
              <w:left w:val="nil"/>
              <w:bottom w:val="single" w:sz="4" w:space="0" w:color="A6A6A6"/>
              <w:right w:val="single" w:sz="4" w:space="0" w:color="A6A6A6"/>
            </w:tcBorders>
            <w:shd w:val="clear" w:color="auto" w:fill="auto"/>
            <w:noWrap/>
            <w:vAlign w:val="center"/>
            <w:hideMark/>
          </w:tcPr>
          <w:p w14:paraId="251FA04D" w14:textId="77777777" w:rsidR="006E549B" w:rsidRPr="00C8330C" w:rsidRDefault="006E549B" w:rsidP="006E549B">
            <w:pPr>
              <w:rPr>
                <w:rFonts w:ascii="Arial" w:hAnsi="Arial" w:cs="Arial"/>
                <w:sz w:val="20"/>
                <w:szCs w:val="20"/>
              </w:rPr>
            </w:pPr>
            <w:r w:rsidRPr="00C8330C">
              <w:rPr>
                <w:rFonts w:ascii="Arial" w:hAnsi="Arial" w:cs="Arial"/>
                <w:sz w:val="20"/>
                <w:szCs w:val="20"/>
              </w:rPr>
              <w:t>2.954</w:t>
            </w:r>
          </w:p>
        </w:tc>
        <w:tc>
          <w:tcPr>
            <w:tcW w:w="498" w:type="pct"/>
            <w:tcBorders>
              <w:top w:val="nil"/>
              <w:left w:val="nil"/>
              <w:bottom w:val="single" w:sz="4" w:space="0" w:color="A6A6A6"/>
              <w:right w:val="single" w:sz="4" w:space="0" w:color="A6A6A6"/>
            </w:tcBorders>
            <w:shd w:val="clear" w:color="auto" w:fill="auto"/>
            <w:noWrap/>
            <w:vAlign w:val="center"/>
            <w:hideMark/>
          </w:tcPr>
          <w:p w14:paraId="495575BA" w14:textId="77777777" w:rsidR="006E549B" w:rsidRPr="00C8330C" w:rsidRDefault="006E549B" w:rsidP="006E549B">
            <w:pPr>
              <w:rPr>
                <w:rFonts w:ascii="Arial" w:hAnsi="Arial" w:cs="Arial"/>
                <w:sz w:val="20"/>
                <w:szCs w:val="20"/>
              </w:rPr>
            </w:pPr>
            <w:r w:rsidRPr="00C8330C">
              <w:rPr>
                <w:rFonts w:ascii="Arial" w:hAnsi="Arial" w:cs="Arial"/>
                <w:sz w:val="20"/>
                <w:szCs w:val="20"/>
              </w:rPr>
              <w:t>2.185</w:t>
            </w:r>
          </w:p>
        </w:tc>
        <w:tc>
          <w:tcPr>
            <w:tcW w:w="498" w:type="pct"/>
            <w:tcBorders>
              <w:top w:val="nil"/>
              <w:left w:val="nil"/>
              <w:bottom w:val="single" w:sz="4" w:space="0" w:color="A6A6A6"/>
              <w:right w:val="nil"/>
            </w:tcBorders>
            <w:shd w:val="clear" w:color="auto" w:fill="auto"/>
            <w:noWrap/>
            <w:vAlign w:val="center"/>
            <w:hideMark/>
          </w:tcPr>
          <w:p w14:paraId="6E922C8C" w14:textId="77777777" w:rsidR="006E549B" w:rsidRPr="00C8330C" w:rsidRDefault="006E549B" w:rsidP="006E549B">
            <w:pPr>
              <w:rPr>
                <w:rFonts w:ascii="Arial" w:hAnsi="Arial" w:cs="Arial"/>
                <w:sz w:val="20"/>
                <w:szCs w:val="20"/>
              </w:rPr>
            </w:pPr>
            <w:r w:rsidRPr="00C8330C">
              <w:rPr>
                <w:rFonts w:ascii="Arial" w:hAnsi="Arial" w:cs="Arial"/>
                <w:sz w:val="20"/>
                <w:szCs w:val="20"/>
              </w:rPr>
              <w:t>3.294</w:t>
            </w:r>
          </w:p>
        </w:tc>
        <w:tc>
          <w:tcPr>
            <w:tcW w:w="526" w:type="pct"/>
            <w:tcBorders>
              <w:top w:val="nil"/>
              <w:left w:val="single" w:sz="4" w:space="0" w:color="808080"/>
              <w:bottom w:val="single" w:sz="4" w:space="0" w:color="808080"/>
              <w:right w:val="nil"/>
            </w:tcBorders>
            <w:shd w:val="clear" w:color="auto" w:fill="auto"/>
            <w:noWrap/>
            <w:vAlign w:val="center"/>
            <w:hideMark/>
          </w:tcPr>
          <w:p w14:paraId="78C3D7BD" w14:textId="77777777" w:rsidR="006E549B" w:rsidRPr="00C8330C" w:rsidRDefault="006E549B" w:rsidP="006E549B">
            <w:pPr>
              <w:rPr>
                <w:rFonts w:ascii="Arial" w:hAnsi="Arial" w:cs="Arial"/>
                <w:sz w:val="20"/>
                <w:szCs w:val="20"/>
              </w:rPr>
            </w:pPr>
            <w:r w:rsidRPr="00C8330C">
              <w:rPr>
                <w:rFonts w:ascii="Arial" w:hAnsi="Arial" w:cs="Arial"/>
                <w:sz w:val="20"/>
                <w:szCs w:val="20"/>
              </w:rPr>
              <w:t>3.694</w:t>
            </w:r>
          </w:p>
        </w:tc>
        <w:tc>
          <w:tcPr>
            <w:tcW w:w="515" w:type="pct"/>
            <w:tcBorders>
              <w:top w:val="nil"/>
              <w:left w:val="single" w:sz="4" w:space="0" w:color="808080"/>
              <w:bottom w:val="single" w:sz="4" w:space="0" w:color="808080"/>
              <w:right w:val="nil"/>
            </w:tcBorders>
            <w:shd w:val="clear" w:color="auto" w:fill="auto"/>
            <w:noWrap/>
            <w:vAlign w:val="center"/>
            <w:hideMark/>
          </w:tcPr>
          <w:p w14:paraId="0C38689F" w14:textId="77777777" w:rsidR="006E549B" w:rsidRPr="00C8330C" w:rsidRDefault="006E549B" w:rsidP="006E549B">
            <w:pPr>
              <w:rPr>
                <w:rFonts w:ascii="Arial" w:hAnsi="Arial" w:cs="Arial"/>
                <w:sz w:val="20"/>
                <w:szCs w:val="20"/>
              </w:rPr>
            </w:pPr>
            <w:r w:rsidRPr="00C8330C">
              <w:rPr>
                <w:rFonts w:ascii="Arial" w:hAnsi="Arial" w:cs="Arial"/>
                <w:sz w:val="20"/>
                <w:szCs w:val="20"/>
              </w:rPr>
              <w:t>3.011</w:t>
            </w:r>
          </w:p>
        </w:tc>
        <w:tc>
          <w:tcPr>
            <w:tcW w:w="469" w:type="pct"/>
            <w:tcBorders>
              <w:top w:val="nil"/>
              <w:left w:val="single" w:sz="4" w:space="0" w:color="808080"/>
              <w:bottom w:val="single" w:sz="4" w:space="0" w:color="808080"/>
              <w:right w:val="single" w:sz="8" w:space="0" w:color="3366CC"/>
            </w:tcBorders>
            <w:shd w:val="clear" w:color="auto" w:fill="auto"/>
            <w:noWrap/>
            <w:vAlign w:val="center"/>
            <w:hideMark/>
          </w:tcPr>
          <w:p w14:paraId="6B125215" w14:textId="77777777" w:rsidR="006E549B" w:rsidRPr="00C8330C" w:rsidRDefault="006E549B" w:rsidP="006E549B">
            <w:pPr>
              <w:rPr>
                <w:rFonts w:ascii="Arial" w:hAnsi="Arial" w:cs="Arial"/>
                <w:sz w:val="20"/>
                <w:szCs w:val="20"/>
              </w:rPr>
            </w:pPr>
            <w:r w:rsidRPr="00C8330C">
              <w:rPr>
                <w:rFonts w:ascii="Arial" w:hAnsi="Arial" w:cs="Arial"/>
                <w:sz w:val="20"/>
                <w:szCs w:val="20"/>
              </w:rPr>
              <w:t>2.961</w:t>
            </w:r>
          </w:p>
        </w:tc>
      </w:tr>
      <w:tr w:rsidR="006E549B" w:rsidRPr="00C8330C" w14:paraId="2133E817" w14:textId="77777777" w:rsidTr="006E549B">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19AB849E" w14:textId="77777777" w:rsidR="006E549B" w:rsidRPr="00C8330C" w:rsidRDefault="006E549B" w:rsidP="006E549B">
            <w:pPr>
              <w:rPr>
                <w:rFonts w:ascii="Arial" w:hAnsi="Arial" w:cs="Arial"/>
                <w:sz w:val="20"/>
                <w:szCs w:val="20"/>
              </w:rPr>
            </w:pPr>
            <w:r w:rsidRPr="00C8330C">
              <w:rPr>
                <w:rFonts w:ascii="Arial" w:hAnsi="Arial" w:cs="Arial"/>
                <w:sz w:val="20"/>
                <w:szCs w:val="20"/>
              </w:rPr>
              <w:t>Tecnológica</w:t>
            </w:r>
          </w:p>
        </w:tc>
        <w:tc>
          <w:tcPr>
            <w:tcW w:w="533" w:type="pct"/>
            <w:tcBorders>
              <w:top w:val="nil"/>
              <w:left w:val="nil"/>
              <w:bottom w:val="single" w:sz="4" w:space="0" w:color="A6A6A6"/>
              <w:right w:val="single" w:sz="4" w:space="0" w:color="A6A6A6"/>
            </w:tcBorders>
            <w:shd w:val="clear" w:color="auto" w:fill="auto"/>
            <w:noWrap/>
            <w:vAlign w:val="center"/>
            <w:hideMark/>
          </w:tcPr>
          <w:p w14:paraId="640B577F" w14:textId="77777777" w:rsidR="006E549B" w:rsidRPr="00C8330C" w:rsidRDefault="006E549B" w:rsidP="006E549B">
            <w:pPr>
              <w:rPr>
                <w:rFonts w:ascii="Arial" w:hAnsi="Arial" w:cs="Arial"/>
                <w:sz w:val="20"/>
                <w:szCs w:val="20"/>
              </w:rPr>
            </w:pPr>
            <w:r w:rsidRPr="00C8330C">
              <w:rPr>
                <w:rFonts w:ascii="Arial" w:hAnsi="Arial" w:cs="Arial"/>
                <w:sz w:val="20"/>
                <w:szCs w:val="20"/>
              </w:rPr>
              <w:t>10.999</w:t>
            </w:r>
          </w:p>
        </w:tc>
        <w:tc>
          <w:tcPr>
            <w:tcW w:w="573" w:type="pct"/>
            <w:tcBorders>
              <w:top w:val="nil"/>
              <w:left w:val="nil"/>
              <w:bottom w:val="single" w:sz="4" w:space="0" w:color="A6A6A6"/>
              <w:right w:val="single" w:sz="4" w:space="0" w:color="A6A6A6"/>
            </w:tcBorders>
            <w:shd w:val="clear" w:color="auto" w:fill="auto"/>
            <w:noWrap/>
            <w:vAlign w:val="center"/>
            <w:hideMark/>
          </w:tcPr>
          <w:p w14:paraId="22288286" w14:textId="77777777" w:rsidR="006E549B" w:rsidRPr="00C8330C" w:rsidRDefault="006E549B" w:rsidP="006E549B">
            <w:pPr>
              <w:rPr>
                <w:rFonts w:ascii="Arial" w:hAnsi="Arial" w:cs="Arial"/>
                <w:sz w:val="20"/>
                <w:szCs w:val="20"/>
              </w:rPr>
            </w:pPr>
            <w:r w:rsidRPr="00C8330C">
              <w:rPr>
                <w:rFonts w:ascii="Arial" w:hAnsi="Arial" w:cs="Arial"/>
                <w:sz w:val="20"/>
                <w:szCs w:val="20"/>
              </w:rPr>
              <w:t>11.063</w:t>
            </w:r>
          </w:p>
        </w:tc>
        <w:tc>
          <w:tcPr>
            <w:tcW w:w="498" w:type="pct"/>
            <w:tcBorders>
              <w:top w:val="nil"/>
              <w:left w:val="nil"/>
              <w:bottom w:val="single" w:sz="4" w:space="0" w:color="A6A6A6"/>
              <w:right w:val="single" w:sz="4" w:space="0" w:color="A6A6A6"/>
            </w:tcBorders>
            <w:shd w:val="clear" w:color="auto" w:fill="auto"/>
            <w:noWrap/>
            <w:vAlign w:val="center"/>
            <w:hideMark/>
          </w:tcPr>
          <w:p w14:paraId="07240AED" w14:textId="77777777" w:rsidR="006E549B" w:rsidRPr="00C8330C" w:rsidRDefault="006E549B" w:rsidP="006E549B">
            <w:pPr>
              <w:rPr>
                <w:rFonts w:ascii="Arial" w:hAnsi="Arial" w:cs="Arial"/>
                <w:sz w:val="20"/>
                <w:szCs w:val="20"/>
              </w:rPr>
            </w:pPr>
            <w:r w:rsidRPr="00C8330C">
              <w:rPr>
                <w:rFonts w:ascii="Arial" w:hAnsi="Arial" w:cs="Arial"/>
                <w:sz w:val="20"/>
                <w:szCs w:val="20"/>
              </w:rPr>
              <w:t>10.729</w:t>
            </w:r>
          </w:p>
        </w:tc>
        <w:tc>
          <w:tcPr>
            <w:tcW w:w="498" w:type="pct"/>
            <w:tcBorders>
              <w:top w:val="nil"/>
              <w:left w:val="nil"/>
              <w:bottom w:val="single" w:sz="4" w:space="0" w:color="A6A6A6"/>
              <w:right w:val="nil"/>
            </w:tcBorders>
            <w:shd w:val="clear" w:color="auto" w:fill="auto"/>
            <w:noWrap/>
            <w:vAlign w:val="center"/>
            <w:hideMark/>
          </w:tcPr>
          <w:p w14:paraId="0CC3DB13" w14:textId="77777777" w:rsidR="006E549B" w:rsidRPr="00C8330C" w:rsidRDefault="006E549B" w:rsidP="006E549B">
            <w:pPr>
              <w:rPr>
                <w:rFonts w:ascii="Arial" w:hAnsi="Arial" w:cs="Arial"/>
                <w:sz w:val="20"/>
                <w:szCs w:val="20"/>
              </w:rPr>
            </w:pPr>
            <w:r w:rsidRPr="00C8330C">
              <w:rPr>
                <w:rFonts w:ascii="Arial" w:hAnsi="Arial" w:cs="Arial"/>
                <w:sz w:val="20"/>
                <w:szCs w:val="20"/>
              </w:rPr>
              <w:t>10.341</w:t>
            </w:r>
          </w:p>
        </w:tc>
        <w:tc>
          <w:tcPr>
            <w:tcW w:w="526" w:type="pct"/>
            <w:tcBorders>
              <w:top w:val="nil"/>
              <w:left w:val="single" w:sz="4" w:space="0" w:color="808080"/>
              <w:bottom w:val="single" w:sz="4" w:space="0" w:color="808080"/>
              <w:right w:val="nil"/>
            </w:tcBorders>
            <w:shd w:val="clear" w:color="auto" w:fill="auto"/>
            <w:noWrap/>
            <w:vAlign w:val="center"/>
            <w:hideMark/>
          </w:tcPr>
          <w:p w14:paraId="50B82B7D" w14:textId="77777777" w:rsidR="006E549B" w:rsidRPr="00C8330C" w:rsidRDefault="006E549B" w:rsidP="006E549B">
            <w:pPr>
              <w:rPr>
                <w:rFonts w:ascii="Arial" w:hAnsi="Arial" w:cs="Arial"/>
                <w:sz w:val="20"/>
                <w:szCs w:val="20"/>
              </w:rPr>
            </w:pPr>
            <w:r w:rsidRPr="00C8330C">
              <w:rPr>
                <w:rFonts w:ascii="Arial" w:hAnsi="Arial" w:cs="Arial"/>
                <w:sz w:val="20"/>
                <w:szCs w:val="20"/>
              </w:rPr>
              <w:t>9.069</w:t>
            </w:r>
          </w:p>
        </w:tc>
        <w:tc>
          <w:tcPr>
            <w:tcW w:w="515" w:type="pct"/>
            <w:tcBorders>
              <w:top w:val="nil"/>
              <w:left w:val="single" w:sz="4" w:space="0" w:color="808080"/>
              <w:bottom w:val="single" w:sz="4" w:space="0" w:color="808080"/>
              <w:right w:val="nil"/>
            </w:tcBorders>
            <w:shd w:val="clear" w:color="auto" w:fill="auto"/>
            <w:noWrap/>
            <w:vAlign w:val="center"/>
            <w:hideMark/>
          </w:tcPr>
          <w:p w14:paraId="44692E1B" w14:textId="77777777" w:rsidR="006E549B" w:rsidRPr="00C8330C" w:rsidRDefault="006E549B" w:rsidP="006E549B">
            <w:pPr>
              <w:rPr>
                <w:rFonts w:ascii="Arial" w:hAnsi="Arial" w:cs="Arial"/>
                <w:sz w:val="20"/>
                <w:szCs w:val="20"/>
              </w:rPr>
            </w:pPr>
            <w:r w:rsidRPr="00C8330C">
              <w:rPr>
                <w:rFonts w:ascii="Arial" w:hAnsi="Arial" w:cs="Arial"/>
                <w:sz w:val="20"/>
                <w:szCs w:val="20"/>
              </w:rPr>
              <w:t>9.038</w:t>
            </w:r>
          </w:p>
        </w:tc>
        <w:tc>
          <w:tcPr>
            <w:tcW w:w="469" w:type="pct"/>
            <w:tcBorders>
              <w:top w:val="nil"/>
              <w:left w:val="single" w:sz="4" w:space="0" w:color="808080"/>
              <w:bottom w:val="single" w:sz="4" w:space="0" w:color="808080"/>
              <w:right w:val="single" w:sz="8" w:space="0" w:color="3366CC"/>
            </w:tcBorders>
            <w:shd w:val="clear" w:color="auto" w:fill="auto"/>
            <w:noWrap/>
            <w:vAlign w:val="center"/>
            <w:hideMark/>
          </w:tcPr>
          <w:p w14:paraId="121A9788" w14:textId="77777777" w:rsidR="006E549B" w:rsidRPr="00C8330C" w:rsidRDefault="006E549B" w:rsidP="006E549B">
            <w:pPr>
              <w:rPr>
                <w:rFonts w:ascii="Arial" w:hAnsi="Arial" w:cs="Arial"/>
                <w:sz w:val="20"/>
                <w:szCs w:val="20"/>
              </w:rPr>
            </w:pPr>
            <w:r w:rsidRPr="00C8330C">
              <w:rPr>
                <w:rFonts w:ascii="Arial" w:hAnsi="Arial" w:cs="Arial"/>
                <w:sz w:val="20"/>
                <w:szCs w:val="20"/>
              </w:rPr>
              <w:t>6.866</w:t>
            </w:r>
          </w:p>
        </w:tc>
      </w:tr>
      <w:tr w:rsidR="006E549B" w:rsidRPr="00C8330C" w14:paraId="33D39496" w14:textId="77777777" w:rsidTr="006E549B">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5F5B9039" w14:textId="77777777" w:rsidR="006E549B" w:rsidRPr="00C8330C" w:rsidRDefault="006E549B" w:rsidP="006E549B">
            <w:pPr>
              <w:rPr>
                <w:rFonts w:ascii="Arial" w:hAnsi="Arial" w:cs="Arial"/>
                <w:sz w:val="20"/>
                <w:szCs w:val="20"/>
              </w:rPr>
            </w:pPr>
            <w:r w:rsidRPr="00C8330C">
              <w:rPr>
                <w:rFonts w:ascii="Arial" w:hAnsi="Arial" w:cs="Arial"/>
                <w:sz w:val="20"/>
                <w:szCs w:val="20"/>
              </w:rPr>
              <w:t>Universitaria</w:t>
            </w:r>
          </w:p>
        </w:tc>
        <w:tc>
          <w:tcPr>
            <w:tcW w:w="533" w:type="pct"/>
            <w:tcBorders>
              <w:top w:val="nil"/>
              <w:left w:val="nil"/>
              <w:bottom w:val="single" w:sz="4" w:space="0" w:color="A6A6A6"/>
              <w:right w:val="single" w:sz="4" w:space="0" w:color="A6A6A6"/>
            </w:tcBorders>
            <w:shd w:val="clear" w:color="auto" w:fill="auto"/>
            <w:noWrap/>
            <w:vAlign w:val="center"/>
            <w:hideMark/>
          </w:tcPr>
          <w:p w14:paraId="56B8BAB0" w14:textId="77777777" w:rsidR="006E549B" w:rsidRPr="00C8330C" w:rsidRDefault="006E549B" w:rsidP="006E549B">
            <w:pPr>
              <w:rPr>
                <w:rFonts w:ascii="Arial" w:hAnsi="Arial" w:cs="Arial"/>
                <w:sz w:val="20"/>
                <w:szCs w:val="20"/>
              </w:rPr>
            </w:pPr>
            <w:r w:rsidRPr="00C8330C">
              <w:rPr>
                <w:rFonts w:ascii="Arial" w:hAnsi="Arial" w:cs="Arial"/>
                <w:sz w:val="20"/>
                <w:szCs w:val="20"/>
              </w:rPr>
              <w:t>28.430</w:t>
            </w:r>
          </w:p>
        </w:tc>
        <w:tc>
          <w:tcPr>
            <w:tcW w:w="573" w:type="pct"/>
            <w:tcBorders>
              <w:top w:val="nil"/>
              <w:left w:val="nil"/>
              <w:bottom w:val="single" w:sz="4" w:space="0" w:color="A6A6A6"/>
              <w:right w:val="single" w:sz="4" w:space="0" w:color="A6A6A6"/>
            </w:tcBorders>
            <w:shd w:val="clear" w:color="auto" w:fill="auto"/>
            <w:noWrap/>
            <w:vAlign w:val="center"/>
            <w:hideMark/>
          </w:tcPr>
          <w:p w14:paraId="07DEE5EE" w14:textId="77777777" w:rsidR="006E549B" w:rsidRPr="00C8330C" w:rsidRDefault="006E549B" w:rsidP="006E549B">
            <w:pPr>
              <w:rPr>
                <w:rFonts w:ascii="Arial" w:hAnsi="Arial" w:cs="Arial"/>
                <w:sz w:val="20"/>
                <w:szCs w:val="20"/>
              </w:rPr>
            </w:pPr>
            <w:r w:rsidRPr="00C8330C">
              <w:rPr>
                <w:rFonts w:ascii="Arial" w:hAnsi="Arial" w:cs="Arial"/>
                <w:sz w:val="20"/>
                <w:szCs w:val="20"/>
              </w:rPr>
              <w:t>30.309</w:t>
            </w:r>
          </w:p>
        </w:tc>
        <w:tc>
          <w:tcPr>
            <w:tcW w:w="498" w:type="pct"/>
            <w:tcBorders>
              <w:top w:val="nil"/>
              <w:left w:val="nil"/>
              <w:bottom w:val="single" w:sz="4" w:space="0" w:color="A6A6A6"/>
              <w:right w:val="single" w:sz="4" w:space="0" w:color="A6A6A6"/>
            </w:tcBorders>
            <w:shd w:val="clear" w:color="auto" w:fill="auto"/>
            <w:noWrap/>
            <w:vAlign w:val="center"/>
            <w:hideMark/>
          </w:tcPr>
          <w:p w14:paraId="0D2795D5" w14:textId="77777777" w:rsidR="006E549B" w:rsidRPr="00C8330C" w:rsidRDefault="006E549B" w:rsidP="006E549B">
            <w:pPr>
              <w:rPr>
                <w:rFonts w:ascii="Arial" w:hAnsi="Arial" w:cs="Arial"/>
                <w:sz w:val="20"/>
                <w:szCs w:val="20"/>
              </w:rPr>
            </w:pPr>
            <w:r w:rsidRPr="00C8330C">
              <w:rPr>
                <w:rFonts w:ascii="Arial" w:hAnsi="Arial" w:cs="Arial"/>
                <w:sz w:val="20"/>
                <w:szCs w:val="20"/>
              </w:rPr>
              <w:t>31.550</w:t>
            </w:r>
          </w:p>
        </w:tc>
        <w:tc>
          <w:tcPr>
            <w:tcW w:w="498" w:type="pct"/>
            <w:tcBorders>
              <w:top w:val="nil"/>
              <w:left w:val="nil"/>
              <w:bottom w:val="single" w:sz="4" w:space="0" w:color="A6A6A6"/>
              <w:right w:val="nil"/>
            </w:tcBorders>
            <w:shd w:val="clear" w:color="auto" w:fill="auto"/>
            <w:noWrap/>
            <w:vAlign w:val="center"/>
            <w:hideMark/>
          </w:tcPr>
          <w:p w14:paraId="42ABD2F6" w14:textId="77777777" w:rsidR="006E549B" w:rsidRPr="00C8330C" w:rsidRDefault="006E549B" w:rsidP="006E549B">
            <w:pPr>
              <w:rPr>
                <w:rFonts w:ascii="Arial" w:hAnsi="Arial" w:cs="Arial"/>
                <w:sz w:val="20"/>
                <w:szCs w:val="20"/>
              </w:rPr>
            </w:pPr>
            <w:r w:rsidRPr="00C8330C">
              <w:rPr>
                <w:rFonts w:ascii="Arial" w:hAnsi="Arial" w:cs="Arial"/>
                <w:sz w:val="20"/>
                <w:szCs w:val="20"/>
              </w:rPr>
              <w:t>31.772</w:t>
            </w:r>
          </w:p>
        </w:tc>
        <w:tc>
          <w:tcPr>
            <w:tcW w:w="526" w:type="pct"/>
            <w:tcBorders>
              <w:top w:val="nil"/>
              <w:left w:val="single" w:sz="4" w:space="0" w:color="808080"/>
              <w:bottom w:val="single" w:sz="4" w:space="0" w:color="808080"/>
              <w:right w:val="nil"/>
            </w:tcBorders>
            <w:shd w:val="clear" w:color="auto" w:fill="auto"/>
            <w:noWrap/>
            <w:vAlign w:val="center"/>
            <w:hideMark/>
          </w:tcPr>
          <w:p w14:paraId="54C90540" w14:textId="77777777" w:rsidR="006E549B" w:rsidRPr="00C8330C" w:rsidRDefault="006E549B" w:rsidP="006E549B">
            <w:pPr>
              <w:rPr>
                <w:rFonts w:ascii="Arial" w:hAnsi="Arial" w:cs="Arial"/>
                <w:sz w:val="20"/>
                <w:szCs w:val="20"/>
              </w:rPr>
            </w:pPr>
            <w:r w:rsidRPr="00C8330C">
              <w:rPr>
                <w:rFonts w:ascii="Arial" w:hAnsi="Arial" w:cs="Arial"/>
                <w:sz w:val="20"/>
                <w:szCs w:val="20"/>
              </w:rPr>
              <w:t>31.779</w:t>
            </w:r>
          </w:p>
        </w:tc>
        <w:tc>
          <w:tcPr>
            <w:tcW w:w="515" w:type="pct"/>
            <w:tcBorders>
              <w:top w:val="nil"/>
              <w:left w:val="single" w:sz="4" w:space="0" w:color="808080"/>
              <w:bottom w:val="single" w:sz="4" w:space="0" w:color="808080"/>
              <w:right w:val="nil"/>
            </w:tcBorders>
            <w:shd w:val="clear" w:color="auto" w:fill="auto"/>
            <w:noWrap/>
            <w:vAlign w:val="center"/>
            <w:hideMark/>
          </w:tcPr>
          <w:p w14:paraId="3EDB58F1" w14:textId="77777777" w:rsidR="006E549B" w:rsidRPr="00C8330C" w:rsidRDefault="006E549B" w:rsidP="006E549B">
            <w:pPr>
              <w:rPr>
                <w:rFonts w:ascii="Arial" w:hAnsi="Arial" w:cs="Arial"/>
                <w:sz w:val="20"/>
                <w:szCs w:val="20"/>
              </w:rPr>
            </w:pPr>
            <w:r w:rsidRPr="00C8330C">
              <w:rPr>
                <w:rFonts w:ascii="Arial" w:hAnsi="Arial" w:cs="Arial"/>
                <w:sz w:val="20"/>
                <w:szCs w:val="20"/>
              </w:rPr>
              <w:t>32.098</w:t>
            </w:r>
          </w:p>
        </w:tc>
        <w:tc>
          <w:tcPr>
            <w:tcW w:w="469" w:type="pct"/>
            <w:tcBorders>
              <w:top w:val="nil"/>
              <w:left w:val="single" w:sz="4" w:space="0" w:color="808080"/>
              <w:bottom w:val="single" w:sz="4" w:space="0" w:color="808080"/>
              <w:right w:val="single" w:sz="8" w:space="0" w:color="3366CC"/>
            </w:tcBorders>
            <w:shd w:val="clear" w:color="auto" w:fill="auto"/>
            <w:noWrap/>
            <w:vAlign w:val="center"/>
            <w:hideMark/>
          </w:tcPr>
          <w:p w14:paraId="7FEFF694" w14:textId="77777777" w:rsidR="006E549B" w:rsidRPr="00C8330C" w:rsidRDefault="006E549B" w:rsidP="006E549B">
            <w:pPr>
              <w:rPr>
                <w:rFonts w:ascii="Arial" w:hAnsi="Arial" w:cs="Arial"/>
                <w:sz w:val="20"/>
                <w:szCs w:val="20"/>
              </w:rPr>
            </w:pPr>
            <w:r w:rsidRPr="00C8330C">
              <w:rPr>
                <w:rFonts w:ascii="Arial" w:hAnsi="Arial" w:cs="Arial"/>
                <w:sz w:val="20"/>
                <w:szCs w:val="20"/>
              </w:rPr>
              <w:t>31.937</w:t>
            </w:r>
          </w:p>
        </w:tc>
      </w:tr>
      <w:tr w:rsidR="006E549B" w:rsidRPr="00C8330C" w14:paraId="19A3930A" w14:textId="77777777" w:rsidTr="006E549B">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56F80C0B" w14:textId="77777777" w:rsidR="006E549B" w:rsidRPr="00C8330C" w:rsidRDefault="006E549B" w:rsidP="006E549B">
            <w:pPr>
              <w:rPr>
                <w:rFonts w:ascii="Arial" w:hAnsi="Arial" w:cs="Arial"/>
                <w:sz w:val="20"/>
                <w:szCs w:val="20"/>
              </w:rPr>
            </w:pPr>
            <w:r w:rsidRPr="00C8330C">
              <w:rPr>
                <w:rFonts w:ascii="Arial" w:hAnsi="Arial" w:cs="Arial"/>
                <w:sz w:val="20"/>
                <w:szCs w:val="20"/>
              </w:rPr>
              <w:t>Especialización</w:t>
            </w:r>
          </w:p>
        </w:tc>
        <w:tc>
          <w:tcPr>
            <w:tcW w:w="533" w:type="pct"/>
            <w:tcBorders>
              <w:top w:val="nil"/>
              <w:left w:val="nil"/>
              <w:bottom w:val="single" w:sz="4" w:space="0" w:color="A6A6A6"/>
              <w:right w:val="single" w:sz="4" w:space="0" w:color="A6A6A6"/>
            </w:tcBorders>
            <w:shd w:val="clear" w:color="auto" w:fill="auto"/>
            <w:noWrap/>
            <w:vAlign w:val="center"/>
            <w:hideMark/>
          </w:tcPr>
          <w:p w14:paraId="04F2DBC4" w14:textId="77777777" w:rsidR="006E549B" w:rsidRPr="00C8330C" w:rsidRDefault="006E549B" w:rsidP="006E549B">
            <w:pPr>
              <w:rPr>
                <w:rFonts w:ascii="Arial" w:hAnsi="Arial" w:cs="Arial"/>
                <w:sz w:val="20"/>
                <w:szCs w:val="20"/>
              </w:rPr>
            </w:pPr>
            <w:r w:rsidRPr="00C8330C">
              <w:rPr>
                <w:rFonts w:ascii="Arial" w:hAnsi="Arial" w:cs="Arial"/>
                <w:sz w:val="20"/>
                <w:szCs w:val="20"/>
              </w:rPr>
              <w:t>1.575</w:t>
            </w:r>
          </w:p>
        </w:tc>
        <w:tc>
          <w:tcPr>
            <w:tcW w:w="573" w:type="pct"/>
            <w:tcBorders>
              <w:top w:val="nil"/>
              <w:left w:val="nil"/>
              <w:bottom w:val="single" w:sz="4" w:space="0" w:color="A6A6A6"/>
              <w:right w:val="single" w:sz="4" w:space="0" w:color="A6A6A6"/>
            </w:tcBorders>
            <w:shd w:val="clear" w:color="auto" w:fill="auto"/>
            <w:noWrap/>
            <w:vAlign w:val="center"/>
            <w:hideMark/>
          </w:tcPr>
          <w:p w14:paraId="73E5928A" w14:textId="77777777" w:rsidR="006E549B" w:rsidRPr="00C8330C" w:rsidRDefault="006E549B" w:rsidP="006E549B">
            <w:pPr>
              <w:rPr>
                <w:rFonts w:ascii="Arial" w:hAnsi="Arial" w:cs="Arial"/>
                <w:sz w:val="20"/>
                <w:szCs w:val="20"/>
              </w:rPr>
            </w:pPr>
            <w:r w:rsidRPr="00C8330C">
              <w:rPr>
                <w:rFonts w:ascii="Arial" w:hAnsi="Arial" w:cs="Arial"/>
                <w:sz w:val="20"/>
                <w:szCs w:val="20"/>
              </w:rPr>
              <w:t>1.532</w:t>
            </w:r>
          </w:p>
        </w:tc>
        <w:tc>
          <w:tcPr>
            <w:tcW w:w="498" w:type="pct"/>
            <w:tcBorders>
              <w:top w:val="nil"/>
              <w:left w:val="nil"/>
              <w:bottom w:val="single" w:sz="4" w:space="0" w:color="A6A6A6"/>
              <w:right w:val="single" w:sz="4" w:space="0" w:color="A6A6A6"/>
            </w:tcBorders>
            <w:shd w:val="clear" w:color="auto" w:fill="auto"/>
            <w:noWrap/>
            <w:vAlign w:val="center"/>
            <w:hideMark/>
          </w:tcPr>
          <w:p w14:paraId="4933BC02" w14:textId="77777777" w:rsidR="006E549B" w:rsidRPr="00C8330C" w:rsidRDefault="006E549B" w:rsidP="006E549B">
            <w:pPr>
              <w:rPr>
                <w:rFonts w:ascii="Arial" w:hAnsi="Arial" w:cs="Arial"/>
                <w:sz w:val="20"/>
                <w:szCs w:val="20"/>
              </w:rPr>
            </w:pPr>
            <w:r w:rsidRPr="00C8330C">
              <w:rPr>
                <w:rFonts w:ascii="Arial" w:hAnsi="Arial" w:cs="Arial"/>
                <w:sz w:val="20"/>
                <w:szCs w:val="20"/>
              </w:rPr>
              <w:t>1.758</w:t>
            </w:r>
          </w:p>
        </w:tc>
        <w:tc>
          <w:tcPr>
            <w:tcW w:w="498" w:type="pct"/>
            <w:tcBorders>
              <w:top w:val="nil"/>
              <w:left w:val="nil"/>
              <w:bottom w:val="single" w:sz="4" w:space="0" w:color="A6A6A6"/>
              <w:right w:val="nil"/>
            </w:tcBorders>
            <w:shd w:val="clear" w:color="auto" w:fill="auto"/>
            <w:noWrap/>
            <w:vAlign w:val="center"/>
            <w:hideMark/>
          </w:tcPr>
          <w:p w14:paraId="60C06693" w14:textId="77777777" w:rsidR="006E549B" w:rsidRPr="00C8330C" w:rsidRDefault="006E549B" w:rsidP="006E549B">
            <w:pPr>
              <w:rPr>
                <w:rFonts w:ascii="Arial" w:hAnsi="Arial" w:cs="Arial"/>
                <w:sz w:val="20"/>
                <w:szCs w:val="20"/>
              </w:rPr>
            </w:pPr>
            <w:r w:rsidRPr="00C8330C">
              <w:rPr>
                <w:rFonts w:ascii="Arial" w:hAnsi="Arial" w:cs="Arial"/>
                <w:sz w:val="20"/>
                <w:szCs w:val="20"/>
              </w:rPr>
              <w:t>2.265</w:t>
            </w:r>
          </w:p>
        </w:tc>
        <w:tc>
          <w:tcPr>
            <w:tcW w:w="526" w:type="pct"/>
            <w:tcBorders>
              <w:top w:val="nil"/>
              <w:left w:val="single" w:sz="4" w:space="0" w:color="808080"/>
              <w:bottom w:val="single" w:sz="4" w:space="0" w:color="808080"/>
              <w:right w:val="nil"/>
            </w:tcBorders>
            <w:shd w:val="clear" w:color="auto" w:fill="auto"/>
            <w:noWrap/>
            <w:vAlign w:val="center"/>
            <w:hideMark/>
          </w:tcPr>
          <w:p w14:paraId="502C0B0A" w14:textId="77777777" w:rsidR="006E549B" w:rsidRPr="00C8330C" w:rsidRDefault="006E549B" w:rsidP="006E549B">
            <w:pPr>
              <w:rPr>
                <w:rFonts w:ascii="Arial" w:hAnsi="Arial" w:cs="Arial"/>
                <w:sz w:val="20"/>
                <w:szCs w:val="20"/>
              </w:rPr>
            </w:pPr>
            <w:r w:rsidRPr="00C8330C">
              <w:rPr>
                <w:rFonts w:ascii="Arial" w:hAnsi="Arial" w:cs="Arial"/>
                <w:sz w:val="20"/>
                <w:szCs w:val="20"/>
              </w:rPr>
              <w:t>2.684</w:t>
            </w:r>
          </w:p>
        </w:tc>
        <w:tc>
          <w:tcPr>
            <w:tcW w:w="515" w:type="pct"/>
            <w:tcBorders>
              <w:top w:val="nil"/>
              <w:left w:val="single" w:sz="4" w:space="0" w:color="808080"/>
              <w:bottom w:val="single" w:sz="4" w:space="0" w:color="808080"/>
              <w:right w:val="nil"/>
            </w:tcBorders>
            <w:shd w:val="clear" w:color="auto" w:fill="auto"/>
            <w:noWrap/>
            <w:vAlign w:val="center"/>
            <w:hideMark/>
          </w:tcPr>
          <w:p w14:paraId="44B05F37" w14:textId="77777777" w:rsidR="006E549B" w:rsidRPr="00C8330C" w:rsidRDefault="006E549B" w:rsidP="006E549B">
            <w:pPr>
              <w:rPr>
                <w:rFonts w:ascii="Arial" w:hAnsi="Arial" w:cs="Arial"/>
                <w:sz w:val="20"/>
                <w:szCs w:val="20"/>
              </w:rPr>
            </w:pPr>
            <w:r w:rsidRPr="00C8330C">
              <w:rPr>
                <w:rFonts w:ascii="Arial" w:hAnsi="Arial" w:cs="Arial"/>
                <w:sz w:val="20"/>
                <w:szCs w:val="20"/>
              </w:rPr>
              <w:t>2.233</w:t>
            </w:r>
          </w:p>
        </w:tc>
        <w:tc>
          <w:tcPr>
            <w:tcW w:w="469" w:type="pct"/>
            <w:tcBorders>
              <w:top w:val="nil"/>
              <w:left w:val="single" w:sz="4" w:space="0" w:color="808080"/>
              <w:bottom w:val="single" w:sz="4" w:space="0" w:color="808080"/>
              <w:right w:val="single" w:sz="8" w:space="0" w:color="3366CC"/>
            </w:tcBorders>
            <w:shd w:val="clear" w:color="auto" w:fill="auto"/>
            <w:noWrap/>
            <w:vAlign w:val="center"/>
            <w:hideMark/>
          </w:tcPr>
          <w:p w14:paraId="3D419FFD" w14:textId="77777777" w:rsidR="006E549B" w:rsidRPr="00C8330C" w:rsidRDefault="006E549B" w:rsidP="006E549B">
            <w:pPr>
              <w:rPr>
                <w:rFonts w:ascii="Arial" w:hAnsi="Arial" w:cs="Arial"/>
                <w:sz w:val="20"/>
                <w:szCs w:val="20"/>
              </w:rPr>
            </w:pPr>
            <w:r w:rsidRPr="00C8330C">
              <w:rPr>
                <w:rFonts w:ascii="Arial" w:hAnsi="Arial" w:cs="Arial"/>
                <w:sz w:val="20"/>
                <w:szCs w:val="20"/>
              </w:rPr>
              <w:t>1.841</w:t>
            </w:r>
          </w:p>
        </w:tc>
      </w:tr>
      <w:tr w:rsidR="006E549B" w:rsidRPr="00C8330C" w14:paraId="5E081E64" w14:textId="77777777" w:rsidTr="006E549B">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334CB037" w14:textId="77777777" w:rsidR="006E549B" w:rsidRPr="00C8330C" w:rsidRDefault="006E549B" w:rsidP="006E549B">
            <w:pPr>
              <w:rPr>
                <w:rFonts w:ascii="Arial" w:hAnsi="Arial" w:cs="Arial"/>
                <w:sz w:val="20"/>
                <w:szCs w:val="20"/>
              </w:rPr>
            </w:pPr>
            <w:r w:rsidRPr="00C8330C">
              <w:rPr>
                <w:rFonts w:ascii="Arial" w:hAnsi="Arial" w:cs="Arial"/>
                <w:sz w:val="20"/>
                <w:szCs w:val="20"/>
              </w:rPr>
              <w:t>Maestría</w:t>
            </w:r>
          </w:p>
        </w:tc>
        <w:tc>
          <w:tcPr>
            <w:tcW w:w="533" w:type="pct"/>
            <w:tcBorders>
              <w:top w:val="nil"/>
              <w:left w:val="nil"/>
              <w:bottom w:val="single" w:sz="4" w:space="0" w:color="A6A6A6"/>
              <w:right w:val="single" w:sz="4" w:space="0" w:color="A6A6A6"/>
            </w:tcBorders>
            <w:shd w:val="clear" w:color="auto" w:fill="auto"/>
            <w:noWrap/>
            <w:vAlign w:val="center"/>
            <w:hideMark/>
          </w:tcPr>
          <w:p w14:paraId="2010EFB2" w14:textId="77777777" w:rsidR="006E549B" w:rsidRPr="00C8330C" w:rsidRDefault="006E549B" w:rsidP="006E549B">
            <w:pPr>
              <w:rPr>
                <w:rFonts w:ascii="Arial" w:hAnsi="Arial" w:cs="Arial"/>
                <w:sz w:val="20"/>
                <w:szCs w:val="20"/>
              </w:rPr>
            </w:pPr>
            <w:r w:rsidRPr="00C8330C">
              <w:rPr>
                <w:rFonts w:ascii="Arial" w:hAnsi="Arial" w:cs="Arial"/>
                <w:sz w:val="20"/>
                <w:szCs w:val="20"/>
              </w:rPr>
              <w:t>2.915</w:t>
            </w:r>
          </w:p>
        </w:tc>
        <w:tc>
          <w:tcPr>
            <w:tcW w:w="573" w:type="pct"/>
            <w:tcBorders>
              <w:top w:val="nil"/>
              <w:left w:val="nil"/>
              <w:bottom w:val="single" w:sz="4" w:space="0" w:color="A6A6A6"/>
              <w:right w:val="single" w:sz="4" w:space="0" w:color="A6A6A6"/>
            </w:tcBorders>
            <w:shd w:val="clear" w:color="auto" w:fill="auto"/>
            <w:noWrap/>
            <w:vAlign w:val="center"/>
            <w:hideMark/>
          </w:tcPr>
          <w:p w14:paraId="44C83E9B" w14:textId="77777777" w:rsidR="006E549B" w:rsidRPr="00C8330C" w:rsidRDefault="006E549B" w:rsidP="006E549B">
            <w:pPr>
              <w:rPr>
                <w:rFonts w:ascii="Arial" w:hAnsi="Arial" w:cs="Arial"/>
                <w:sz w:val="20"/>
                <w:szCs w:val="20"/>
              </w:rPr>
            </w:pPr>
            <w:r w:rsidRPr="00C8330C">
              <w:rPr>
                <w:rFonts w:ascii="Arial" w:hAnsi="Arial" w:cs="Arial"/>
                <w:sz w:val="20"/>
                <w:szCs w:val="20"/>
              </w:rPr>
              <w:t>3.250</w:t>
            </w:r>
          </w:p>
        </w:tc>
        <w:tc>
          <w:tcPr>
            <w:tcW w:w="498" w:type="pct"/>
            <w:tcBorders>
              <w:top w:val="nil"/>
              <w:left w:val="nil"/>
              <w:bottom w:val="single" w:sz="4" w:space="0" w:color="A6A6A6"/>
              <w:right w:val="single" w:sz="4" w:space="0" w:color="A6A6A6"/>
            </w:tcBorders>
            <w:shd w:val="clear" w:color="auto" w:fill="auto"/>
            <w:noWrap/>
            <w:vAlign w:val="center"/>
            <w:hideMark/>
          </w:tcPr>
          <w:p w14:paraId="511689F6" w14:textId="77777777" w:rsidR="006E549B" w:rsidRPr="00C8330C" w:rsidRDefault="006E549B" w:rsidP="006E549B">
            <w:pPr>
              <w:rPr>
                <w:rFonts w:ascii="Arial" w:hAnsi="Arial" w:cs="Arial"/>
                <w:sz w:val="20"/>
                <w:szCs w:val="20"/>
              </w:rPr>
            </w:pPr>
            <w:r w:rsidRPr="00C8330C">
              <w:rPr>
                <w:rFonts w:ascii="Arial" w:hAnsi="Arial" w:cs="Arial"/>
                <w:sz w:val="20"/>
                <w:szCs w:val="20"/>
              </w:rPr>
              <w:t>3.497</w:t>
            </w:r>
          </w:p>
        </w:tc>
        <w:tc>
          <w:tcPr>
            <w:tcW w:w="498" w:type="pct"/>
            <w:tcBorders>
              <w:top w:val="nil"/>
              <w:left w:val="nil"/>
              <w:bottom w:val="single" w:sz="4" w:space="0" w:color="A6A6A6"/>
              <w:right w:val="nil"/>
            </w:tcBorders>
            <w:shd w:val="clear" w:color="auto" w:fill="auto"/>
            <w:noWrap/>
            <w:vAlign w:val="center"/>
            <w:hideMark/>
          </w:tcPr>
          <w:p w14:paraId="68B79169" w14:textId="77777777" w:rsidR="006E549B" w:rsidRPr="00C8330C" w:rsidRDefault="006E549B" w:rsidP="006E549B">
            <w:pPr>
              <w:rPr>
                <w:rFonts w:ascii="Arial" w:hAnsi="Arial" w:cs="Arial"/>
                <w:sz w:val="20"/>
                <w:szCs w:val="20"/>
              </w:rPr>
            </w:pPr>
            <w:r w:rsidRPr="00C8330C">
              <w:rPr>
                <w:rFonts w:ascii="Arial" w:hAnsi="Arial" w:cs="Arial"/>
                <w:sz w:val="20"/>
                <w:szCs w:val="20"/>
              </w:rPr>
              <w:t>3.121</w:t>
            </w:r>
          </w:p>
        </w:tc>
        <w:tc>
          <w:tcPr>
            <w:tcW w:w="526" w:type="pct"/>
            <w:tcBorders>
              <w:top w:val="nil"/>
              <w:left w:val="single" w:sz="4" w:space="0" w:color="808080"/>
              <w:bottom w:val="single" w:sz="4" w:space="0" w:color="808080"/>
              <w:right w:val="nil"/>
            </w:tcBorders>
            <w:shd w:val="clear" w:color="auto" w:fill="auto"/>
            <w:noWrap/>
            <w:vAlign w:val="center"/>
            <w:hideMark/>
          </w:tcPr>
          <w:p w14:paraId="65524A53" w14:textId="77777777" w:rsidR="006E549B" w:rsidRPr="00C8330C" w:rsidRDefault="006E549B" w:rsidP="006E549B">
            <w:pPr>
              <w:rPr>
                <w:rFonts w:ascii="Arial" w:hAnsi="Arial" w:cs="Arial"/>
                <w:sz w:val="20"/>
                <w:szCs w:val="20"/>
              </w:rPr>
            </w:pPr>
            <w:r w:rsidRPr="00C8330C">
              <w:rPr>
                <w:rFonts w:ascii="Arial" w:hAnsi="Arial" w:cs="Arial"/>
                <w:sz w:val="20"/>
                <w:szCs w:val="20"/>
              </w:rPr>
              <w:t>2.867</w:t>
            </w:r>
          </w:p>
        </w:tc>
        <w:tc>
          <w:tcPr>
            <w:tcW w:w="515" w:type="pct"/>
            <w:tcBorders>
              <w:top w:val="nil"/>
              <w:left w:val="single" w:sz="4" w:space="0" w:color="808080"/>
              <w:bottom w:val="single" w:sz="4" w:space="0" w:color="808080"/>
              <w:right w:val="nil"/>
            </w:tcBorders>
            <w:shd w:val="clear" w:color="auto" w:fill="auto"/>
            <w:noWrap/>
            <w:vAlign w:val="center"/>
            <w:hideMark/>
          </w:tcPr>
          <w:p w14:paraId="20FA428C" w14:textId="77777777" w:rsidR="006E549B" w:rsidRPr="00C8330C" w:rsidRDefault="006E549B" w:rsidP="006E549B">
            <w:pPr>
              <w:rPr>
                <w:rFonts w:ascii="Arial" w:hAnsi="Arial" w:cs="Arial"/>
                <w:sz w:val="20"/>
                <w:szCs w:val="20"/>
              </w:rPr>
            </w:pPr>
            <w:r w:rsidRPr="00C8330C">
              <w:rPr>
                <w:rFonts w:ascii="Arial" w:hAnsi="Arial" w:cs="Arial"/>
                <w:sz w:val="20"/>
                <w:szCs w:val="20"/>
              </w:rPr>
              <w:t>2.731</w:t>
            </w:r>
          </w:p>
        </w:tc>
        <w:tc>
          <w:tcPr>
            <w:tcW w:w="469" w:type="pct"/>
            <w:tcBorders>
              <w:top w:val="nil"/>
              <w:left w:val="single" w:sz="4" w:space="0" w:color="808080"/>
              <w:bottom w:val="single" w:sz="4" w:space="0" w:color="808080"/>
              <w:right w:val="single" w:sz="8" w:space="0" w:color="3366CC"/>
            </w:tcBorders>
            <w:shd w:val="clear" w:color="auto" w:fill="auto"/>
            <w:noWrap/>
            <w:vAlign w:val="center"/>
            <w:hideMark/>
          </w:tcPr>
          <w:p w14:paraId="3BD7BA05" w14:textId="77777777" w:rsidR="006E549B" w:rsidRPr="00C8330C" w:rsidRDefault="006E549B" w:rsidP="006E549B">
            <w:pPr>
              <w:rPr>
                <w:rFonts w:ascii="Arial" w:hAnsi="Arial" w:cs="Arial"/>
                <w:sz w:val="20"/>
                <w:szCs w:val="20"/>
              </w:rPr>
            </w:pPr>
            <w:r w:rsidRPr="00C8330C">
              <w:rPr>
                <w:rFonts w:ascii="Arial" w:hAnsi="Arial" w:cs="Arial"/>
                <w:sz w:val="20"/>
                <w:szCs w:val="20"/>
              </w:rPr>
              <w:t>2.357</w:t>
            </w:r>
          </w:p>
        </w:tc>
      </w:tr>
      <w:tr w:rsidR="006E549B" w:rsidRPr="00C8330C" w14:paraId="2D49E582" w14:textId="77777777" w:rsidTr="006E549B">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7882D497" w14:textId="77777777" w:rsidR="006E549B" w:rsidRPr="00C8330C" w:rsidRDefault="006E549B" w:rsidP="006E549B">
            <w:pPr>
              <w:rPr>
                <w:rFonts w:ascii="Arial" w:hAnsi="Arial" w:cs="Arial"/>
                <w:sz w:val="20"/>
                <w:szCs w:val="20"/>
              </w:rPr>
            </w:pPr>
            <w:r w:rsidRPr="00C8330C">
              <w:rPr>
                <w:rFonts w:ascii="Arial" w:hAnsi="Arial" w:cs="Arial"/>
                <w:sz w:val="20"/>
                <w:szCs w:val="20"/>
              </w:rPr>
              <w:t>Doctorado</w:t>
            </w:r>
          </w:p>
        </w:tc>
        <w:tc>
          <w:tcPr>
            <w:tcW w:w="533" w:type="pct"/>
            <w:tcBorders>
              <w:top w:val="nil"/>
              <w:left w:val="nil"/>
              <w:bottom w:val="single" w:sz="4" w:space="0" w:color="A6A6A6"/>
              <w:right w:val="single" w:sz="4" w:space="0" w:color="A6A6A6"/>
            </w:tcBorders>
            <w:shd w:val="clear" w:color="auto" w:fill="auto"/>
            <w:noWrap/>
            <w:vAlign w:val="center"/>
            <w:hideMark/>
          </w:tcPr>
          <w:p w14:paraId="4E22A522" w14:textId="77777777" w:rsidR="006E549B" w:rsidRPr="00C8330C" w:rsidRDefault="006E549B" w:rsidP="006E549B">
            <w:pPr>
              <w:rPr>
                <w:rFonts w:ascii="Arial" w:hAnsi="Arial" w:cs="Arial"/>
                <w:sz w:val="20"/>
                <w:szCs w:val="20"/>
              </w:rPr>
            </w:pPr>
            <w:r w:rsidRPr="00C8330C">
              <w:rPr>
                <w:rFonts w:ascii="Arial" w:hAnsi="Arial" w:cs="Arial"/>
                <w:sz w:val="20"/>
                <w:szCs w:val="20"/>
              </w:rPr>
              <w:t>374</w:t>
            </w:r>
          </w:p>
        </w:tc>
        <w:tc>
          <w:tcPr>
            <w:tcW w:w="573" w:type="pct"/>
            <w:tcBorders>
              <w:top w:val="nil"/>
              <w:left w:val="nil"/>
              <w:bottom w:val="single" w:sz="4" w:space="0" w:color="A6A6A6"/>
              <w:right w:val="single" w:sz="4" w:space="0" w:color="A6A6A6"/>
            </w:tcBorders>
            <w:shd w:val="clear" w:color="auto" w:fill="auto"/>
            <w:noWrap/>
            <w:vAlign w:val="center"/>
            <w:hideMark/>
          </w:tcPr>
          <w:p w14:paraId="2225E1FE" w14:textId="77777777" w:rsidR="006E549B" w:rsidRPr="00C8330C" w:rsidRDefault="006E549B" w:rsidP="006E549B">
            <w:pPr>
              <w:rPr>
                <w:rFonts w:ascii="Arial" w:hAnsi="Arial" w:cs="Arial"/>
                <w:sz w:val="20"/>
                <w:szCs w:val="20"/>
              </w:rPr>
            </w:pPr>
            <w:r w:rsidRPr="00C8330C">
              <w:rPr>
                <w:rFonts w:ascii="Arial" w:hAnsi="Arial" w:cs="Arial"/>
                <w:sz w:val="20"/>
                <w:szCs w:val="20"/>
              </w:rPr>
              <w:t>377</w:t>
            </w:r>
          </w:p>
        </w:tc>
        <w:tc>
          <w:tcPr>
            <w:tcW w:w="498" w:type="pct"/>
            <w:tcBorders>
              <w:top w:val="nil"/>
              <w:left w:val="nil"/>
              <w:bottom w:val="single" w:sz="4" w:space="0" w:color="A6A6A6"/>
              <w:right w:val="single" w:sz="4" w:space="0" w:color="A6A6A6"/>
            </w:tcBorders>
            <w:shd w:val="clear" w:color="auto" w:fill="auto"/>
            <w:noWrap/>
            <w:vAlign w:val="center"/>
            <w:hideMark/>
          </w:tcPr>
          <w:p w14:paraId="225BA28B" w14:textId="77777777" w:rsidR="006E549B" w:rsidRPr="00C8330C" w:rsidRDefault="006E549B" w:rsidP="006E549B">
            <w:pPr>
              <w:rPr>
                <w:rFonts w:ascii="Arial" w:hAnsi="Arial" w:cs="Arial"/>
                <w:sz w:val="20"/>
                <w:szCs w:val="20"/>
              </w:rPr>
            </w:pPr>
            <w:r w:rsidRPr="00C8330C">
              <w:rPr>
                <w:rFonts w:ascii="Arial" w:hAnsi="Arial" w:cs="Arial"/>
                <w:sz w:val="20"/>
                <w:szCs w:val="20"/>
              </w:rPr>
              <w:t>438</w:t>
            </w:r>
          </w:p>
        </w:tc>
        <w:tc>
          <w:tcPr>
            <w:tcW w:w="498" w:type="pct"/>
            <w:tcBorders>
              <w:top w:val="nil"/>
              <w:left w:val="nil"/>
              <w:bottom w:val="single" w:sz="4" w:space="0" w:color="A6A6A6"/>
              <w:right w:val="nil"/>
            </w:tcBorders>
            <w:shd w:val="clear" w:color="auto" w:fill="auto"/>
            <w:noWrap/>
            <w:vAlign w:val="center"/>
            <w:hideMark/>
          </w:tcPr>
          <w:p w14:paraId="30777D19" w14:textId="77777777" w:rsidR="006E549B" w:rsidRPr="00C8330C" w:rsidRDefault="006E549B" w:rsidP="006E549B">
            <w:pPr>
              <w:rPr>
                <w:rFonts w:ascii="Arial" w:hAnsi="Arial" w:cs="Arial"/>
                <w:sz w:val="20"/>
                <w:szCs w:val="20"/>
              </w:rPr>
            </w:pPr>
            <w:r w:rsidRPr="00C8330C">
              <w:rPr>
                <w:rFonts w:ascii="Arial" w:hAnsi="Arial" w:cs="Arial"/>
                <w:sz w:val="20"/>
                <w:szCs w:val="20"/>
              </w:rPr>
              <w:t>477</w:t>
            </w:r>
          </w:p>
        </w:tc>
        <w:tc>
          <w:tcPr>
            <w:tcW w:w="526" w:type="pct"/>
            <w:tcBorders>
              <w:top w:val="nil"/>
              <w:left w:val="single" w:sz="4" w:space="0" w:color="808080"/>
              <w:bottom w:val="single" w:sz="4" w:space="0" w:color="808080"/>
              <w:right w:val="nil"/>
            </w:tcBorders>
            <w:shd w:val="clear" w:color="auto" w:fill="auto"/>
            <w:noWrap/>
            <w:vAlign w:val="center"/>
            <w:hideMark/>
          </w:tcPr>
          <w:p w14:paraId="7306F04F" w14:textId="77777777" w:rsidR="006E549B" w:rsidRPr="00C8330C" w:rsidRDefault="006E549B" w:rsidP="006E549B">
            <w:pPr>
              <w:rPr>
                <w:rFonts w:ascii="Arial" w:hAnsi="Arial" w:cs="Arial"/>
                <w:sz w:val="20"/>
                <w:szCs w:val="20"/>
              </w:rPr>
            </w:pPr>
            <w:r w:rsidRPr="00C8330C">
              <w:rPr>
                <w:rFonts w:ascii="Arial" w:hAnsi="Arial" w:cs="Arial"/>
                <w:sz w:val="20"/>
                <w:szCs w:val="20"/>
              </w:rPr>
              <w:t>487</w:t>
            </w:r>
          </w:p>
        </w:tc>
        <w:tc>
          <w:tcPr>
            <w:tcW w:w="515" w:type="pct"/>
            <w:tcBorders>
              <w:top w:val="nil"/>
              <w:left w:val="single" w:sz="4" w:space="0" w:color="808080"/>
              <w:bottom w:val="single" w:sz="4" w:space="0" w:color="808080"/>
              <w:right w:val="nil"/>
            </w:tcBorders>
            <w:shd w:val="clear" w:color="auto" w:fill="auto"/>
            <w:noWrap/>
            <w:vAlign w:val="center"/>
            <w:hideMark/>
          </w:tcPr>
          <w:p w14:paraId="6C3E0ACC" w14:textId="77777777" w:rsidR="006E549B" w:rsidRPr="00C8330C" w:rsidRDefault="006E549B" w:rsidP="006E549B">
            <w:pPr>
              <w:rPr>
                <w:rFonts w:ascii="Arial" w:hAnsi="Arial" w:cs="Arial"/>
                <w:sz w:val="20"/>
                <w:szCs w:val="20"/>
              </w:rPr>
            </w:pPr>
            <w:r w:rsidRPr="00C8330C">
              <w:rPr>
                <w:rFonts w:ascii="Arial" w:hAnsi="Arial" w:cs="Arial"/>
                <w:sz w:val="20"/>
                <w:szCs w:val="20"/>
              </w:rPr>
              <w:t>499</w:t>
            </w:r>
          </w:p>
        </w:tc>
        <w:tc>
          <w:tcPr>
            <w:tcW w:w="469" w:type="pct"/>
            <w:tcBorders>
              <w:top w:val="nil"/>
              <w:left w:val="single" w:sz="4" w:space="0" w:color="808080"/>
              <w:bottom w:val="single" w:sz="4" w:space="0" w:color="808080"/>
              <w:right w:val="single" w:sz="8" w:space="0" w:color="3366CC"/>
            </w:tcBorders>
            <w:shd w:val="clear" w:color="auto" w:fill="auto"/>
            <w:noWrap/>
            <w:vAlign w:val="center"/>
            <w:hideMark/>
          </w:tcPr>
          <w:p w14:paraId="233116F1" w14:textId="77777777" w:rsidR="006E549B" w:rsidRPr="00C8330C" w:rsidRDefault="006E549B" w:rsidP="006E549B">
            <w:pPr>
              <w:rPr>
                <w:rFonts w:ascii="Arial" w:hAnsi="Arial" w:cs="Arial"/>
                <w:sz w:val="20"/>
                <w:szCs w:val="20"/>
              </w:rPr>
            </w:pPr>
            <w:r w:rsidRPr="00C8330C">
              <w:rPr>
                <w:rFonts w:ascii="Arial" w:hAnsi="Arial" w:cs="Arial"/>
                <w:sz w:val="20"/>
                <w:szCs w:val="20"/>
              </w:rPr>
              <w:t>509</w:t>
            </w:r>
          </w:p>
        </w:tc>
      </w:tr>
      <w:tr w:rsidR="006E549B" w:rsidRPr="00C8330C" w14:paraId="5D3531CA" w14:textId="77777777" w:rsidTr="006E549B">
        <w:trPr>
          <w:trHeight w:val="390"/>
        </w:trPr>
        <w:tc>
          <w:tcPr>
            <w:tcW w:w="1388" w:type="pct"/>
            <w:tcBorders>
              <w:top w:val="single" w:sz="4" w:space="0" w:color="A6A6A6"/>
              <w:left w:val="single" w:sz="8" w:space="0" w:color="3366CC"/>
              <w:bottom w:val="single" w:sz="8" w:space="0" w:color="3366CC"/>
              <w:right w:val="single" w:sz="8" w:space="0" w:color="3366CC"/>
            </w:tcBorders>
            <w:shd w:val="clear" w:color="000000" w:fill="DDEBF7"/>
            <w:noWrap/>
            <w:vAlign w:val="center"/>
            <w:hideMark/>
          </w:tcPr>
          <w:p w14:paraId="06F66A6C" w14:textId="77777777" w:rsidR="006E549B" w:rsidRPr="00C8330C" w:rsidRDefault="006E549B" w:rsidP="006E549B">
            <w:pPr>
              <w:rPr>
                <w:rFonts w:ascii="Arial" w:hAnsi="Arial" w:cs="Arial"/>
                <w:b/>
                <w:bCs/>
                <w:sz w:val="20"/>
                <w:szCs w:val="20"/>
              </w:rPr>
            </w:pPr>
            <w:r w:rsidRPr="00C8330C">
              <w:rPr>
                <w:rFonts w:ascii="Arial" w:hAnsi="Arial" w:cs="Arial"/>
                <w:b/>
                <w:bCs/>
                <w:sz w:val="20"/>
                <w:szCs w:val="20"/>
              </w:rPr>
              <w:t>Total General</w:t>
            </w:r>
          </w:p>
        </w:tc>
        <w:tc>
          <w:tcPr>
            <w:tcW w:w="533" w:type="pct"/>
            <w:tcBorders>
              <w:top w:val="nil"/>
              <w:left w:val="nil"/>
              <w:bottom w:val="single" w:sz="8" w:space="0" w:color="3366CC"/>
              <w:right w:val="single" w:sz="4" w:space="0" w:color="A6A6A6"/>
            </w:tcBorders>
            <w:shd w:val="clear" w:color="000000" w:fill="DDEBF7"/>
            <w:noWrap/>
            <w:vAlign w:val="center"/>
            <w:hideMark/>
          </w:tcPr>
          <w:p w14:paraId="365D5B92" w14:textId="77777777" w:rsidR="006E549B" w:rsidRPr="00C8330C" w:rsidRDefault="006E549B" w:rsidP="006E549B">
            <w:pPr>
              <w:rPr>
                <w:rFonts w:ascii="Arial" w:hAnsi="Arial" w:cs="Arial"/>
                <w:b/>
                <w:bCs/>
                <w:sz w:val="20"/>
                <w:szCs w:val="20"/>
              </w:rPr>
            </w:pPr>
            <w:r w:rsidRPr="00C8330C">
              <w:rPr>
                <w:rFonts w:ascii="Arial" w:hAnsi="Arial" w:cs="Arial"/>
                <w:b/>
                <w:bCs/>
                <w:sz w:val="20"/>
                <w:szCs w:val="20"/>
              </w:rPr>
              <w:t>46.591</w:t>
            </w:r>
          </w:p>
        </w:tc>
        <w:tc>
          <w:tcPr>
            <w:tcW w:w="573" w:type="pct"/>
            <w:tcBorders>
              <w:top w:val="nil"/>
              <w:left w:val="nil"/>
              <w:bottom w:val="single" w:sz="8" w:space="0" w:color="3366CC"/>
              <w:right w:val="single" w:sz="4" w:space="0" w:color="A6A6A6"/>
            </w:tcBorders>
            <w:shd w:val="clear" w:color="000000" w:fill="DDEBF7"/>
            <w:noWrap/>
            <w:vAlign w:val="center"/>
            <w:hideMark/>
          </w:tcPr>
          <w:p w14:paraId="368EBB91" w14:textId="77777777" w:rsidR="006E549B" w:rsidRPr="00C8330C" w:rsidRDefault="006E549B" w:rsidP="006E549B">
            <w:pPr>
              <w:rPr>
                <w:rFonts w:ascii="Arial" w:hAnsi="Arial" w:cs="Arial"/>
                <w:b/>
                <w:bCs/>
                <w:sz w:val="20"/>
                <w:szCs w:val="20"/>
              </w:rPr>
            </w:pPr>
            <w:r w:rsidRPr="00C8330C">
              <w:rPr>
                <w:rFonts w:ascii="Arial" w:hAnsi="Arial" w:cs="Arial"/>
                <w:b/>
                <w:bCs/>
                <w:sz w:val="20"/>
                <w:szCs w:val="20"/>
              </w:rPr>
              <w:t>49.485</w:t>
            </w:r>
          </w:p>
        </w:tc>
        <w:tc>
          <w:tcPr>
            <w:tcW w:w="498" w:type="pct"/>
            <w:tcBorders>
              <w:top w:val="nil"/>
              <w:left w:val="nil"/>
              <w:bottom w:val="single" w:sz="8" w:space="0" w:color="3366CC"/>
              <w:right w:val="single" w:sz="4" w:space="0" w:color="A6A6A6"/>
            </w:tcBorders>
            <w:shd w:val="clear" w:color="000000" w:fill="DDEBF7"/>
            <w:noWrap/>
            <w:vAlign w:val="center"/>
            <w:hideMark/>
          </w:tcPr>
          <w:p w14:paraId="1CBE871D" w14:textId="77777777" w:rsidR="006E549B" w:rsidRPr="00C8330C" w:rsidRDefault="006E549B" w:rsidP="006E549B">
            <w:pPr>
              <w:rPr>
                <w:rFonts w:ascii="Arial" w:hAnsi="Arial" w:cs="Arial"/>
                <w:b/>
                <w:bCs/>
                <w:sz w:val="20"/>
                <w:szCs w:val="20"/>
              </w:rPr>
            </w:pPr>
            <w:r w:rsidRPr="00C8330C">
              <w:rPr>
                <w:rFonts w:ascii="Arial" w:hAnsi="Arial" w:cs="Arial"/>
                <w:b/>
                <w:bCs/>
                <w:sz w:val="20"/>
                <w:szCs w:val="20"/>
              </w:rPr>
              <w:t>50.157</w:t>
            </w:r>
          </w:p>
        </w:tc>
        <w:tc>
          <w:tcPr>
            <w:tcW w:w="498" w:type="pct"/>
            <w:tcBorders>
              <w:top w:val="nil"/>
              <w:left w:val="nil"/>
              <w:bottom w:val="single" w:sz="8" w:space="0" w:color="3366CC"/>
              <w:right w:val="nil"/>
            </w:tcBorders>
            <w:shd w:val="clear" w:color="000000" w:fill="DDEBF7"/>
            <w:noWrap/>
            <w:vAlign w:val="center"/>
            <w:hideMark/>
          </w:tcPr>
          <w:p w14:paraId="54522A6B" w14:textId="77777777" w:rsidR="006E549B" w:rsidRPr="00C8330C" w:rsidRDefault="006E549B" w:rsidP="006E549B">
            <w:pPr>
              <w:rPr>
                <w:rFonts w:ascii="Arial" w:hAnsi="Arial" w:cs="Arial"/>
                <w:b/>
                <w:bCs/>
                <w:sz w:val="20"/>
                <w:szCs w:val="20"/>
              </w:rPr>
            </w:pPr>
            <w:r w:rsidRPr="00C8330C">
              <w:rPr>
                <w:rFonts w:ascii="Arial" w:hAnsi="Arial" w:cs="Arial"/>
                <w:b/>
                <w:bCs/>
                <w:sz w:val="20"/>
                <w:szCs w:val="20"/>
              </w:rPr>
              <w:t>51.270</w:t>
            </w:r>
          </w:p>
        </w:tc>
        <w:tc>
          <w:tcPr>
            <w:tcW w:w="526" w:type="pct"/>
            <w:tcBorders>
              <w:top w:val="nil"/>
              <w:left w:val="single" w:sz="4" w:space="0" w:color="808080"/>
              <w:bottom w:val="single" w:sz="8" w:space="0" w:color="3366CC"/>
              <w:right w:val="nil"/>
            </w:tcBorders>
            <w:shd w:val="clear" w:color="000000" w:fill="DDEBF7"/>
            <w:noWrap/>
            <w:vAlign w:val="center"/>
            <w:hideMark/>
          </w:tcPr>
          <w:p w14:paraId="6F321E44" w14:textId="77777777" w:rsidR="006E549B" w:rsidRPr="00C8330C" w:rsidRDefault="006E549B" w:rsidP="006E549B">
            <w:pPr>
              <w:rPr>
                <w:rFonts w:ascii="Arial" w:hAnsi="Arial" w:cs="Arial"/>
                <w:b/>
                <w:bCs/>
                <w:sz w:val="20"/>
                <w:szCs w:val="20"/>
              </w:rPr>
            </w:pPr>
            <w:r w:rsidRPr="00C8330C">
              <w:rPr>
                <w:rFonts w:ascii="Arial" w:hAnsi="Arial" w:cs="Arial"/>
                <w:b/>
                <w:bCs/>
                <w:sz w:val="20"/>
                <w:szCs w:val="20"/>
              </w:rPr>
              <w:t>50.580</w:t>
            </w:r>
          </w:p>
        </w:tc>
        <w:tc>
          <w:tcPr>
            <w:tcW w:w="515" w:type="pct"/>
            <w:tcBorders>
              <w:top w:val="nil"/>
              <w:left w:val="single" w:sz="4" w:space="0" w:color="808080"/>
              <w:bottom w:val="single" w:sz="8" w:space="0" w:color="3366CC"/>
              <w:right w:val="nil"/>
            </w:tcBorders>
            <w:shd w:val="clear" w:color="000000" w:fill="DDEBF7"/>
            <w:noWrap/>
            <w:vAlign w:val="center"/>
            <w:hideMark/>
          </w:tcPr>
          <w:p w14:paraId="70BFF6E9" w14:textId="77777777" w:rsidR="006E549B" w:rsidRPr="00C8330C" w:rsidRDefault="006E549B" w:rsidP="006E549B">
            <w:pPr>
              <w:rPr>
                <w:rFonts w:ascii="Arial" w:hAnsi="Arial" w:cs="Arial"/>
                <w:b/>
                <w:bCs/>
                <w:sz w:val="20"/>
                <w:szCs w:val="20"/>
              </w:rPr>
            </w:pPr>
            <w:r w:rsidRPr="00C8330C">
              <w:rPr>
                <w:rFonts w:ascii="Arial" w:hAnsi="Arial" w:cs="Arial"/>
                <w:b/>
                <w:bCs/>
                <w:sz w:val="20"/>
                <w:szCs w:val="20"/>
              </w:rPr>
              <w:t>49.610</w:t>
            </w:r>
          </w:p>
        </w:tc>
        <w:tc>
          <w:tcPr>
            <w:tcW w:w="469" w:type="pct"/>
            <w:tcBorders>
              <w:top w:val="nil"/>
              <w:left w:val="single" w:sz="4" w:space="0" w:color="808080"/>
              <w:bottom w:val="single" w:sz="8" w:space="0" w:color="3366CC"/>
              <w:right w:val="single" w:sz="8" w:space="0" w:color="3366CC"/>
            </w:tcBorders>
            <w:shd w:val="clear" w:color="000000" w:fill="DDEBF7"/>
            <w:noWrap/>
            <w:vAlign w:val="center"/>
            <w:hideMark/>
          </w:tcPr>
          <w:p w14:paraId="0F702B2E" w14:textId="77777777" w:rsidR="006E549B" w:rsidRPr="00C8330C" w:rsidRDefault="006E549B" w:rsidP="006E549B">
            <w:pPr>
              <w:rPr>
                <w:rFonts w:ascii="Arial" w:hAnsi="Arial" w:cs="Arial"/>
                <w:b/>
                <w:bCs/>
                <w:sz w:val="20"/>
                <w:szCs w:val="20"/>
              </w:rPr>
            </w:pPr>
            <w:r w:rsidRPr="00C8330C">
              <w:rPr>
                <w:rFonts w:ascii="Arial" w:hAnsi="Arial" w:cs="Arial"/>
                <w:b/>
                <w:bCs/>
                <w:sz w:val="20"/>
                <w:szCs w:val="20"/>
              </w:rPr>
              <w:t>46.471</w:t>
            </w:r>
          </w:p>
        </w:tc>
      </w:tr>
    </w:tbl>
    <w:p w14:paraId="1849651F" w14:textId="77777777" w:rsidR="006E549B" w:rsidRPr="00C8330C" w:rsidRDefault="006E549B" w:rsidP="006E549B">
      <w:pPr>
        <w:rPr>
          <w:rStyle w:val="Referenciasutil"/>
          <w:rFonts w:ascii="Arial" w:hAnsi="Arial" w:cs="Arial"/>
          <w:sz w:val="16"/>
          <w:szCs w:val="16"/>
        </w:rPr>
      </w:pPr>
      <w:r w:rsidRPr="00C8330C">
        <w:rPr>
          <w:rStyle w:val="Referenciasutil"/>
          <w:rFonts w:ascii="Arial" w:hAnsi="Arial" w:cs="Arial"/>
          <w:sz w:val="16"/>
          <w:szCs w:val="16"/>
        </w:rPr>
        <w:t>Fuente: MEN (SNIES)</w:t>
      </w:r>
    </w:p>
    <w:p w14:paraId="77648E88" w14:textId="77777777" w:rsidR="006E549B" w:rsidRPr="00985A2D" w:rsidRDefault="006E549B" w:rsidP="006E549B">
      <w:pPr>
        <w:rPr>
          <w:rFonts w:ascii="Arial" w:hAnsi="Arial" w:cs="Arial"/>
          <w:szCs w:val="22"/>
        </w:rPr>
      </w:pPr>
    </w:p>
    <w:p w14:paraId="2C914A91" w14:textId="77777777" w:rsidR="006E549B" w:rsidRPr="00985A2D" w:rsidRDefault="006E549B" w:rsidP="006E549B">
      <w:pPr>
        <w:rPr>
          <w:rFonts w:ascii="Arial" w:hAnsi="Arial" w:cs="Arial"/>
          <w:bCs/>
          <w:iCs/>
          <w:szCs w:val="22"/>
        </w:rPr>
      </w:pPr>
      <w:r w:rsidRPr="00985A2D">
        <w:rPr>
          <w:rFonts w:ascii="Arial" w:hAnsi="Arial" w:cs="Arial"/>
          <w:bCs/>
          <w:iCs/>
          <w:szCs w:val="22"/>
        </w:rPr>
        <w:t>A continuación, se describe la oferta educativa de las principales instituciones en el Departamento de Caldas, su participación en los procesos de formación, el número de programas ofertados y la distribución por áreas de conocimiento:</w:t>
      </w:r>
    </w:p>
    <w:p w14:paraId="786DDD5D" w14:textId="29D22642" w:rsidR="00C64C9B" w:rsidRPr="00985A2D" w:rsidRDefault="00C64C9B" w:rsidP="006809C2">
      <w:pPr>
        <w:rPr>
          <w:rFonts w:ascii="Arial" w:hAnsi="Arial" w:cs="Arial"/>
          <w:b/>
          <w:iCs/>
          <w:szCs w:val="22"/>
        </w:rPr>
      </w:pPr>
    </w:p>
    <w:p w14:paraId="6E1517BD" w14:textId="6968E6B3" w:rsidR="00C64C9B" w:rsidRPr="00985A2D" w:rsidRDefault="006E549B" w:rsidP="006E549B">
      <w:pPr>
        <w:pStyle w:val="Ttulo2"/>
        <w:rPr>
          <w:rFonts w:ascii="Arial" w:hAnsi="Arial" w:cs="Arial"/>
          <w:sz w:val="22"/>
          <w:szCs w:val="22"/>
        </w:rPr>
      </w:pPr>
      <w:r w:rsidRPr="00985A2D">
        <w:rPr>
          <w:rFonts w:ascii="Arial" w:hAnsi="Arial" w:cs="Arial"/>
          <w:sz w:val="22"/>
          <w:szCs w:val="22"/>
        </w:rPr>
        <w:t>Técnica profesional</w:t>
      </w:r>
    </w:p>
    <w:p w14:paraId="35D7BCB3" w14:textId="2DCB2B7B" w:rsidR="006E549B" w:rsidRPr="00985A2D" w:rsidRDefault="006E549B" w:rsidP="006E549B">
      <w:pPr>
        <w:rPr>
          <w:rFonts w:ascii="Arial" w:hAnsi="Arial" w:cs="Arial"/>
          <w:szCs w:val="22"/>
        </w:rPr>
      </w:pPr>
    </w:p>
    <w:p w14:paraId="50D52781" w14:textId="77777777" w:rsidR="006E549B" w:rsidRPr="00985A2D" w:rsidRDefault="006E549B" w:rsidP="006E549B">
      <w:pPr>
        <w:rPr>
          <w:rFonts w:ascii="Arial" w:hAnsi="Arial" w:cs="Arial"/>
          <w:szCs w:val="22"/>
        </w:rPr>
      </w:pPr>
      <w:r w:rsidRPr="00985A2D">
        <w:rPr>
          <w:rFonts w:ascii="Arial" w:hAnsi="Arial" w:cs="Arial"/>
          <w:szCs w:val="22"/>
        </w:rPr>
        <w:t xml:space="preserve">Formación Técnica Profesional En Caldas se cuenta con 62 programas de Formación técnica superior, los cuales en su mayoría al igual que las tecnologías, se distribuyen en los </w:t>
      </w:r>
      <w:r w:rsidRPr="00985A2D">
        <w:rPr>
          <w:rFonts w:ascii="Arial" w:hAnsi="Arial" w:cs="Arial"/>
          <w:szCs w:val="22"/>
        </w:rPr>
        <w:lastRenderedPageBreak/>
        <w:t>núcleos de Ingeniería, arquitectura, urbanismo y afines, Economía, administración, contaduría y afines y Agronomía, veterinaria y afines, respectivamente. Las instituciones que ofrecen dichos programas en Caldas corresponden a: Universidad de Manizales, Universidad de Caldas, Universidad Católica de Manizales, Institución Universitaria Marco Fidel Suárez, Dirección Nacional de Escuelas y Colegio Integrado Nacional de Oriente de Caldas (CINOC).</w:t>
      </w:r>
    </w:p>
    <w:p w14:paraId="664FE8DF" w14:textId="10CC383B" w:rsidR="006E549B" w:rsidRPr="00985A2D" w:rsidRDefault="006E549B" w:rsidP="006E549B">
      <w:pPr>
        <w:rPr>
          <w:rFonts w:ascii="Arial" w:hAnsi="Arial" w:cs="Arial"/>
          <w:szCs w:val="22"/>
        </w:rPr>
      </w:pPr>
    </w:p>
    <w:p w14:paraId="76EC3534" w14:textId="0A9F70D7" w:rsidR="006E549B" w:rsidRPr="00985A2D" w:rsidRDefault="006E549B" w:rsidP="006E549B">
      <w:pPr>
        <w:rPr>
          <w:rFonts w:ascii="Arial" w:hAnsi="Arial" w:cs="Arial"/>
          <w:b/>
          <w:iCs/>
          <w:szCs w:val="22"/>
        </w:rPr>
      </w:pPr>
      <w:r w:rsidRPr="00985A2D">
        <w:rPr>
          <w:rFonts w:ascii="Arial" w:hAnsi="Arial" w:cs="Arial"/>
          <w:b/>
          <w:iCs/>
          <w:szCs w:val="22"/>
        </w:rPr>
        <w:t xml:space="preserve">Gráfica </w:t>
      </w:r>
      <w:r w:rsidRPr="00985A2D">
        <w:rPr>
          <w:rFonts w:ascii="Arial" w:hAnsi="Arial" w:cs="Arial"/>
          <w:b/>
          <w:iCs/>
          <w:szCs w:val="22"/>
        </w:rPr>
        <w:fldChar w:fldCharType="begin"/>
      </w:r>
      <w:r w:rsidRPr="00985A2D">
        <w:rPr>
          <w:rFonts w:ascii="Arial" w:hAnsi="Arial" w:cs="Arial"/>
          <w:b/>
          <w:iCs/>
          <w:szCs w:val="22"/>
        </w:rPr>
        <w:instrText xml:space="preserve"> SEQ Gráfica \* ARABIC </w:instrText>
      </w:r>
      <w:r w:rsidRPr="00985A2D">
        <w:rPr>
          <w:rFonts w:ascii="Arial" w:hAnsi="Arial" w:cs="Arial"/>
          <w:b/>
          <w:iCs/>
          <w:szCs w:val="22"/>
        </w:rPr>
        <w:fldChar w:fldCharType="separate"/>
      </w:r>
      <w:r w:rsidR="009F20F0">
        <w:rPr>
          <w:rFonts w:ascii="Arial" w:hAnsi="Arial" w:cs="Arial"/>
          <w:b/>
          <w:iCs/>
          <w:noProof/>
          <w:szCs w:val="22"/>
        </w:rPr>
        <w:t>6</w:t>
      </w:r>
      <w:r w:rsidRPr="00985A2D">
        <w:rPr>
          <w:rFonts w:ascii="Arial" w:hAnsi="Arial" w:cs="Arial"/>
          <w:szCs w:val="22"/>
        </w:rPr>
        <w:fldChar w:fldCharType="end"/>
      </w:r>
      <w:r w:rsidRPr="00985A2D">
        <w:rPr>
          <w:rFonts w:ascii="Arial" w:hAnsi="Arial" w:cs="Arial"/>
          <w:b/>
          <w:iCs/>
          <w:szCs w:val="22"/>
        </w:rPr>
        <w:t xml:space="preserve"> Número de Programas de Formación Técnica Profesional Ofertados por Institución</w:t>
      </w:r>
    </w:p>
    <w:p w14:paraId="0595F6FE" w14:textId="731DE805" w:rsidR="006E549B" w:rsidRPr="00985A2D" w:rsidRDefault="006E549B" w:rsidP="006E549B">
      <w:pPr>
        <w:rPr>
          <w:rFonts w:ascii="Arial" w:hAnsi="Arial" w:cs="Arial"/>
          <w:szCs w:val="22"/>
        </w:rPr>
      </w:pPr>
    </w:p>
    <w:p w14:paraId="5D5B02C6" w14:textId="0786429F" w:rsidR="006E549B" w:rsidRPr="00985A2D" w:rsidRDefault="006E549B" w:rsidP="003F3D36">
      <w:pPr>
        <w:jc w:val="center"/>
        <w:rPr>
          <w:rFonts w:ascii="Arial" w:hAnsi="Arial" w:cs="Arial"/>
          <w:szCs w:val="22"/>
        </w:rPr>
      </w:pPr>
      <w:r w:rsidRPr="00985A2D">
        <w:rPr>
          <w:rFonts w:ascii="Arial" w:hAnsi="Arial" w:cs="Arial"/>
          <w:noProof/>
          <w:szCs w:val="22"/>
          <w:lang w:eastAsia="es-CO"/>
        </w:rPr>
        <w:drawing>
          <wp:inline distT="0" distB="0" distL="0" distR="0" wp14:anchorId="44B67553" wp14:editId="26BFC766">
            <wp:extent cx="4873925" cy="2044065"/>
            <wp:effectExtent l="0" t="0" r="3175" b="1333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5E641D" w14:textId="77777777" w:rsidR="006E549B" w:rsidRPr="00C8330C" w:rsidRDefault="006E549B" w:rsidP="006E549B">
      <w:pPr>
        <w:rPr>
          <w:rStyle w:val="Referenciasutil"/>
          <w:rFonts w:ascii="Arial" w:hAnsi="Arial" w:cs="Arial"/>
          <w:sz w:val="16"/>
          <w:szCs w:val="16"/>
        </w:rPr>
      </w:pPr>
      <w:r w:rsidRPr="00C8330C">
        <w:rPr>
          <w:rStyle w:val="Referenciasutil"/>
          <w:rFonts w:ascii="Arial" w:hAnsi="Arial" w:cs="Arial"/>
          <w:sz w:val="16"/>
          <w:szCs w:val="16"/>
        </w:rPr>
        <w:t>Fuente: informe de resultados de la Fase I de la Misión de Sabios por Caldas- 2020-2021</w:t>
      </w:r>
    </w:p>
    <w:p w14:paraId="2B59D951" w14:textId="77777777" w:rsidR="006E549B" w:rsidRPr="00985A2D" w:rsidRDefault="006E549B" w:rsidP="006E549B">
      <w:pPr>
        <w:rPr>
          <w:rFonts w:ascii="Arial" w:hAnsi="Arial" w:cs="Arial"/>
          <w:szCs w:val="22"/>
        </w:rPr>
      </w:pPr>
    </w:p>
    <w:p w14:paraId="68ECFC0F" w14:textId="01FBECA3" w:rsidR="006809C2" w:rsidRPr="00985A2D" w:rsidRDefault="006E549B" w:rsidP="006E549B">
      <w:pPr>
        <w:pStyle w:val="Ttulo2"/>
        <w:rPr>
          <w:rFonts w:ascii="Arial" w:hAnsi="Arial" w:cs="Arial"/>
          <w:sz w:val="22"/>
          <w:szCs w:val="22"/>
        </w:rPr>
      </w:pPr>
      <w:r w:rsidRPr="00985A2D">
        <w:rPr>
          <w:rFonts w:ascii="Arial" w:hAnsi="Arial" w:cs="Arial"/>
          <w:sz w:val="22"/>
          <w:szCs w:val="22"/>
        </w:rPr>
        <w:t>Tecnologías</w:t>
      </w:r>
    </w:p>
    <w:p w14:paraId="5033DF5A" w14:textId="38B1C8E9" w:rsidR="006E549B" w:rsidRPr="00985A2D" w:rsidRDefault="006E549B" w:rsidP="006E549B">
      <w:pPr>
        <w:rPr>
          <w:rFonts w:ascii="Arial" w:hAnsi="Arial" w:cs="Arial"/>
          <w:szCs w:val="22"/>
        </w:rPr>
      </w:pPr>
    </w:p>
    <w:p w14:paraId="2EAB6E2A" w14:textId="77777777" w:rsidR="006E549B" w:rsidRPr="00985A2D" w:rsidRDefault="006E549B" w:rsidP="006E549B">
      <w:pPr>
        <w:rPr>
          <w:rFonts w:ascii="Arial" w:hAnsi="Arial" w:cs="Arial"/>
          <w:szCs w:val="22"/>
        </w:rPr>
      </w:pPr>
      <w:r w:rsidRPr="00985A2D">
        <w:rPr>
          <w:rFonts w:ascii="Arial" w:hAnsi="Arial" w:cs="Arial"/>
          <w:szCs w:val="22"/>
        </w:rPr>
        <w:t>Para el caso de las tecnologías ofertadas en el Departamento de Caldas, se cuenta con un total de 139 programas. La mayoría se encuentra dentro del núcleo de conocimiento de la Ingeniería, arquitectura, urbanismo y afines. En segundo lugar, los programas se encuentran dentro de la economía, administración, contaduría y afines y en tercer lugar aquellos que tienen que ver con la Agronomía, veterinaria y afines.</w:t>
      </w:r>
    </w:p>
    <w:p w14:paraId="1775661F" w14:textId="3250C321" w:rsidR="006E549B" w:rsidRPr="00985A2D" w:rsidRDefault="006E549B" w:rsidP="006E549B">
      <w:pPr>
        <w:rPr>
          <w:rFonts w:ascii="Arial" w:hAnsi="Arial" w:cs="Arial"/>
          <w:szCs w:val="22"/>
        </w:rPr>
      </w:pPr>
    </w:p>
    <w:p w14:paraId="5F5AA560" w14:textId="54558368" w:rsidR="006E549B" w:rsidRPr="00985A2D" w:rsidRDefault="006E549B" w:rsidP="006E549B">
      <w:pPr>
        <w:rPr>
          <w:rFonts w:ascii="Arial" w:hAnsi="Arial" w:cs="Arial"/>
          <w:b/>
          <w:bCs/>
          <w:szCs w:val="22"/>
        </w:rPr>
      </w:pPr>
      <w:r w:rsidRPr="00985A2D">
        <w:rPr>
          <w:rFonts w:ascii="Arial" w:hAnsi="Arial" w:cs="Arial"/>
          <w:b/>
          <w:bCs/>
          <w:szCs w:val="22"/>
        </w:rPr>
        <w:lastRenderedPageBreak/>
        <w:t xml:space="preserve">Gráfica </w:t>
      </w:r>
      <w:r w:rsidRPr="00985A2D">
        <w:rPr>
          <w:rFonts w:ascii="Arial" w:hAnsi="Arial" w:cs="Arial"/>
          <w:b/>
          <w:bCs/>
          <w:szCs w:val="22"/>
        </w:rPr>
        <w:fldChar w:fldCharType="begin"/>
      </w:r>
      <w:r w:rsidRPr="00985A2D">
        <w:rPr>
          <w:rFonts w:ascii="Arial" w:hAnsi="Arial" w:cs="Arial"/>
          <w:b/>
          <w:bCs/>
          <w:szCs w:val="22"/>
        </w:rPr>
        <w:instrText xml:space="preserve"> SEQ Gráfica \* ARABIC </w:instrText>
      </w:r>
      <w:r w:rsidRPr="00985A2D">
        <w:rPr>
          <w:rFonts w:ascii="Arial" w:hAnsi="Arial" w:cs="Arial"/>
          <w:b/>
          <w:bCs/>
          <w:szCs w:val="22"/>
        </w:rPr>
        <w:fldChar w:fldCharType="separate"/>
      </w:r>
      <w:r w:rsidR="009F20F0">
        <w:rPr>
          <w:rFonts w:ascii="Arial" w:hAnsi="Arial" w:cs="Arial"/>
          <w:b/>
          <w:bCs/>
          <w:noProof/>
          <w:szCs w:val="22"/>
        </w:rPr>
        <w:t>7</w:t>
      </w:r>
      <w:r w:rsidRPr="00985A2D">
        <w:rPr>
          <w:rFonts w:ascii="Arial" w:hAnsi="Arial" w:cs="Arial"/>
          <w:b/>
          <w:bCs/>
          <w:szCs w:val="22"/>
        </w:rPr>
        <w:fldChar w:fldCharType="end"/>
      </w:r>
      <w:r w:rsidRPr="00985A2D">
        <w:rPr>
          <w:rFonts w:ascii="Arial" w:hAnsi="Arial" w:cs="Arial"/>
          <w:b/>
          <w:bCs/>
          <w:szCs w:val="22"/>
        </w:rPr>
        <w:t xml:space="preserve"> Número de Programas de Tecnología por Núcleo de Conocimiento</w:t>
      </w:r>
    </w:p>
    <w:p w14:paraId="49476898" w14:textId="2CCA4B7E" w:rsidR="006E549B" w:rsidRPr="00985A2D" w:rsidRDefault="006E549B" w:rsidP="003F3D36">
      <w:pPr>
        <w:jc w:val="center"/>
        <w:rPr>
          <w:rFonts w:ascii="Arial" w:hAnsi="Arial" w:cs="Arial"/>
          <w:szCs w:val="22"/>
        </w:rPr>
      </w:pPr>
      <w:r w:rsidRPr="00985A2D">
        <w:rPr>
          <w:rFonts w:ascii="Arial" w:hAnsi="Arial" w:cs="Arial"/>
          <w:noProof/>
          <w:szCs w:val="22"/>
          <w:lang w:eastAsia="es-CO"/>
        </w:rPr>
        <w:drawing>
          <wp:inline distT="0" distB="0" distL="0" distR="0" wp14:anchorId="040B21E1" wp14:editId="3A1F6D03">
            <wp:extent cx="4710022" cy="1880235"/>
            <wp:effectExtent l="0" t="0" r="14605" b="571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24CD57" w14:textId="77777777" w:rsidR="006E549B" w:rsidRPr="00C8330C" w:rsidRDefault="006E549B" w:rsidP="006E549B">
      <w:pPr>
        <w:rPr>
          <w:rStyle w:val="Referenciasutil"/>
          <w:rFonts w:ascii="Arial" w:hAnsi="Arial" w:cs="Arial"/>
          <w:sz w:val="16"/>
          <w:szCs w:val="16"/>
        </w:rPr>
      </w:pPr>
      <w:r w:rsidRPr="00C8330C">
        <w:rPr>
          <w:rStyle w:val="Referenciasutil"/>
          <w:rFonts w:ascii="Arial" w:hAnsi="Arial" w:cs="Arial"/>
          <w:sz w:val="16"/>
          <w:szCs w:val="16"/>
        </w:rPr>
        <w:t>Fuente: informe de resultados de la Fase I de la Misión de Sabios por Caldas- 2020-2021</w:t>
      </w:r>
    </w:p>
    <w:p w14:paraId="67BEE781" w14:textId="643DE7EF" w:rsidR="006E549B" w:rsidRPr="00985A2D" w:rsidRDefault="006E549B" w:rsidP="006E549B">
      <w:pPr>
        <w:rPr>
          <w:rFonts w:ascii="Arial" w:hAnsi="Arial" w:cs="Arial"/>
          <w:szCs w:val="22"/>
        </w:rPr>
      </w:pPr>
    </w:p>
    <w:p w14:paraId="35F7B6B5" w14:textId="44A5F716" w:rsidR="006E549B" w:rsidRPr="00985A2D" w:rsidRDefault="006E549B" w:rsidP="006E549B">
      <w:pPr>
        <w:pStyle w:val="Ttulo2"/>
        <w:rPr>
          <w:rFonts w:ascii="Arial" w:hAnsi="Arial" w:cs="Arial"/>
          <w:sz w:val="22"/>
          <w:szCs w:val="22"/>
        </w:rPr>
      </w:pPr>
      <w:r w:rsidRPr="00985A2D">
        <w:rPr>
          <w:rFonts w:ascii="Arial" w:hAnsi="Arial" w:cs="Arial"/>
          <w:sz w:val="22"/>
          <w:szCs w:val="22"/>
        </w:rPr>
        <w:t>Pregrado</w:t>
      </w:r>
    </w:p>
    <w:p w14:paraId="2E04DA3D" w14:textId="0B3533E6" w:rsidR="006E549B" w:rsidRPr="00985A2D" w:rsidRDefault="006E549B" w:rsidP="006E549B">
      <w:pPr>
        <w:rPr>
          <w:rFonts w:ascii="Arial" w:hAnsi="Arial" w:cs="Arial"/>
          <w:szCs w:val="22"/>
        </w:rPr>
      </w:pPr>
    </w:p>
    <w:p w14:paraId="46F7B70C" w14:textId="1FF283EF" w:rsidR="006E549B" w:rsidRPr="00985A2D" w:rsidRDefault="006E549B" w:rsidP="006E549B">
      <w:pPr>
        <w:rPr>
          <w:rFonts w:ascii="Arial" w:hAnsi="Arial" w:cs="Arial"/>
          <w:szCs w:val="22"/>
        </w:rPr>
      </w:pPr>
      <w:r w:rsidRPr="00985A2D">
        <w:rPr>
          <w:rFonts w:ascii="Arial" w:hAnsi="Arial" w:cs="Arial"/>
          <w:szCs w:val="22"/>
        </w:rPr>
        <w:t>El Departamento de Caldas cuenta con una oferta de 169 programas de pregrado, distribuidos en su mayoría en 3 grandes núcleos del conocimiento. En primer lugar, para el núcleo de Ingeniería, arquitectura, urbanismo y afines (43). Seguido de las Ciencias de la educación (37) y en tercer lugar para el núcleo de Economía, administración, contaduría y afines (35).</w:t>
      </w:r>
    </w:p>
    <w:p w14:paraId="3BA1D8C5" w14:textId="77777777" w:rsidR="00197864" w:rsidRPr="00985A2D" w:rsidRDefault="00197864" w:rsidP="006E549B">
      <w:pPr>
        <w:rPr>
          <w:rFonts w:ascii="Arial" w:hAnsi="Arial" w:cs="Arial"/>
          <w:szCs w:val="22"/>
        </w:rPr>
      </w:pPr>
    </w:p>
    <w:p w14:paraId="75CFF754" w14:textId="77777777" w:rsidR="00C8330C" w:rsidRDefault="00C8330C" w:rsidP="006E549B">
      <w:pPr>
        <w:rPr>
          <w:rFonts w:ascii="Arial" w:hAnsi="Arial" w:cs="Arial"/>
          <w:b/>
          <w:iCs/>
          <w:szCs w:val="22"/>
        </w:rPr>
      </w:pPr>
    </w:p>
    <w:p w14:paraId="0EDDD9BD" w14:textId="77777777" w:rsidR="00C8330C" w:rsidRDefault="00C8330C" w:rsidP="006E549B">
      <w:pPr>
        <w:rPr>
          <w:rFonts w:ascii="Arial" w:hAnsi="Arial" w:cs="Arial"/>
          <w:b/>
          <w:iCs/>
          <w:szCs w:val="22"/>
        </w:rPr>
      </w:pPr>
    </w:p>
    <w:p w14:paraId="6E892522" w14:textId="77777777" w:rsidR="00C8330C" w:rsidRDefault="00C8330C" w:rsidP="006E549B">
      <w:pPr>
        <w:rPr>
          <w:rFonts w:ascii="Arial" w:hAnsi="Arial" w:cs="Arial"/>
          <w:b/>
          <w:iCs/>
          <w:szCs w:val="22"/>
        </w:rPr>
      </w:pPr>
    </w:p>
    <w:p w14:paraId="40925464" w14:textId="77777777" w:rsidR="00C8330C" w:rsidRDefault="00C8330C" w:rsidP="006E549B">
      <w:pPr>
        <w:rPr>
          <w:rFonts w:ascii="Arial" w:hAnsi="Arial" w:cs="Arial"/>
          <w:b/>
          <w:iCs/>
          <w:szCs w:val="22"/>
        </w:rPr>
      </w:pPr>
    </w:p>
    <w:p w14:paraId="7D465081" w14:textId="77777777" w:rsidR="00C8330C" w:rsidRDefault="00C8330C" w:rsidP="006E549B">
      <w:pPr>
        <w:rPr>
          <w:rFonts w:ascii="Arial" w:hAnsi="Arial" w:cs="Arial"/>
          <w:b/>
          <w:iCs/>
          <w:szCs w:val="22"/>
        </w:rPr>
      </w:pPr>
    </w:p>
    <w:p w14:paraId="37C52E18" w14:textId="77777777" w:rsidR="00C8330C" w:rsidRDefault="00C8330C" w:rsidP="006E549B">
      <w:pPr>
        <w:rPr>
          <w:rFonts w:ascii="Arial" w:hAnsi="Arial" w:cs="Arial"/>
          <w:b/>
          <w:iCs/>
          <w:szCs w:val="22"/>
        </w:rPr>
      </w:pPr>
    </w:p>
    <w:p w14:paraId="0D818223" w14:textId="77777777" w:rsidR="00C8330C" w:rsidRDefault="00C8330C" w:rsidP="006E549B">
      <w:pPr>
        <w:rPr>
          <w:rFonts w:ascii="Arial" w:hAnsi="Arial" w:cs="Arial"/>
          <w:b/>
          <w:iCs/>
          <w:szCs w:val="22"/>
        </w:rPr>
      </w:pPr>
    </w:p>
    <w:p w14:paraId="654F64D5" w14:textId="683A9F10" w:rsidR="006E549B" w:rsidRPr="00985A2D" w:rsidRDefault="006E549B" w:rsidP="006E549B">
      <w:pPr>
        <w:rPr>
          <w:rFonts w:ascii="Arial" w:hAnsi="Arial" w:cs="Arial"/>
          <w:b/>
          <w:iCs/>
          <w:szCs w:val="22"/>
        </w:rPr>
      </w:pPr>
      <w:r w:rsidRPr="00985A2D">
        <w:rPr>
          <w:rFonts w:ascii="Arial" w:hAnsi="Arial" w:cs="Arial"/>
          <w:b/>
          <w:iCs/>
          <w:szCs w:val="22"/>
        </w:rPr>
        <w:t xml:space="preserve">Gráfica </w:t>
      </w:r>
      <w:r w:rsidRPr="00985A2D">
        <w:rPr>
          <w:rFonts w:ascii="Arial" w:hAnsi="Arial" w:cs="Arial"/>
          <w:b/>
          <w:iCs/>
          <w:szCs w:val="22"/>
        </w:rPr>
        <w:fldChar w:fldCharType="begin"/>
      </w:r>
      <w:r w:rsidRPr="00985A2D">
        <w:rPr>
          <w:rFonts w:ascii="Arial" w:hAnsi="Arial" w:cs="Arial"/>
          <w:b/>
          <w:iCs/>
          <w:szCs w:val="22"/>
        </w:rPr>
        <w:instrText xml:space="preserve"> SEQ Gráfica \* ARABIC </w:instrText>
      </w:r>
      <w:r w:rsidRPr="00985A2D">
        <w:rPr>
          <w:rFonts w:ascii="Arial" w:hAnsi="Arial" w:cs="Arial"/>
          <w:b/>
          <w:iCs/>
          <w:szCs w:val="22"/>
        </w:rPr>
        <w:fldChar w:fldCharType="separate"/>
      </w:r>
      <w:r w:rsidR="009F20F0">
        <w:rPr>
          <w:rFonts w:ascii="Arial" w:hAnsi="Arial" w:cs="Arial"/>
          <w:b/>
          <w:iCs/>
          <w:noProof/>
          <w:szCs w:val="22"/>
        </w:rPr>
        <w:t>8</w:t>
      </w:r>
      <w:r w:rsidRPr="00985A2D">
        <w:rPr>
          <w:rFonts w:ascii="Arial" w:hAnsi="Arial" w:cs="Arial"/>
          <w:szCs w:val="22"/>
        </w:rPr>
        <w:fldChar w:fldCharType="end"/>
      </w:r>
      <w:r w:rsidRPr="00985A2D">
        <w:rPr>
          <w:rFonts w:ascii="Arial" w:hAnsi="Arial" w:cs="Arial"/>
          <w:b/>
          <w:iCs/>
          <w:szCs w:val="22"/>
        </w:rPr>
        <w:t xml:space="preserve"> Número de Programas de Pregrado por Núcleo de Conocimiento</w:t>
      </w:r>
    </w:p>
    <w:p w14:paraId="74C2893F" w14:textId="77777777" w:rsidR="006E549B" w:rsidRPr="00985A2D" w:rsidRDefault="006E549B" w:rsidP="003F3D36">
      <w:pPr>
        <w:jc w:val="center"/>
        <w:rPr>
          <w:rFonts w:ascii="Arial" w:hAnsi="Arial" w:cs="Arial"/>
          <w:color w:val="808080" w:themeColor="background1" w:themeShade="80"/>
          <w:szCs w:val="22"/>
        </w:rPr>
      </w:pPr>
      <w:r w:rsidRPr="00985A2D">
        <w:rPr>
          <w:rFonts w:ascii="Arial" w:hAnsi="Arial" w:cs="Arial"/>
          <w:noProof/>
          <w:szCs w:val="22"/>
          <w:lang w:eastAsia="es-CO"/>
        </w:rPr>
        <w:lastRenderedPageBreak/>
        <w:drawing>
          <wp:inline distT="0" distB="0" distL="0" distR="0" wp14:anchorId="6C41A98C" wp14:editId="249252AA">
            <wp:extent cx="5483225" cy="1762125"/>
            <wp:effectExtent l="0" t="0" r="3175"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3A1FD2" w14:textId="01A36767" w:rsidR="006E549B" w:rsidRPr="00C8330C" w:rsidRDefault="006E549B" w:rsidP="006E549B">
      <w:pPr>
        <w:rPr>
          <w:rStyle w:val="Referenciasutil"/>
          <w:rFonts w:ascii="Arial" w:hAnsi="Arial" w:cs="Arial"/>
          <w:sz w:val="16"/>
          <w:szCs w:val="16"/>
        </w:rPr>
      </w:pPr>
      <w:r w:rsidRPr="00C8330C">
        <w:rPr>
          <w:rStyle w:val="Referenciasutil"/>
          <w:rFonts w:ascii="Arial" w:hAnsi="Arial" w:cs="Arial"/>
          <w:sz w:val="16"/>
          <w:szCs w:val="16"/>
        </w:rPr>
        <w:t>Fuente: informe de resultados de la Fase I de la Misión de Sabios por Caldas- 2020-2021</w:t>
      </w:r>
    </w:p>
    <w:p w14:paraId="71743013" w14:textId="728ED314" w:rsidR="006E549B" w:rsidRPr="00985A2D" w:rsidRDefault="006E549B" w:rsidP="006E549B">
      <w:pPr>
        <w:rPr>
          <w:rFonts w:ascii="Arial" w:hAnsi="Arial" w:cs="Arial"/>
          <w:szCs w:val="22"/>
        </w:rPr>
      </w:pPr>
    </w:p>
    <w:p w14:paraId="3BFC7048" w14:textId="0DA3DA63" w:rsidR="002A56FE" w:rsidRPr="00985A2D" w:rsidRDefault="002A56FE" w:rsidP="002A56FE">
      <w:pPr>
        <w:pStyle w:val="Ttulo2"/>
        <w:rPr>
          <w:rFonts w:ascii="Arial" w:hAnsi="Arial" w:cs="Arial"/>
          <w:sz w:val="22"/>
          <w:szCs w:val="22"/>
        </w:rPr>
      </w:pPr>
      <w:r w:rsidRPr="00985A2D">
        <w:rPr>
          <w:rFonts w:ascii="Arial" w:hAnsi="Arial" w:cs="Arial"/>
          <w:sz w:val="22"/>
          <w:szCs w:val="22"/>
        </w:rPr>
        <w:t>Posgrados</w:t>
      </w:r>
    </w:p>
    <w:p w14:paraId="61FDB8F8" w14:textId="5DADDF7E" w:rsidR="002A56FE" w:rsidRPr="00985A2D" w:rsidRDefault="002A56FE" w:rsidP="002A56FE">
      <w:pPr>
        <w:rPr>
          <w:rFonts w:ascii="Arial" w:hAnsi="Arial" w:cs="Arial"/>
          <w:szCs w:val="22"/>
        </w:rPr>
      </w:pPr>
    </w:p>
    <w:p w14:paraId="0C2E55EC" w14:textId="576087D4" w:rsidR="002A56FE" w:rsidRPr="00985A2D" w:rsidRDefault="002A56FE" w:rsidP="002A56FE">
      <w:pPr>
        <w:rPr>
          <w:rFonts w:ascii="Arial" w:hAnsi="Arial" w:cs="Arial"/>
          <w:szCs w:val="22"/>
        </w:rPr>
      </w:pPr>
      <w:r w:rsidRPr="00985A2D">
        <w:rPr>
          <w:rFonts w:ascii="Arial" w:hAnsi="Arial" w:cs="Arial"/>
          <w:szCs w:val="22"/>
        </w:rPr>
        <w:t>Para los posgrados ofertados en Caldas, tenemos que la mayoría de ellos se ubican en el núcleo de Economía, administración, contaduría y afines. En segundo lugar, se ubican los posgrados para el núcleo de las Ciencias Sociales y Humanas y en tercer lugar aquellos del núcleo de Ingeniería, Arquitectura, Urbanismo y afines.</w:t>
      </w:r>
    </w:p>
    <w:p w14:paraId="2D47AB94" w14:textId="318E2542" w:rsidR="00CE77CA" w:rsidRPr="00985A2D" w:rsidRDefault="00CE77CA" w:rsidP="002A56FE">
      <w:pPr>
        <w:rPr>
          <w:rFonts w:ascii="Arial" w:hAnsi="Arial" w:cs="Arial"/>
          <w:szCs w:val="22"/>
        </w:rPr>
      </w:pPr>
    </w:p>
    <w:p w14:paraId="2CCA8E09" w14:textId="59748371" w:rsidR="002A56FE" w:rsidRPr="00985A2D" w:rsidRDefault="002A56FE" w:rsidP="00C8330C">
      <w:pPr>
        <w:jc w:val="center"/>
        <w:rPr>
          <w:rFonts w:ascii="Arial" w:hAnsi="Arial" w:cs="Arial"/>
          <w:b/>
          <w:iCs/>
          <w:szCs w:val="22"/>
        </w:rPr>
      </w:pPr>
      <w:r w:rsidRPr="00985A2D">
        <w:rPr>
          <w:rFonts w:ascii="Arial" w:hAnsi="Arial" w:cs="Arial"/>
          <w:b/>
          <w:iCs/>
          <w:szCs w:val="22"/>
        </w:rPr>
        <w:t xml:space="preserve">Gráfica </w:t>
      </w:r>
      <w:r w:rsidRPr="00985A2D">
        <w:rPr>
          <w:rFonts w:ascii="Arial" w:hAnsi="Arial" w:cs="Arial"/>
          <w:b/>
          <w:iCs/>
          <w:szCs w:val="22"/>
        </w:rPr>
        <w:fldChar w:fldCharType="begin"/>
      </w:r>
      <w:r w:rsidRPr="00985A2D">
        <w:rPr>
          <w:rFonts w:ascii="Arial" w:hAnsi="Arial" w:cs="Arial"/>
          <w:b/>
          <w:iCs/>
          <w:szCs w:val="22"/>
        </w:rPr>
        <w:instrText xml:space="preserve"> SEQ Gráfica \* ARABIC </w:instrText>
      </w:r>
      <w:r w:rsidRPr="00985A2D">
        <w:rPr>
          <w:rFonts w:ascii="Arial" w:hAnsi="Arial" w:cs="Arial"/>
          <w:b/>
          <w:iCs/>
          <w:szCs w:val="22"/>
        </w:rPr>
        <w:fldChar w:fldCharType="separate"/>
      </w:r>
      <w:r w:rsidR="009F20F0">
        <w:rPr>
          <w:rFonts w:ascii="Arial" w:hAnsi="Arial" w:cs="Arial"/>
          <w:b/>
          <w:iCs/>
          <w:noProof/>
          <w:szCs w:val="22"/>
        </w:rPr>
        <w:t>9</w:t>
      </w:r>
      <w:r w:rsidRPr="00985A2D">
        <w:rPr>
          <w:rFonts w:ascii="Arial" w:hAnsi="Arial" w:cs="Arial"/>
          <w:szCs w:val="22"/>
        </w:rPr>
        <w:fldChar w:fldCharType="end"/>
      </w:r>
      <w:r w:rsidRPr="00985A2D">
        <w:rPr>
          <w:rFonts w:ascii="Arial" w:hAnsi="Arial" w:cs="Arial"/>
          <w:b/>
          <w:iCs/>
          <w:szCs w:val="22"/>
        </w:rPr>
        <w:t xml:space="preserve"> Número de Programas de Posgrado por Núcleo del Conocimiento</w:t>
      </w:r>
    </w:p>
    <w:p w14:paraId="3F17F391" w14:textId="2D6AB9CC" w:rsidR="002A56FE" w:rsidRPr="00985A2D" w:rsidRDefault="002A56FE" w:rsidP="002A56FE">
      <w:pPr>
        <w:rPr>
          <w:rFonts w:ascii="Arial" w:hAnsi="Arial" w:cs="Arial"/>
          <w:szCs w:val="22"/>
        </w:rPr>
      </w:pPr>
      <w:r w:rsidRPr="00985A2D">
        <w:rPr>
          <w:rFonts w:ascii="Arial" w:hAnsi="Arial" w:cs="Arial"/>
          <w:noProof/>
          <w:szCs w:val="22"/>
          <w:lang w:eastAsia="es-CO"/>
        </w:rPr>
        <w:drawing>
          <wp:inline distT="0" distB="0" distL="0" distR="0" wp14:anchorId="4AFF90CA" wp14:editId="29C2C40B">
            <wp:extent cx="5667375" cy="1524000"/>
            <wp:effectExtent l="0" t="0" r="9525"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BE2408" w14:textId="77777777" w:rsidR="002A56FE" w:rsidRPr="00C8330C" w:rsidRDefault="002A56FE" w:rsidP="002A56FE">
      <w:pPr>
        <w:rPr>
          <w:rStyle w:val="Referenciasutil"/>
          <w:rFonts w:ascii="Arial" w:hAnsi="Arial" w:cs="Arial"/>
          <w:sz w:val="16"/>
          <w:szCs w:val="16"/>
        </w:rPr>
      </w:pPr>
      <w:r w:rsidRPr="00C8330C">
        <w:rPr>
          <w:rStyle w:val="Referenciasutil"/>
          <w:rFonts w:ascii="Arial" w:hAnsi="Arial" w:cs="Arial"/>
          <w:sz w:val="16"/>
          <w:szCs w:val="16"/>
        </w:rPr>
        <w:t>Fuente: informe de resultados de la Fase I de la Misión de Sabios por Caldas- 2020-2021</w:t>
      </w:r>
    </w:p>
    <w:p w14:paraId="72669063" w14:textId="7036332E" w:rsidR="002A56FE" w:rsidRPr="00985A2D" w:rsidRDefault="002A56FE" w:rsidP="002A56FE">
      <w:pPr>
        <w:rPr>
          <w:rFonts w:ascii="Arial" w:hAnsi="Arial" w:cs="Arial"/>
          <w:szCs w:val="22"/>
        </w:rPr>
      </w:pPr>
    </w:p>
    <w:p w14:paraId="6059FC18" w14:textId="77777777" w:rsidR="002A56FE" w:rsidRPr="00985A2D" w:rsidRDefault="002A56FE" w:rsidP="002A56FE">
      <w:pPr>
        <w:rPr>
          <w:rFonts w:ascii="Arial" w:hAnsi="Arial" w:cs="Arial"/>
          <w:szCs w:val="22"/>
        </w:rPr>
      </w:pPr>
      <w:r w:rsidRPr="00985A2D">
        <w:rPr>
          <w:rFonts w:ascii="Arial" w:hAnsi="Arial" w:cs="Arial"/>
          <w:szCs w:val="22"/>
        </w:rPr>
        <w:t xml:space="preserve">De acuerdo con la metodología, continúa predominando la metodología presencial con el 81% de los estudiantes, la metodología virtual ocupa el segundo puesto con el 7% y los </w:t>
      </w:r>
      <w:r w:rsidRPr="00985A2D">
        <w:rPr>
          <w:rFonts w:ascii="Arial" w:hAnsi="Arial" w:cs="Arial"/>
          <w:szCs w:val="22"/>
        </w:rPr>
        <w:lastRenderedPageBreak/>
        <w:t>estudiantes bajo la metodología a distancia tradicional representan el 12% (ver la siguiente gráfica).</w:t>
      </w:r>
    </w:p>
    <w:p w14:paraId="6A566A1D" w14:textId="394560B5" w:rsidR="002A56FE" w:rsidRPr="00985A2D" w:rsidRDefault="002A56FE" w:rsidP="002A56FE">
      <w:pPr>
        <w:rPr>
          <w:rFonts w:ascii="Arial" w:hAnsi="Arial" w:cs="Arial"/>
          <w:szCs w:val="22"/>
        </w:rPr>
      </w:pPr>
    </w:p>
    <w:p w14:paraId="359BCC1B" w14:textId="22F7016C" w:rsidR="002A56FE" w:rsidRPr="00985A2D" w:rsidRDefault="002A56FE" w:rsidP="002A56FE">
      <w:pPr>
        <w:rPr>
          <w:rFonts w:ascii="Arial" w:hAnsi="Arial" w:cs="Arial"/>
          <w:szCs w:val="22"/>
        </w:rPr>
      </w:pPr>
      <w:r w:rsidRPr="00985A2D">
        <w:rPr>
          <w:rFonts w:ascii="Arial" w:hAnsi="Arial" w:cs="Arial"/>
          <w:noProof/>
          <w:szCs w:val="22"/>
          <w:lang w:eastAsia="es-CO"/>
        </w:rPr>
        <w:drawing>
          <wp:inline distT="0" distB="0" distL="0" distR="0" wp14:anchorId="1280BF28" wp14:editId="0B1B85FF">
            <wp:extent cx="5612130" cy="2152015"/>
            <wp:effectExtent l="0" t="0" r="7620" b="63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32B35E" w14:textId="77777777" w:rsidR="002A56FE" w:rsidRPr="00C8330C" w:rsidRDefault="002A56FE" w:rsidP="002A56FE">
      <w:pPr>
        <w:rPr>
          <w:rStyle w:val="Referenciasutil"/>
          <w:rFonts w:ascii="Arial" w:hAnsi="Arial" w:cs="Arial"/>
          <w:sz w:val="16"/>
          <w:szCs w:val="16"/>
        </w:rPr>
      </w:pPr>
      <w:r w:rsidRPr="00C8330C">
        <w:rPr>
          <w:rStyle w:val="Referenciasutil"/>
          <w:rFonts w:ascii="Arial" w:hAnsi="Arial" w:cs="Arial"/>
          <w:sz w:val="16"/>
          <w:szCs w:val="16"/>
        </w:rPr>
        <w:t>Fuente: MEN (SNIES)</w:t>
      </w:r>
    </w:p>
    <w:p w14:paraId="78FE4913" w14:textId="435F1638" w:rsidR="002A56FE" w:rsidRPr="00985A2D" w:rsidRDefault="002A56FE" w:rsidP="002A56FE">
      <w:pPr>
        <w:rPr>
          <w:rFonts w:ascii="Arial" w:hAnsi="Arial" w:cs="Arial"/>
          <w:szCs w:val="22"/>
        </w:rPr>
      </w:pPr>
    </w:p>
    <w:p w14:paraId="7C1F7BA2" w14:textId="77777777" w:rsidR="002A56FE" w:rsidRPr="00985A2D" w:rsidRDefault="002A56FE" w:rsidP="002A56FE">
      <w:pPr>
        <w:pStyle w:val="Ttulo3"/>
        <w:rPr>
          <w:rFonts w:ascii="Arial" w:hAnsi="Arial" w:cs="Arial"/>
          <w:b w:val="0"/>
          <w:bCs/>
          <w:szCs w:val="22"/>
        </w:rPr>
      </w:pPr>
      <w:bookmarkStart w:id="5" w:name="_Toc63342382"/>
      <w:bookmarkStart w:id="6" w:name="_Toc63343258"/>
      <w:bookmarkStart w:id="7" w:name="_Toc63666909"/>
      <w:r w:rsidRPr="00985A2D">
        <w:rPr>
          <w:rFonts w:ascii="Arial" w:hAnsi="Arial" w:cs="Arial"/>
          <w:bCs/>
          <w:szCs w:val="22"/>
        </w:rPr>
        <w:t>Estudiantes universitarios matriculados en IES con acreditación de alta calidad</w:t>
      </w:r>
      <w:bookmarkEnd w:id="5"/>
      <w:bookmarkEnd w:id="6"/>
      <w:bookmarkEnd w:id="7"/>
    </w:p>
    <w:p w14:paraId="31E44733" w14:textId="00B1D245" w:rsidR="002A56FE" w:rsidRPr="00985A2D" w:rsidRDefault="002A56FE" w:rsidP="00CA41BE">
      <w:pPr>
        <w:rPr>
          <w:rFonts w:ascii="Arial" w:hAnsi="Arial" w:cs="Arial"/>
          <w:szCs w:val="22"/>
        </w:rPr>
      </w:pPr>
    </w:p>
    <w:p w14:paraId="0C9DB887" w14:textId="77777777" w:rsidR="002A56FE" w:rsidRPr="00985A2D" w:rsidRDefault="002A56FE" w:rsidP="002A56FE">
      <w:pPr>
        <w:rPr>
          <w:rFonts w:ascii="Arial" w:hAnsi="Arial" w:cs="Arial"/>
          <w:szCs w:val="22"/>
        </w:rPr>
      </w:pPr>
      <w:r w:rsidRPr="00985A2D">
        <w:rPr>
          <w:rFonts w:ascii="Arial" w:hAnsi="Arial" w:cs="Arial"/>
          <w:szCs w:val="22"/>
        </w:rPr>
        <w:t xml:space="preserve">De acuerdo con Manizales Como Vamos (2021), con la acreditación de las cinco universidades con domicilio en la ciudad, Manizales se convierte en la ciudad con la mayor proporción de estudiantes matriculados en IES de acreditación de alta calidad, llegando casi al 100%. En efecto, como muestra la siguiente gráfica, el 92,7% de los estudiantes universitarios se encuentran matriculados en instituciones que cuentan con este reconocimiento y la proporción restante, son estudiantes que en 2019 se encontraban estudiando en IES que cuentan con una oferta educativa en la ciudad, pero su domicilio principal está ubicado en una ciudad distinta a Manizales. </w:t>
      </w:r>
    </w:p>
    <w:p w14:paraId="19BCB8F6" w14:textId="77777777" w:rsidR="002A56FE" w:rsidRPr="00985A2D" w:rsidRDefault="002A56FE" w:rsidP="002A56FE">
      <w:pPr>
        <w:rPr>
          <w:rFonts w:ascii="Arial" w:hAnsi="Arial" w:cs="Arial"/>
          <w:szCs w:val="22"/>
        </w:rPr>
      </w:pPr>
    </w:p>
    <w:p w14:paraId="78106565" w14:textId="77777777" w:rsidR="002A56FE" w:rsidRPr="00985A2D" w:rsidRDefault="002A56FE" w:rsidP="002A56FE">
      <w:pPr>
        <w:rPr>
          <w:rFonts w:ascii="Arial" w:hAnsi="Arial" w:cs="Arial"/>
          <w:szCs w:val="22"/>
        </w:rPr>
      </w:pPr>
      <w:r w:rsidRPr="00985A2D">
        <w:rPr>
          <w:rFonts w:ascii="Arial" w:hAnsi="Arial" w:cs="Arial"/>
          <w:szCs w:val="22"/>
        </w:rPr>
        <w:t xml:space="preserve">Nueve ciudades presentaron un avance importante en este indicador, destacándose especialmente Montería Manizales que ocupó el segundo lugar con el 81,9%. Manizales presentó un crecimiento de 5,8 puntos porcentuales, siendo plausible esperar un </w:t>
      </w:r>
      <w:r w:rsidRPr="00985A2D">
        <w:rPr>
          <w:rFonts w:ascii="Arial" w:hAnsi="Arial" w:cs="Arial"/>
          <w:szCs w:val="22"/>
        </w:rPr>
        <w:lastRenderedPageBreak/>
        <w:t>estancamiento en este indicador, el cual se movería de aquí adelante por cambios en la matrícula o por la acreditación de alguna IES con oferta en la ciudad, pero con domicilio por fuera de ella.</w:t>
      </w:r>
    </w:p>
    <w:p w14:paraId="280EBE17" w14:textId="77777777" w:rsidR="002A56FE" w:rsidRPr="00985A2D" w:rsidRDefault="002A56FE" w:rsidP="002A56FE">
      <w:pPr>
        <w:rPr>
          <w:rFonts w:ascii="Arial" w:hAnsi="Arial" w:cs="Arial"/>
          <w:szCs w:val="22"/>
        </w:rPr>
      </w:pPr>
    </w:p>
    <w:p w14:paraId="589F4F7F" w14:textId="62B7078F" w:rsidR="002A56FE" w:rsidRPr="00985A2D" w:rsidRDefault="002A56FE" w:rsidP="002A56FE">
      <w:pPr>
        <w:rPr>
          <w:rFonts w:ascii="Arial" w:hAnsi="Arial" w:cs="Arial"/>
          <w:szCs w:val="22"/>
        </w:rPr>
      </w:pPr>
      <w:r w:rsidRPr="00985A2D">
        <w:rPr>
          <w:rFonts w:ascii="Arial" w:hAnsi="Arial" w:cs="Arial"/>
          <w:szCs w:val="22"/>
        </w:rPr>
        <w:t xml:space="preserve">Pereira, Cali y Cúcuta presentaron un retroceso en el indicador de -3,1 y -5,5 y -4,2 puntos porcentuales. En el resto de </w:t>
      </w:r>
      <w:r w:rsidR="00CE77CA" w:rsidRPr="00985A2D">
        <w:rPr>
          <w:rFonts w:ascii="Arial" w:hAnsi="Arial" w:cs="Arial"/>
          <w:szCs w:val="22"/>
        </w:rPr>
        <w:t>las ciudades</w:t>
      </w:r>
      <w:r w:rsidRPr="00985A2D">
        <w:rPr>
          <w:rFonts w:ascii="Arial" w:hAnsi="Arial" w:cs="Arial"/>
          <w:szCs w:val="22"/>
        </w:rPr>
        <w:t>, el indicador permaneció relativamente estable con leves variaciones entre los años analizados.</w:t>
      </w:r>
    </w:p>
    <w:p w14:paraId="40DC5657" w14:textId="0D841E3C" w:rsidR="002A56FE" w:rsidRPr="00985A2D" w:rsidRDefault="002A56FE" w:rsidP="002A56FE">
      <w:pPr>
        <w:rPr>
          <w:rFonts w:ascii="Arial" w:hAnsi="Arial" w:cs="Arial"/>
          <w:szCs w:val="22"/>
        </w:rPr>
      </w:pPr>
    </w:p>
    <w:p w14:paraId="1615525E" w14:textId="56115440" w:rsidR="002A56FE" w:rsidRPr="00985A2D" w:rsidRDefault="002A56FE" w:rsidP="002A56FE">
      <w:pPr>
        <w:rPr>
          <w:rFonts w:ascii="Arial" w:hAnsi="Arial" w:cs="Arial"/>
          <w:b/>
          <w:szCs w:val="22"/>
        </w:rPr>
      </w:pPr>
      <w:bookmarkStart w:id="8" w:name="_Toc63666820"/>
      <w:r w:rsidRPr="00985A2D">
        <w:rPr>
          <w:rFonts w:ascii="Arial" w:hAnsi="Arial" w:cs="Arial"/>
          <w:b/>
          <w:szCs w:val="22"/>
        </w:rPr>
        <w:t xml:space="preserve">Gráfica </w:t>
      </w:r>
      <w:r w:rsidRPr="00985A2D">
        <w:rPr>
          <w:rFonts w:ascii="Arial" w:hAnsi="Arial" w:cs="Arial"/>
          <w:b/>
          <w:szCs w:val="22"/>
        </w:rPr>
        <w:fldChar w:fldCharType="begin"/>
      </w:r>
      <w:r w:rsidRPr="00985A2D">
        <w:rPr>
          <w:rFonts w:ascii="Arial" w:hAnsi="Arial" w:cs="Arial"/>
          <w:b/>
          <w:szCs w:val="22"/>
        </w:rPr>
        <w:instrText xml:space="preserve"> SEQ Gráfica \* ARABIC </w:instrText>
      </w:r>
      <w:r w:rsidRPr="00985A2D">
        <w:rPr>
          <w:rFonts w:ascii="Arial" w:hAnsi="Arial" w:cs="Arial"/>
          <w:b/>
          <w:szCs w:val="22"/>
        </w:rPr>
        <w:fldChar w:fldCharType="separate"/>
      </w:r>
      <w:r w:rsidR="009F20F0">
        <w:rPr>
          <w:rFonts w:ascii="Arial" w:hAnsi="Arial" w:cs="Arial"/>
          <w:b/>
          <w:noProof/>
          <w:szCs w:val="22"/>
        </w:rPr>
        <w:t>10</w:t>
      </w:r>
      <w:r w:rsidRPr="00985A2D">
        <w:rPr>
          <w:rFonts w:ascii="Arial" w:hAnsi="Arial" w:cs="Arial"/>
          <w:szCs w:val="22"/>
        </w:rPr>
        <w:fldChar w:fldCharType="end"/>
      </w:r>
      <w:r w:rsidRPr="00985A2D">
        <w:rPr>
          <w:rFonts w:ascii="Arial" w:hAnsi="Arial" w:cs="Arial"/>
          <w:b/>
          <w:szCs w:val="22"/>
        </w:rPr>
        <w:t>. Proporción de estudiantes del nivel universitario presencial matriculados en IES con acreditación institucional por ciudad (2016 y e l2019)</w:t>
      </w:r>
      <w:bookmarkEnd w:id="8"/>
    </w:p>
    <w:p w14:paraId="61C4F1ED" w14:textId="7F115EAD" w:rsidR="002A56FE" w:rsidRPr="00985A2D" w:rsidRDefault="002A56FE" w:rsidP="002A56FE">
      <w:pPr>
        <w:rPr>
          <w:rFonts w:ascii="Arial" w:hAnsi="Arial" w:cs="Arial"/>
          <w:szCs w:val="22"/>
        </w:rPr>
      </w:pPr>
      <w:r w:rsidRPr="00985A2D">
        <w:rPr>
          <w:rFonts w:ascii="Arial" w:hAnsi="Arial" w:cs="Arial"/>
          <w:noProof/>
          <w:szCs w:val="22"/>
          <w:lang w:eastAsia="es-CO"/>
        </w:rPr>
        <w:drawing>
          <wp:inline distT="0" distB="0" distL="0" distR="0" wp14:anchorId="228EE5D1" wp14:editId="1037B009">
            <wp:extent cx="5612130" cy="3371850"/>
            <wp:effectExtent l="0" t="0" r="7620" b="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C3EEE6" w14:textId="3C6A2C91" w:rsidR="002A56FE" w:rsidRDefault="002A56FE" w:rsidP="002A56FE">
      <w:pPr>
        <w:rPr>
          <w:rStyle w:val="Referenciasutil"/>
          <w:rFonts w:ascii="Arial" w:hAnsi="Arial" w:cs="Arial"/>
          <w:sz w:val="16"/>
          <w:szCs w:val="16"/>
        </w:rPr>
      </w:pPr>
      <w:r w:rsidRPr="00C8330C">
        <w:rPr>
          <w:rStyle w:val="Referenciasutil"/>
          <w:rFonts w:ascii="Arial" w:hAnsi="Arial" w:cs="Arial"/>
          <w:sz w:val="16"/>
          <w:szCs w:val="16"/>
        </w:rPr>
        <w:t xml:space="preserve">Fuente: Cálculos MCV con base en MEN-SNIES </w:t>
      </w:r>
    </w:p>
    <w:p w14:paraId="503C84D3" w14:textId="3CC07DCD" w:rsidR="00C8330C" w:rsidRDefault="00C8330C" w:rsidP="002A56FE">
      <w:pPr>
        <w:rPr>
          <w:rStyle w:val="Referenciasutil"/>
          <w:rFonts w:ascii="Arial" w:hAnsi="Arial" w:cs="Arial"/>
          <w:sz w:val="16"/>
          <w:szCs w:val="16"/>
        </w:rPr>
      </w:pPr>
    </w:p>
    <w:p w14:paraId="3FA6F192" w14:textId="028E4E8D" w:rsidR="00C8330C" w:rsidRDefault="00C8330C" w:rsidP="002A56FE">
      <w:pPr>
        <w:rPr>
          <w:rStyle w:val="Referenciasutil"/>
          <w:rFonts w:ascii="Arial" w:hAnsi="Arial" w:cs="Arial"/>
          <w:sz w:val="16"/>
          <w:szCs w:val="16"/>
        </w:rPr>
      </w:pPr>
    </w:p>
    <w:p w14:paraId="286828E7" w14:textId="77777777" w:rsidR="00C8330C" w:rsidRPr="00C8330C" w:rsidRDefault="00C8330C" w:rsidP="002A56FE">
      <w:pPr>
        <w:rPr>
          <w:rStyle w:val="Referenciasutil"/>
          <w:rFonts w:ascii="Arial" w:hAnsi="Arial" w:cs="Arial"/>
          <w:sz w:val="16"/>
          <w:szCs w:val="16"/>
        </w:rPr>
      </w:pPr>
    </w:p>
    <w:p w14:paraId="586A0869" w14:textId="2521BAC3" w:rsidR="002A56FE" w:rsidRPr="00985A2D" w:rsidRDefault="002A56FE" w:rsidP="002A56FE">
      <w:pPr>
        <w:pStyle w:val="Ttulo1"/>
        <w:rPr>
          <w:rFonts w:ascii="Arial" w:hAnsi="Arial" w:cs="Arial"/>
          <w:sz w:val="22"/>
          <w:szCs w:val="22"/>
        </w:rPr>
      </w:pPr>
      <w:r w:rsidRPr="00985A2D">
        <w:rPr>
          <w:rFonts w:ascii="Arial" w:hAnsi="Arial" w:cs="Arial"/>
          <w:sz w:val="22"/>
          <w:szCs w:val="22"/>
        </w:rPr>
        <w:lastRenderedPageBreak/>
        <w:t>Matricula por área de conocimiento</w:t>
      </w:r>
    </w:p>
    <w:p w14:paraId="1A069BD7" w14:textId="0A954826" w:rsidR="002A56FE" w:rsidRPr="00985A2D" w:rsidRDefault="002A56FE" w:rsidP="002A56FE">
      <w:pPr>
        <w:rPr>
          <w:rFonts w:ascii="Arial" w:hAnsi="Arial" w:cs="Arial"/>
          <w:szCs w:val="22"/>
        </w:rPr>
      </w:pPr>
    </w:p>
    <w:p w14:paraId="3A9F7D36" w14:textId="5FC6F859" w:rsidR="002A56FE" w:rsidRPr="00985A2D" w:rsidRDefault="002A56FE" w:rsidP="002A56FE">
      <w:pPr>
        <w:rPr>
          <w:rFonts w:ascii="Arial" w:hAnsi="Arial" w:cs="Arial"/>
          <w:szCs w:val="22"/>
        </w:rPr>
      </w:pPr>
      <w:r w:rsidRPr="00985A2D">
        <w:rPr>
          <w:rFonts w:ascii="Arial" w:hAnsi="Arial" w:cs="Arial"/>
          <w:szCs w:val="22"/>
        </w:rPr>
        <w:t xml:space="preserve">En el año 2021, la tercera parte de los estudiantes matriculados en una Institución de Educación Superior de </w:t>
      </w:r>
      <w:r w:rsidR="00CE77CA" w:rsidRPr="00985A2D">
        <w:rPr>
          <w:rFonts w:ascii="Arial" w:hAnsi="Arial" w:cs="Arial"/>
          <w:szCs w:val="22"/>
        </w:rPr>
        <w:t>Caldas</w:t>
      </w:r>
      <w:r w:rsidRPr="00985A2D">
        <w:rPr>
          <w:rFonts w:ascii="Arial" w:hAnsi="Arial" w:cs="Arial"/>
          <w:szCs w:val="22"/>
        </w:rPr>
        <w:t xml:space="preserve"> se inclinó por la economía, administración, contaduría y afines. Otra área por la que se inclinan es la ingeniería, arquitectura, urbanismo y afines con el 26%. Las ciencias sociales y humanas han ganado participación con el 18%. En cuarto lugar se ubican las ciencias de la salud, con una proporción similar las ciencias de la salud. Las áreas de matemáticas y ciencias naturales, así como las bellas artes y la agronomía y veterinaria, son áreas del conocimiento poco consolidados entre los estudiantes del departamento.</w:t>
      </w:r>
    </w:p>
    <w:p w14:paraId="1BFD8065" w14:textId="71E8E372" w:rsidR="002A56FE" w:rsidRPr="00985A2D" w:rsidRDefault="002A56FE" w:rsidP="002A56FE">
      <w:pPr>
        <w:rPr>
          <w:rFonts w:ascii="Arial" w:hAnsi="Arial" w:cs="Arial"/>
          <w:szCs w:val="22"/>
        </w:rPr>
      </w:pPr>
    </w:p>
    <w:p w14:paraId="2825C0A2" w14:textId="2B702A27" w:rsidR="002A56FE" w:rsidRDefault="002A56FE" w:rsidP="002A56FE">
      <w:pPr>
        <w:rPr>
          <w:rFonts w:ascii="Arial" w:hAnsi="Arial" w:cs="Arial"/>
          <w:b/>
          <w:iCs/>
          <w:szCs w:val="22"/>
        </w:rPr>
      </w:pPr>
      <w:r w:rsidRPr="00985A2D">
        <w:rPr>
          <w:rFonts w:ascii="Arial" w:hAnsi="Arial" w:cs="Arial"/>
          <w:b/>
          <w:iCs/>
          <w:szCs w:val="22"/>
        </w:rPr>
        <w:t xml:space="preserve">Gráfica </w:t>
      </w:r>
      <w:r w:rsidRPr="00985A2D">
        <w:rPr>
          <w:rFonts w:ascii="Arial" w:hAnsi="Arial" w:cs="Arial"/>
          <w:b/>
          <w:iCs/>
          <w:szCs w:val="22"/>
        </w:rPr>
        <w:fldChar w:fldCharType="begin"/>
      </w:r>
      <w:r w:rsidRPr="00985A2D">
        <w:rPr>
          <w:rFonts w:ascii="Arial" w:hAnsi="Arial" w:cs="Arial"/>
          <w:b/>
          <w:iCs/>
          <w:szCs w:val="22"/>
        </w:rPr>
        <w:instrText xml:space="preserve"> SEQ Gráfica \* ARABIC </w:instrText>
      </w:r>
      <w:r w:rsidRPr="00985A2D">
        <w:rPr>
          <w:rFonts w:ascii="Arial" w:hAnsi="Arial" w:cs="Arial"/>
          <w:b/>
          <w:iCs/>
          <w:szCs w:val="22"/>
        </w:rPr>
        <w:fldChar w:fldCharType="separate"/>
      </w:r>
      <w:r w:rsidR="009F20F0">
        <w:rPr>
          <w:rFonts w:ascii="Arial" w:hAnsi="Arial" w:cs="Arial"/>
          <w:b/>
          <w:iCs/>
          <w:noProof/>
          <w:szCs w:val="22"/>
        </w:rPr>
        <w:t>11</w:t>
      </w:r>
      <w:r w:rsidRPr="00985A2D">
        <w:rPr>
          <w:rFonts w:ascii="Arial" w:hAnsi="Arial" w:cs="Arial"/>
          <w:szCs w:val="22"/>
        </w:rPr>
        <w:fldChar w:fldCharType="end"/>
      </w:r>
      <w:r w:rsidRPr="00985A2D">
        <w:rPr>
          <w:rFonts w:ascii="Arial" w:hAnsi="Arial" w:cs="Arial"/>
          <w:b/>
          <w:iCs/>
          <w:szCs w:val="22"/>
        </w:rPr>
        <w:t xml:space="preserve"> Matrícula por área de conocimiento (2021)</w:t>
      </w:r>
    </w:p>
    <w:p w14:paraId="7B17640A" w14:textId="77777777" w:rsidR="00C8330C" w:rsidRPr="00985A2D" w:rsidRDefault="00C8330C" w:rsidP="002A56FE">
      <w:pPr>
        <w:rPr>
          <w:rFonts w:ascii="Arial" w:hAnsi="Arial" w:cs="Arial"/>
          <w:b/>
          <w:iCs/>
          <w:szCs w:val="22"/>
        </w:rPr>
      </w:pPr>
    </w:p>
    <w:p w14:paraId="0E6A8966" w14:textId="42ED9AF2" w:rsidR="002A56FE" w:rsidRPr="00985A2D" w:rsidRDefault="002A56FE" w:rsidP="00DE30EC">
      <w:pPr>
        <w:jc w:val="center"/>
        <w:rPr>
          <w:rFonts w:ascii="Arial" w:hAnsi="Arial" w:cs="Arial"/>
          <w:szCs w:val="22"/>
        </w:rPr>
      </w:pPr>
      <w:r w:rsidRPr="00985A2D">
        <w:rPr>
          <w:rFonts w:ascii="Arial" w:hAnsi="Arial" w:cs="Arial"/>
          <w:noProof/>
          <w:szCs w:val="22"/>
          <w:lang w:eastAsia="es-CO"/>
        </w:rPr>
        <w:drawing>
          <wp:inline distT="0" distB="0" distL="0" distR="0" wp14:anchorId="29B18A83" wp14:editId="3A15717B">
            <wp:extent cx="5714365" cy="2669540"/>
            <wp:effectExtent l="0" t="0" r="635"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15B38C" w14:textId="77777777" w:rsidR="002A56FE" w:rsidRPr="00C8330C" w:rsidRDefault="002A56FE" w:rsidP="002A56FE">
      <w:pPr>
        <w:rPr>
          <w:rStyle w:val="Referenciasutil"/>
          <w:rFonts w:ascii="Arial" w:hAnsi="Arial" w:cs="Arial"/>
          <w:sz w:val="16"/>
          <w:szCs w:val="16"/>
        </w:rPr>
      </w:pPr>
      <w:r w:rsidRPr="00C8330C">
        <w:rPr>
          <w:rStyle w:val="Referenciasutil"/>
          <w:rFonts w:ascii="Arial" w:hAnsi="Arial" w:cs="Arial"/>
          <w:sz w:val="16"/>
          <w:szCs w:val="16"/>
        </w:rPr>
        <w:t>Fuente: MEN (SNIES)</w:t>
      </w:r>
    </w:p>
    <w:p w14:paraId="52FBF2CA" w14:textId="269E0D32" w:rsidR="002A56FE" w:rsidRPr="00985A2D" w:rsidRDefault="002A56FE" w:rsidP="002A56FE">
      <w:pPr>
        <w:rPr>
          <w:rFonts w:ascii="Arial" w:hAnsi="Arial" w:cs="Arial"/>
          <w:szCs w:val="22"/>
        </w:rPr>
      </w:pPr>
    </w:p>
    <w:p w14:paraId="186CFA87" w14:textId="77777777" w:rsidR="002A56FE" w:rsidRPr="00985A2D" w:rsidRDefault="002A56FE" w:rsidP="002A56FE">
      <w:pPr>
        <w:rPr>
          <w:rFonts w:ascii="Arial" w:hAnsi="Arial" w:cs="Arial"/>
          <w:szCs w:val="22"/>
        </w:rPr>
      </w:pPr>
    </w:p>
    <w:p w14:paraId="192E3ABC" w14:textId="5379C58B" w:rsidR="002A56FE" w:rsidRPr="00985A2D" w:rsidRDefault="002A56FE" w:rsidP="002A56FE">
      <w:pPr>
        <w:pStyle w:val="Ttulo1"/>
        <w:rPr>
          <w:rFonts w:ascii="Arial" w:hAnsi="Arial" w:cs="Arial"/>
          <w:sz w:val="22"/>
          <w:szCs w:val="22"/>
        </w:rPr>
      </w:pPr>
      <w:r w:rsidRPr="00985A2D">
        <w:rPr>
          <w:rFonts w:ascii="Arial" w:hAnsi="Arial" w:cs="Arial"/>
          <w:sz w:val="22"/>
          <w:szCs w:val="22"/>
        </w:rPr>
        <w:lastRenderedPageBreak/>
        <w:t>Población con título de educación superior</w:t>
      </w:r>
    </w:p>
    <w:p w14:paraId="019C348D" w14:textId="6098AA89" w:rsidR="002A56FE" w:rsidRPr="00985A2D" w:rsidRDefault="002A56FE" w:rsidP="002A56FE">
      <w:pPr>
        <w:rPr>
          <w:rFonts w:ascii="Arial" w:hAnsi="Arial" w:cs="Arial"/>
          <w:szCs w:val="22"/>
        </w:rPr>
      </w:pPr>
    </w:p>
    <w:p w14:paraId="50AA968B" w14:textId="77777777" w:rsidR="002A56FE" w:rsidRPr="00985A2D" w:rsidRDefault="002A56FE" w:rsidP="002A56FE">
      <w:pPr>
        <w:rPr>
          <w:rFonts w:ascii="Arial" w:hAnsi="Arial" w:cs="Arial"/>
          <w:szCs w:val="22"/>
        </w:rPr>
      </w:pPr>
      <w:r w:rsidRPr="00985A2D">
        <w:rPr>
          <w:rFonts w:ascii="Arial" w:hAnsi="Arial" w:cs="Arial"/>
          <w:szCs w:val="22"/>
        </w:rPr>
        <w:t>El departamento anualmente logra graduar un promedio de 10.500 estudiantes en todos los niveles de formación, reflejo de la vocación universitaria de la capital. El 75.5% de los graduados lo hicieron en pregrado y el 24.5% corresponde a graduados de posgrado. Si se compara frente al año 2015, en el que el número de graduados alcanzó 8.576, la diferencia de 2.252 graduados adicionales (+26%), representa un incremento en el nivel educativo de la población en general, puesto que si bien, muchos emigran o retornan a su lugar de origen, otros prefieren vincularse al mercado laboral de la ciudad.</w:t>
      </w:r>
    </w:p>
    <w:p w14:paraId="3B5E44FD" w14:textId="77777777" w:rsidR="002A56FE" w:rsidRPr="00985A2D" w:rsidRDefault="002A56FE" w:rsidP="002A56FE">
      <w:pPr>
        <w:rPr>
          <w:rFonts w:ascii="Arial" w:hAnsi="Arial" w:cs="Arial"/>
          <w:b/>
          <w:iCs/>
          <w:szCs w:val="22"/>
        </w:rPr>
      </w:pPr>
    </w:p>
    <w:p w14:paraId="033F8C77" w14:textId="785D89E3" w:rsidR="002A56FE" w:rsidRPr="00985A2D" w:rsidRDefault="002A56FE" w:rsidP="002A56FE">
      <w:pPr>
        <w:rPr>
          <w:rFonts w:ascii="Arial" w:hAnsi="Arial" w:cs="Arial"/>
          <w:b/>
          <w:iCs/>
          <w:szCs w:val="22"/>
        </w:rPr>
      </w:pPr>
      <w:r w:rsidRPr="00985A2D">
        <w:rPr>
          <w:rFonts w:ascii="Arial" w:hAnsi="Arial" w:cs="Arial"/>
          <w:b/>
          <w:iCs/>
          <w:szCs w:val="22"/>
        </w:rPr>
        <w:t xml:space="preserve">Tabla </w:t>
      </w:r>
      <w:r w:rsidR="0009503A" w:rsidRPr="00985A2D">
        <w:rPr>
          <w:rFonts w:ascii="Arial" w:hAnsi="Arial" w:cs="Arial"/>
          <w:b/>
          <w:iCs/>
          <w:szCs w:val="22"/>
        </w:rPr>
        <w:t>10</w:t>
      </w:r>
      <w:r w:rsidRPr="00985A2D">
        <w:rPr>
          <w:rFonts w:ascii="Arial" w:hAnsi="Arial" w:cs="Arial"/>
          <w:b/>
          <w:iCs/>
          <w:szCs w:val="22"/>
        </w:rPr>
        <w:t xml:space="preserve"> Graduados por nivel de formación (2015 – 2021)</w:t>
      </w:r>
    </w:p>
    <w:tbl>
      <w:tblPr>
        <w:tblW w:w="5000" w:type="pct"/>
        <w:tblCellMar>
          <w:left w:w="70" w:type="dxa"/>
          <w:right w:w="70" w:type="dxa"/>
        </w:tblCellMar>
        <w:tblLook w:val="04A0" w:firstRow="1" w:lastRow="0" w:firstColumn="1" w:lastColumn="0" w:noHBand="0" w:noVBand="1"/>
      </w:tblPr>
      <w:tblGrid>
        <w:gridCol w:w="2447"/>
        <w:gridCol w:w="942"/>
        <w:gridCol w:w="1012"/>
        <w:gridCol w:w="882"/>
        <w:gridCol w:w="882"/>
        <w:gridCol w:w="891"/>
        <w:gridCol w:w="891"/>
        <w:gridCol w:w="871"/>
      </w:tblGrid>
      <w:tr w:rsidR="002A56FE" w:rsidRPr="00C8330C" w14:paraId="2016BA29" w14:textId="77777777" w:rsidTr="002A56FE">
        <w:trPr>
          <w:trHeight w:val="390"/>
          <w:tblHeader/>
        </w:trPr>
        <w:tc>
          <w:tcPr>
            <w:tcW w:w="1388" w:type="pct"/>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15F516DD" w14:textId="77777777" w:rsidR="002A56FE" w:rsidRPr="00C8330C" w:rsidRDefault="002A56FE" w:rsidP="002A56FE">
            <w:pPr>
              <w:rPr>
                <w:rFonts w:ascii="Arial" w:hAnsi="Arial" w:cs="Arial"/>
                <w:b/>
                <w:bCs/>
                <w:sz w:val="20"/>
                <w:szCs w:val="20"/>
              </w:rPr>
            </w:pPr>
            <w:r w:rsidRPr="00C8330C">
              <w:rPr>
                <w:rFonts w:ascii="Arial" w:hAnsi="Arial" w:cs="Arial"/>
                <w:b/>
                <w:bCs/>
                <w:sz w:val="20"/>
                <w:szCs w:val="20"/>
              </w:rPr>
              <w:t>Nivel de Formación</w:t>
            </w:r>
          </w:p>
        </w:tc>
        <w:tc>
          <w:tcPr>
            <w:tcW w:w="534" w:type="pct"/>
            <w:tcBorders>
              <w:top w:val="single" w:sz="8" w:space="0" w:color="3366CC"/>
              <w:left w:val="nil"/>
              <w:bottom w:val="single" w:sz="8" w:space="0" w:color="3366CC"/>
              <w:right w:val="single" w:sz="4" w:space="0" w:color="A6A6A6"/>
            </w:tcBorders>
            <w:shd w:val="clear" w:color="000000" w:fill="DDEBF7"/>
            <w:vAlign w:val="center"/>
            <w:hideMark/>
          </w:tcPr>
          <w:p w14:paraId="767ADE85" w14:textId="77777777" w:rsidR="002A56FE" w:rsidRPr="00C8330C" w:rsidRDefault="002A56FE" w:rsidP="002A56FE">
            <w:pPr>
              <w:rPr>
                <w:rFonts w:ascii="Arial" w:hAnsi="Arial" w:cs="Arial"/>
                <w:b/>
                <w:bCs/>
                <w:sz w:val="20"/>
                <w:szCs w:val="20"/>
              </w:rPr>
            </w:pPr>
            <w:r w:rsidRPr="00C8330C">
              <w:rPr>
                <w:rFonts w:ascii="Arial" w:hAnsi="Arial" w:cs="Arial"/>
                <w:b/>
                <w:bCs/>
                <w:sz w:val="20"/>
                <w:szCs w:val="20"/>
              </w:rPr>
              <w:t>2015</w:t>
            </w:r>
          </w:p>
        </w:tc>
        <w:tc>
          <w:tcPr>
            <w:tcW w:w="574" w:type="pct"/>
            <w:tcBorders>
              <w:top w:val="single" w:sz="8" w:space="0" w:color="3366CC"/>
              <w:left w:val="nil"/>
              <w:bottom w:val="single" w:sz="8" w:space="0" w:color="3366CC"/>
              <w:right w:val="single" w:sz="4" w:space="0" w:color="A6A6A6"/>
            </w:tcBorders>
            <w:shd w:val="clear" w:color="000000" w:fill="DDEBF7"/>
            <w:vAlign w:val="center"/>
            <w:hideMark/>
          </w:tcPr>
          <w:p w14:paraId="62B78408" w14:textId="77777777" w:rsidR="002A56FE" w:rsidRPr="00C8330C" w:rsidRDefault="002A56FE" w:rsidP="002A56FE">
            <w:pPr>
              <w:rPr>
                <w:rFonts w:ascii="Arial" w:hAnsi="Arial" w:cs="Arial"/>
                <w:b/>
                <w:bCs/>
                <w:sz w:val="20"/>
                <w:szCs w:val="20"/>
              </w:rPr>
            </w:pPr>
            <w:r w:rsidRPr="00C8330C">
              <w:rPr>
                <w:rFonts w:ascii="Arial" w:hAnsi="Arial" w:cs="Arial"/>
                <w:b/>
                <w:bCs/>
                <w:sz w:val="20"/>
                <w:szCs w:val="20"/>
              </w:rPr>
              <w:t>2016</w:t>
            </w:r>
          </w:p>
        </w:tc>
        <w:tc>
          <w:tcPr>
            <w:tcW w:w="500" w:type="pct"/>
            <w:tcBorders>
              <w:top w:val="single" w:sz="8" w:space="0" w:color="3366CC"/>
              <w:left w:val="nil"/>
              <w:bottom w:val="single" w:sz="8" w:space="0" w:color="3366CC"/>
              <w:right w:val="nil"/>
            </w:tcBorders>
            <w:shd w:val="clear" w:color="000000" w:fill="DDEBF7"/>
            <w:vAlign w:val="center"/>
            <w:hideMark/>
          </w:tcPr>
          <w:p w14:paraId="35512084" w14:textId="77777777" w:rsidR="002A56FE" w:rsidRPr="00C8330C" w:rsidRDefault="002A56FE" w:rsidP="002A56FE">
            <w:pPr>
              <w:rPr>
                <w:rFonts w:ascii="Arial" w:hAnsi="Arial" w:cs="Arial"/>
                <w:b/>
                <w:bCs/>
                <w:sz w:val="20"/>
                <w:szCs w:val="20"/>
              </w:rPr>
            </w:pPr>
            <w:r w:rsidRPr="00C8330C">
              <w:rPr>
                <w:rFonts w:ascii="Arial" w:hAnsi="Arial" w:cs="Arial"/>
                <w:b/>
                <w:bCs/>
                <w:sz w:val="20"/>
                <w:szCs w:val="20"/>
              </w:rPr>
              <w:t>2017</w:t>
            </w:r>
          </w:p>
        </w:tc>
        <w:tc>
          <w:tcPr>
            <w:tcW w:w="500" w:type="pct"/>
            <w:tcBorders>
              <w:top w:val="single" w:sz="8" w:space="0" w:color="3366CC"/>
              <w:left w:val="nil"/>
              <w:bottom w:val="single" w:sz="8" w:space="0" w:color="3366CC"/>
              <w:right w:val="single" w:sz="4" w:space="0" w:color="A6A6A6"/>
            </w:tcBorders>
            <w:shd w:val="clear" w:color="000000" w:fill="DDEBF7"/>
            <w:vAlign w:val="center"/>
            <w:hideMark/>
          </w:tcPr>
          <w:p w14:paraId="04593A3A" w14:textId="77777777" w:rsidR="002A56FE" w:rsidRPr="00C8330C" w:rsidRDefault="002A56FE" w:rsidP="002A56FE">
            <w:pPr>
              <w:rPr>
                <w:rFonts w:ascii="Arial" w:hAnsi="Arial" w:cs="Arial"/>
                <w:b/>
                <w:bCs/>
                <w:sz w:val="20"/>
                <w:szCs w:val="20"/>
              </w:rPr>
            </w:pPr>
            <w:r w:rsidRPr="00C8330C">
              <w:rPr>
                <w:rFonts w:ascii="Arial" w:hAnsi="Arial" w:cs="Arial"/>
                <w:b/>
                <w:bCs/>
                <w:sz w:val="20"/>
                <w:szCs w:val="20"/>
              </w:rPr>
              <w:t>2018</w:t>
            </w:r>
          </w:p>
        </w:tc>
        <w:tc>
          <w:tcPr>
            <w:tcW w:w="505" w:type="pct"/>
            <w:tcBorders>
              <w:top w:val="single" w:sz="8" w:space="0" w:color="3366CC"/>
              <w:left w:val="nil"/>
              <w:bottom w:val="single" w:sz="8" w:space="0" w:color="3366CC"/>
              <w:right w:val="single" w:sz="4" w:space="0" w:color="A6A6A6"/>
            </w:tcBorders>
            <w:shd w:val="clear" w:color="000000" w:fill="DDEBF7"/>
            <w:vAlign w:val="center"/>
            <w:hideMark/>
          </w:tcPr>
          <w:p w14:paraId="6E1B877A" w14:textId="77777777" w:rsidR="002A56FE" w:rsidRPr="00C8330C" w:rsidRDefault="002A56FE" w:rsidP="002A56FE">
            <w:pPr>
              <w:rPr>
                <w:rFonts w:ascii="Arial" w:hAnsi="Arial" w:cs="Arial"/>
                <w:b/>
                <w:bCs/>
                <w:sz w:val="20"/>
                <w:szCs w:val="20"/>
              </w:rPr>
            </w:pPr>
            <w:r w:rsidRPr="00C8330C">
              <w:rPr>
                <w:rFonts w:ascii="Arial" w:hAnsi="Arial" w:cs="Arial"/>
                <w:b/>
                <w:bCs/>
                <w:sz w:val="20"/>
                <w:szCs w:val="20"/>
              </w:rPr>
              <w:t>2019</w:t>
            </w:r>
          </w:p>
        </w:tc>
        <w:tc>
          <w:tcPr>
            <w:tcW w:w="505" w:type="pct"/>
            <w:tcBorders>
              <w:top w:val="single" w:sz="8" w:space="0" w:color="3366CC"/>
              <w:left w:val="nil"/>
              <w:bottom w:val="single" w:sz="8" w:space="0" w:color="3366CC"/>
              <w:right w:val="single" w:sz="4" w:space="0" w:color="A6A6A6"/>
            </w:tcBorders>
            <w:shd w:val="clear" w:color="000000" w:fill="DDEBF7"/>
            <w:vAlign w:val="center"/>
            <w:hideMark/>
          </w:tcPr>
          <w:p w14:paraId="31294D4E" w14:textId="77777777" w:rsidR="002A56FE" w:rsidRPr="00C8330C" w:rsidRDefault="002A56FE" w:rsidP="002A56FE">
            <w:pPr>
              <w:rPr>
                <w:rFonts w:ascii="Arial" w:hAnsi="Arial" w:cs="Arial"/>
                <w:b/>
                <w:bCs/>
                <w:sz w:val="20"/>
                <w:szCs w:val="20"/>
              </w:rPr>
            </w:pPr>
            <w:r w:rsidRPr="00C8330C">
              <w:rPr>
                <w:rFonts w:ascii="Arial" w:hAnsi="Arial" w:cs="Arial"/>
                <w:b/>
                <w:bCs/>
                <w:sz w:val="20"/>
                <w:szCs w:val="20"/>
              </w:rPr>
              <w:t>2020</w:t>
            </w:r>
          </w:p>
        </w:tc>
        <w:tc>
          <w:tcPr>
            <w:tcW w:w="494" w:type="pct"/>
            <w:tcBorders>
              <w:top w:val="single" w:sz="8" w:space="0" w:color="3366CC"/>
              <w:left w:val="nil"/>
              <w:bottom w:val="single" w:sz="8" w:space="0" w:color="3366CC"/>
              <w:right w:val="single" w:sz="8" w:space="0" w:color="3366CC"/>
            </w:tcBorders>
            <w:shd w:val="clear" w:color="000000" w:fill="DDEBF7"/>
            <w:vAlign w:val="center"/>
            <w:hideMark/>
          </w:tcPr>
          <w:p w14:paraId="18877817" w14:textId="77777777" w:rsidR="002A56FE" w:rsidRPr="00C8330C" w:rsidRDefault="002A56FE" w:rsidP="002A56FE">
            <w:pPr>
              <w:rPr>
                <w:rFonts w:ascii="Arial" w:hAnsi="Arial" w:cs="Arial"/>
                <w:b/>
                <w:bCs/>
                <w:sz w:val="20"/>
                <w:szCs w:val="20"/>
              </w:rPr>
            </w:pPr>
            <w:r w:rsidRPr="00C8330C">
              <w:rPr>
                <w:rFonts w:ascii="Arial" w:hAnsi="Arial" w:cs="Arial"/>
                <w:b/>
                <w:bCs/>
                <w:sz w:val="20"/>
                <w:szCs w:val="20"/>
              </w:rPr>
              <w:t>2021</w:t>
            </w:r>
          </w:p>
        </w:tc>
      </w:tr>
      <w:tr w:rsidR="002A56FE" w:rsidRPr="00C8330C" w14:paraId="2CDBA5A1" w14:textId="77777777" w:rsidTr="002A56FE">
        <w:trPr>
          <w:trHeight w:val="375"/>
        </w:trPr>
        <w:tc>
          <w:tcPr>
            <w:tcW w:w="1388" w:type="pct"/>
            <w:tcBorders>
              <w:top w:val="single" w:sz="8" w:space="0" w:color="3366CC"/>
              <w:left w:val="single" w:sz="8" w:space="0" w:color="3366CC"/>
              <w:bottom w:val="single" w:sz="4" w:space="0" w:color="A6A6A6"/>
              <w:right w:val="single" w:sz="8" w:space="0" w:color="3366CC"/>
            </w:tcBorders>
            <w:shd w:val="clear" w:color="auto" w:fill="auto"/>
            <w:noWrap/>
            <w:vAlign w:val="center"/>
            <w:hideMark/>
          </w:tcPr>
          <w:p w14:paraId="22F08C64" w14:textId="77777777" w:rsidR="002A56FE" w:rsidRPr="00C8330C" w:rsidRDefault="002A56FE" w:rsidP="002A56FE">
            <w:pPr>
              <w:rPr>
                <w:rFonts w:ascii="Arial" w:hAnsi="Arial" w:cs="Arial"/>
                <w:sz w:val="20"/>
                <w:szCs w:val="20"/>
              </w:rPr>
            </w:pPr>
            <w:r w:rsidRPr="00C8330C">
              <w:rPr>
                <w:rFonts w:ascii="Arial" w:hAnsi="Arial" w:cs="Arial"/>
                <w:sz w:val="20"/>
                <w:szCs w:val="20"/>
              </w:rPr>
              <w:t>Técnica Profesional</w:t>
            </w:r>
          </w:p>
        </w:tc>
        <w:tc>
          <w:tcPr>
            <w:tcW w:w="534" w:type="pct"/>
            <w:tcBorders>
              <w:top w:val="nil"/>
              <w:left w:val="nil"/>
              <w:bottom w:val="single" w:sz="4" w:space="0" w:color="A6A6A6"/>
              <w:right w:val="single" w:sz="4" w:space="0" w:color="A6A6A6"/>
            </w:tcBorders>
            <w:shd w:val="clear" w:color="auto" w:fill="auto"/>
            <w:noWrap/>
            <w:vAlign w:val="center"/>
            <w:hideMark/>
          </w:tcPr>
          <w:p w14:paraId="01469579" w14:textId="77777777" w:rsidR="002A56FE" w:rsidRPr="00C8330C" w:rsidRDefault="002A56FE" w:rsidP="002A56FE">
            <w:pPr>
              <w:rPr>
                <w:rFonts w:ascii="Arial" w:hAnsi="Arial" w:cs="Arial"/>
                <w:sz w:val="20"/>
                <w:szCs w:val="20"/>
              </w:rPr>
            </w:pPr>
            <w:r w:rsidRPr="00C8330C">
              <w:rPr>
                <w:rFonts w:ascii="Arial" w:hAnsi="Arial" w:cs="Arial"/>
                <w:sz w:val="20"/>
                <w:szCs w:val="20"/>
              </w:rPr>
              <w:t>211</w:t>
            </w:r>
          </w:p>
        </w:tc>
        <w:tc>
          <w:tcPr>
            <w:tcW w:w="574" w:type="pct"/>
            <w:tcBorders>
              <w:top w:val="nil"/>
              <w:left w:val="nil"/>
              <w:bottom w:val="single" w:sz="4" w:space="0" w:color="A6A6A6"/>
              <w:right w:val="single" w:sz="4" w:space="0" w:color="A6A6A6"/>
            </w:tcBorders>
            <w:shd w:val="clear" w:color="auto" w:fill="auto"/>
            <w:noWrap/>
            <w:vAlign w:val="center"/>
            <w:hideMark/>
          </w:tcPr>
          <w:p w14:paraId="0BE0FED4" w14:textId="77777777" w:rsidR="002A56FE" w:rsidRPr="00C8330C" w:rsidRDefault="002A56FE" w:rsidP="002A56FE">
            <w:pPr>
              <w:rPr>
                <w:rFonts w:ascii="Arial" w:hAnsi="Arial" w:cs="Arial"/>
                <w:sz w:val="20"/>
                <w:szCs w:val="20"/>
              </w:rPr>
            </w:pPr>
            <w:r w:rsidRPr="00C8330C">
              <w:rPr>
                <w:rFonts w:ascii="Arial" w:hAnsi="Arial" w:cs="Arial"/>
                <w:sz w:val="20"/>
                <w:szCs w:val="20"/>
              </w:rPr>
              <w:t>664</w:t>
            </w:r>
          </w:p>
        </w:tc>
        <w:tc>
          <w:tcPr>
            <w:tcW w:w="500" w:type="pct"/>
            <w:tcBorders>
              <w:top w:val="nil"/>
              <w:left w:val="nil"/>
              <w:bottom w:val="single" w:sz="4" w:space="0" w:color="A6A6A6"/>
              <w:right w:val="nil"/>
            </w:tcBorders>
            <w:shd w:val="clear" w:color="auto" w:fill="auto"/>
            <w:noWrap/>
            <w:vAlign w:val="center"/>
            <w:hideMark/>
          </w:tcPr>
          <w:p w14:paraId="519CC383" w14:textId="77777777" w:rsidR="002A56FE" w:rsidRPr="00C8330C" w:rsidRDefault="002A56FE" w:rsidP="002A56FE">
            <w:pPr>
              <w:rPr>
                <w:rFonts w:ascii="Arial" w:hAnsi="Arial" w:cs="Arial"/>
                <w:sz w:val="20"/>
                <w:szCs w:val="20"/>
              </w:rPr>
            </w:pPr>
            <w:r w:rsidRPr="00C8330C">
              <w:rPr>
                <w:rFonts w:ascii="Arial" w:hAnsi="Arial" w:cs="Arial"/>
                <w:sz w:val="20"/>
                <w:szCs w:val="20"/>
              </w:rPr>
              <w:t>1.144</w:t>
            </w:r>
          </w:p>
        </w:tc>
        <w:tc>
          <w:tcPr>
            <w:tcW w:w="500" w:type="pct"/>
            <w:tcBorders>
              <w:top w:val="nil"/>
              <w:left w:val="single" w:sz="4" w:space="0" w:color="A6A6A6"/>
              <w:bottom w:val="single" w:sz="4" w:space="0" w:color="A6A6A6"/>
              <w:right w:val="single" w:sz="4" w:space="0" w:color="A6A6A6"/>
            </w:tcBorders>
            <w:shd w:val="clear" w:color="auto" w:fill="auto"/>
            <w:noWrap/>
            <w:vAlign w:val="center"/>
            <w:hideMark/>
          </w:tcPr>
          <w:p w14:paraId="06055C49" w14:textId="77777777" w:rsidR="002A56FE" w:rsidRPr="00C8330C" w:rsidRDefault="002A56FE" w:rsidP="002A56FE">
            <w:pPr>
              <w:rPr>
                <w:rFonts w:ascii="Arial" w:hAnsi="Arial" w:cs="Arial"/>
                <w:sz w:val="20"/>
                <w:szCs w:val="20"/>
              </w:rPr>
            </w:pPr>
            <w:r w:rsidRPr="00C8330C">
              <w:rPr>
                <w:rFonts w:ascii="Arial" w:hAnsi="Arial" w:cs="Arial"/>
                <w:sz w:val="20"/>
                <w:szCs w:val="20"/>
              </w:rPr>
              <w:t>1.398</w:t>
            </w:r>
          </w:p>
        </w:tc>
        <w:tc>
          <w:tcPr>
            <w:tcW w:w="505" w:type="pct"/>
            <w:tcBorders>
              <w:top w:val="nil"/>
              <w:left w:val="nil"/>
              <w:bottom w:val="single" w:sz="4" w:space="0" w:color="A6A6A6"/>
              <w:right w:val="single" w:sz="4" w:space="0" w:color="A6A6A6"/>
            </w:tcBorders>
            <w:shd w:val="clear" w:color="auto" w:fill="auto"/>
            <w:noWrap/>
            <w:vAlign w:val="center"/>
            <w:hideMark/>
          </w:tcPr>
          <w:p w14:paraId="16B216AB" w14:textId="77777777" w:rsidR="002A56FE" w:rsidRPr="00C8330C" w:rsidRDefault="002A56FE" w:rsidP="002A56FE">
            <w:pPr>
              <w:rPr>
                <w:rFonts w:ascii="Arial" w:hAnsi="Arial" w:cs="Arial"/>
                <w:sz w:val="20"/>
                <w:szCs w:val="20"/>
              </w:rPr>
            </w:pPr>
            <w:r w:rsidRPr="00C8330C">
              <w:rPr>
                <w:rFonts w:ascii="Arial" w:hAnsi="Arial" w:cs="Arial"/>
                <w:sz w:val="20"/>
                <w:szCs w:val="20"/>
              </w:rPr>
              <w:t>1.412</w:t>
            </w:r>
          </w:p>
        </w:tc>
        <w:tc>
          <w:tcPr>
            <w:tcW w:w="505" w:type="pct"/>
            <w:tcBorders>
              <w:top w:val="nil"/>
              <w:left w:val="nil"/>
              <w:bottom w:val="single" w:sz="4" w:space="0" w:color="A6A6A6"/>
              <w:right w:val="single" w:sz="4" w:space="0" w:color="A6A6A6"/>
            </w:tcBorders>
            <w:shd w:val="clear" w:color="auto" w:fill="auto"/>
            <w:noWrap/>
            <w:vAlign w:val="center"/>
            <w:hideMark/>
          </w:tcPr>
          <w:p w14:paraId="491C4FCC" w14:textId="77777777" w:rsidR="002A56FE" w:rsidRPr="00C8330C" w:rsidRDefault="002A56FE" w:rsidP="002A56FE">
            <w:pPr>
              <w:rPr>
                <w:rFonts w:ascii="Arial" w:hAnsi="Arial" w:cs="Arial"/>
                <w:sz w:val="20"/>
                <w:szCs w:val="20"/>
              </w:rPr>
            </w:pPr>
            <w:r w:rsidRPr="00C8330C">
              <w:rPr>
                <w:rFonts w:ascii="Arial" w:hAnsi="Arial" w:cs="Arial"/>
                <w:sz w:val="20"/>
                <w:szCs w:val="20"/>
              </w:rPr>
              <w:t>1.573</w:t>
            </w:r>
          </w:p>
        </w:tc>
        <w:tc>
          <w:tcPr>
            <w:tcW w:w="494" w:type="pct"/>
            <w:tcBorders>
              <w:top w:val="nil"/>
              <w:left w:val="nil"/>
              <w:bottom w:val="single" w:sz="4" w:space="0" w:color="A6A6A6"/>
              <w:right w:val="single" w:sz="8" w:space="0" w:color="3366CC"/>
            </w:tcBorders>
            <w:shd w:val="clear" w:color="auto" w:fill="auto"/>
            <w:noWrap/>
            <w:vAlign w:val="center"/>
            <w:hideMark/>
          </w:tcPr>
          <w:p w14:paraId="5E2E2F5B" w14:textId="77777777" w:rsidR="002A56FE" w:rsidRPr="00C8330C" w:rsidRDefault="002A56FE" w:rsidP="002A56FE">
            <w:pPr>
              <w:rPr>
                <w:rFonts w:ascii="Arial" w:hAnsi="Arial" w:cs="Arial"/>
                <w:sz w:val="20"/>
                <w:szCs w:val="20"/>
              </w:rPr>
            </w:pPr>
            <w:r w:rsidRPr="00C8330C">
              <w:rPr>
                <w:rFonts w:ascii="Arial" w:hAnsi="Arial" w:cs="Arial"/>
                <w:sz w:val="20"/>
                <w:szCs w:val="20"/>
              </w:rPr>
              <w:t>1.113</w:t>
            </w:r>
          </w:p>
        </w:tc>
      </w:tr>
      <w:tr w:rsidR="002A56FE" w:rsidRPr="00C8330C" w14:paraId="70A80970" w14:textId="77777777" w:rsidTr="002A56FE">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016DD6BA" w14:textId="77777777" w:rsidR="002A56FE" w:rsidRPr="00C8330C" w:rsidRDefault="002A56FE" w:rsidP="002A56FE">
            <w:pPr>
              <w:rPr>
                <w:rFonts w:ascii="Arial" w:hAnsi="Arial" w:cs="Arial"/>
                <w:sz w:val="20"/>
                <w:szCs w:val="20"/>
              </w:rPr>
            </w:pPr>
            <w:r w:rsidRPr="00C8330C">
              <w:rPr>
                <w:rFonts w:ascii="Arial" w:hAnsi="Arial" w:cs="Arial"/>
                <w:sz w:val="20"/>
                <w:szCs w:val="20"/>
              </w:rPr>
              <w:t>Tecnológica</w:t>
            </w:r>
          </w:p>
        </w:tc>
        <w:tc>
          <w:tcPr>
            <w:tcW w:w="534" w:type="pct"/>
            <w:tcBorders>
              <w:top w:val="nil"/>
              <w:left w:val="nil"/>
              <w:bottom w:val="single" w:sz="4" w:space="0" w:color="A6A6A6"/>
              <w:right w:val="single" w:sz="4" w:space="0" w:color="A6A6A6"/>
            </w:tcBorders>
            <w:shd w:val="clear" w:color="auto" w:fill="auto"/>
            <w:noWrap/>
            <w:vAlign w:val="center"/>
            <w:hideMark/>
          </w:tcPr>
          <w:p w14:paraId="6DD34AC0" w14:textId="77777777" w:rsidR="002A56FE" w:rsidRPr="00C8330C" w:rsidRDefault="002A56FE" w:rsidP="002A56FE">
            <w:pPr>
              <w:rPr>
                <w:rFonts w:ascii="Arial" w:hAnsi="Arial" w:cs="Arial"/>
                <w:sz w:val="20"/>
                <w:szCs w:val="20"/>
              </w:rPr>
            </w:pPr>
            <w:r w:rsidRPr="00C8330C">
              <w:rPr>
                <w:rFonts w:ascii="Arial" w:hAnsi="Arial" w:cs="Arial"/>
                <w:sz w:val="20"/>
                <w:szCs w:val="20"/>
              </w:rPr>
              <w:t>2.631</w:t>
            </w:r>
          </w:p>
        </w:tc>
        <w:tc>
          <w:tcPr>
            <w:tcW w:w="574" w:type="pct"/>
            <w:tcBorders>
              <w:top w:val="nil"/>
              <w:left w:val="nil"/>
              <w:bottom w:val="single" w:sz="4" w:space="0" w:color="A6A6A6"/>
              <w:right w:val="single" w:sz="4" w:space="0" w:color="A6A6A6"/>
            </w:tcBorders>
            <w:shd w:val="clear" w:color="auto" w:fill="auto"/>
            <w:noWrap/>
            <w:vAlign w:val="center"/>
            <w:hideMark/>
          </w:tcPr>
          <w:p w14:paraId="5DE795E5" w14:textId="77777777" w:rsidR="002A56FE" w:rsidRPr="00C8330C" w:rsidRDefault="002A56FE" w:rsidP="002A56FE">
            <w:pPr>
              <w:rPr>
                <w:rFonts w:ascii="Arial" w:hAnsi="Arial" w:cs="Arial"/>
                <w:sz w:val="20"/>
                <w:szCs w:val="20"/>
              </w:rPr>
            </w:pPr>
            <w:r w:rsidRPr="00C8330C">
              <w:rPr>
                <w:rFonts w:ascii="Arial" w:hAnsi="Arial" w:cs="Arial"/>
                <w:sz w:val="20"/>
                <w:szCs w:val="20"/>
              </w:rPr>
              <w:t>2.478</w:t>
            </w:r>
          </w:p>
        </w:tc>
        <w:tc>
          <w:tcPr>
            <w:tcW w:w="500" w:type="pct"/>
            <w:tcBorders>
              <w:top w:val="nil"/>
              <w:left w:val="nil"/>
              <w:bottom w:val="single" w:sz="4" w:space="0" w:color="A6A6A6"/>
              <w:right w:val="nil"/>
            </w:tcBorders>
            <w:shd w:val="clear" w:color="auto" w:fill="auto"/>
            <w:noWrap/>
            <w:vAlign w:val="center"/>
            <w:hideMark/>
          </w:tcPr>
          <w:p w14:paraId="186E5806" w14:textId="77777777" w:rsidR="002A56FE" w:rsidRPr="00C8330C" w:rsidRDefault="002A56FE" w:rsidP="002A56FE">
            <w:pPr>
              <w:rPr>
                <w:rFonts w:ascii="Arial" w:hAnsi="Arial" w:cs="Arial"/>
                <w:sz w:val="20"/>
                <w:szCs w:val="20"/>
              </w:rPr>
            </w:pPr>
            <w:r w:rsidRPr="00C8330C">
              <w:rPr>
                <w:rFonts w:ascii="Arial" w:hAnsi="Arial" w:cs="Arial"/>
                <w:sz w:val="20"/>
                <w:szCs w:val="20"/>
              </w:rPr>
              <w:t>2.478</w:t>
            </w:r>
          </w:p>
        </w:tc>
        <w:tc>
          <w:tcPr>
            <w:tcW w:w="500" w:type="pct"/>
            <w:tcBorders>
              <w:top w:val="nil"/>
              <w:left w:val="single" w:sz="4" w:space="0" w:color="A6A6A6"/>
              <w:bottom w:val="single" w:sz="4" w:space="0" w:color="A6A6A6"/>
              <w:right w:val="single" w:sz="4" w:space="0" w:color="A6A6A6"/>
            </w:tcBorders>
            <w:shd w:val="clear" w:color="auto" w:fill="auto"/>
            <w:noWrap/>
            <w:vAlign w:val="center"/>
            <w:hideMark/>
          </w:tcPr>
          <w:p w14:paraId="5C338BE2" w14:textId="77777777" w:rsidR="002A56FE" w:rsidRPr="00C8330C" w:rsidRDefault="002A56FE" w:rsidP="002A56FE">
            <w:pPr>
              <w:rPr>
                <w:rFonts w:ascii="Arial" w:hAnsi="Arial" w:cs="Arial"/>
                <w:sz w:val="20"/>
                <w:szCs w:val="20"/>
              </w:rPr>
            </w:pPr>
            <w:r w:rsidRPr="00C8330C">
              <w:rPr>
                <w:rFonts w:ascii="Arial" w:hAnsi="Arial" w:cs="Arial"/>
                <w:sz w:val="20"/>
                <w:szCs w:val="20"/>
              </w:rPr>
              <w:t>2.667</w:t>
            </w:r>
          </w:p>
        </w:tc>
        <w:tc>
          <w:tcPr>
            <w:tcW w:w="505" w:type="pct"/>
            <w:tcBorders>
              <w:top w:val="nil"/>
              <w:left w:val="nil"/>
              <w:bottom w:val="single" w:sz="4" w:space="0" w:color="A6A6A6"/>
              <w:right w:val="single" w:sz="4" w:space="0" w:color="A6A6A6"/>
            </w:tcBorders>
            <w:shd w:val="clear" w:color="auto" w:fill="auto"/>
            <w:noWrap/>
            <w:vAlign w:val="center"/>
            <w:hideMark/>
          </w:tcPr>
          <w:p w14:paraId="408A55A9" w14:textId="77777777" w:rsidR="002A56FE" w:rsidRPr="00C8330C" w:rsidRDefault="002A56FE" w:rsidP="002A56FE">
            <w:pPr>
              <w:rPr>
                <w:rFonts w:ascii="Arial" w:hAnsi="Arial" w:cs="Arial"/>
                <w:sz w:val="20"/>
                <w:szCs w:val="20"/>
              </w:rPr>
            </w:pPr>
            <w:r w:rsidRPr="00C8330C">
              <w:rPr>
                <w:rFonts w:ascii="Arial" w:hAnsi="Arial" w:cs="Arial"/>
                <w:sz w:val="20"/>
                <w:szCs w:val="20"/>
              </w:rPr>
              <w:t>2.540</w:t>
            </w:r>
          </w:p>
        </w:tc>
        <w:tc>
          <w:tcPr>
            <w:tcW w:w="505" w:type="pct"/>
            <w:tcBorders>
              <w:top w:val="nil"/>
              <w:left w:val="nil"/>
              <w:bottom w:val="single" w:sz="4" w:space="0" w:color="A6A6A6"/>
              <w:right w:val="single" w:sz="4" w:space="0" w:color="A6A6A6"/>
            </w:tcBorders>
            <w:shd w:val="clear" w:color="auto" w:fill="auto"/>
            <w:noWrap/>
            <w:vAlign w:val="center"/>
            <w:hideMark/>
          </w:tcPr>
          <w:p w14:paraId="16051834" w14:textId="77777777" w:rsidR="002A56FE" w:rsidRPr="00C8330C" w:rsidRDefault="002A56FE" w:rsidP="002A56FE">
            <w:pPr>
              <w:rPr>
                <w:rFonts w:ascii="Arial" w:hAnsi="Arial" w:cs="Arial"/>
                <w:sz w:val="20"/>
                <w:szCs w:val="20"/>
              </w:rPr>
            </w:pPr>
            <w:r w:rsidRPr="00C8330C">
              <w:rPr>
                <w:rFonts w:ascii="Arial" w:hAnsi="Arial" w:cs="Arial"/>
                <w:sz w:val="20"/>
                <w:szCs w:val="20"/>
              </w:rPr>
              <w:t>1.579</w:t>
            </w:r>
          </w:p>
        </w:tc>
        <w:tc>
          <w:tcPr>
            <w:tcW w:w="494" w:type="pct"/>
            <w:tcBorders>
              <w:top w:val="nil"/>
              <w:left w:val="nil"/>
              <w:bottom w:val="single" w:sz="4" w:space="0" w:color="A6A6A6"/>
              <w:right w:val="single" w:sz="8" w:space="0" w:color="3366CC"/>
            </w:tcBorders>
            <w:shd w:val="clear" w:color="auto" w:fill="auto"/>
            <w:noWrap/>
            <w:vAlign w:val="center"/>
            <w:hideMark/>
          </w:tcPr>
          <w:p w14:paraId="5C7E3444" w14:textId="77777777" w:rsidR="002A56FE" w:rsidRPr="00C8330C" w:rsidRDefault="002A56FE" w:rsidP="002A56FE">
            <w:pPr>
              <w:rPr>
                <w:rFonts w:ascii="Arial" w:hAnsi="Arial" w:cs="Arial"/>
                <w:sz w:val="20"/>
                <w:szCs w:val="20"/>
              </w:rPr>
            </w:pPr>
            <w:r w:rsidRPr="00C8330C">
              <w:rPr>
                <w:rFonts w:ascii="Arial" w:hAnsi="Arial" w:cs="Arial"/>
                <w:sz w:val="20"/>
                <w:szCs w:val="20"/>
              </w:rPr>
              <w:t>2.492</w:t>
            </w:r>
          </w:p>
        </w:tc>
      </w:tr>
      <w:tr w:rsidR="002A56FE" w:rsidRPr="00C8330C" w14:paraId="4ECA7EBB" w14:textId="77777777" w:rsidTr="002A56FE">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797F0DBD" w14:textId="77777777" w:rsidR="002A56FE" w:rsidRPr="00C8330C" w:rsidRDefault="002A56FE" w:rsidP="002A56FE">
            <w:pPr>
              <w:rPr>
                <w:rFonts w:ascii="Arial" w:hAnsi="Arial" w:cs="Arial"/>
                <w:sz w:val="20"/>
                <w:szCs w:val="20"/>
              </w:rPr>
            </w:pPr>
            <w:r w:rsidRPr="00C8330C">
              <w:rPr>
                <w:rFonts w:ascii="Arial" w:hAnsi="Arial" w:cs="Arial"/>
                <w:sz w:val="20"/>
                <w:szCs w:val="20"/>
              </w:rPr>
              <w:t>Universitaria</w:t>
            </w:r>
          </w:p>
        </w:tc>
        <w:tc>
          <w:tcPr>
            <w:tcW w:w="534" w:type="pct"/>
            <w:tcBorders>
              <w:top w:val="nil"/>
              <w:left w:val="nil"/>
              <w:bottom w:val="single" w:sz="4" w:space="0" w:color="A6A6A6"/>
              <w:right w:val="single" w:sz="4" w:space="0" w:color="A6A6A6"/>
            </w:tcBorders>
            <w:shd w:val="clear" w:color="auto" w:fill="auto"/>
            <w:noWrap/>
            <w:vAlign w:val="center"/>
            <w:hideMark/>
          </w:tcPr>
          <w:p w14:paraId="1A3EF5D6" w14:textId="77777777" w:rsidR="002A56FE" w:rsidRPr="00C8330C" w:rsidRDefault="002A56FE" w:rsidP="002A56FE">
            <w:pPr>
              <w:rPr>
                <w:rFonts w:ascii="Arial" w:hAnsi="Arial" w:cs="Arial"/>
                <w:sz w:val="20"/>
                <w:szCs w:val="20"/>
              </w:rPr>
            </w:pPr>
            <w:r w:rsidRPr="00C8330C">
              <w:rPr>
                <w:rFonts w:ascii="Arial" w:hAnsi="Arial" w:cs="Arial"/>
                <w:sz w:val="20"/>
                <w:szCs w:val="20"/>
              </w:rPr>
              <w:t>3.432</w:t>
            </w:r>
          </w:p>
        </w:tc>
        <w:tc>
          <w:tcPr>
            <w:tcW w:w="574" w:type="pct"/>
            <w:tcBorders>
              <w:top w:val="nil"/>
              <w:left w:val="nil"/>
              <w:bottom w:val="single" w:sz="4" w:space="0" w:color="A6A6A6"/>
              <w:right w:val="single" w:sz="4" w:space="0" w:color="A6A6A6"/>
            </w:tcBorders>
            <w:shd w:val="clear" w:color="auto" w:fill="auto"/>
            <w:noWrap/>
            <w:vAlign w:val="center"/>
            <w:hideMark/>
          </w:tcPr>
          <w:p w14:paraId="7C69D50D" w14:textId="77777777" w:rsidR="002A56FE" w:rsidRPr="00C8330C" w:rsidRDefault="002A56FE" w:rsidP="002A56FE">
            <w:pPr>
              <w:rPr>
                <w:rFonts w:ascii="Arial" w:hAnsi="Arial" w:cs="Arial"/>
                <w:sz w:val="20"/>
                <w:szCs w:val="20"/>
              </w:rPr>
            </w:pPr>
            <w:r w:rsidRPr="00C8330C">
              <w:rPr>
                <w:rFonts w:ascii="Arial" w:hAnsi="Arial" w:cs="Arial"/>
                <w:sz w:val="20"/>
                <w:szCs w:val="20"/>
              </w:rPr>
              <w:t>4.302</w:t>
            </w:r>
          </w:p>
        </w:tc>
        <w:tc>
          <w:tcPr>
            <w:tcW w:w="500" w:type="pct"/>
            <w:tcBorders>
              <w:top w:val="nil"/>
              <w:left w:val="nil"/>
              <w:bottom w:val="single" w:sz="4" w:space="0" w:color="A6A6A6"/>
              <w:right w:val="nil"/>
            </w:tcBorders>
            <w:shd w:val="clear" w:color="auto" w:fill="auto"/>
            <w:noWrap/>
            <w:vAlign w:val="center"/>
            <w:hideMark/>
          </w:tcPr>
          <w:p w14:paraId="031F4A6A" w14:textId="77777777" w:rsidR="002A56FE" w:rsidRPr="00C8330C" w:rsidRDefault="002A56FE" w:rsidP="002A56FE">
            <w:pPr>
              <w:rPr>
                <w:rFonts w:ascii="Arial" w:hAnsi="Arial" w:cs="Arial"/>
                <w:sz w:val="20"/>
                <w:szCs w:val="20"/>
              </w:rPr>
            </w:pPr>
            <w:r w:rsidRPr="00C8330C">
              <w:rPr>
                <w:rFonts w:ascii="Arial" w:hAnsi="Arial" w:cs="Arial"/>
                <w:sz w:val="20"/>
                <w:szCs w:val="20"/>
              </w:rPr>
              <w:t>4.322</w:t>
            </w:r>
          </w:p>
        </w:tc>
        <w:tc>
          <w:tcPr>
            <w:tcW w:w="500" w:type="pct"/>
            <w:tcBorders>
              <w:top w:val="nil"/>
              <w:left w:val="single" w:sz="4" w:space="0" w:color="A6A6A6"/>
              <w:bottom w:val="single" w:sz="4" w:space="0" w:color="A6A6A6"/>
              <w:right w:val="single" w:sz="4" w:space="0" w:color="A6A6A6"/>
            </w:tcBorders>
            <w:shd w:val="clear" w:color="auto" w:fill="auto"/>
            <w:noWrap/>
            <w:vAlign w:val="center"/>
            <w:hideMark/>
          </w:tcPr>
          <w:p w14:paraId="62766D31" w14:textId="77777777" w:rsidR="002A56FE" w:rsidRPr="00C8330C" w:rsidRDefault="002A56FE" w:rsidP="002A56FE">
            <w:pPr>
              <w:rPr>
                <w:rFonts w:ascii="Arial" w:hAnsi="Arial" w:cs="Arial"/>
                <w:sz w:val="20"/>
                <w:szCs w:val="20"/>
              </w:rPr>
            </w:pPr>
            <w:r w:rsidRPr="00C8330C">
              <w:rPr>
                <w:rFonts w:ascii="Arial" w:hAnsi="Arial" w:cs="Arial"/>
                <w:sz w:val="20"/>
                <w:szCs w:val="20"/>
              </w:rPr>
              <w:t>4.697</w:t>
            </w:r>
          </w:p>
        </w:tc>
        <w:tc>
          <w:tcPr>
            <w:tcW w:w="505" w:type="pct"/>
            <w:tcBorders>
              <w:top w:val="nil"/>
              <w:left w:val="nil"/>
              <w:bottom w:val="single" w:sz="4" w:space="0" w:color="A6A6A6"/>
              <w:right w:val="single" w:sz="4" w:space="0" w:color="A6A6A6"/>
            </w:tcBorders>
            <w:shd w:val="clear" w:color="auto" w:fill="auto"/>
            <w:noWrap/>
            <w:vAlign w:val="center"/>
            <w:hideMark/>
          </w:tcPr>
          <w:p w14:paraId="7447E2D7" w14:textId="77777777" w:rsidR="002A56FE" w:rsidRPr="00C8330C" w:rsidRDefault="002A56FE" w:rsidP="002A56FE">
            <w:pPr>
              <w:rPr>
                <w:rFonts w:ascii="Arial" w:hAnsi="Arial" w:cs="Arial"/>
                <w:sz w:val="20"/>
                <w:szCs w:val="20"/>
              </w:rPr>
            </w:pPr>
            <w:r w:rsidRPr="00C8330C">
              <w:rPr>
                <w:rFonts w:ascii="Arial" w:hAnsi="Arial" w:cs="Arial"/>
                <w:sz w:val="20"/>
                <w:szCs w:val="20"/>
              </w:rPr>
              <w:t>4.482</w:t>
            </w:r>
          </w:p>
        </w:tc>
        <w:tc>
          <w:tcPr>
            <w:tcW w:w="505" w:type="pct"/>
            <w:tcBorders>
              <w:top w:val="nil"/>
              <w:left w:val="nil"/>
              <w:bottom w:val="single" w:sz="4" w:space="0" w:color="A6A6A6"/>
              <w:right w:val="single" w:sz="4" w:space="0" w:color="A6A6A6"/>
            </w:tcBorders>
            <w:shd w:val="clear" w:color="auto" w:fill="auto"/>
            <w:noWrap/>
            <w:vAlign w:val="center"/>
            <w:hideMark/>
          </w:tcPr>
          <w:p w14:paraId="04D6547C" w14:textId="77777777" w:rsidR="002A56FE" w:rsidRPr="00C8330C" w:rsidRDefault="002A56FE" w:rsidP="002A56FE">
            <w:pPr>
              <w:rPr>
                <w:rFonts w:ascii="Arial" w:hAnsi="Arial" w:cs="Arial"/>
                <w:sz w:val="20"/>
                <w:szCs w:val="20"/>
              </w:rPr>
            </w:pPr>
            <w:r w:rsidRPr="00C8330C">
              <w:rPr>
                <w:rFonts w:ascii="Arial" w:hAnsi="Arial" w:cs="Arial"/>
                <w:sz w:val="20"/>
                <w:szCs w:val="20"/>
              </w:rPr>
              <w:t>4.472</w:t>
            </w:r>
          </w:p>
        </w:tc>
        <w:tc>
          <w:tcPr>
            <w:tcW w:w="494" w:type="pct"/>
            <w:tcBorders>
              <w:top w:val="nil"/>
              <w:left w:val="nil"/>
              <w:bottom w:val="single" w:sz="4" w:space="0" w:color="A6A6A6"/>
              <w:right w:val="single" w:sz="8" w:space="0" w:color="3366CC"/>
            </w:tcBorders>
            <w:shd w:val="clear" w:color="auto" w:fill="auto"/>
            <w:noWrap/>
            <w:vAlign w:val="center"/>
            <w:hideMark/>
          </w:tcPr>
          <w:p w14:paraId="2D73CE9F" w14:textId="77777777" w:rsidR="002A56FE" w:rsidRPr="00C8330C" w:rsidRDefault="002A56FE" w:rsidP="002A56FE">
            <w:pPr>
              <w:rPr>
                <w:rFonts w:ascii="Arial" w:hAnsi="Arial" w:cs="Arial"/>
                <w:sz w:val="20"/>
                <w:szCs w:val="20"/>
              </w:rPr>
            </w:pPr>
            <w:r w:rsidRPr="00C8330C">
              <w:rPr>
                <w:rFonts w:ascii="Arial" w:hAnsi="Arial" w:cs="Arial"/>
                <w:sz w:val="20"/>
                <w:szCs w:val="20"/>
              </w:rPr>
              <w:t>4.840</w:t>
            </w:r>
          </w:p>
        </w:tc>
      </w:tr>
      <w:tr w:rsidR="002A56FE" w:rsidRPr="00C8330C" w14:paraId="00011AEA" w14:textId="77777777" w:rsidTr="002A56FE">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496CA506" w14:textId="77777777" w:rsidR="002A56FE" w:rsidRPr="00C8330C" w:rsidRDefault="002A56FE" w:rsidP="002A56FE">
            <w:pPr>
              <w:rPr>
                <w:rFonts w:ascii="Arial" w:hAnsi="Arial" w:cs="Arial"/>
                <w:sz w:val="20"/>
                <w:szCs w:val="20"/>
              </w:rPr>
            </w:pPr>
            <w:r w:rsidRPr="00C8330C">
              <w:rPr>
                <w:rFonts w:ascii="Arial" w:hAnsi="Arial" w:cs="Arial"/>
                <w:sz w:val="20"/>
                <w:szCs w:val="20"/>
              </w:rPr>
              <w:t>Especialización</w:t>
            </w:r>
          </w:p>
        </w:tc>
        <w:tc>
          <w:tcPr>
            <w:tcW w:w="534" w:type="pct"/>
            <w:tcBorders>
              <w:top w:val="nil"/>
              <w:left w:val="nil"/>
              <w:bottom w:val="single" w:sz="4" w:space="0" w:color="A6A6A6"/>
              <w:right w:val="single" w:sz="4" w:space="0" w:color="A6A6A6"/>
            </w:tcBorders>
            <w:shd w:val="clear" w:color="auto" w:fill="auto"/>
            <w:noWrap/>
            <w:vAlign w:val="center"/>
            <w:hideMark/>
          </w:tcPr>
          <w:p w14:paraId="6803AFE5" w14:textId="77777777" w:rsidR="002A56FE" w:rsidRPr="00C8330C" w:rsidRDefault="002A56FE" w:rsidP="002A56FE">
            <w:pPr>
              <w:rPr>
                <w:rFonts w:ascii="Arial" w:hAnsi="Arial" w:cs="Arial"/>
                <w:sz w:val="20"/>
                <w:szCs w:val="20"/>
              </w:rPr>
            </w:pPr>
            <w:r w:rsidRPr="00C8330C">
              <w:rPr>
                <w:rFonts w:ascii="Arial" w:hAnsi="Arial" w:cs="Arial"/>
                <w:sz w:val="20"/>
                <w:szCs w:val="20"/>
              </w:rPr>
              <w:t>1.391</w:t>
            </w:r>
          </w:p>
        </w:tc>
        <w:tc>
          <w:tcPr>
            <w:tcW w:w="574" w:type="pct"/>
            <w:tcBorders>
              <w:top w:val="nil"/>
              <w:left w:val="nil"/>
              <w:bottom w:val="single" w:sz="4" w:space="0" w:color="A6A6A6"/>
              <w:right w:val="single" w:sz="4" w:space="0" w:color="A6A6A6"/>
            </w:tcBorders>
            <w:shd w:val="clear" w:color="auto" w:fill="auto"/>
            <w:noWrap/>
            <w:vAlign w:val="center"/>
            <w:hideMark/>
          </w:tcPr>
          <w:p w14:paraId="707FC06D" w14:textId="77777777" w:rsidR="002A56FE" w:rsidRPr="00C8330C" w:rsidRDefault="002A56FE" w:rsidP="002A56FE">
            <w:pPr>
              <w:rPr>
                <w:rFonts w:ascii="Arial" w:hAnsi="Arial" w:cs="Arial"/>
                <w:sz w:val="20"/>
                <w:szCs w:val="20"/>
              </w:rPr>
            </w:pPr>
            <w:r w:rsidRPr="00C8330C">
              <w:rPr>
                <w:rFonts w:ascii="Arial" w:hAnsi="Arial" w:cs="Arial"/>
                <w:sz w:val="20"/>
                <w:szCs w:val="20"/>
              </w:rPr>
              <w:t>1.455</w:t>
            </w:r>
          </w:p>
        </w:tc>
        <w:tc>
          <w:tcPr>
            <w:tcW w:w="500" w:type="pct"/>
            <w:tcBorders>
              <w:top w:val="nil"/>
              <w:left w:val="nil"/>
              <w:bottom w:val="single" w:sz="4" w:space="0" w:color="A6A6A6"/>
              <w:right w:val="nil"/>
            </w:tcBorders>
            <w:shd w:val="clear" w:color="auto" w:fill="auto"/>
            <w:noWrap/>
            <w:vAlign w:val="center"/>
            <w:hideMark/>
          </w:tcPr>
          <w:p w14:paraId="70060670" w14:textId="77777777" w:rsidR="002A56FE" w:rsidRPr="00C8330C" w:rsidRDefault="002A56FE" w:rsidP="002A56FE">
            <w:pPr>
              <w:rPr>
                <w:rFonts w:ascii="Arial" w:hAnsi="Arial" w:cs="Arial"/>
                <w:sz w:val="20"/>
                <w:szCs w:val="20"/>
              </w:rPr>
            </w:pPr>
            <w:r w:rsidRPr="00C8330C">
              <w:rPr>
                <w:rFonts w:ascii="Arial" w:hAnsi="Arial" w:cs="Arial"/>
                <w:sz w:val="20"/>
                <w:szCs w:val="20"/>
              </w:rPr>
              <w:t>1.410</w:t>
            </w:r>
          </w:p>
        </w:tc>
        <w:tc>
          <w:tcPr>
            <w:tcW w:w="500" w:type="pct"/>
            <w:tcBorders>
              <w:top w:val="nil"/>
              <w:left w:val="single" w:sz="4" w:space="0" w:color="A6A6A6"/>
              <w:bottom w:val="single" w:sz="4" w:space="0" w:color="A6A6A6"/>
              <w:right w:val="single" w:sz="4" w:space="0" w:color="A6A6A6"/>
            </w:tcBorders>
            <w:shd w:val="clear" w:color="auto" w:fill="auto"/>
            <w:noWrap/>
            <w:vAlign w:val="center"/>
            <w:hideMark/>
          </w:tcPr>
          <w:p w14:paraId="3231E5CF" w14:textId="77777777" w:rsidR="002A56FE" w:rsidRPr="00C8330C" w:rsidRDefault="002A56FE" w:rsidP="002A56FE">
            <w:pPr>
              <w:rPr>
                <w:rFonts w:ascii="Arial" w:hAnsi="Arial" w:cs="Arial"/>
                <w:sz w:val="20"/>
                <w:szCs w:val="20"/>
              </w:rPr>
            </w:pPr>
            <w:r w:rsidRPr="00C8330C">
              <w:rPr>
                <w:rFonts w:ascii="Arial" w:hAnsi="Arial" w:cs="Arial"/>
                <w:sz w:val="20"/>
                <w:szCs w:val="20"/>
              </w:rPr>
              <w:t>1.902</w:t>
            </w:r>
          </w:p>
        </w:tc>
        <w:tc>
          <w:tcPr>
            <w:tcW w:w="505" w:type="pct"/>
            <w:tcBorders>
              <w:top w:val="nil"/>
              <w:left w:val="nil"/>
              <w:bottom w:val="single" w:sz="4" w:space="0" w:color="A6A6A6"/>
              <w:right w:val="single" w:sz="4" w:space="0" w:color="A6A6A6"/>
            </w:tcBorders>
            <w:shd w:val="clear" w:color="auto" w:fill="auto"/>
            <w:noWrap/>
            <w:vAlign w:val="center"/>
            <w:hideMark/>
          </w:tcPr>
          <w:p w14:paraId="3F49F810" w14:textId="77777777" w:rsidR="002A56FE" w:rsidRPr="00C8330C" w:rsidRDefault="002A56FE" w:rsidP="002A56FE">
            <w:pPr>
              <w:rPr>
                <w:rFonts w:ascii="Arial" w:hAnsi="Arial" w:cs="Arial"/>
                <w:sz w:val="20"/>
                <w:szCs w:val="20"/>
              </w:rPr>
            </w:pPr>
            <w:r w:rsidRPr="00C8330C">
              <w:rPr>
                <w:rFonts w:ascii="Arial" w:hAnsi="Arial" w:cs="Arial"/>
                <w:sz w:val="20"/>
                <w:szCs w:val="20"/>
              </w:rPr>
              <w:t>1.848</w:t>
            </w:r>
          </w:p>
        </w:tc>
        <w:tc>
          <w:tcPr>
            <w:tcW w:w="505" w:type="pct"/>
            <w:tcBorders>
              <w:top w:val="nil"/>
              <w:left w:val="nil"/>
              <w:bottom w:val="single" w:sz="4" w:space="0" w:color="A6A6A6"/>
              <w:right w:val="single" w:sz="4" w:space="0" w:color="A6A6A6"/>
            </w:tcBorders>
            <w:shd w:val="clear" w:color="auto" w:fill="auto"/>
            <w:noWrap/>
            <w:vAlign w:val="center"/>
            <w:hideMark/>
          </w:tcPr>
          <w:p w14:paraId="13BE4AB1" w14:textId="77777777" w:rsidR="002A56FE" w:rsidRPr="00C8330C" w:rsidRDefault="002A56FE" w:rsidP="002A56FE">
            <w:pPr>
              <w:rPr>
                <w:rFonts w:ascii="Arial" w:hAnsi="Arial" w:cs="Arial"/>
                <w:sz w:val="20"/>
                <w:szCs w:val="20"/>
              </w:rPr>
            </w:pPr>
            <w:r w:rsidRPr="00C8330C">
              <w:rPr>
                <w:rFonts w:ascii="Arial" w:hAnsi="Arial" w:cs="Arial"/>
                <w:sz w:val="20"/>
                <w:szCs w:val="20"/>
              </w:rPr>
              <w:t>1.737</w:t>
            </w:r>
          </w:p>
        </w:tc>
        <w:tc>
          <w:tcPr>
            <w:tcW w:w="494" w:type="pct"/>
            <w:tcBorders>
              <w:top w:val="nil"/>
              <w:left w:val="nil"/>
              <w:bottom w:val="single" w:sz="4" w:space="0" w:color="A6A6A6"/>
              <w:right w:val="single" w:sz="8" w:space="0" w:color="3366CC"/>
            </w:tcBorders>
            <w:shd w:val="clear" w:color="auto" w:fill="auto"/>
            <w:noWrap/>
            <w:vAlign w:val="center"/>
            <w:hideMark/>
          </w:tcPr>
          <w:p w14:paraId="064429B8" w14:textId="77777777" w:rsidR="002A56FE" w:rsidRPr="00C8330C" w:rsidRDefault="002A56FE" w:rsidP="002A56FE">
            <w:pPr>
              <w:rPr>
                <w:rFonts w:ascii="Arial" w:hAnsi="Arial" w:cs="Arial"/>
                <w:sz w:val="20"/>
                <w:szCs w:val="20"/>
              </w:rPr>
            </w:pPr>
            <w:r w:rsidRPr="00C8330C">
              <w:rPr>
                <w:rFonts w:ascii="Arial" w:hAnsi="Arial" w:cs="Arial"/>
                <w:sz w:val="20"/>
                <w:szCs w:val="20"/>
              </w:rPr>
              <w:t>1.546</w:t>
            </w:r>
          </w:p>
        </w:tc>
      </w:tr>
      <w:tr w:rsidR="002A56FE" w:rsidRPr="00C8330C" w14:paraId="4806F38B" w14:textId="77777777" w:rsidTr="002A56FE">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457236C9" w14:textId="77777777" w:rsidR="002A56FE" w:rsidRPr="00C8330C" w:rsidRDefault="002A56FE" w:rsidP="002A56FE">
            <w:pPr>
              <w:rPr>
                <w:rFonts w:ascii="Arial" w:hAnsi="Arial" w:cs="Arial"/>
                <w:sz w:val="20"/>
                <w:szCs w:val="20"/>
              </w:rPr>
            </w:pPr>
            <w:r w:rsidRPr="00C8330C">
              <w:rPr>
                <w:rFonts w:ascii="Arial" w:hAnsi="Arial" w:cs="Arial"/>
                <w:sz w:val="20"/>
                <w:szCs w:val="20"/>
              </w:rPr>
              <w:t>Maestría</w:t>
            </w:r>
          </w:p>
        </w:tc>
        <w:tc>
          <w:tcPr>
            <w:tcW w:w="534" w:type="pct"/>
            <w:tcBorders>
              <w:top w:val="nil"/>
              <w:left w:val="nil"/>
              <w:bottom w:val="single" w:sz="4" w:space="0" w:color="A6A6A6"/>
              <w:right w:val="single" w:sz="4" w:space="0" w:color="A6A6A6"/>
            </w:tcBorders>
            <w:shd w:val="clear" w:color="auto" w:fill="auto"/>
            <w:noWrap/>
            <w:vAlign w:val="center"/>
            <w:hideMark/>
          </w:tcPr>
          <w:p w14:paraId="49AC8434" w14:textId="77777777" w:rsidR="002A56FE" w:rsidRPr="00C8330C" w:rsidRDefault="002A56FE" w:rsidP="002A56FE">
            <w:pPr>
              <w:rPr>
                <w:rFonts w:ascii="Arial" w:hAnsi="Arial" w:cs="Arial"/>
                <w:sz w:val="20"/>
                <w:szCs w:val="20"/>
              </w:rPr>
            </w:pPr>
            <w:r w:rsidRPr="00C8330C">
              <w:rPr>
                <w:rFonts w:ascii="Arial" w:hAnsi="Arial" w:cs="Arial"/>
                <w:sz w:val="20"/>
                <w:szCs w:val="20"/>
              </w:rPr>
              <w:t>887</w:t>
            </w:r>
          </w:p>
        </w:tc>
        <w:tc>
          <w:tcPr>
            <w:tcW w:w="574" w:type="pct"/>
            <w:tcBorders>
              <w:top w:val="nil"/>
              <w:left w:val="nil"/>
              <w:bottom w:val="single" w:sz="4" w:space="0" w:color="A6A6A6"/>
              <w:right w:val="single" w:sz="4" w:space="0" w:color="A6A6A6"/>
            </w:tcBorders>
            <w:shd w:val="clear" w:color="auto" w:fill="auto"/>
            <w:noWrap/>
            <w:vAlign w:val="center"/>
            <w:hideMark/>
          </w:tcPr>
          <w:p w14:paraId="7A5895A8" w14:textId="77777777" w:rsidR="002A56FE" w:rsidRPr="00C8330C" w:rsidRDefault="002A56FE" w:rsidP="002A56FE">
            <w:pPr>
              <w:rPr>
                <w:rFonts w:ascii="Arial" w:hAnsi="Arial" w:cs="Arial"/>
                <w:sz w:val="20"/>
                <w:szCs w:val="20"/>
              </w:rPr>
            </w:pPr>
            <w:r w:rsidRPr="00C8330C">
              <w:rPr>
                <w:rFonts w:ascii="Arial" w:hAnsi="Arial" w:cs="Arial"/>
                <w:sz w:val="20"/>
                <w:szCs w:val="20"/>
              </w:rPr>
              <w:t>897</w:t>
            </w:r>
          </w:p>
        </w:tc>
        <w:tc>
          <w:tcPr>
            <w:tcW w:w="500" w:type="pct"/>
            <w:tcBorders>
              <w:top w:val="nil"/>
              <w:left w:val="nil"/>
              <w:bottom w:val="single" w:sz="4" w:space="0" w:color="A6A6A6"/>
              <w:right w:val="nil"/>
            </w:tcBorders>
            <w:shd w:val="clear" w:color="auto" w:fill="auto"/>
            <w:noWrap/>
            <w:vAlign w:val="center"/>
            <w:hideMark/>
          </w:tcPr>
          <w:p w14:paraId="337234E9" w14:textId="77777777" w:rsidR="002A56FE" w:rsidRPr="00C8330C" w:rsidRDefault="002A56FE" w:rsidP="002A56FE">
            <w:pPr>
              <w:rPr>
                <w:rFonts w:ascii="Arial" w:hAnsi="Arial" w:cs="Arial"/>
                <w:sz w:val="20"/>
                <w:szCs w:val="20"/>
              </w:rPr>
            </w:pPr>
            <w:r w:rsidRPr="00C8330C">
              <w:rPr>
                <w:rFonts w:ascii="Arial" w:hAnsi="Arial" w:cs="Arial"/>
                <w:sz w:val="20"/>
                <w:szCs w:val="20"/>
              </w:rPr>
              <w:t>1.120</w:t>
            </w:r>
          </w:p>
        </w:tc>
        <w:tc>
          <w:tcPr>
            <w:tcW w:w="500" w:type="pct"/>
            <w:tcBorders>
              <w:top w:val="nil"/>
              <w:left w:val="single" w:sz="4" w:space="0" w:color="A6A6A6"/>
              <w:bottom w:val="single" w:sz="4" w:space="0" w:color="A6A6A6"/>
              <w:right w:val="single" w:sz="4" w:space="0" w:color="A6A6A6"/>
            </w:tcBorders>
            <w:shd w:val="clear" w:color="auto" w:fill="auto"/>
            <w:noWrap/>
            <w:vAlign w:val="center"/>
            <w:hideMark/>
          </w:tcPr>
          <w:p w14:paraId="3F649142" w14:textId="77777777" w:rsidR="002A56FE" w:rsidRPr="00C8330C" w:rsidRDefault="002A56FE" w:rsidP="002A56FE">
            <w:pPr>
              <w:rPr>
                <w:rFonts w:ascii="Arial" w:hAnsi="Arial" w:cs="Arial"/>
                <w:sz w:val="20"/>
                <w:szCs w:val="20"/>
              </w:rPr>
            </w:pPr>
            <w:r w:rsidRPr="00C8330C">
              <w:rPr>
                <w:rFonts w:ascii="Arial" w:hAnsi="Arial" w:cs="Arial"/>
                <w:sz w:val="20"/>
                <w:szCs w:val="20"/>
              </w:rPr>
              <w:t>1.403</w:t>
            </w:r>
          </w:p>
        </w:tc>
        <w:tc>
          <w:tcPr>
            <w:tcW w:w="505" w:type="pct"/>
            <w:tcBorders>
              <w:top w:val="nil"/>
              <w:left w:val="nil"/>
              <w:bottom w:val="single" w:sz="4" w:space="0" w:color="A6A6A6"/>
              <w:right w:val="single" w:sz="4" w:space="0" w:color="A6A6A6"/>
            </w:tcBorders>
            <w:shd w:val="clear" w:color="auto" w:fill="auto"/>
            <w:noWrap/>
            <w:vAlign w:val="center"/>
            <w:hideMark/>
          </w:tcPr>
          <w:p w14:paraId="102556D0" w14:textId="77777777" w:rsidR="002A56FE" w:rsidRPr="00C8330C" w:rsidRDefault="002A56FE" w:rsidP="002A56FE">
            <w:pPr>
              <w:rPr>
                <w:rFonts w:ascii="Arial" w:hAnsi="Arial" w:cs="Arial"/>
                <w:sz w:val="20"/>
                <w:szCs w:val="20"/>
              </w:rPr>
            </w:pPr>
            <w:r w:rsidRPr="00C8330C">
              <w:rPr>
                <w:rFonts w:ascii="Arial" w:hAnsi="Arial" w:cs="Arial"/>
                <w:sz w:val="20"/>
                <w:szCs w:val="20"/>
              </w:rPr>
              <w:t>1.064</w:t>
            </w:r>
          </w:p>
        </w:tc>
        <w:tc>
          <w:tcPr>
            <w:tcW w:w="505" w:type="pct"/>
            <w:tcBorders>
              <w:top w:val="nil"/>
              <w:left w:val="nil"/>
              <w:bottom w:val="single" w:sz="4" w:space="0" w:color="A6A6A6"/>
              <w:right w:val="single" w:sz="4" w:space="0" w:color="A6A6A6"/>
            </w:tcBorders>
            <w:shd w:val="clear" w:color="auto" w:fill="auto"/>
            <w:noWrap/>
            <w:vAlign w:val="center"/>
            <w:hideMark/>
          </w:tcPr>
          <w:p w14:paraId="03802822" w14:textId="77777777" w:rsidR="002A56FE" w:rsidRPr="00C8330C" w:rsidRDefault="002A56FE" w:rsidP="002A56FE">
            <w:pPr>
              <w:rPr>
                <w:rFonts w:ascii="Arial" w:hAnsi="Arial" w:cs="Arial"/>
                <w:sz w:val="20"/>
                <w:szCs w:val="20"/>
              </w:rPr>
            </w:pPr>
            <w:r w:rsidRPr="00C8330C">
              <w:rPr>
                <w:rFonts w:ascii="Arial" w:hAnsi="Arial" w:cs="Arial"/>
                <w:sz w:val="20"/>
                <w:szCs w:val="20"/>
              </w:rPr>
              <w:t>922</w:t>
            </w:r>
          </w:p>
        </w:tc>
        <w:tc>
          <w:tcPr>
            <w:tcW w:w="494" w:type="pct"/>
            <w:tcBorders>
              <w:top w:val="nil"/>
              <w:left w:val="nil"/>
              <w:bottom w:val="single" w:sz="4" w:space="0" w:color="A6A6A6"/>
              <w:right w:val="single" w:sz="8" w:space="0" w:color="3366CC"/>
            </w:tcBorders>
            <w:shd w:val="clear" w:color="auto" w:fill="auto"/>
            <w:noWrap/>
            <w:vAlign w:val="center"/>
            <w:hideMark/>
          </w:tcPr>
          <w:p w14:paraId="6690472A" w14:textId="77777777" w:rsidR="002A56FE" w:rsidRPr="00C8330C" w:rsidRDefault="002A56FE" w:rsidP="002A56FE">
            <w:pPr>
              <w:rPr>
                <w:rFonts w:ascii="Arial" w:hAnsi="Arial" w:cs="Arial"/>
                <w:sz w:val="20"/>
                <w:szCs w:val="20"/>
              </w:rPr>
            </w:pPr>
            <w:r w:rsidRPr="00C8330C">
              <w:rPr>
                <w:rFonts w:ascii="Arial" w:hAnsi="Arial" w:cs="Arial"/>
                <w:sz w:val="20"/>
                <w:szCs w:val="20"/>
              </w:rPr>
              <w:t>765</w:t>
            </w:r>
          </w:p>
        </w:tc>
      </w:tr>
      <w:tr w:rsidR="002A56FE" w:rsidRPr="00C8330C" w14:paraId="6F2EACA3" w14:textId="77777777" w:rsidTr="002A56FE">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4DB9FACE" w14:textId="77777777" w:rsidR="002A56FE" w:rsidRPr="00C8330C" w:rsidRDefault="002A56FE" w:rsidP="002A56FE">
            <w:pPr>
              <w:rPr>
                <w:rFonts w:ascii="Arial" w:hAnsi="Arial" w:cs="Arial"/>
                <w:sz w:val="20"/>
                <w:szCs w:val="20"/>
              </w:rPr>
            </w:pPr>
            <w:r w:rsidRPr="00C8330C">
              <w:rPr>
                <w:rFonts w:ascii="Arial" w:hAnsi="Arial" w:cs="Arial"/>
                <w:sz w:val="20"/>
                <w:szCs w:val="20"/>
              </w:rPr>
              <w:t>Doctorado</w:t>
            </w:r>
          </w:p>
        </w:tc>
        <w:tc>
          <w:tcPr>
            <w:tcW w:w="534" w:type="pct"/>
            <w:tcBorders>
              <w:top w:val="nil"/>
              <w:left w:val="nil"/>
              <w:bottom w:val="single" w:sz="4" w:space="0" w:color="A6A6A6"/>
              <w:right w:val="single" w:sz="4" w:space="0" w:color="A6A6A6"/>
            </w:tcBorders>
            <w:shd w:val="clear" w:color="auto" w:fill="auto"/>
            <w:noWrap/>
            <w:vAlign w:val="center"/>
            <w:hideMark/>
          </w:tcPr>
          <w:p w14:paraId="72D78C78" w14:textId="77777777" w:rsidR="002A56FE" w:rsidRPr="00C8330C" w:rsidRDefault="002A56FE" w:rsidP="002A56FE">
            <w:pPr>
              <w:rPr>
                <w:rFonts w:ascii="Arial" w:hAnsi="Arial" w:cs="Arial"/>
                <w:sz w:val="20"/>
                <w:szCs w:val="20"/>
              </w:rPr>
            </w:pPr>
            <w:r w:rsidRPr="00C8330C">
              <w:rPr>
                <w:rFonts w:ascii="Arial" w:hAnsi="Arial" w:cs="Arial"/>
                <w:sz w:val="20"/>
                <w:szCs w:val="20"/>
              </w:rPr>
              <w:t>24</w:t>
            </w:r>
          </w:p>
        </w:tc>
        <w:tc>
          <w:tcPr>
            <w:tcW w:w="574" w:type="pct"/>
            <w:tcBorders>
              <w:top w:val="nil"/>
              <w:left w:val="nil"/>
              <w:bottom w:val="single" w:sz="4" w:space="0" w:color="A6A6A6"/>
              <w:right w:val="single" w:sz="4" w:space="0" w:color="A6A6A6"/>
            </w:tcBorders>
            <w:shd w:val="clear" w:color="auto" w:fill="auto"/>
            <w:noWrap/>
            <w:vAlign w:val="center"/>
            <w:hideMark/>
          </w:tcPr>
          <w:p w14:paraId="5234DD6A" w14:textId="77777777" w:rsidR="002A56FE" w:rsidRPr="00C8330C" w:rsidRDefault="002A56FE" w:rsidP="002A56FE">
            <w:pPr>
              <w:rPr>
                <w:rFonts w:ascii="Arial" w:hAnsi="Arial" w:cs="Arial"/>
                <w:sz w:val="20"/>
                <w:szCs w:val="20"/>
              </w:rPr>
            </w:pPr>
            <w:r w:rsidRPr="00C8330C">
              <w:rPr>
                <w:rFonts w:ascii="Arial" w:hAnsi="Arial" w:cs="Arial"/>
                <w:sz w:val="20"/>
                <w:szCs w:val="20"/>
              </w:rPr>
              <w:t>49</w:t>
            </w:r>
          </w:p>
        </w:tc>
        <w:tc>
          <w:tcPr>
            <w:tcW w:w="500" w:type="pct"/>
            <w:tcBorders>
              <w:top w:val="nil"/>
              <w:left w:val="nil"/>
              <w:bottom w:val="single" w:sz="4" w:space="0" w:color="A6A6A6"/>
              <w:right w:val="nil"/>
            </w:tcBorders>
            <w:shd w:val="clear" w:color="auto" w:fill="auto"/>
            <w:noWrap/>
            <w:vAlign w:val="center"/>
            <w:hideMark/>
          </w:tcPr>
          <w:p w14:paraId="511F153B" w14:textId="77777777" w:rsidR="002A56FE" w:rsidRPr="00C8330C" w:rsidRDefault="002A56FE" w:rsidP="002A56FE">
            <w:pPr>
              <w:rPr>
                <w:rFonts w:ascii="Arial" w:hAnsi="Arial" w:cs="Arial"/>
                <w:sz w:val="20"/>
                <w:szCs w:val="20"/>
              </w:rPr>
            </w:pPr>
            <w:r w:rsidRPr="00C8330C">
              <w:rPr>
                <w:rFonts w:ascii="Arial" w:hAnsi="Arial" w:cs="Arial"/>
                <w:sz w:val="20"/>
                <w:szCs w:val="20"/>
              </w:rPr>
              <w:t>42</w:t>
            </w:r>
          </w:p>
        </w:tc>
        <w:tc>
          <w:tcPr>
            <w:tcW w:w="500" w:type="pct"/>
            <w:tcBorders>
              <w:top w:val="nil"/>
              <w:left w:val="single" w:sz="4" w:space="0" w:color="A6A6A6"/>
              <w:bottom w:val="single" w:sz="4" w:space="0" w:color="A6A6A6"/>
              <w:right w:val="single" w:sz="4" w:space="0" w:color="A6A6A6"/>
            </w:tcBorders>
            <w:shd w:val="clear" w:color="auto" w:fill="auto"/>
            <w:noWrap/>
            <w:vAlign w:val="center"/>
            <w:hideMark/>
          </w:tcPr>
          <w:p w14:paraId="307E5D97" w14:textId="77777777" w:rsidR="002A56FE" w:rsidRPr="00C8330C" w:rsidRDefault="002A56FE" w:rsidP="002A56FE">
            <w:pPr>
              <w:rPr>
                <w:rFonts w:ascii="Arial" w:hAnsi="Arial" w:cs="Arial"/>
                <w:sz w:val="20"/>
                <w:szCs w:val="20"/>
              </w:rPr>
            </w:pPr>
            <w:r w:rsidRPr="00C8330C">
              <w:rPr>
                <w:rFonts w:ascii="Arial" w:hAnsi="Arial" w:cs="Arial"/>
                <w:sz w:val="20"/>
                <w:szCs w:val="20"/>
              </w:rPr>
              <w:t>64</w:t>
            </w:r>
          </w:p>
        </w:tc>
        <w:tc>
          <w:tcPr>
            <w:tcW w:w="505" w:type="pct"/>
            <w:tcBorders>
              <w:top w:val="nil"/>
              <w:left w:val="nil"/>
              <w:bottom w:val="single" w:sz="4" w:space="0" w:color="A6A6A6"/>
              <w:right w:val="single" w:sz="4" w:space="0" w:color="A6A6A6"/>
            </w:tcBorders>
            <w:shd w:val="clear" w:color="auto" w:fill="auto"/>
            <w:noWrap/>
            <w:vAlign w:val="center"/>
            <w:hideMark/>
          </w:tcPr>
          <w:p w14:paraId="7AD92592" w14:textId="77777777" w:rsidR="002A56FE" w:rsidRPr="00C8330C" w:rsidRDefault="002A56FE" w:rsidP="002A56FE">
            <w:pPr>
              <w:rPr>
                <w:rFonts w:ascii="Arial" w:hAnsi="Arial" w:cs="Arial"/>
                <w:sz w:val="20"/>
                <w:szCs w:val="20"/>
              </w:rPr>
            </w:pPr>
            <w:r w:rsidRPr="00C8330C">
              <w:rPr>
                <w:rFonts w:ascii="Arial" w:hAnsi="Arial" w:cs="Arial"/>
                <w:sz w:val="20"/>
                <w:szCs w:val="20"/>
              </w:rPr>
              <w:t>60</w:t>
            </w:r>
          </w:p>
        </w:tc>
        <w:tc>
          <w:tcPr>
            <w:tcW w:w="505" w:type="pct"/>
            <w:tcBorders>
              <w:top w:val="nil"/>
              <w:left w:val="nil"/>
              <w:bottom w:val="single" w:sz="4" w:space="0" w:color="A6A6A6"/>
              <w:right w:val="single" w:sz="4" w:space="0" w:color="A6A6A6"/>
            </w:tcBorders>
            <w:shd w:val="clear" w:color="auto" w:fill="auto"/>
            <w:noWrap/>
            <w:vAlign w:val="center"/>
            <w:hideMark/>
          </w:tcPr>
          <w:p w14:paraId="77834952" w14:textId="77777777" w:rsidR="002A56FE" w:rsidRPr="00C8330C" w:rsidRDefault="002A56FE" w:rsidP="002A56FE">
            <w:pPr>
              <w:rPr>
                <w:rFonts w:ascii="Arial" w:hAnsi="Arial" w:cs="Arial"/>
                <w:sz w:val="20"/>
                <w:szCs w:val="20"/>
              </w:rPr>
            </w:pPr>
            <w:r w:rsidRPr="00C8330C">
              <w:rPr>
                <w:rFonts w:ascii="Arial" w:hAnsi="Arial" w:cs="Arial"/>
                <w:sz w:val="20"/>
                <w:szCs w:val="20"/>
              </w:rPr>
              <w:t>75</w:t>
            </w:r>
          </w:p>
        </w:tc>
        <w:tc>
          <w:tcPr>
            <w:tcW w:w="494" w:type="pct"/>
            <w:tcBorders>
              <w:top w:val="nil"/>
              <w:left w:val="nil"/>
              <w:bottom w:val="single" w:sz="4" w:space="0" w:color="A6A6A6"/>
              <w:right w:val="single" w:sz="8" w:space="0" w:color="3366CC"/>
            </w:tcBorders>
            <w:shd w:val="clear" w:color="auto" w:fill="auto"/>
            <w:noWrap/>
            <w:vAlign w:val="center"/>
            <w:hideMark/>
          </w:tcPr>
          <w:p w14:paraId="02A0D597" w14:textId="77777777" w:rsidR="002A56FE" w:rsidRPr="00C8330C" w:rsidRDefault="002A56FE" w:rsidP="002A56FE">
            <w:pPr>
              <w:rPr>
                <w:rFonts w:ascii="Arial" w:hAnsi="Arial" w:cs="Arial"/>
                <w:sz w:val="20"/>
                <w:szCs w:val="20"/>
              </w:rPr>
            </w:pPr>
            <w:r w:rsidRPr="00C8330C">
              <w:rPr>
                <w:rFonts w:ascii="Arial" w:hAnsi="Arial" w:cs="Arial"/>
                <w:sz w:val="20"/>
                <w:szCs w:val="20"/>
              </w:rPr>
              <w:t>72</w:t>
            </w:r>
          </w:p>
        </w:tc>
      </w:tr>
      <w:tr w:rsidR="002A56FE" w:rsidRPr="00C8330C" w14:paraId="75567C80" w14:textId="77777777" w:rsidTr="002A56FE">
        <w:trPr>
          <w:trHeight w:val="390"/>
        </w:trPr>
        <w:tc>
          <w:tcPr>
            <w:tcW w:w="1388" w:type="pct"/>
            <w:tcBorders>
              <w:top w:val="single" w:sz="4" w:space="0" w:color="A6A6A6"/>
              <w:left w:val="single" w:sz="8" w:space="0" w:color="3366CC"/>
              <w:bottom w:val="single" w:sz="8" w:space="0" w:color="3366CC"/>
              <w:right w:val="single" w:sz="8" w:space="0" w:color="3366CC"/>
            </w:tcBorders>
            <w:shd w:val="clear" w:color="000000" w:fill="DDEBF7"/>
            <w:noWrap/>
            <w:vAlign w:val="center"/>
            <w:hideMark/>
          </w:tcPr>
          <w:p w14:paraId="6CA1DE8D" w14:textId="77777777" w:rsidR="002A56FE" w:rsidRPr="00C8330C" w:rsidRDefault="002A56FE" w:rsidP="002A56FE">
            <w:pPr>
              <w:rPr>
                <w:rFonts w:ascii="Arial" w:hAnsi="Arial" w:cs="Arial"/>
                <w:b/>
                <w:bCs/>
                <w:sz w:val="20"/>
                <w:szCs w:val="20"/>
              </w:rPr>
            </w:pPr>
            <w:r w:rsidRPr="00C8330C">
              <w:rPr>
                <w:rFonts w:ascii="Arial" w:hAnsi="Arial" w:cs="Arial"/>
                <w:b/>
                <w:bCs/>
                <w:sz w:val="20"/>
                <w:szCs w:val="20"/>
              </w:rPr>
              <w:t>Total General</w:t>
            </w:r>
          </w:p>
        </w:tc>
        <w:tc>
          <w:tcPr>
            <w:tcW w:w="534" w:type="pct"/>
            <w:tcBorders>
              <w:top w:val="nil"/>
              <w:left w:val="nil"/>
              <w:bottom w:val="single" w:sz="8" w:space="0" w:color="3366CC"/>
              <w:right w:val="single" w:sz="4" w:space="0" w:color="A6A6A6"/>
            </w:tcBorders>
            <w:shd w:val="clear" w:color="000000" w:fill="DDEBF7"/>
            <w:noWrap/>
            <w:vAlign w:val="center"/>
            <w:hideMark/>
          </w:tcPr>
          <w:p w14:paraId="18E3C960" w14:textId="77777777" w:rsidR="002A56FE" w:rsidRPr="00C8330C" w:rsidRDefault="002A56FE" w:rsidP="002A56FE">
            <w:pPr>
              <w:rPr>
                <w:rFonts w:ascii="Arial" w:hAnsi="Arial" w:cs="Arial"/>
                <w:b/>
                <w:bCs/>
                <w:sz w:val="20"/>
                <w:szCs w:val="20"/>
              </w:rPr>
            </w:pPr>
            <w:r w:rsidRPr="00C8330C">
              <w:rPr>
                <w:rFonts w:ascii="Arial" w:hAnsi="Arial" w:cs="Arial"/>
                <w:b/>
                <w:bCs/>
                <w:sz w:val="20"/>
                <w:szCs w:val="20"/>
              </w:rPr>
              <w:t>8.576</w:t>
            </w:r>
          </w:p>
        </w:tc>
        <w:tc>
          <w:tcPr>
            <w:tcW w:w="574" w:type="pct"/>
            <w:tcBorders>
              <w:top w:val="nil"/>
              <w:left w:val="nil"/>
              <w:bottom w:val="single" w:sz="8" w:space="0" w:color="3366CC"/>
              <w:right w:val="single" w:sz="4" w:space="0" w:color="A6A6A6"/>
            </w:tcBorders>
            <w:shd w:val="clear" w:color="000000" w:fill="DDEBF7"/>
            <w:noWrap/>
            <w:vAlign w:val="center"/>
            <w:hideMark/>
          </w:tcPr>
          <w:p w14:paraId="75B12EFB" w14:textId="77777777" w:rsidR="002A56FE" w:rsidRPr="00C8330C" w:rsidRDefault="002A56FE" w:rsidP="002A56FE">
            <w:pPr>
              <w:rPr>
                <w:rFonts w:ascii="Arial" w:hAnsi="Arial" w:cs="Arial"/>
                <w:b/>
                <w:bCs/>
                <w:sz w:val="20"/>
                <w:szCs w:val="20"/>
              </w:rPr>
            </w:pPr>
            <w:r w:rsidRPr="00C8330C">
              <w:rPr>
                <w:rFonts w:ascii="Arial" w:hAnsi="Arial" w:cs="Arial"/>
                <w:b/>
                <w:bCs/>
                <w:sz w:val="20"/>
                <w:szCs w:val="20"/>
              </w:rPr>
              <w:t>9.845</w:t>
            </w:r>
          </w:p>
        </w:tc>
        <w:tc>
          <w:tcPr>
            <w:tcW w:w="500" w:type="pct"/>
            <w:tcBorders>
              <w:top w:val="nil"/>
              <w:left w:val="nil"/>
              <w:bottom w:val="single" w:sz="8" w:space="0" w:color="3366CC"/>
              <w:right w:val="nil"/>
            </w:tcBorders>
            <w:shd w:val="clear" w:color="000000" w:fill="DDEBF7"/>
            <w:noWrap/>
            <w:vAlign w:val="center"/>
            <w:hideMark/>
          </w:tcPr>
          <w:p w14:paraId="29643B7C" w14:textId="77777777" w:rsidR="002A56FE" w:rsidRPr="00C8330C" w:rsidRDefault="002A56FE" w:rsidP="002A56FE">
            <w:pPr>
              <w:rPr>
                <w:rFonts w:ascii="Arial" w:hAnsi="Arial" w:cs="Arial"/>
                <w:b/>
                <w:bCs/>
                <w:sz w:val="20"/>
                <w:szCs w:val="20"/>
              </w:rPr>
            </w:pPr>
            <w:r w:rsidRPr="00C8330C">
              <w:rPr>
                <w:rFonts w:ascii="Arial" w:hAnsi="Arial" w:cs="Arial"/>
                <w:b/>
                <w:bCs/>
                <w:sz w:val="20"/>
                <w:szCs w:val="20"/>
              </w:rPr>
              <w:t>10.516</w:t>
            </w:r>
          </w:p>
        </w:tc>
        <w:tc>
          <w:tcPr>
            <w:tcW w:w="500" w:type="pct"/>
            <w:tcBorders>
              <w:top w:val="nil"/>
              <w:left w:val="single" w:sz="4" w:space="0" w:color="A6A6A6"/>
              <w:bottom w:val="single" w:sz="8" w:space="0" w:color="3366CC"/>
              <w:right w:val="single" w:sz="4" w:space="0" w:color="A6A6A6"/>
            </w:tcBorders>
            <w:shd w:val="clear" w:color="000000" w:fill="DDEBF7"/>
            <w:noWrap/>
            <w:vAlign w:val="center"/>
            <w:hideMark/>
          </w:tcPr>
          <w:p w14:paraId="054AD7E5" w14:textId="77777777" w:rsidR="002A56FE" w:rsidRPr="00C8330C" w:rsidRDefault="002A56FE" w:rsidP="002A56FE">
            <w:pPr>
              <w:rPr>
                <w:rFonts w:ascii="Arial" w:hAnsi="Arial" w:cs="Arial"/>
                <w:b/>
                <w:bCs/>
                <w:sz w:val="20"/>
                <w:szCs w:val="20"/>
              </w:rPr>
            </w:pPr>
            <w:r w:rsidRPr="00C8330C">
              <w:rPr>
                <w:rFonts w:ascii="Arial" w:hAnsi="Arial" w:cs="Arial"/>
                <w:b/>
                <w:bCs/>
                <w:sz w:val="20"/>
                <w:szCs w:val="20"/>
              </w:rPr>
              <w:t>12.131</w:t>
            </w:r>
          </w:p>
        </w:tc>
        <w:tc>
          <w:tcPr>
            <w:tcW w:w="505" w:type="pct"/>
            <w:tcBorders>
              <w:top w:val="nil"/>
              <w:left w:val="nil"/>
              <w:bottom w:val="single" w:sz="8" w:space="0" w:color="3366CC"/>
              <w:right w:val="single" w:sz="4" w:space="0" w:color="A6A6A6"/>
            </w:tcBorders>
            <w:shd w:val="clear" w:color="000000" w:fill="DDEBF7"/>
            <w:noWrap/>
            <w:vAlign w:val="center"/>
            <w:hideMark/>
          </w:tcPr>
          <w:p w14:paraId="2349297C" w14:textId="77777777" w:rsidR="002A56FE" w:rsidRPr="00C8330C" w:rsidRDefault="002A56FE" w:rsidP="002A56FE">
            <w:pPr>
              <w:rPr>
                <w:rFonts w:ascii="Arial" w:hAnsi="Arial" w:cs="Arial"/>
                <w:b/>
                <w:bCs/>
                <w:sz w:val="20"/>
                <w:szCs w:val="20"/>
              </w:rPr>
            </w:pPr>
            <w:r w:rsidRPr="00C8330C">
              <w:rPr>
                <w:rFonts w:ascii="Arial" w:hAnsi="Arial" w:cs="Arial"/>
                <w:b/>
                <w:bCs/>
                <w:sz w:val="20"/>
                <w:szCs w:val="20"/>
              </w:rPr>
              <w:t>11.406</w:t>
            </w:r>
          </w:p>
        </w:tc>
        <w:tc>
          <w:tcPr>
            <w:tcW w:w="505" w:type="pct"/>
            <w:tcBorders>
              <w:top w:val="nil"/>
              <w:left w:val="nil"/>
              <w:bottom w:val="single" w:sz="8" w:space="0" w:color="3366CC"/>
              <w:right w:val="single" w:sz="4" w:space="0" w:color="A6A6A6"/>
            </w:tcBorders>
            <w:shd w:val="clear" w:color="000000" w:fill="DDEBF7"/>
            <w:noWrap/>
            <w:vAlign w:val="center"/>
            <w:hideMark/>
          </w:tcPr>
          <w:p w14:paraId="48C943DA" w14:textId="77777777" w:rsidR="002A56FE" w:rsidRPr="00C8330C" w:rsidRDefault="002A56FE" w:rsidP="002A56FE">
            <w:pPr>
              <w:rPr>
                <w:rFonts w:ascii="Arial" w:hAnsi="Arial" w:cs="Arial"/>
                <w:b/>
                <w:bCs/>
                <w:sz w:val="20"/>
                <w:szCs w:val="20"/>
              </w:rPr>
            </w:pPr>
            <w:r w:rsidRPr="00C8330C">
              <w:rPr>
                <w:rFonts w:ascii="Arial" w:hAnsi="Arial" w:cs="Arial"/>
                <w:b/>
                <w:bCs/>
                <w:sz w:val="20"/>
                <w:szCs w:val="20"/>
              </w:rPr>
              <w:t>10.358</w:t>
            </w:r>
          </w:p>
        </w:tc>
        <w:tc>
          <w:tcPr>
            <w:tcW w:w="494" w:type="pct"/>
            <w:tcBorders>
              <w:top w:val="nil"/>
              <w:left w:val="nil"/>
              <w:bottom w:val="single" w:sz="8" w:space="0" w:color="3366CC"/>
              <w:right w:val="single" w:sz="8" w:space="0" w:color="3366CC"/>
            </w:tcBorders>
            <w:shd w:val="clear" w:color="000000" w:fill="DDEBF7"/>
            <w:noWrap/>
            <w:vAlign w:val="center"/>
            <w:hideMark/>
          </w:tcPr>
          <w:p w14:paraId="6C3CD8CF" w14:textId="77777777" w:rsidR="002A56FE" w:rsidRPr="00C8330C" w:rsidRDefault="002A56FE" w:rsidP="002A56FE">
            <w:pPr>
              <w:rPr>
                <w:rFonts w:ascii="Arial" w:hAnsi="Arial" w:cs="Arial"/>
                <w:b/>
                <w:bCs/>
                <w:sz w:val="20"/>
                <w:szCs w:val="20"/>
              </w:rPr>
            </w:pPr>
            <w:r w:rsidRPr="00C8330C">
              <w:rPr>
                <w:rFonts w:ascii="Arial" w:hAnsi="Arial" w:cs="Arial"/>
                <w:b/>
                <w:bCs/>
                <w:sz w:val="20"/>
                <w:szCs w:val="20"/>
              </w:rPr>
              <w:t>10.828</w:t>
            </w:r>
          </w:p>
        </w:tc>
      </w:tr>
    </w:tbl>
    <w:p w14:paraId="37919021" w14:textId="77777777" w:rsidR="002A56FE" w:rsidRPr="00C8330C" w:rsidRDefault="002A56FE" w:rsidP="002A56FE">
      <w:pPr>
        <w:rPr>
          <w:rStyle w:val="Referenciasutil"/>
          <w:rFonts w:ascii="Arial" w:hAnsi="Arial" w:cs="Arial"/>
          <w:sz w:val="16"/>
          <w:szCs w:val="16"/>
        </w:rPr>
      </w:pPr>
      <w:r w:rsidRPr="00C8330C">
        <w:rPr>
          <w:rStyle w:val="Referenciasutil"/>
          <w:rFonts w:ascii="Arial" w:hAnsi="Arial" w:cs="Arial"/>
          <w:sz w:val="16"/>
          <w:szCs w:val="16"/>
        </w:rPr>
        <w:t>Fuente: MEN - Observatorio Laboral de la Educación - OLE</w:t>
      </w:r>
    </w:p>
    <w:p w14:paraId="5BD33524" w14:textId="50E76345" w:rsidR="002A56FE" w:rsidRPr="00985A2D" w:rsidRDefault="002A56FE" w:rsidP="002A56FE">
      <w:pPr>
        <w:rPr>
          <w:rFonts w:ascii="Arial" w:hAnsi="Arial" w:cs="Arial"/>
          <w:szCs w:val="22"/>
        </w:rPr>
      </w:pPr>
    </w:p>
    <w:p w14:paraId="57D82369" w14:textId="39D0A5DF" w:rsidR="002A56FE" w:rsidRPr="00985A2D" w:rsidRDefault="009A7E0E" w:rsidP="002A56FE">
      <w:pPr>
        <w:pStyle w:val="Ttulo2"/>
        <w:rPr>
          <w:rFonts w:ascii="Arial" w:hAnsi="Arial" w:cs="Arial"/>
          <w:sz w:val="22"/>
          <w:szCs w:val="22"/>
        </w:rPr>
      </w:pPr>
      <w:r w:rsidRPr="00985A2D">
        <w:rPr>
          <w:rFonts w:ascii="Arial" w:hAnsi="Arial" w:cs="Arial"/>
          <w:sz w:val="22"/>
          <w:szCs w:val="22"/>
        </w:rPr>
        <w:t>Mercado laboral de la población con título de educación superior en Caldas</w:t>
      </w:r>
    </w:p>
    <w:p w14:paraId="14783E05" w14:textId="63F00FC5" w:rsidR="009A7E0E" w:rsidRPr="00985A2D" w:rsidRDefault="009A7E0E" w:rsidP="009A7E0E">
      <w:pPr>
        <w:rPr>
          <w:rFonts w:ascii="Arial" w:hAnsi="Arial" w:cs="Arial"/>
          <w:szCs w:val="22"/>
        </w:rPr>
      </w:pPr>
    </w:p>
    <w:p w14:paraId="71693B5E" w14:textId="77777777" w:rsidR="009A7E0E" w:rsidRPr="00985A2D" w:rsidRDefault="009A7E0E" w:rsidP="009A7E0E">
      <w:pPr>
        <w:rPr>
          <w:rFonts w:ascii="Arial" w:hAnsi="Arial" w:cs="Arial"/>
          <w:szCs w:val="22"/>
        </w:rPr>
      </w:pPr>
      <w:r w:rsidRPr="00985A2D">
        <w:rPr>
          <w:rFonts w:ascii="Arial" w:hAnsi="Arial" w:cs="Arial"/>
          <w:szCs w:val="22"/>
        </w:rPr>
        <w:t xml:space="preserve">El Departamento ha dado pasos importantes en aumentar el nivel de formación de su sociedad, logrando que la población económicamente activa aumente la proporción de personas con niveles de educación superior o universitaria en la última década. Para el año 2008, el 56% de dicha población alcanzaba niveles de educación hasta básica secundaria, a 2019, el porcentaje de la población en estos niveles educativos disminuyó al 42%, lo cual pone de manifiesto un proceso de transición y cualificación de la fuerza laboral del </w:t>
      </w:r>
      <w:r w:rsidRPr="00985A2D">
        <w:rPr>
          <w:rFonts w:ascii="Arial" w:hAnsi="Arial" w:cs="Arial"/>
          <w:szCs w:val="22"/>
        </w:rPr>
        <w:lastRenderedPageBreak/>
        <w:t>departamento, esto es más relevante si se reconoce que el proceso de transición en los niveles de formación de la población económicamente activa ha sido superior en el territorio caldense contrastado con los datos a nivel nacional.</w:t>
      </w:r>
    </w:p>
    <w:p w14:paraId="6D177EE8" w14:textId="77777777" w:rsidR="009A7E0E" w:rsidRPr="00985A2D" w:rsidRDefault="009A7E0E" w:rsidP="009A7E0E">
      <w:pPr>
        <w:rPr>
          <w:rFonts w:ascii="Arial" w:hAnsi="Arial" w:cs="Arial"/>
          <w:szCs w:val="22"/>
        </w:rPr>
      </w:pPr>
    </w:p>
    <w:p w14:paraId="396C6A91" w14:textId="5C39006E" w:rsidR="009A7E0E" w:rsidRPr="00985A2D" w:rsidRDefault="009A7E0E" w:rsidP="009A7E0E">
      <w:pPr>
        <w:rPr>
          <w:rFonts w:ascii="Arial" w:hAnsi="Arial" w:cs="Arial"/>
          <w:szCs w:val="22"/>
        </w:rPr>
      </w:pPr>
      <w:r w:rsidRPr="00985A2D">
        <w:rPr>
          <w:rFonts w:ascii="Arial" w:hAnsi="Arial" w:cs="Arial"/>
          <w:szCs w:val="22"/>
        </w:rPr>
        <w:t>La tasa de ocupación de la población con título de educación superior del departamento puede catalogarse como alta, a partir del nivel de formación tecnológica, no obstante, se observa cómo anualmente ha venido disminuyendo.</w:t>
      </w:r>
    </w:p>
    <w:p w14:paraId="0B99DD20" w14:textId="7ED85BA6" w:rsidR="009A7E0E" w:rsidRPr="00985A2D" w:rsidRDefault="009A7E0E" w:rsidP="009A7E0E">
      <w:pPr>
        <w:rPr>
          <w:rFonts w:ascii="Arial" w:hAnsi="Arial" w:cs="Arial"/>
          <w:szCs w:val="22"/>
        </w:rPr>
      </w:pPr>
    </w:p>
    <w:p w14:paraId="4FF1B762" w14:textId="61ED9CAE" w:rsidR="009A7E0E" w:rsidRPr="00985A2D" w:rsidRDefault="009A7E0E" w:rsidP="009A7E0E">
      <w:pPr>
        <w:rPr>
          <w:rFonts w:ascii="Arial" w:hAnsi="Arial" w:cs="Arial"/>
          <w:b/>
          <w:iCs/>
          <w:szCs w:val="22"/>
        </w:rPr>
      </w:pPr>
      <w:r w:rsidRPr="00985A2D">
        <w:rPr>
          <w:rFonts w:ascii="Arial" w:hAnsi="Arial" w:cs="Arial"/>
          <w:b/>
          <w:iCs/>
          <w:szCs w:val="22"/>
        </w:rPr>
        <w:t xml:space="preserve">Tabla </w:t>
      </w:r>
      <w:r w:rsidR="0009503A" w:rsidRPr="00985A2D">
        <w:rPr>
          <w:rFonts w:ascii="Arial" w:hAnsi="Arial" w:cs="Arial"/>
          <w:b/>
          <w:iCs/>
          <w:szCs w:val="22"/>
        </w:rPr>
        <w:t>11</w:t>
      </w:r>
      <w:r w:rsidRPr="00985A2D">
        <w:rPr>
          <w:rFonts w:ascii="Arial" w:hAnsi="Arial" w:cs="Arial"/>
          <w:b/>
          <w:iCs/>
          <w:szCs w:val="22"/>
        </w:rPr>
        <w:t xml:space="preserve"> Vinculación al mercado laboral de recién graduados (2015 – 2021)</w:t>
      </w:r>
    </w:p>
    <w:tbl>
      <w:tblPr>
        <w:tblW w:w="5000" w:type="pct"/>
        <w:tblCellMar>
          <w:left w:w="70" w:type="dxa"/>
          <w:right w:w="70" w:type="dxa"/>
        </w:tblCellMar>
        <w:tblLook w:val="04A0" w:firstRow="1" w:lastRow="0" w:firstColumn="1" w:lastColumn="0" w:noHBand="0" w:noVBand="1"/>
      </w:tblPr>
      <w:tblGrid>
        <w:gridCol w:w="1824"/>
        <w:gridCol w:w="1165"/>
        <w:gridCol w:w="1165"/>
        <w:gridCol w:w="1166"/>
        <w:gridCol w:w="1166"/>
        <w:gridCol w:w="1166"/>
        <w:gridCol w:w="1166"/>
      </w:tblGrid>
      <w:tr w:rsidR="009A7E0E" w:rsidRPr="00C8330C" w14:paraId="2A0341C5" w14:textId="77777777" w:rsidTr="009A7E0E">
        <w:trPr>
          <w:trHeight w:val="765"/>
        </w:trPr>
        <w:tc>
          <w:tcPr>
            <w:tcW w:w="1009" w:type="pct"/>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550C9D51" w14:textId="77777777" w:rsidR="009A7E0E" w:rsidRPr="00C8330C" w:rsidRDefault="009A7E0E" w:rsidP="00DE30EC">
            <w:pPr>
              <w:jc w:val="center"/>
              <w:rPr>
                <w:rFonts w:ascii="Arial" w:hAnsi="Arial" w:cs="Arial"/>
                <w:b/>
                <w:bCs/>
                <w:sz w:val="20"/>
                <w:szCs w:val="20"/>
              </w:rPr>
            </w:pPr>
            <w:r w:rsidRPr="00C8330C">
              <w:rPr>
                <w:rFonts w:ascii="Arial" w:hAnsi="Arial" w:cs="Arial"/>
                <w:b/>
                <w:bCs/>
                <w:sz w:val="20"/>
                <w:szCs w:val="20"/>
              </w:rPr>
              <w:t>Nivel de Formación</w:t>
            </w:r>
          </w:p>
        </w:tc>
        <w:tc>
          <w:tcPr>
            <w:tcW w:w="665" w:type="pct"/>
            <w:tcBorders>
              <w:top w:val="single" w:sz="8" w:space="0" w:color="3366CC"/>
              <w:left w:val="nil"/>
              <w:bottom w:val="single" w:sz="8" w:space="0" w:color="3366CC"/>
              <w:right w:val="nil"/>
            </w:tcBorders>
            <w:shd w:val="clear" w:color="000000" w:fill="DDEBF7"/>
            <w:vAlign w:val="center"/>
            <w:hideMark/>
          </w:tcPr>
          <w:p w14:paraId="5FFC1446" w14:textId="77777777" w:rsidR="009A7E0E" w:rsidRPr="00C8330C" w:rsidRDefault="009A7E0E" w:rsidP="00DE30EC">
            <w:pPr>
              <w:jc w:val="center"/>
              <w:rPr>
                <w:rFonts w:ascii="Arial" w:hAnsi="Arial" w:cs="Arial"/>
                <w:b/>
                <w:bCs/>
                <w:sz w:val="20"/>
                <w:szCs w:val="20"/>
              </w:rPr>
            </w:pPr>
            <w:r w:rsidRPr="00C8330C">
              <w:rPr>
                <w:rFonts w:ascii="Arial" w:hAnsi="Arial" w:cs="Arial"/>
                <w:b/>
                <w:bCs/>
                <w:sz w:val="20"/>
                <w:szCs w:val="20"/>
              </w:rPr>
              <w:t>Vinculación 2015</w:t>
            </w:r>
            <w:r w:rsidRPr="00C8330C">
              <w:rPr>
                <w:rFonts w:ascii="Arial" w:hAnsi="Arial" w:cs="Arial"/>
                <w:b/>
                <w:bCs/>
                <w:sz w:val="20"/>
                <w:szCs w:val="20"/>
              </w:rPr>
              <w:br/>
              <w:t>(Graduados 2014)</w:t>
            </w:r>
          </w:p>
        </w:tc>
        <w:tc>
          <w:tcPr>
            <w:tcW w:w="665" w:type="pct"/>
            <w:tcBorders>
              <w:top w:val="single" w:sz="8" w:space="0" w:color="3366CC"/>
              <w:left w:val="nil"/>
              <w:bottom w:val="single" w:sz="8" w:space="0" w:color="3366CC"/>
              <w:right w:val="nil"/>
            </w:tcBorders>
            <w:shd w:val="clear" w:color="000000" w:fill="DDEBF7"/>
            <w:vAlign w:val="center"/>
            <w:hideMark/>
          </w:tcPr>
          <w:p w14:paraId="64A2B830" w14:textId="77777777" w:rsidR="009A7E0E" w:rsidRPr="00C8330C" w:rsidRDefault="009A7E0E" w:rsidP="00DE30EC">
            <w:pPr>
              <w:jc w:val="center"/>
              <w:rPr>
                <w:rFonts w:ascii="Arial" w:hAnsi="Arial" w:cs="Arial"/>
                <w:b/>
                <w:bCs/>
                <w:sz w:val="20"/>
                <w:szCs w:val="20"/>
              </w:rPr>
            </w:pPr>
            <w:r w:rsidRPr="00C8330C">
              <w:rPr>
                <w:rFonts w:ascii="Arial" w:hAnsi="Arial" w:cs="Arial"/>
                <w:b/>
                <w:bCs/>
                <w:sz w:val="20"/>
                <w:szCs w:val="20"/>
              </w:rPr>
              <w:t>Vinculación 2016</w:t>
            </w:r>
            <w:r w:rsidRPr="00C8330C">
              <w:rPr>
                <w:rFonts w:ascii="Arial" w:hAnsi="Arial" w:cs="Arial"/>
                <w:b/>
                <w:bCs/>
                <w:sz w:val="20"/>
                <w:szCs w:val="20"/>
              </w:rPr>
              <w:br/>
              <w:t>(Graduados 2015)</w:t>
            </w:r>
          </w:p>
        </w:tc>
        <w:tc>
          <w:tcPr>
            <w:tcW w:w="665" w:type="pct"/>
            <w:tcBorders>
              <w:top w:val="single" w:sz="8" w:space="0" w:color="3366CC"/>
              <w:left w:val="nil"/>
              <w:bottom w:val="single" w:sz="8" w:space="0" w:color="3366CC"/>
              <w:right w:val="nil"/>
            </w:tcBorders>
            <w:shd w:val="clear" w:color="000000" w:fill="DDEBF7"/>
            <w:vAlign w:val="center"/>
            <w:hideMark/>
          </w:tcPr>
          <w:p w14:paraId="518105D1" w14:textId="77777777" w:rsidR="009A7E0E" w:rsidRPr="00C8330C" w:rsidRDefault="009A7E0E" w:rsidP="00DE30EC">
            <w:pPr>
              <w:jc w:val="center"/>
              <w:rPr>
                <w:rFonts w:ascii="Arial" w:hAnsi="Arial" w:cs="Arial"/>
                <w:b/>
                <w:bCs/>
                <w:sz w:val="20"/>
                <w:szCs w:val="20"/>
              </w:rPr>
            </w:pPr>
            <w:r w:rsidRPr="00C8330C">
              <w:rPr>
                <w:rFonts w:ascii="Arial" w:hAnsi="Arial" w:cs="Arial"/>
                <w:b/>
                <w:bCs/>
                <w:sz w:val="20"/>
                <w:szCs w:val="20"/>
              </w:rPr>
              <w:t>Vinculación 2017</w:t>
            </w:r>
            <w:r w:rsidRPr="00C8330C">
              <w:rPr>
                <w:rFonts w:ascii="Arial" w:hAnsi="Arial" w:cs="Arial"/>
                <w:b/>
                <w:bCs/>
                <w:sz w:val="20"/>
                <w:szCs w:val="20"/>
              </w:rPr>
              <w:br/>
              <w:t>(Graduados 2016)</w:t>
            </w:r>
          </w:p>
        </w:tc>
        <w:tc>
          <w:tcPr>
            <w:tcW w:w="665" w:type="pct"/>
            <w:tcBorders>
              <w:top w:val="single" w:sz="8" w:space="0" w:color="3366CC"/>
              <w:left w:val="nil"/>
              <w:bottom w:val="single" w:sz="8" w:space="0" w:color="3366CC"/>
              <w:right w:val="nil"/>
            </w:tcBorders>
            <w:shd w:val="clear" w:color="000000" w:fill="DDEBF7"/>
            <w:vAlign w:val="center"/>
            <w:hideMark/>
          </w:tcPr>
          <w:p w14:paraId="5DC910D8" w14:textId="77777777" w:rsidR="009A7E0E" w:rsidRPr="00C8330C" w:rsidRDefault="009A7E0E" w:rsidP="00DE30EC">
            <w:pPr>
              <w:jc w:val="center"/>
              <w:rPr>
                <w:rFonts w:ascii="Arial" w:hAnsi="Arial" w:cs="Arial"/>
                <w:b/>
                <w:bCs/>
                <w:sz w:val="20"/>
                <w:szCs w:val="20"/>
              </w:rPr>
            </w:pPr>
            <w:r w:rsidRPr="00C8330C">
              <w:rPr>
                <w:rFonts w:ascii="Arial" w:hAnsi="Arial" w:cs="Arial"/>
                <w:b/>
                <w:bCs/>
                <w:sz w:val="20"/>
                <w:szCs w:val="20"/>
              </w:rPr>
              <w:t>Vinculación 2018</w:t>
            </w:r>
            <w:r w:rsidRPr="00C8330C">
              <w:rPr>
                <w:rFonts w:ascii="Arial" w:hAnsi="Arial" w:cs="Arial"/>
                <w:b/>
                <w:bCs/>
                <w:sz w:val="20"/>
                <w:szCs w:val="20"/>
              </w:rPr>
              <w:br/>
              <w:t>(Graduados 2017)</w:t>
            </w:r>
          </w:p>
        </w:tc>
        <w:tc>
          <w:tcPr>
            <w:tcW w:w="665" w:type="pct"/>
            <w:tcBorders>
              <w:top w:val="single" w:sz="8" w:space="0" w:color="3366CC"/>
              <w:left w:val="nil"/>
              <w:bottom w:val="single" w:sz="8" w:space="0" w:color="3366CC"/>
              <w:right w:val="nil"/>
            </w:tcBorders>
            <w:shd w:val="clear" w:color="000000" w:fill="DDEBF7"/>
            <w:vAlign w:val="center"/>
            <w:hideMark/>
          </w:tcPr>
          <w:p w14:paraId="05981A38" w14:textId="77777777" w:rsidR="009A7E0E" w:rsidRPr="00C8330C" w:rsidRDefault="009A7E0E" w:rsidP="00DE30EC">
            <w:pPr>
              <w:jc w:val="center"/>
              <w:rPr>
                <w:rFonts w:ascii="Arial" w:hAnsi="Arial" w:cs="Arial"/>
                <w:b/>
                <w:bCs/>
                <w:sz w:val="20"/>
                <w:szCs w:val="20"/>
              </w:rPr>
            </w:pPr>
            <w:r w:rsidRPr="00C8330C">
              <w:rPr>
                <w:rFonts w:ascii="Arial" w:hAnsi="Arial" w:cs="Arial"/>
                <w:b/>
                <w:bCs/>
                <w:sz w:val="20"/>
                <w:szCs w:val="20"/>
              </w:rPr>
              <w:t>Vinculación 2019</w:t>
            </w:r>
            <w:r w:rsidRPr="00C8330C">
              <w:rPr>
                <w:rFonts w:ascii="Arial" w:hAnsi="Arial" w:cs="Arial"/>
                <w:b/>
                <w:bCs/>
                <w:sz w:val="20"/>
                <w:szCs w:val="20"/>
              </w:rPr>
              <w:br/>
              <w:t>(Graduados 2018)</w:t>
            </w:r>
          </w:p>
        </w:tc>
        <w:tc>
          <w:tcPr>
            <w:tcW w:w="665" w:type="pct"/>
            <w:tcBorders>
              <w:top w:val="single" w:sz="8" w:space="0" w:color="3366CC"/>
              <w:left w:val="nil"/>
              <w:bottom w:val="single" w:sz="8" w:space="0" w:color="3366CC"/>
              <w:right w:val="single" w:sz="8" w:space="0" w:color="3366CC"/>
            </w:tcBorders>
            <w:shd w:val="clear" w:color="000000" w:fill="DDEBF7"/>
            <w:vAlign w:val="center"/>
            <w:hideMark/>
          </w:tcPr>
          <w:p w14:paraId="37329177" w14:textId="77777777" w:rsidR="009A7E0E" w:rsidRPr="00C8330C" w:rsidRDefault="009A7E0E" w:rsidP="00DE30EC">
            <w:pPr>
              <w:jc w:val="center"/>
              <w:rPr>
                <w:rFonts w:ascii="Arial" w:hAnsi="Arial" w:cs="Arial"/>
                <w:b/>
                <w:bCs/>
                <w:sz w:val="20"/>
                <w:szCs w:val="20"/>
              </w:rPr>
            </w:pPr>
            <w:r w:rsidRPr="00C8330C">
              <w:rPr>
                <w:rFonts w:ascii="Arial" w:hAnsi="Arial" w:cs="Arial"/>
                <w:b/>
                <w:bCs/>
                <w:sz w:val="20"/>
                <w:szCs w:val="20"/>
              </w:rPr>
              <w:t>Vinculación 2020</w:t>
            </w:r>
            <w:r w:rsidRPr="00C8330C">
              <w:rPr>
                <w:rFonts w:ascii="Arial" w:hAnsi="Arial" w:cs="Arial"/>
                <w:b/>
                <w:bCs/>
                <w:sz w:val="20"/>
                <w:szCs w:val="20"/>
              </w:rPr>
              <w:br/>
              <w:t>(Graduados 2019)</w:t>
            </w:r>
          </w:p>
        </w:tc>
      </w:tr>
      <w:tr w:rsidR="009A7E0E" w:rsidRPr="00C8330C" w14:paraId="670032BF" w14:textId="77777777" w:rsidTr="009A7E0E">
        <w:trPr>
          <w:trHeight w:val="375"/>
        </w:trPr>
        <w:tc>
          <w:tcPr>
            <w:tcW w:w="1009" w:type="pct"/>
            <w:tcBorders>
              <w:top w:val="single" w:sz="8" w:space="0" w:color="3366CC"/>
              <w:left w:val="single" w:sz="8" w:space="0" w:color="3366CC"/>
              <w:bottom w:val="single" w:sz="4" w:space="0" w:color="A6A6A6"/>
              <w:right w:val="single" w:sz="8" w:space="0" w:color="3366CC"/>
            </w:tcBorders>
            <w:shd w:val="clear" w:color="auto" w:fill="auto"/>
            <w:noWrap/>
            <w:vAlign w:val="center"/>
            <w:hideMark/>
          </w:tcPr>
          <w:p w14:paraId="59FEFD9A" w14:textId="77777777" w:rsidR="009A7E0E" w:rsidRPr="00C8330C" w:rsidRDefault="009A7E0E" w:rsidP="009A7E0E">
            <w:pPr>
              <w:rPr>
                <w:rFonts w:ascii="Arial" w:hAnsi="Arial" w:cs="Arial"/>
                <w:sz w:val="20"/>
                <w:szCs w:val="20"/>
              </w:rPr>
            </w:pPr>
            <w:r w:rsidRPr="00C8330C">
              <w:rPr>
                <w:rFonts w:ascii="Arial" w:hAnsi="Arial" w:cs="Arial"/>
                <w:sz w:val="20"/>
                <w:szCs w:val="20"/>
              </w:rPr>
              <w:t>Técnica Profesional</w:t>
            </w:r>
          </w:p>
        </w:tc>
        <w:tc>
          <w:tcPr>
            <w:tcW w:w="665" w:type="pct"/>
            <w:tcBorders>
              <w:top w:val="nil"/>
              <w:left w:val="nil"/>
              <w:bottom w:val="single" w:sz="4" w:space="0" w:color="A6A6A6"/>
              <w:right w:val="single" w:sz="4" w:space="0" w:color="A6A6A6"/>
            </w:tcBorders>
            <w:shd w:val="clear" w:color="auto" w:fill="auto"/>
            <w:noWrap/>
            <w:vAlign w:val="center"/>
            <w:hideMark/>
          </w:tcPr>
          <w:p w14:paraId="2653F163" w14:textId="77777777" w:rsidR="009A7E0E" w:rsidRPr="00C8330C" w:rsidRDefault="009A7E0E" w:rsidP="009A7E0E">
            <w:pPr>
              <w:rPr>
                <w:rFonts w:ascii="Arial" w:hAnsi="Arial" w:cs="Arial"/>
                <w:sz w:val="20"/>
                <w:szCs w:val="20"/>
              </w:rPr>
            </w:pPr>
            <w:r w:rsidRPr="00C8330C">
              <w:rPr>
                <w:rFonts w:ascii="Arial" w:hAnsi="Arial" w:cs="Arial"/>
                <w:sz w:val="20"/>
                <w:szCs w:val="20"/>
              </w:rPr>
              <w:t>39,7%</w:t>
            </w:r>
          </w:p>
        </w:tc>
        <w:tc>
          <w:tcPr>
            <w:tcW w:w="665" w:type="pct"/>
            <w:tcBorders>
              <w:top w:val="nil"/>
              <w:left w:val="nil"/>
              <w:bottom w:val="single" w:sz="4" w:space="0" w:color="A6A6A6"/>
              <w:right w:val="nil"/>
            </w:tcBorders>
            <w:shd w:val="clear" w:color="auto" w:fill="auto"/>
            <w:noWrap/>
            <w:vAlign w:val="center"/>
            <w:hideMark/>
          </w:tcPr>
          <w:p w14:paraId="7D6020C7" w14:textId="77777777" w:rsidR="009A7E0E" w:rsidRPr="00C8330C" w:rsidRDefault="009A7E0E" w:rsidP="009A7E0E">
            <w:pPr>
              <w:rPr>
                <w:rFonts w:ascii="Arial" w:hAnsi="Arial" w:cs="Arial"/>
                <w:sz w:val="20"/>
                <w:szCs w:val="20"/>
              </w:rPr>
            </w:pPr>
            <w:r w:rsidRPr="00C8330C">
              <w:rPr>
                <w:rFonts w:ascii="Arial" w:hAnsi="Arial" w:cs="Arial"/>
                <w:sz w:val="20"/>
                <w:szCs w:val="20"/>
              </w:rPr>
              <w:t>31,7%</w:t>
            </w:r>
          </w:p>
        </w:tc>
        <w:tc>
          <w:tcPr>
            <w:tcW w:w="665" w:type="pct"/>
            <w:tcBorders>
              <w:top w:val="nil"/>
              <w:left w:val="nil"/>
              <w:bottom w:val="single" w:sz="4" w:space="0" w:color="A6A6A6"/>
              <w:right w:val="single" w:sz="4" w:space="0" w:color="A6A6A6"/>
            </w:tcBorders>
            <w:shd w:val="clear" w:color="auto" w:fill="auto"/>
            <w:noWrap/>
            <w:vAlign w:val="center"/>
            <w:hideMark/>
          </w:tcPr>
          <w:p w14:paraId="6BD66CE0" w14:textId="77777777" w:rsidR="009A7E0E" w:rsidRPr="00C8330C" w:rsidRDefault="009A7E0E" w:rsidP="009A7E0E">
            <w:pPr>
              <w:rPr>
                <w:rFonts w:ascii="Arial" w:hAnsi="Arial" w:cs="Arial"/>
                <w:sz w:val="20"/>
                <w:szCs w:val="20"/>
              </w:rPr>
            </w:pPr>
            <w:r w:rsidRPr="00C8330C">
              <w:rPr>
                <w:rFonts w:ascii="Arial" w:hAnsi="Arial" w:cs="Arial"/>
                <w:sz w:val="20"/>
                <w:szCs w:val="20"/>
              </w:rPr>
              <w:t>28,1%</w:t>
            </w:r>
          </w:p>
        </w:tc>
        <w:tc>
          <w:tcPr>
            <w:tcW w:w="665" w:type="pct"/>
            <w:tcBorders>
              <w:top w:val="nil"/>
              <w:left w:val="nil"/>
              <w:bottom w:val="single" w:sz="4" w:space="0" w:color="A6A6A6"/>
              <w:right w:val="single" w:sz="4" w:space="0" w:color="A6A6A6"/>
            </w:tcBorders>
            <w:shd w:val="clear" w:color="auto" w:fill="auto"/>
            <w:noWrap/>
            <w:vAlign w:val="center"/>
            <w:hideMark/>
          </w:tcPr>
          <w:p w14:paraId="1C1BAD83" w14:textId="77777777" w:rsidR="009A7E0E" w:rsidRPr="00C8330C" w:rsidRDefault="009A7E0E" w:rsidP="009A7E0E">
            <w:pPr>
              <w:rPr>
                <w:rFonts w:ascii="Arial" w:hAnsi="Arial" w:cs="Arial"/>
                <w:sz w:val="20"/>
                <w:szCs w:val="20"/>
              </w:rPr>
            </w:pPr>
            <w:r w:rsidRPr="00C8330C">
              <w:rPr>
                <w:rFonts w:ascii="Arial" w:hAnsi="Arial" w:cs="Arial"/>
                <w:sz w:val="20"/>
                <w:szCs w:val="20"/>
              </w:rPr>
              <w:t>28,2%</w:t>
            </w:r>
          </w:p>
        </w:tc>
        <w:tc>
          <w:tcPr>
            <w:tcW w:w="665" w:type="pct"/>
            <w:tcBorders>
              <w:top w:val="nil"/>
              <w:left w:val="nil"/>
              <w:bottom w:val="single" w:sz="4" w:space="0" w:color="A6A6A6"/>
              <w:right w:val="single" w:sz="4" w:space="0" w:color="A6A6A6"/>
            </w:tcBorders>
            <w:shd w:val="clear" w:color="auto" w:fill="auto"/>
            <w:noWrap/>
            <w:vAlign w:val="center"/>
            <w:hideMark/>
          </w:tcPr>
          <w:p w14:paraId="6CDC2FDD" w14:textId="77777777" w:rsidR="009A7E0E" w:rsidRPr="00C8330C" w:rsidRDefault="009A7E0E" w:rsidP="009A7E0E">
            <w:pPr>
              <w:rPr>
                <w:rFonts w:ascii="Arial" w:hAnsi="Arial" w:cs="Arial"/>
                <w:sz w:val="20"/>
                <w:szCs w:val="20"/>
              </w:rPr>
            </w:pPr>
            <w:r w:rsidRPr="00C8330C">
              <w:rPr>
                <w:rFonts w:ascii="Arial" w:hAnsi="Arial" w:cs="Arial"/>
                <w:sz w:val="20"/>
                <w:szCs w:val="20"/>
              </w:rPr>
              <w:t>19,5%</w:t>
            </w:r>
          </w:p>
        </w:tc>
        <w:tc>
          <w:tcPr>
            <w:tcW w:w="665" w:type="pct"/>
            <w:tcBorders>
              <w:top w:val="nil"/>
              <w:left w:val="nil"/>
              <w:bottom w:val="single" w:sz="4" w:space="0" w:color="A6A6A6"/>
              <w:right w:val="single" w:sz="8" w:space="0" w:color="3366CC"/>
            </w:tcBorders>
            <w:shd w:val="clear" w:color="auto" w:fill="auto"/>
            <w:noWrap/>
            <w:vAlign w:val="center"/>
            <w:hideMark/>
          </w:tcPr>
          <w:p w14:paraId="562510BE" w14:textId="77777777" w:rsidR="009A7E0E" w:rsidRPr="00C8330C" w:rsidRDefault="009A7E0E" w:rsidP="009A7E0E">
            <w:pPr>
              <w:rPr>
                <w:rFonts w:ascii="Arial" w:hAnsi="Arial" w:cs="Arial"/>
                <w:sz w:val="20"/>
                <w:szCs w:val="20"/>
              </w:rPr>
            </w:pPr>
            <w:r w:rsidRPr="00C8330C">
              <w:rPr>
                <w:rFonts w:ascii="Arial" w:hAnsi="Arial" w:cs="Arial"/>
                <w:sz w:val="20"/>
                <w:szCs w:val="20"/>
              </w:rPr>
              <w:t>16,8%</w:t>
            </w:r>
          </w:p>
        </w:tc>
      </w:tr>
      <w:tr w:rsidR="009A7E0E" w:rsidRPr="00C8330C" w14:paraId="614E768D" w14:textId="77777777" w:rsidTr="009A7E0E">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0DA7AE8B" w14:textId="77777777" w:rsidR="009A7E0E" w:rsidRPr="00C8330C" w:rsidRDefault="009A7E0E" w:rsidP="009A7E0E">
            <w:pPr>
              <w:rPr>
                <w:rFonts w:ascii="Arial" w:hAnsi="Arial" w:cs="Arial"/>
                <w:sz w:val="20"/>
                <w:szCs w:val="20"/>
              </w:rPr>
            </w:pPr>
            <w:r w:rsidRPr="00C8330C">
              <w:rPr>
                <w:rFonts w:ascii="Arial" w:hAnsi="Arial" w:cs="Arial"/>
                <w:sz w:val="20"/>
                <w:szCs w:val="20"/>
              </w:rPr>
              <w:t>Tecnológica</w:t>
            </w:r>
          </w:p>
        </w:tc>
        <w:tc>
          <w:tcPr>
            <w:tcW w:w="665" w:type="pct"/>
            <w:tcBorders>
              <w:top w:val="nil"/>
              <w:left w:val="nil"/>
              <w:bottom w:val="single" w:sz="4" w:space="0" w:color="A6A6A6"/>
              <w:right w:val="single" w:sz="4" w:space="0" w:color="A6A6A6"/>
            </w:tcBorders>
            <w:shd w:val="clear" w:color="auto" w:fill="auto"/>
            <w:noWrap/>
            <w:vAlign w:val="center"/>
            <w:hideMark/>
          </w:tcPr>
          <w:p w14:paraId="74DFC636" w14:textId="77777777" w:rsidR="009A7E0E" w:rsidRPr="00C8330C" w:rsidRDefault="009A7E0E" w:rsidP="009A7E0E">
            <w:pPr>
              <w:rPr>
                <w:rFonts w:ascii="Arial" w:hAnsi="Arial" w:cs="Arial"/>
                <w:sz w:val="20"/>
                <w:szCs w:val="20"/>
              </w:rPr>
            </w:pPr>
            <w:r w:rsidRPr="00C8330C">
              <w:rPr>
                <w:rFonts w:ascii="Arial" w:hAnsi="Arial" w:cs="Arial"/>
                <w:sz w:val="20"/>
                <w:szCs w:val="20"/>
              </w:rPr>
              <w:t>75,3%</w:t>
            </w:r>
          </w:p>
        </w:tc>
        <w:tc>
          <w:tcPr>
            <w:tcW w:w="665" w:type="pct"/>
            <w:tcBorders>
              <w:top w:val="nil"/>
              <w:left w:val="nil"/>
              <w:bottom w:val="single" w:sz="4" w:space="0" w:color="A6A6A6"/>
              <w:right w:val="nil"/>
            </w:tcBorders>
            <w:shd w:val="clear" w:color="auto" w:fill="auto"/>
            <w:noWrap/>
            <w:vAlign w:val="center"/>
            <w:hideMark/>
          </w:tcPr>
          <w:p w14:paraId="47C3FCE7" w14:textId="77777777" w:rsidR="009A7E0E" w:rsidRPr="00C8330C" w:rsidRDefault="009A7E0E" w:rsidP="009A7E0E">
            <w:pPr>
              <w:rPr>
                <w:rFonts w:ascii="Arial" w:hAnsi="Arial" w:cs="Arial"/>
                <w:sz w:val="20"/>
                <w:szCs w:val="20"/>
              </w:rPr>
            </w:pPr>
            <w:r w:rsidRPr="00C8330C">
              <w:rPr>
                <w:rFonts w:ascii="Arial" w:hAnsi="Arial" w:cs="Arial"/>
                <w:sz w:val="20"/>
                <w:szCs w:val="20"/>
              </w:rPr>
              <w:t>72,3%</w:t>
            </w:r>
          </w:p>
        </w:tc>
        <w:tc>
          <w:tcPr>
            <w:tcW w:w="665" w:type="pct"/>
            <w:tcBorders>
              <w:top w:val="nil"/>
              <w:left w:val="nil"/>
              <w:bottom w:val="single" w:sz="4" w:space="0" w:color="A6A6A6"/>
              <w:right w:val="single" w:sz="4" w:space="0" w:color="A6A6A6"/>
            </w:tcBorders>
            <w:shd w:val="clear" w:color="auto" w:fill="auto"/>
            <w:noWrap/>
            <w:vAlign w:val="center"/>
            <w:hideMark/>
          </w:tcPr>
          <w:p w14:paraId="44CA0A5A" w14:textId="77777777" w:rsidR="009A7E0E" w:rsidRPr="00C8330C" w:rsidRDefault="009A7E0E" w:rsidP="009A7E0E">
            <w:pPr>
              <w:rPr>
                <w:rFonts w:ascii="Arial" w:hAnsi="Arial" w:cs="Arial"/>
                <w:sz w:val="20"/>
                <w:szCs w:val="20"/>
              </w:rPr>
            </w:pPr>
            <w:r w:rsidRPr="00C8330C">
              <w:rPr>
                <w:rFonts w:ascii="Arial" w:hAnsi="Arial" w:cs="Arial"/>
                <w:sz w:val="20"/>
                <w:szCs w:val="20"/>
              </w:rPr>
              <w:t>71,5%</w:t>
            </w:r>
          </w:p>
        </w:tc>
        <w:tc>
          <w:tcPr>
            <w:tcW w:w="665" w:type="pct"/>
            <w:tcBorders>
              <w:top w:val="nil"/>
              <w:left w:val="nil"/>
              <w:bottom w:val="single" w:sz="4" w:space="0" w:color="A6A6A6"/>
              <w:right w:val="single" w:sz="4" w:space="0" w:color="A6A6A6"/>
            </w:tcBorders>
            <w:shd w:val="clear" w:color="auto" w:fill="auto"/>
            <w:noWrap/>
            <w:vAlign w:val="center"/>
            <w:hideMark/>
          </w:tcPr>
          <w:p w14:paraId="15FBEFC5" w14:textId="77777777" w:rsidR="009A7E0E" w:rsidRPr="00C8330C" w:rsidRDefault="009A7E0E" w:rsidP="009A7E0E">
            <w:pPr>
              <w:rPr>
                <w:rFonts w:ascii="Arial" w:hAnsi="Arial" w:cs="Arial"/>
                <w:sz w:val="20"/>
                <w:szCs w:val="20"/>
              </w:rPr>
            </w:pPr>
            <w:r w:rsidRPr="00C8330C">
              <w:rPr>
                <w:rFonts w:ascii="Arial" w:hAnsi="Arial" w:cs="Arial"/>
                <w:sz w:val="20"/>
                <w:szCs w:val="20"/>
              </w:rPr>
              <w:t>68,9%</w:t>
            </w:r>
          </w:p>
        </w:tc>
        <w:tc>
          <w:tcPr>
            <w:tcW w:w="665" w:type="pct"/>
            <w:tcBorders>
              <w:top w:val="nil"/>
              <w:left w:val="nil"/>
              <w:bottom w:val="single" w:sz="4" w:space="0" w:color="A6A6A6"/>
              <w:right w:val="single" w:sz="4" w:space="0" w:color="A6A6A6"/>
            </w:tcBorders>
            <w:shd w:val="clear" w:color="auto" w:fill="auto"/>
            <w:noWrap/>
            <w:vAlign w:val="center"/>
            <w:hideMark/>
          </w:tcPr>
          <w:p w14:paraId="7D2A2092" w14:textId="77777777" w:rsidR="009A7E0E" w:rsidRPr="00C8330C" w:rsidRDefault="009A7E0E" w:rsidP="009A7E0E">
            <w:pPr>
              <w:rPr>
                <w:rFonts w:ascii="Arial" w:hAnsi="Arial" w:cs="Arial"/>
                <w:sz w:val="20"/>
                <w:szCs w:val="20"/>
              </w:rPr>
            </w:pPr>
            <w:r w:rsidRPr="00C8330C">
              <w:rPr>
                <w:rFonts w:ascii="Arial" w:hAnsi="Arial" w:cs="Arial"/>
                <w:sz w:val="20"/>
                <w:szCs w:val="20"/>
              </w:rPr>
              <w:t>67,5%</w:t>
            </w:r>
          </w:p>
        </w:tc>
        <w:tc>
          <w:tcPr>
            <w:tcW w:w="665" w:type="pct"/>
            <w:tcBorders>
              <w:top w:val="nil"/>
              <w:left w:val="nil"/>
              <w:bottom w:val="single" w:sz="4" w:space="0" w:color="A6A6A6"/>
              <w:right w:val="single" w:sz="8" w:space="0" w:color="3366CC"/>
            </w:tcBorders>
            <w:shd w:val="clear" w:color="auto" w:fill="auto"/>
            <w:noWrap/>
            <w:vAlign w:val="center"/>
            <w:hideMark/>
          </w:tcPr>
          <w:p w14:paraId="5430703B" w14:textId="77777777" w:rsidR="009A7E0E" w:rsidRPr="00C8330C" w:rsidRDefault="009A7E0E" w:rsidP="009A7E0E">
            <w:pPr>
              <w:rPr>
                <w:rFonts w:ascii="Arial" w:hAnsi="Arial" w:cs="Arial"/>
                <w:sz w:val="20"/>
                <w:szCs w:val="20"/>
              </w:rPr>
            </w:pPr>
            <w:r w:rsidRPr="00C8330C">
              <w:rPr>
                <w:rFonts w:ascii="Arial" w:hAnsi="Arial" w:cs="Arial"/>
                <w:sz w:val="20"/>
                <w:szCs w:val="20"/>
              </w:rPr>
              <w:t>56,7%</w:t>
            </w:r>
          </w:p>
        </w:tc>
      </w:tr>
      <w:tr w:rsidR="009A7E0E" w:rsidRPr="00C8330C" w14:paraId="14CDF009" w14:textId="77777777" w:rsidTr="009A7E0E">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1A26E760" w14:textId="77777777" w:rsidR="009A7E0E" w:rsidRPr="00C8330C" w:rsidRDefault="009A7E0E" w:rsidP="009A7E0E">
            <w:pPr>
              <w:rPr>
                <w:rFonts w:ascii="Arial" w:hAnsi="Arial" w:cs="Arial"/>
                <w:sz w:val="20"/>
                <w:szCs w:val="20"/>
              </w:rPr>
            </w:pPr>
            <w:r w:rsidRPr="00C8330C">
              <w:rPr>
                <w:rFonts w:ascii="Arial" w:hAnsi="Arial" w:cs="Arial"/>
                <w:sz w:val="20"/>
                <w:szCs w:val="20"/>
              </w:rPr>
              <w:t>Universitaria</w:t>
            </w:r>
          </w:p>
        </w:tc>
        <w:tc>
          <w:tcPr>
            <w:tcW w:w="665" w:type="pct"/>
            <w:tcBorders>
              <w:top w:val="nil"/>
              <w:left w:val="nil"/>
              <w:bottom w:val="single" w:sz="4" w:space="0" w:color="A6A6A6"/>
              <w:right w:val="single" w:sz="4" w:space="0" w:color="A6A6A6"/>
            </w:tcBorders>
            <w:shd w:val="clear" w:color="auto" w:fill="auto"/>
            <w:noWrap/>
            <w:vAlign w:val="center"/>
            <w:hideMark/>
          </w:tcPr>
          <w:p w14:paraId="618713C8" w14:textId="77777777" w:rsidR="009A7E0E" w:rsidRPr="00C8330C" w:rsidRDefault="009A7E0E" w:rsidP="009A7E0E">
            <w:pPr>
              <w:rPr>
                <w:rFonts w:ascii="Arial" w:hAnsi="Arial" w:cs="Arial"/>
                <w:sz w:val="20"/>
                <w:szCs w:val="20"/>
              </w:rPr>
            </w:pPr>
            <w:r w:rsidRPr="00C8330C">
              <w:rPr>
                <w:rFonts w:ascii="Arial" w:hAnsi="Arial" w:cs="Arial"/>
                <w:sz w:val="20"/>
                <w:szCs w:val="20"/>
              </w:rPr>
              <w:t>84,3%</w:t>
            </w:r>
          </w:p>
        </w:tc>
        <w:tc>
          <w:tcPr>
            <w:tcW w:w="665" w:type="pct"/>
            <w:tcBorders>
              <w:top w:val="nil"/>
              <w:left w:val="nil"/>
              <w:bottom w:val="single" w:sz="4" w:space="0" w:color="A6A6A6"/>
              <w:right w:val="nil"/>
            </w:tcBorders>
            <w:shd w:val="clear" w:color="auto" w:fill="auto"/>
            <w:noWrap/>
            <w:vAlign w:val="center"/>
            <w:hideMark/>
          </w:tcPr>
          <w:p w14:paraId="160ECB8E" w14:textId="77777777" w:rsidR="009A7E0E" w:rsidRPr="00C8330C" w:rsidRDefault="009A7E0E" w:rsidP="009A7E0E">
            <w:pPr>
              <w:rPr>
                <w:rFonts w:ascii="Arial" w:hAnsi="Arial" w:cs="Arial"/>
                <w:sz w:val="20"/>
                <w:szCs w:val="20"/>
              </w:rPr>
            </w:pPr>
            <w:r w:rsidRPr="00C8330C">
              <w:rPr>
                <w:rFonts w:ascii="Arial" w:hAnsi="Arial" w:cs="Arial"/>
                <w:sz w:val="20"/>
                <w:szCs w:val="20"/>
              </w:rPr>
              <w:t>83,5%</w:t>
            </w:r>
          </w:p>
        </w:tc>
        <w:tc>
          <w:tcPr>
            <w:tcW w:w="665" w:type="pct"/>
            <w:tcBorders>
              <w:top w:val="nil"/>
              <w:left w:val="nil"/>
              <w:bottom w:val="single" w:sz="4" w:space="0" w:color="A6A6A6"/>
              <w:right w:val="single" w:sz="4" w:space="0" w:color="A6A6A6"/>
            </w:tcBorders>
            <w:shd w:val="clear" w:color="auto" w:fill="auto"/>
            <w:noWrap/>
            <w:vAlign w:val="center"/>
            <w:hideMark/>
          </w:tcPr>
          <w:p w14:paraId="50A3CFA4" w14:textId="77777777" w:rsidR="009A7E0E" w:rsidRPr="00C8330C" w:rsidRDefault="009A7E0E" w:rsidP="009A7E0E">
            <w:pPr>
              <w:rPr>
                <w:rFonts w:ascii="Arial" w:hAnsi="Arial" w:cs="Arial"/>
                <w:sz w:val="20"/>
                <w:szCs w:val="20"/>
              </w:rPr>
            </w:pPr>
            <w:r w:rsidRPr="00C8330C">
              <w:rPr>
                <w:rFonts w:ascii="Arial" w:hAnsi="Arial" w:cs="Arial"/>
                <w:sz w:val="20"/>
                <w:szCs w:val="20"/>
              </w:rPr>
              <w:t>81,0%</w:t>
            </w:r>
          </w:p>
        </w:tc>
        <w:tc>
          <w:tcPr>
            <w:tcW w:w="665" w:type="pct"/>
            <w:tcBorders>
              <w:top w:val="nil"/>
              <w:left w:val="nil"/>
              <w:bottom w:val="single" w:sz="4" w:space="0" w:color="A6A6A6"/>
              <w:right w:val="single" w:sz="4" w:space="0" w:color="A6A6A6"/>
            </w:tcBorders>
            <w:shd w:val="clear" w:color="auto" w:fill="auto"/>
            <w:noWrap/>
            <w:vAlign w:val="center"/>
            <w:hideMark/>
          </w:tcPr>
          <w:p w14:paraId="3761A43D" w14:textId="77777777" w:rsidR="009A7E0E" w:rsidRPr="00C8330C" w:rsidRDefault="009A7E0E" w:rsidP="009A7E0E">
            <w:pPr>
              <w:rPr>
                <w:rFonts w:ascii="Arial" w:hAnsi="Arial" w:cs="Arial"/>
                <w:sz w:val="20"/>
                <w:szCs w:val="20"/>
              </w:rPr>
            </w:pPr>
            <w:r w:rsidRPr="00C8330C">
              <w:rPr>
                <w:rFonts w:ascii="Arial" w:hAnsi="Arial" w:cs="Arial"/>
                <w:sz w:val="20"/>
                <w:szCs w:val="20"/>
              </w:rPr>
              <w:t>80,5%</w:t>
            </w:r>
          </w:p>
        </w:tc>
        <w:tc>
          <w:tcPr>
            <w:tcW w:w="665" w:type="pct"/>
            <w:tcBorders>
              <w:top w:val="nil"/>
              <w:left w:val="nil"/>
              <w:bottom w:val="single" w:sz="4" w:space="0" w:color="A6A6A6"/>
              <w:right w:val="single" w:sz="4" w:space="0" w:color="A6A6A6"/>
            </w:tcBorders>
            <w:shd w:val="clear" w:color="auto" w:fill="auto"/>
            <w:noWrap/>
            <w:vAlign w:val="center"/>
            <w:hideMark/>
          </w:tcPr>
          <w:p w14:paraId="37E693F3" w14:textId="77777777" w:rsidR="009A7E0E" w:rsidRPr="00C8330C" w:rsidRDefault="009A7E0E" w:rsidP="009A7E0E">
            <w:pPr>
              <w:rPr>
                <w:rFonts w:ascii="Arial" w:hAnsi="Arial" w:cs="Arial"/>
                <w:sz w:val="20"/>
                <w:szCs w:val="20"/>
              </w:rPr>
            </w:pPr>
            <w:r w:rsidRPr="00C8330C">
              <w:rPr>
                <w:rFonts w:ascii="Arial" w:hAnsi="Arial" w:cs="Arial"/>
                <w:sz w:val="20"/>
                <w:szCs w:val="20"/>
              </w:rPr>
              <w:t>77,0%</w:t>
            </w:r>
          </w:p>
        </w:tc>
        <w:tc>
          <w:tcPr>
            <w:tcW w:w="665" w:type="pct"/>
            <w:tcBorders>
              <w:top w:val="nil"/>
              <w:left w:val="nil"/>
              <w:bottom w:val="single" w:sz="4" w:space="0" w:color="A6A6A6"/>
              <w:right w:val="single" w:sz="8" w:space="0" w:color="3366CC"/>
            </w:tcBorders>
            <w:shd w:val="clear" w:color="auto" w:fill="auto"/>
            <w:noWrap/>
            <w:vAlign w:val="center"/>
            <w:hideMark/>
          </w:tcPr>
          <w:p w14:paraId="23C69850" w14:textId="77777777" w:rsidR="009A7E0E" w:rsidRPr="00C8330C" w:rsidRDefault="009A7E0E" w:rsidP="009A7E0E">
            <w:pPr>
              <w:rPr>
                <w:rFonts w:ascii="Arial" w:hAnsi="Arial" w:cs="Arial"/>
                <w:sz w:val="20"/>
                <w:szCs w:val="20"/>
              </w:rPr>
            </w:pPr>
            <w:r w:rsidRPr="00C8330C">
              <w:rPr>
                <w:rFonts w:ascii="Arial" w:hAnsi="Arial" w:cs="Arial"/>
                <w:sz w:val="20"/>
                <w:szCs w:val="20"/>
              </w:rPr>
              <w:t>72,0%</w:t>
            </w:r>
          </w:p>
        </w:tc>
      </w:tr>
      <w:tr w:rsidR="009A7E0E" w:rsidRPr="00C8330C" w14:paraId="520236FF" w14:textId="77777777" w:rsidTr="009A7E0E">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3B7E3ADF" w14:textId="77777777" w:rsidR="009A7E0E" w:rsidRPr="00C8330C" w:rsidRDefault="009A7E0E" w:rsidP="009A7E0E">
            <w:pPr>
              <w:rPr>
                <w:rFonts w:ascii="Arial" w:hAnsi="Arial" w:cs="Arial"/>
                <w:sz w:val="20"/>
                <w:szCs w:val="20"/>
              </w:rPr>
            </w:pPr>
            <w:r w:rsidRPr="00C8330C">
              <w:rPr>
                <w:rFonts w:ascii="Arial" w:hAnsi="Arial" w:cs="Arial"/>
                <w:sz w:val="20"/>
                <w:szCs w:val="20"/>
              </w:rPr>
              <w:t>Especialización</w:t>
            </w:r>
          </w:p>
        </w:tc>
        <w:tc>
          <w:tcPr>
            <w:tcW w:w="665" w:type="pct"/>
            <w:tcBorders>
              <w:top w:val="nil"/>
              <w:left w:val="nil"/>
              <w:bottom w:val="single" w:sz="4" w:space="0" w:color="A6A6A6"/>
              <w:right w:val="single" w:sz="4" w:space="0" w:color="A6A6A6"/>
            </w:tcBorders>
            <w:shd w:val="clear" w:color="auto" w:fill="auto"/>
            <w:noWrap/>
            <w:vAlign w:val="center"/>
            <w:hideMark/>
          </w:tcPr>
          <w:p w14:paraId="74A5604A" w14:textId="77777777" w:rsidR="009A7E0E" w:rsidRPr="00C8330C" w:rsidRDefault="009A7E0E" w:rsidP="009A7E0E">
            <w:pPr>
              <w:rPr>
                <w:rFonts w:ascii="Arial" w:hAnsi="Arial" w:cs="Arial"/>
                <w:sz w:val="20"/>
                <w:szCs w:val="20"/>
              </w:rPr>
            </w:pPr>
            <w:r w:rsidRPr="00C8330C">
              <w:rPr>
                <w:rFonts w:ascii="Arial" w:hAnsi="Arial" w:cs="Arial"/>
                <w:sz w:val="20"/>
                <w:szCs w:val="20"/>
              </w:rPr>
              <w:t>95,6%</w:t>
            </w:r>
          </w:p>
        </w:tc>
        <w:tc>
          <w:tcPr>
            <w:tcW w:w="665" w:type="pct"/>
            <w:tcBorders>
              <w:top w:val="nil"/>
              <w:left w:val="nil"/>
              <w:bottom w:val="single" w:sz="4" w:space="0" w:color="A6A6A6"/>
              <w:right w:val="nil"/>
            </w:tcBorders>
            <w:shd w:val="clear" w:color="auto" w:fill="auto"/>
            <w:noWrap/>
            <w:vAlign w:val="center"/>
            <w:hideMark/>
          </w:tcPr>
          <w:p w14:paraId="076BEA93" w14:textId="77777777" w:rsidR="009A7E0E" w:rsidRPr="00C8330C" w:rsidRDefault="009A7E0E" w:rsidP="009A7E0E">
            <w:pPr>
              <w:rPr>
                <w:rFonts w:ascii="Arial" w:hAnsi="Arial" w:cs="Arial"/>
                <w:sz w:val="20"/>
                <w:szCs w:val="20"/>
              </w:rPr>
            </w:pPr>
            <w:r w:rsidRPr="00C8330C">
              <w:rPr>
                <w:rFonts w:ascii="Arial" w:hAnsi="Arial" w:cs="Arial"/>
                <w:sz w:val="20"/>
                <w:szCs w:val="20"/>
              </w:rPr>
              <w:t>94,6%</w:t>
            </w:r>
          </w:p>
        </w:tc>
        <w:tc>
          <w:tcPr>
            <w:tcW w:w="665" w:type="pct"/>
            <w:tcBorders>
              <w:top w:val="nil"/>
              <w:left w:val="nil"/>
              <w:bottom w:val="single" w:sz="4" w:space="0" w:color="A6A6A6"/>
              <w:right w:val="single" w:sz="4" w:space="0" w:color="A6A6A6"/>
            </w:tcBorders>
            <w:shd w:val="clear" w:color="auto" w:fill="auto"/>
            <w:noWrap/>
            <w:vAlign w:val="center"/>
            <w:hideMark/>
          </w:tcPr>
          <w:p w14:paraId="5212CE43" w14:textId="77777777" w:rsidR="009A7E0E" w:rsidRPr="00C8330C" w:rsidRDefault="009A7E0E" w:rsidP="009A7E0E">
            <w:pPr>
              <w:rPr>
                <w:rFonts w:ascii="Arial" w:hAnsi="Arial" w:cs="Arial"/>
                <w:sz w:val="20"/>
                <w:szCs w:val="20"/>
              </w:rPr>
            </w:pPr>
            <w:r w:rsidRPr="00C8330C">
              <w:rPr>
                <w:rFonts w:ascii="Arial" w:hAnsi="Arial" w:cs="Arial"/>
                <w:sz w:val="20"/>
                <w:szCs w:val="20"/>
              </w:rPr>
              <w:t>93,3%</w:t>
            </w:r>
          </w:p>
        </w:tc>
        <w:tc>
          <w:tcPr>
            <w:tcW w:w="665" w:type="pct"/>
            <w:tcBorders>
              <w:top w:val="nil"/>
              <w:left w:val="nil"/>
              <w:bottom w:val="single" w:sz="4" w:space="0" w:color="A6A6A6"/>
              <w:right w:val="single" w:sz="4" w:space="0" w:color="A6A6A6"/>
            </w:tcBorders>
            <w:shd w:val="clear" w:color="auto" w:fill="auto"/>
            <w:noWrap/>
            <w:vAlign w:val="center"/>
            <w:hideMark/>
          </w:tcPr>
          <w:p w14:paraId="367FB768" w14:textId="77777777" w:rsidR="009A7E0E" w:rsidRPr="00C8330C" w:rsidRDefault="009A7E0E" w:rsidP="009A7E0E">
            <w:pPr>
              <w:rPr>
                <w:rFonts w:ascii="Arial" w:hAnsi="Arial" w:cs="Arial"/>
                <w:sz w:val="20"/>
                <w:szCs w:val="20"/>
              </w:rPr>
            </w:pPr>
            <w:r w:rsidRPr="00C8330C">
              <w:rPr>
                <w:rFonts w:ascii="Arial" w:hAnsi="Arial" w:cs="Arial"/>
                <w:sz w:val="20"/>
                <w:szCs w:val="20"/>
              </w:rPr>
              <w:t>93,0%</w:t>
            </w:r>
          </w:p>
        </w:tc>
        <w:tc>
          <w:tcPr>
            <w:tcW w:w="665" w:type="pct"/>
            <w:tcBorders>
              <w:top w:val="nil"/>
              <w:left w:val="nil"/>
              <w:bottom w:val="single" w:sz="4" w:space="0" w:color="A6A6A6"/>
              <w:right w:val="single" w:sz="4" w:space="0" w:color="A6A6A6"/>
            </w:tcBorders>
            <w:shd w:val="clear" w:color="auto" w:fill="auto"/>
            <w:noWrap/>
            <w:vAlign w:val="center"/>
            <w:hideMark/>
          </w:tcPr>
          <w:p w14:paraId="5CABED2B" w14:textId="77777777" w:rsidR="009A7E0E" w:rsidRPr="00C8330C" w:rsidRDefault="009A7E0E" w:rsidP="009A7E0E">
            <w:pPr>
              <w:rPr>
                <w:rFonts w:ascii="Arial" w:hAnsi="Arial" w:cs="Arial"/>
                <w:sz w:val="20"/>
                <w:szCs w:val="20"/>
              </w:rPr>
            </w:pPr>
            <w:r w:rsidRPr="00C8330C">
              <w:rPr>
                <w:rFonts w:ascii="Arial" w:hAnsi="Arial" w:cs="Arial"/>
                <w:sz w:val="20"/>
                <w:szCs w:val="20"/>
              </w:rPr>
              <w:t>91,4%</w:t>
            </w:r>
          </w:p>
        </w:tc>
        <w:tc>
          <w:tcPr>
            <w:tcW w:w="665" w:type="pct"/>
            <w:tcBorders>
              <w:top w:val="nil"/>
              <w:left w:val="nil"/>
              <w:bottom w:val="single" w:sz="4" w:space="0" w:color="A6A6A6"/>
              <w:right w:val="single" w:sz="8" w:space="0" w:color="3366CC"/>
            </w:tcBorders>
            <w:shd w:val="clear" w:color="auto" w:fill="auto"/>
            <w:noWrap/>
            <w:vAlign w:val="center"/>
            <w:hideMark/>
          </w:tcPr>
          <w:p w14:paraId="4AB66309" w14:textId="77777777" w:rsidR="009A7E0E" w:rsidRPr="00C8330C" w:rsidRDefault="009A7E0E" w:rsidP="009A7E0E">
            <w:pPr>
              <w:rPr>
                <w:rFonts w:ascii="Arial" w:hAnsi="Arial" w:cs="Arial"/>
                <w:sz w:val="20"/>
                <w:szCs w:val="20"/>
              </w:rPr>
            </w:pPr>
            <w:r w:rsidRPr="00C8330C">
              <w:rPr>
                <w:rFonts w:ascii="Arial" w:hAnsi="Arial" w:cs="Arial"/>
                <w:sz w:val="20"/>
                <w:szCs w:val="20"/>
              </w:rPr>
              <w:t>87,6%</w:t>
            </w:r>
          </w:p>
        </w:tc>
      </w:tr>
      <w:tr w:rsidR="009A7E0E" w:rsidRPr="00C8330C" w14:paraId="3B154543" w14:textId="77777777" w:rsidTr="009A7E0E">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3A04AF9A" w14:textId="77777777" w:rsidR="009A7E0E" w:rsidRPr="00C8330C" w:rsidRDefault="009A7E0E" w:rsidP="009A7E0E">
            <w:pPr>
              <w:rPr>
                <w:rFonts w:ascii="Arial" w:hAnsi="Arial" w:cs="Arial"/>
                <w:sz w:val="20"/>
                <w:szCs w:val="20"/>
              </w:rPr>
            </w:pPr>
            <w:r w:rsidRPr="00C8330C">
              <w:rPr>
                <w:rFonts w:ascii="Arial" w:hAnsi="Arial" w:cs="Arial"/>
                <w:sz w:val="20"/>
                <w:szCs w:val="20"/>
              </w:rPr>
              <w:t>Maestría</w:t>
            </w:r>
          </w:p>
        </w:tc>
        <w:tc>
          <w:tcPr>
            <w:tcW w:w="665" w:type="pct"/>
            <w:tcBorders>
              <w:top w:val="nil"/>
              <w:left w:val="nil"/>
              <w:bottom w:val="single" w:sz="4" w:space="0" w:color="A6A6A6"/>
              <w:right w:val="single" w:sz="4" w:space="0" w:color="A6A6A6"/>
            </w:tcBorders>
            <w:shd w:val="clear" w:color="auto" w:fill="auto"/>
            <w:noWrap/>
            <w:vAlign w:val="center"/>
            <w:hideMark/>
          </w:tcPr>
          <w:p w14:paraId="60D16E0D" w14:textId="77777777" w:rsidR="009A7E0E" w:rsidRPr="00C8330C" w:rsidRDefault="009A7E0E" w:rsidP="009A7E0E">
            <w:pPr>
              <w:rPr>
                <w:rFonts w:ascii="Arial" w:hAnsi="Arial" w:cs="Arial"/>
                <w:sz w:val="20"/>
                <w:szCs w:val="20"/>
              </w:rPr>
            </w:pPr>
            <w:r w:rsidRPr="00C8330C">
              <w:rPr>
                <w:rFonts w:ascii="Arial" w:hAnsi="Arial" w:cs="Arial"/>
                <w:sz w:val="20"/>
                <w:szCs w:val="20"/>
              </w:rPr>
              <w:t>97,8%</w:t>
            </w:r>
          </w:p>
        </w:tc>
        <w:tc>
          <w:tcPr>
            <w:tcW w:w="665" w:type="pct"/>
            <w:tcBorders>
              <w:top w:val="nil"/>
              <w:left w:val="nil"/>
              <w:bottom w:val="single" w:sz="4" w:space="0" w:color="A6A6A6"/>
              <w:right w:val="nil"/>
            </w:tcBorders>
            <w:shd w:val="clear" w:color="auto" w:fill="auto"/>
            <w:noWrap/>
            <w:vAlign w:val="center"/>
            <w:hideMark/>
          </w:tcPr>
          <w:p w14:paraId="5D77D105" w14:textId="77777777" w:rsidR="009A7E0E" w:rsidRPr="00C8330C" w:rsidRDefault="009A7E0E" w:rsidP="009A7E0E">
            <w:pPr>
              <w:rPr>
                <w:rFonts w:ascii="Arial" w:hAnsi="Arial" w:cs="Arial"/>
                <w:sz w:val="20"/>
                <w:szCs w:val="20"/>
              </w:rPr>
            </w:pPr>
            <w:r w:rsidRPr="00C8330C">
              <w:rPr>
                <w:rFonts w:ascii="Arial" w:hAnsi="Arial" w:cs="Arial"/>
                <w:sz w:val="20"/>
                <w:szCs w:val="20"/>
              </w:rPr>
              <w:t>97,4%</w:t>
            </w:r>
          </w:p>
        </w:tc>
        <w:tc>
          <w:tcPr>
            <w:tcW w:w="665" w:type="pct"/>
            <w:tcBorders>
              <w:top w:val="nil"/>
              <w:left w:val="nil"/>
              <w:bottom w:val="single" w:sz="4" w:space="0" w:color="A6A6A6"/>
              <w:right w:val="single" w:sz="4" w:space="0" w:color="A6A6A6"/>
            </w:tcBorders>
            <w:shd w:val="clear" w:color="auto" w:fill="auto"/>
            <w:noWrap/>
            <w:vAlign w:val="center"/>
            <w:hideMark/>
          </w:tcPr>
          <w:p w14:paraId="589AA706" w14:textId="77777777" w:rsidR="009A7E0E" w:rsidRPr="00C8330C" w:rsidRDefault="009A7E0E" w:rsidP="009A7E0E">
            <w:pPr>
              <w:rPr>
                <w:rFonts w:ascii="Arial" w:hAnsi="Arial" w:cs="Arial"/>
                <w:sz w:val="20"/>
                <w:szCs w:val="20"/>
              </w:rPr>
            </w:pPr>
            <w:r w:rsidRPr="00C8330C">
              <w:rPr>
                <w:rFonts w:ascii="Arial" w:hAnsi="Arial" w:cs="Arial"/>
                <w:sz w:val="20"/>
                <w:szCs w:val="20"/>
              </w:rPr>
              <w:t>96,9%</w:t>
            </w:r>
          </w:p>
        </w:tc>
        <w:tc>
          <w:tcPr>
            <w:tcW w:w="665" w:type="pct"/>
            <w:tcBorders>
              <w:top w:val="nil"/>
              <w:left w:val="nil"/>
              <w:bottom w:val="single" w:sz="4" w:space="0" w:color="A6A6A6"/>
              <w:right w:val="single" w:sz="4" w:space="0" w:color="A6A6A6"/>
            </w:tcBorders>
            <w:shd w:val="clear" w:color="auto" w:fill="auto"/>
            <w:noWrap/>
            <w:vAlign w:val="center"/>
            <w:hideMark/>
          </w:tcPr>
          <w:p w14:paraId="400674D6" w14:textId="77777777" w:rsidR="009A7E0E" w:rsidRPr="00C8330C" w:rsidRDefault="009A7E0E" w:rsidP="009A7E0E">
            <w:pPr>
              <w:rPr>
                <w:rFonts w:ascii="Arial" w:hAnsi="Arial" w:cs="Arial"/>
                <w:sz w:val="20"/>
                <w:szCs w:val="20"/>
              </w:rPr>
            </w:pPr>
            <w:r w:rsidRPr="00C8330C">
              <w:rPr>
                <w:rFonts w:ascii="Arial" w:hAnsi="Arial" w:cs="Arial"/>
                <w:sz w:val="20"/>
                <w:szCs w:val="20"/>
              </w:rPr>
              <w:t>97,0%</w:t>
            </w:r>
          </w:p>
        </w:tc>
        <w:tc>
          <w:tcPr>
            <w:tcW w:w="665" w:type="pct"/>
            <w:tcBorders>
              <w:top w:val="nil"/>
              <w:left w:val="nil"/>
              <w:bottom w:val="single" w:sz="4" w:space="0" w:color="A6A6A6"/>
              <w:right w:val="single" w:sz="4" w:space="0" w:color="A6A6A6"/>
            </w:tcBorders>
            <w:shd w:val="clear" w:color="auto" w:fill="auto"/>
            <w:noWrap/>
            <w:vAlign w:val="center"/>
            <w:hideMark/>
          </w:tcPr>
          <w:p w14:paraId="52BCFF8C" w14:textId="77777777" w:rsidR="009A7E0E" w:rsidRPr="00C8330C" w:rsidRDefault="009A7E0E" w:rsidP="009A7E0E">
            <w:pPr>
              <w:rPr>
                <w:rFonts w:ascii="Arial" w:hAnsi="Arial" w:cs="Arial"/>
                <w:sz w:val="20"/>
                <w:szCs w:val="20"/>
              </w:rPr>
            </w:pPr>
            <w:r w:rsidRPr="00C8330C">
              <w:rPr>
                <w:rFonts w:ascii="Arial" w:hAnsi="Arial" w:cs="Arial"/>
                <w:sz w:val="20"/>
                <w:szCs w:val="20"/>
              </w:rPr>
              <w:t>95,8%</w:t>
            </w:r>
          </w:p>
        </w:tc>
        <w:tc>
          <w:tcPr>
            <w:tcW w:w="665" w:type="pct"/>
            <w:tcBorders>
              <w:top w:val="nil"/>
              <w:left w:val="nil"/>
              <w:bottom w:val="single" w:sz="4" w:space="0" w:color="A6A6A6"/>
              <w:right w:val="single" w:sz="8" w:space="0" w:color="3366CC"/>
            </w:tcBorders>
            <w:shd w:val="clear" w:color="auto" w:fill="auto"/>
            <w:noWrap/>
            <w:vAlign w:val="center"/>
            <w:hideMark/>
          </w:tcPr>
          <w:p w14:paraId="37A4747A" w14:textId="77777777" w:rsidR="009A7E0E" w:rsidRPr="00C8330C" w:rsidRDefault="009A7E0E" w:rsidP="009A7E0E">
            <w:pPr>
              <w:rPr>
                <w:rFonts w:ascii="Arial" w:hAnsi="Arial" w:cs="Arial"/>
                <w:sz w:val="20"/>
                <w:szCs w:val="20"/>
              </w:rPr>
            </w:pPr>
            <w:r w:rsidRPr="00C8330C">
              <w:rPr>
                <w:rFonts w:ascii="Arial" w:hAnsi="Arial" w:cs="Arial"/>
                <w:sz w:val="20"/>
                <w:szCs w:val="20"/>
              </w:rPr>
              <w:t>93,7%</w:t>
            </w:r>
          </w:p>
        </w:tc>
      </w:tr>
      <w:tr w:rsidR="009A7E0E" w:rsidRPr="00C8330C" w14:paraId="4084B6A3" w14:textId="77777777" w:rsidTr="009A7E0E">
        <w:trPr>
          <w:trHeight w:val="390"/>
        </w:trPr>
        <w:tc>
          <w:tcPr>
            <w:tcW w:w="1009" w:type="pct"/>
            <w:tcBorders>
              <w:top w:val="single" w:sz="4" w:space="0" w:color="A6A6A6"/>
              <w:left w:val="single" w:sz="8" w:space="0" w:color="3366CC"/>
              <w:bottom w:val="single" w:sz="8" w:space="0" w:color="3366CC"/>
              <w:right w:val="single" w:sz="8" w:space="0" w:color="3366CC"/>
            </w:tcBorders>
            <w:shd w:val="clear" w:color="auto" w:fill="auto"/>
            <w:noWrap/>
            <w:vAlign w:val="center"/>
            <w:hideMark/>
          </w:tcPr>
          <w:p w14:paraId="3A0EE61E" w14:textId="77777777" w:rsidR="009A7E0E" w:rsidRPr="00C8330C" w:rsidRDefault="009A7E0E" w:rsidP="009A7E0E">
            <w:pPr>
              <w:rPr>
                <w:rFonts w:ascii="Arial" w:hAnsi="Arial" w:cs="Arial"/>
                <w:sz w:val="20"/>
                <w:szCs w:val="20"/>
              </w:rPr>
            </w:pPr>
            <w:r w:rsidRPr="00C8330C">
              <w:rPr>
                <w:rFonts w:ascii="Arial" w:hAnsi="Arial" w:cs="Arial"/>
                <w:sz w:val="20"/>
                <w:szCs w:val="20"/>
              </w:rPr>
              <w:t>Doctorado</w:t>
            </w:r>
          </w:p>
        </w:tc>
        <w:tc>
          <w:tcPr>
            <w:tcW w:w="665" w:type="pct"/>
            <w:tcBorders>
              <w:top w:val="nil"/>
              <w:left w:val="nil"/>
              <w:bottom w:val="single" w:sz="8" w:space="0" w:color="3366CC"/>
              <w:right w:val="single" w:sz="4" w:space="0" w:color="A6A6A6"/>
            </w:tcBorders>
            <w:shd w:val="clear" w:color="auto" w:fill="auto"/>
            <w:noWrap/>
            <w:vAlign w:val="center"/>
            <w:hideMark/>
          </w:tcPr>
          <w:p w14:paraId="689EF160" w14:textId="77777777" w:rsidR="009A7E0E" w:rsidRPr="00C8330C" w:rsidRDefault="009A7E0E" w:rsidP="009A7E0E">
            <w:pPr>
              <w:rPr>
                <w:rFonts w:ascii="Arial" w:hAnsi="Arial" w:cs="Arial"/>
                <w:sz w:val="20"/>
                <w:szCs w:val="20"/>
              </w:rPr>
            </w:pPr>
            <w:r w:rsidRPr="00C8330C">
              <w:rPr>
                <w:rFonts w:ascii="Arial" w:hAnsi="Arial" w:cs="Arial"/>
                <w:sz w:val="20"/>
                <w:szCs w:val="20"/>
              </w:rPr>
              <w:t>93,3%</w:t>
            </w:r>
          </w:p>
        </w:tc>
        <w:tc>
          <w:tcPr>
            <w:tcW w:w="665" w:type="pct"/>
            <w:tcBorders>
              <w:top w:val="nil"/>
              <w:left w:val="nil"/>
              <w:bottom w:val="single" w:sz="8" w:space="0" w:color="3366CC"/>
              <w:right w:val="nil"/>
            </w:tcBorders>
            <w:shd w:val="clear" w:color="auto" w:fill="auto"/>
            <w:noWrap/>
            <w:vAlign w:val="center"/>
            <w:hideMark/>
          </w:tcPr>
          <w:p w14:paraId="349EDFF8" w14:textId="77777777" w:rsidR="009A7E0E" w:rsidRPr="00C8330C" w:rsidRDefault="009A7E0E" w:rsidP="009A7E0E">
            <w:pPr>
              <w:rPr>
                <w:rFonts w:ascii="Arial" w:hAnsi="Arial" w:cs="Arial"/>
                <w:sz w:val="20"/>
                <w:szCs w:val="20"/>
              </w:rPr>
            </w:pPr>
            <w:r w:rsidRPr="00C8330C">
              <w:rPr>
                <w:rFonts w:ascii="Arial" w:hAnsi="Arial" w:cs="Arial"/>
                <w:sz w:val="20"/>
                <w:szCs w:val="20"/>
              </w:rPr>
              <w:t>100,0%</w:t>
            </w:r>
          </w:p>
        </w:tc>
        <w:tc>
          <w:tcPr>
            <w:tcW w:w="665" w:type="pct"/>
            <w:tcBorders>
              <w:top w:val="nil"/>
              <w:left w:val="nil"/>
              <w:bottom w:val="single" w:sz="8" w:space="0" w:color="3366CC"/>
              <w:right w:val="single" w:sz="4" w:space="0" w:color="A6A6A6"/>
            </w:tcBorders>
            <w:shd w:val="clear" w:color="auto" w:fill="auto"/>
            <w:noWrap/>
            <w:vAlign w:val="center"/>
            <w:hideMark/>
          </w:tcPr>
          <w:p w14:paraId="4E02FCBE" w14:textId="77777777" w:rsidR="009A7E0E" w:rsidRPr="00C8330C" w:rsidRDefault="009A7E0E" w:rsidP="009A7E0E">
            <w:pPr>
              <w:rPr>
                <w:rFonts w:ascii="Arial" w:hAnsi="Arial" w:cs="Arial"/>
                <w:sz w:val="20"/>
                <w:szCs w:val="20"/>
              </w:rPr>
            </w:pPr>
            <w:r w:rsidRPr="00C8330C">
              <w:rPr>
                <w:rFonts w:ascii="Arial" w:hAnsi="Arial" w:cs="Arial"/>
                <w:sz w:val="20"/>
                <w:szCs w:val="20"/>
              </w:rPr>
              <w:t>98,0%</w:t>
            </w:r>
          </w:p>
        </w:tc>
        <w:tc>
          <w:tcPr>
            <w:tcW w:w="665" w:type="pct"/>
            <w:tcBorders>
              <w:top w:val="nil"/>
              <w:left w:val="nil"/>
              <w:bottom w:val="single" w:sz="8" w:space="0" w:color="3366CC"/>
              <w:right w:val="single" w:sz="4" w:space="0" w:color="A6A6A6"/>
            </w:tcBorders>
            <w:shd w:val="clear" w:color="auto" w:fill="auto"/>
            <w:noWrap/>
            <w:vAlign w:val="center"/>
            <w:hideMark/>
          </w:tcPr>
          <w:p w14:paraId="63A6E215" w14:textId="77777777" w:rsidR="009A7E0E" w:rsidRPr="00C8330C" w:rsidRDefault="009A7E0E" w:rsidP="009A7E0E">
            <w:pPr>
              <w:rPr>
                <w:rFonts w:ascii="Arial" w:hAnsi="Arial" w:cs="Arial"/>
                <w:sz w:val="20"/>
                <w:szCs w:val="20"/>
              </w:rPr>
            </w:pPr>
            <w:r w:rsidRPr="00C8330C">
              <w:rPr>
                <w:rFonts w:ascii="Arial" w:hAnsi="Arial" w:cs="Arial"/>
                <w:sz w:val="20"/>
                <w:szCs w:val="20"/>
              </w:rPr>
              <w:t>82,9%</w:t>
            </w:r>
          </w:p>
        </w:tc>
        <w:tc>
          <w:tcPr>
            <w:tcW w:w="665" w:type="pct"/>
            <w:tcBorders>
              <w:top w:val="nil"/>
              <w:left w:val="nil"/>
              <w:bottom w:val="single" w:sz="8" w:space="0" w:color="3366CC"/>
              <w:right w:val="single" w:sz="4" w:space="0" w:color="A6A6A6"/>
            </w:tcBorders>
            <w:shd w:val="clear" w:color="auto" w:fill="auto"/>
            <w:noWrap/>
            <w:vAlign w:val="center"/>
            <w:hideMark/>
          </w:tcPr>
          <w:p w14:paraId="143C3066" w14:textId="77777777" w:rsidR="009A7E0E" w:rsidRPr="00C8330C" w:rsidRDefault="009A7E0E" w:rsidP="009A7E0E">
            <w:pPr>
              <w:rPr>
                <w:rFonts w:ascii="Arial" w:hAnsi="Arial" w:cs="Arial"/>
                <w:sz w:val="20"/>
                <w:szCs w:val="20"/>
              </w:rPr>
            </w:pPr>
            <w:r w:rsidRPr="00C8330C">
              <w:rPr>
                <w:rFonts w:ascii="Arial" w:hAnsi="Arial" w:cs="Arial"/>
                <w:sz w:val="20"/>
                <w:szCs w:val="20"/>
              </w:rPr>
              <w:t>98,4%</w:t>
            </w:r>
          </w:p>
        </w:tc>
        <w:tc>
          <w:tcPr>
            <w:tcW w:w="665" w:type="pct"/>
            <w:tcBorders>
              <w:top w:val="nil"/>
              <w:left w:val="nil"/>
              <w:bottom w:val="single" w:sz="8" w:space="0" w:color="3366CC"/>
              <w:right w:val="single" w:sz="8" w:space="0" w:color="3366CC"/>
            </w:tcBorders>
            <w:shd w:val="clear" w:color="auto" w:fill="auto"/>
            <w:noWrap/>
            <w:vAlign w:val="center"/>
            <w:hideMark/>
          </w:tcPr>
          <w:p w14:paraId="64197AB1" w14:textId="77777777" w:rsidR="009A7E0E" w:rsidRPr="00C8330C" w:rsidRDefault="009A7E0E" w:rsidP="009A7E0E">
            <w:pPr>
              <w:rPr>
                <w:rFonts w:ascii="Arial" w:hAnsi="Arial" w:cs="Arial"/>
                <w:sz w:val="20"/>
                <w:szCs w:val="20"/>
              </w:rPr>
            </w:pPr>
            <w:r w:rsidRPr="00C8330C">
              <w:rPr>
                <w:rFonts w:ascii="Arial" w:hAnsi="Arial" w:cs="Arial"/>
                <w:sz w:val="20"/>
                <w:szCs w:val="20"/>
              </w:rPr>
              <w:t>96,7%</w:t>
            </w:r>
          </w:p>
        </w:tc>
      </w:tr>
    </w:tbl>
    <w:p w14:paraId="4143C5C3" w14:textId="77777777" w:rsidR="009A7E0E" w:rsidRPr="00C8330C" w:rsidRDefault="009A7E0E" w:rsidP="009A7E0E">
      <w:pPr>
        <w:rPr>
          <w:rFonts w:ascii="Arial" w:hAnsi="Arial" w:cs="Arial"/>
          <w:color w:val="808080" w:themeColor="background1" w:themeShade="80"/>
          <w:sz w:val="16"/>
          <w:szCs w:val="16"/>
        </w:rPr>
      </w:pPr>
      <w:r w:rsidRPr="00C8330C">
        <w:rPr>
          <w:rFonts w:ascii="Arial" w:hAnsi="Arial" w:cs="Arial"/>
          <w:color w:val="808080" w:themeColor="background1" w:themeShade="80"/>
          <w:sz w:val="16"/>
          <w:szCs w:val="16"/>
        </w:rPr>
        <w:t>Fuente: MEN - OLE</w:t>
      </w:r>
    </w:p>
    <w:p w14:paraId="4D40F487" w14:textId="7D2F41AC" w:rsidR="009A7E0E" w:rsidRPr="00985A2D" w:rsidRDefault="009A7E0E" w:rsidP="009A7E0E">
      <w:pPr>
        <w:rPr>
          <w:rFonts w:ascii="Arial" w:hAnsi="Arial" w:cs="Arial"/>
          <w:szCs w:val="22"/>
        </w:rPr>
      </w:pPr>
    </w:p>
    <w:p w14:paraId="664743BF" w14:textId="77777777" w:rsidR="009A7E0E" w:rsidRPr="00985A2D" w:rsidRDefault="009A7E0E" w:rsidP="009A7E0E">
      <w:pPr>
        <w:rPr>
          <w:rFonts w:ascii="Arial" w:hAnsi="Arial" w:cs="Arial"/>
          <w:szCs w:val="22"/>
        </w:rPr>
      </w:pPr>
      <w:r w:rsidRPr="00985A2D">
        <w:rPr>
          <w:rFonts w:ascii="Arial" w:hAnsi="Arial" w:cs="Arial"/>
          <w:szCs w:val="22"/>
        </w:rPr>
        <w:t>Aunque la ocupación de la población joven con título de educación superior es alta, el ingreso base de cotización revela que, en promedio, los estudiantes graduados de un programa técnico profesional, y tecnológico, son remunerados con una diferencia apenas por encima de un salario mínimo. Frente a los universitarios, la diferencia del ingreso base de cotización es apenas de medio salario mínimo.</w:t>
      </w:r>
    </w:p>
    <w:p w14:paraId="56FEF324" w14:textId="77777777" w:rsidR="009A7E0E" w:rsidRPr="00985A2D" w:rsidRDefault="009A7E0E" w:rsidP="009A7E0E">
      <w:pPr>
        <w:rPr>
          <w:rFonts w:ascii="Arial" w:hAnsi="Arial" w:cs="Arial"/>
          <w:szCs w:val="22"/>
        </w:rPr>
      </w:pPr>
    </w:p>
    <w:p w14:paraId="0DC2967B" w14:textId="74E25607" w:rsidR="009A7E0E" w:rsidRPr="00985A2D" w:rsidRDefault="009A7E0E" w:rsidP="009A7E0E">
      <w:pPr>
        <w:rPr>
          <w:rFonts w:ascii="Arial" w:hAnsi="Arial" w:cs="Arial"/>
          <w:szCs w:val="22"/>
        </w:rPr>
      </w:pPr>
      <w:r w:rsidRPr="00985A2D">
        <w:rPr>
          <w:rFonts w:ascii="Arial" w:hAnsi="Arial" w:cs="Arial"/>
          <w:szCs w:val="22"/>
        </w:rPr>
        <w:lastRenderedPageBreak/>
        <w:t>Los graduados con mayor nivel de cualificación tienen un ingreso base de cotización más alto, no obstante, se observa que en 2020 este ingreso disminuyó.</w:t>
      </w:r>
    </w:p>
    <w:p w14:paraId="18F76B08" w14:textId="0EA6CE7B" w:rsidR="009A7E0E" w:rsidRPr="00985A2D" w:rsidRDefault="009A7E0E" w:rsidP="009A7E0E">
      <w:pPr>
        <w:rPr>
          <w:rFonts w:ascii="Arial" w:hAnsi="Arial" w:cs="Arial"/>
          <w:szCs w:val="22"/>
        </w:rPr>
      </w:pPr>
    </w:p>
    <w:p w14:paraId="6F399A85" w14:textId="3B631138" w:rsidR="009A7E0E" w:rsidRPr="00985A2D" w:rsidRDefault="009A7E0E" w:rsidP="009A7E0E">
      <w:pPr>
        <w:rPr>
          <w:rFonts w:ascii="Arial" w:hAnsi="Arial" w:cs="Arial"/>
          <w:b/>
          <w:iCs/>
          <w:szCs w:val="22"/>
        </w:rPr>
      </w:pPr>
      <w:r w:rsidRPr="00985A2D">
        <w:rPr>
          <w:rFonts w:ascii="Arial" w:hAnsi="Arial" w:cs="Arial"/>
          <w:b/>
          <w:iCs/>
          <w:szCs w:val="22"/>
        </w:rPr>
        <w:t xml:space="preserve">Tabla </w:t>
      </w:r>
      <w:r w:rsidR="0009503A" w:rsidRPr="00985A2D">
        <w:rPr>
          <w:rFonts w:ascii="Arial" w:hAnsi="Arial" w:cs="Arial"/>
          <w:b/>
          <w:iCs/>
          <w:szCs w:val="22"/>
        </w:rPr>
        <w:t>12</w:t>
      </w:r>
      <w:r w:rsidRPr="00985A2D">
        <w:rPr>
          <w:rFonts w:ascii="Arial" w:hAnsi="Arial" w:cs="Arial"/>
          <w:b/>
          <w:iCs/>
          <w:szCs w:val="22"/>
        </w:rPr>
        <w:t xml:space="preserve"> Ingresos Base de Cotización estimado de los recién graduados según máximo nivel de formación (2018 – 2020)</w:t>
      </w:r>
    </w:p>
    <w:p w14:paraId="22C960C3" w14:textId="77777777" w:rsidR="009A7E0E" w:rsidRPr="00985A2D" w:rsidRDefault="009A7E0E" w:rsidP="009A7E0E">
      <w:pPr>
        <w:rPr>
          <w:rFonts w:ascii="Arial" w:hAnsi="Arial" w:cs="Arial"/>
          <w:b/>
          <w:iCs/>
          <w:szCs w:val="22"/>
        </w:rPr>
      </w:pPr>
    </w:p>
    <w:tbl>
      <w:tblPr>
        <w:tblW w:w="5000" w:type="pct"/>
        <w:jc w:val="center"/>
        <w:tblBorders>
          <w:top w:val="single" w:sz="8" w:space="0" w:color="3366CC"/>
          <w:left w:val="single" w:sz="8" w:space="0" w:color="3366CC"/>
          <w:bottom w:val="single" w:sz="8" w:space="0" w:color="3366CC"/>
          <w:right w:val="single" w:sz="8" w:space="0" w:color="3366CC"/>
          <w:insideH w:val="single" w:sz="6" w:space="0" w:color="3366CC"/>
          <w:insideV w:val="single" w:sz="6" w:space="0" w:color="3366CC"/>
        </w:tblBorders>
        <w:tblCellMar>
          <w:left w:w="70" w:type="dxa"/>
          <w:right w:w="70" w:type="dxa"/>
        </w:tblCellMar>
        <w:tblLook w:val="04A0" w:firstRow="1" w:lastRow="0" w:firstColumn="1" w:lastColumn="0" w:noHBand="0" w:noVBand="1"/>
      </w:tblPr>
      <w:tblGrid>
        <w:gridCol w:w="2230"/>
        <w:gridCol w:w="2198"/>
        <w:gridCol w:w="2198"/>
        <w:gridCol w:w="2192"/>
      </w:tblGrid>
      <w:tr w:rsidR="009A7E0E" w:rsidRPr="00C8330C" w14:paraId="10C2FA3F" w14:textId="77777777" w:rsidTr="009A7E0E">
        <w:trPr>
          <w:trHeight w:val="1125"/>
          <w:tblHeader/>
          <w:jc w:val="center"/>
        </w:trPr>
        <w:tc>
          <w:tcPr>
            <w:tcW w:w="1264" w:type="pct"/>
            <w:shd w:val="clear" w:color="000000" w:fill="DDEBF7"/>
            <w:noWrap/>
            <w:vAlign w:val="center"/>
            <w:hideMark/>
          </w:tcPr>
          <w:p w14:paraId="6767D9FA" w14:textId="77777777" w:rsidR="009A7E0E" w:rsidRPr="00C8330C" w:rsidRDefault="009A7E0E" w:rsidP="009A7E0E">
            <w:pPr>
              <w:rPr>
                <w:rFonts w:ascii="Arial" w:hAnsi="Arial" w:cs="Arial"/>
                <w:b/>
                <w:bCs/>
                <w:sz w:val="20"/>
                <w:szCs w:val="20"/>
              </w:rPr>
            </w:pPr>
            <w:r w:rsidRPr="00C8330C">
              <w:rPr>
                <w:rFonts w:ascii="Arial" w:hAnsi="Arial" w:cs="Arial"/>
                <w:b/>
                <w:bCs/>
                <w:sz w:val="20"/>
                <w:szCs w:val="20"/>
              </w:rPr>
              <w:t>Nivel de Formación</w:t>
            </w:r>
          </w:p>
        </w:tc>
        <w:tc>
          <w:tcPr>
            <w:tcW w:w="1246" w:type="pct"/>
            <w:shd w:val="clear" w:color="000000" w:fill="DDEBF7"/>
            <w:vAlign w:val="center"/>
            <w:hideMark/>
          </w:tcPr>
          <w:p w14:paraId="1622297C" w14:textId="77777777" w:rsidR="009A7E0E" w:rsidRPr="00C8330C" w:rsidRDefault="009A7E0E" w:rsidP="009A7E0E">
            <w:pPr>
              <w:rPr>
                <w:rFonts w:ascii="Arial" w:hAnsi="Arial" w:cs="Arial"/>
                <w:b/>
                <w:bCs/>
                <w:sz w:val="20"/>
                <w:szCs w:val="20"/>
              </w:rPr>
            </w:pPr>
            <w:r w:rsidRPr="00C8330C">
              <w:rPr>
                <w:rFonts w:ascii="Arial" w:hAnsi="Arial" w:cs="Arial"/>
                <w:b/>
                <w:bCs/>
                <w:sz w:val="20"/>
                <w:szCs w:val="20"/>
              </w:rPr>
              <w:t>Vinculación 2018</w:t>
            </w:r>
            <w:r w:rsidRPr="00C8330C">
              <w:rPr>
                <w:rFonts w:ascii="Arial" w:hAnsi="Arial" w:cs="Arial"/>
                <w:b/>
                <w:bCs/>
                <w:sz w:val="20"/>
                <w:szCs w:val="20"/>
              </w:rPr>
              <w:br/>
              <w:t>(Graduados 2017)</w:t>
            </w:r>
          </w:p>
        </w:tc>
        <w:tc>
          <w:tcPr>
            <w:tcW w:w="1246" w:type="pct"/>
            <w:shd w:val="clear" w:color="000000" w:fill="DDEBF7"/>
            <w:vAlign w:val="center"/>
            <w:hideMark/>
          </w:tcPr>
          <w:p w14:paraId="379E2F79" w14:textId="77777777" w:rsidR="009A7E0E" w:rsidRPr="00C8330C" w:rsidRDefault="009A7E0E" w:rsidP="009A7E0E">
            <w:pPr>
              <w:rPr>
                <w:rFonts w:ascii="Arial" w:hAnsi="Arial" w:cs="Arial"/>
                <w:b/>
                <w:bCs/>
                <w:sz w:val="20"/>
                <w:szCs w:val="20"/>
              </w:rPr>
            </w:pPr>
            <w:r w:rsidRPr="00C8330C">
              <w:rPr>
                <w:rFonts w:ascii="Arial" w:hAnsi="Arial" w:cs="Arial"/>
                <w:b/>
                <w:bCs/>
                <w:sz w:val="20"/>
                <w:szCs w:val="20"/>
              </w:rPr>
              <w:t>Vinculación 2019</w:t>
            </w:r>
            <w:r w:rsidRPr="00C8330C">
              <w:rPr>
                <w:rFonts w:ascii="Arial" w:hAnsi="Arial" w:cs="Arial"/>
                <w:b/>
                <w:bCs/>
                <w:sz w:val="20"/>
                <w:szCs w:val="20"/>
              </w:rPr>
              <w:br/>
              <w:t>(Graduados 2018)</w:t>
            </w:r>
          </w:p>
        </w:tc>
        <w:tc>
          <w:tcPr>
            <w:tcW w:w="1243" w:type="pct"/>
            <w:shd w:val="clear" w:color="000000" w:fill="DDEBF7"/>
            <w:vAlign w:val="center"/>
            <w:hideMark/>
          </w:tcPr>
          <w:p w14:paraId="4A8FFBFD" w14:textId="77777777" w:rsidR="009A7E0E" w:rsidRPr="00C8330C" w:rsidRDefault="009A7E0E" w:rsidP="009A7E0E">
            <w:pPr>
              <w:rPr>
                <w:rFonts w:ascii="Arial" w:hAnsi="Arial" w:cs="Arial"/>
                <w:b/>
                <w:bCs/>
                <w:sz w:val="20"/>
                <w:szCs w:val="20"/>
              </w:rPr>
            </w:pPr>
            <w:r w:rsidRPr="00C8330C">
              <w:rPr>
                <w:rFonts w:ascii="Arial" w:hAnsi="Arial" w:cs="Arial"/>
                <w:b/>
                <w:bCs/>
                <w:sz w:val="20"/>
                <w:szCs w:val="20"/>
              </w:rPr>
              <w:t>Vinculación 2020</w:t>
            </w:r>
            <w:r w:rsidRPr="00C8330C">
              <w:rPr>
                <w:rFonts w:ascii="Arial" w:hAnsi="Arial" w:cs="Arial"/>
                <w:b/>
                <w:bCs/>
                <w:sz w:val="20"/>
                <w:szCs w:val="20"/>
              </w:rPr>
              <w:br/>
              <w:t>(Graduados 2019)</w:t>
            </w:r>
          </w:p>
        </w:tc>
      </w:tr>
      <w:tr w:rsidR="009A7E0E" w:rsidRPr="00C8330C" w14:paraId="128DD367" w14:textId="77777777" w:rsidTr="009A7E0E">
        <w:trPr>
          <w:trHeight w:val="375"/>
          <w:jc w:val="center"/>
        </w:trPr>
        <w:tc>
          <w:tcPr>
            <w:tcW w:w="1264" w:type="pct"/>
            <w:shd w:val="clear" w:color="auto" w:fill="auto"/>
            <w:noWrap/>
            <w:vAlign w:val="center"/>
            <w:hideMark/>
          </w:tcPr>
          <w:p w14:paraId="2306F47E" w14:textId="77777777" w:rsidR="009A7E0E" w:rsidRPr="00C8330C" w:rsidRDefault="009A7E0E" w:rsidP="009A7E0E">
            <w:pPr>
              <w:rPr>
                <w:rFonts w:ascii="Arial" w:hAnsi="Arial" w:cs="Arial"/>
                <w:sz w:val="20"/>
                <w:szCs w:val="20"/>
              </w:rPr>
            </w:pPr>
            <w:r w:rsidRPr="00C8330C">
              <w:rPr>
                <w:rFonts w:ascii="Arial" w:hAnsi="Arial" w:cs="Arial"/>
                <w:sz w:val="20"/>
                <w:szCs w:val="20"/>
              </w:rPr>
              <w:t>Técnica Profesional</w:t>
            </w:r>
          </w:p>
        </w:tc>
        <w:tc>
          <w:tcPr>
            <w:tcW w:w="1246" w:type="pct"/>
            <w:shd w:val="clear" w:color="auto" w:fill="auto"/>
            <w:noWrap/>
            <w:vAlign w:val="center"/>
            <w:hideMark/>
          </w:tcPr>
          <w:p w14:paraId="5CDE42B0" w14:textId="77777777" w:rsidR="009A7E0E" w:rsidRPr="00C8330C" w:rsidRDefault="009A7E0E" w:rsidP="009A7E0E">
            <w:pPr>
              <w:rPr>
                <w:rFonts w:ascii="Arial" w:hAnsi="Arial" w:cs="Arial"/>
                <w:sz w:val="20"/>
                <w:szCs w:val="20"/>
              </w:rPr>
            </w:pPr>
            <w:r w:rsidRPr="00C8330C">
              <w:rPr>
                <w:rFonts w:ascii="Arial" w:hAnsi="Arial" w:cs="Arial"/>
                <w:sz w:val="20"/>
                <w:szCs w:val="20"/>
              </w:rPr>
              <w:t>Entre 1 y 1,5 SMMLV</w:t>
            </w:r>
          </w:p>
        </w:tc>
        <w:tc>
          <w:tcPr>
            <w:tcW w:w="1246" w:type="pct"/>
            <w:shd w:val="clear" w:color="auto" w:fill="auto"/>
            <w:noWrap/>
            <w:vAlign w:val="center"/>
            <w:hideMark/>
          </w:tcPr>
          <w:p w14:paraId="55B14DA0" w14:textId="77777777" w:rsidR="009A7E0E" w:rsidRPr="00C8330C" w:rsidRDefault="009A7E0E" w:rsidP="009A7E0E">
            <w:pPr>
              <w:rPr>
                <w:rFonts w:ascii="Arial" w:hAnsi="Arial" w:cs="Arial"/>
                <w:sz w:val="20"/>
                <w:szCs w:val="20"/>
              </w:rPr>
            </w:pPr>
            <w:r w:rsidRPr="00C8330C">
              <w:rPr>
                <w:rFonts w:ascii="Arial" w:hAnsi="Arial" w:cs="Arial"/>
                <w:sz w:val="20"/>
                <w:szCs w:val="20"/>
              </w:rPr>
              <w:t>Entre 1 y 1,5 SMMLV</w:t>
            </w:r>
          </w:p>
        </w:tc>
        <w:tc>
          <w:tcPr>
            <w:tcW w:w="1243" w:type="pct"/>
            <w:shd w:val="clear" w:color="auto" w:fill="auto"/>
            <w:noWrap/>
            <w:vAlign w:val="center"/>
            <w:hideMark/>
          </w:tcPr>
          <w:p w14:paraId="0DFBDE5A" w14:textId="77777777" w:rsidR="009A7E0E" w:rsidRPr="00C8330C" w:rsidRDefault="009A7E0E" w:rsidP="009A7E0E">
            <w:pPr>
              <w:rPr>
                <w:rFonts w:ascii="Arial" w:hAnsi="Arial" w:cs="Arial"/>
                <w:sz w:val="20"/>
                <w:szCs w:val="20"/>
              </w:rPr>
            </w:pPr>
            <w:r w:rsidRPr="00C8330C">
              <w:rPr>
                <w:rFonts w:ascii="Arial" w:hAnsi="Arial" w:cs="Arial"/>
                <w:sz w:val="20"/>
                <w:szCs w:val="20"/>
              </w:rPr>
              <w:t>Entre 1 y 1,5 SMMLV</w:t>
            </w:r>
          </w:p>
        </w:tc>
      </w:tr>
      <w:tr w:rsidR="009A7E0E" w:rsidRPr="00C8330C" w14:paraId="7B13E033" w14:textId="77777777" w:rsidTr="009A7E0E">
        <w:trPr>
          <w:trHeight w:val="375"/>
          <w:jc w:val="center"/>
        </w:trPr>
        <w:tc>
          <w:tcPr>
            <w:tcW w:w="1264" w:type="pct"/>
            <w:shd w:val="clear" w:color="auto" w:fill="auto"/>
            <w:noWrap/>
            <w:vAlign w:val="center"/>
            <w:hideMark/>
          </w:tcPr>
          <w:p w14:paraId="65F3CC70" w14:textId="77777777" w:rsidR="009A7E0E" w:rsidRPr="00C8330C" w:rsidRDefault="009A7E0E" w:rsidP="009A7E0E">
            <w:pPr>
              <w:rPr>
                <w:rFonts w:ascii="Arial" w:hAnsi="Arial" w:cs="Arial"/>
                <w:sz w:val="20"/>
                <w:szCs w:val="20"/>
              </w:rPr>
            </w:pPr>
            <w:r w:rsidRPr="00C8330C">
              <w:rPr>
                <w:rFonts w:ascii="Arial" w:hAnsi="Arial" w:cs="Arial"/>
                <w:sz w:val="20"/>
                <w:szCs w:val="20"/>
              </w:rPr>
              <w:t>Tecnológica</w:t>
            </w:r>
          </w:p>
        </w:tc>
        <w:tc>
          <w:tcPr>
            <w:tcW w:w="1246" w:type="pct"/>
            <w:shd w:val="clear" w:color="auto" w:fill="auto"/>
            <w:noWrap/>
            <w:vAlign w:val="center"/>
            <w:hideMark/>
          </w:tcPr>
          <w:p w14:paraId="54F6E377" w14:textId="77777777" w:rsidR="009A7E0E" w:rsidRPr="00C8330C" w:rsidRDefault="009A7E0E" w:rsidP="009A7E0E">
            <w:pPr>
              <w:rPr>
                <w:rFonts w:ascii="Arial" w:hAnsi="Arial" w:cs="Arial"/>
                <w:sz w:val="20"/>
                <w:szCs w:val="20"/>
              </w:rPr>
            </w:pPr>
            <w:r w:rsidRPr="00C8330C">
              <w:rPr>
                <w:rFonts w:ascii="Arial" w:hAnsi="Arial" w:cs="Arial"/>
                <w:sz w:val="20"/>
                <w:szCs w:val="20"/>
              </w:rPr>
              <w:t>Entre 1 y 1,5 SMMLV</w:t>
            </w:r>
          </w:p>
        </w:tc>
        <w:tc>
          <w:tcPr>
            <w:tcW w:w="1246" w:type="pct"/>
            <w:shd w:val="clear" w:color="auto" w:fill="auto"/>
            <w:noWrap/>
            <w:vAlign w:val="center"/>
            <w:hideMark/>
          </w:tcPr>
          <w:p w14:paraId="1E8132F6" w14:textId="77777777" w:rsidR="009A7E0E" w:rsidRPr="00C8330C" w:rsidRDefault="009A7E0E" w:rsidP="009A7E0E">
            <w:pPr>
              <w:rPr>
                <w:rFonts w:ascii="Arial" w:hAnsi="Arial" w:cs="Arial"/>
                <w:sz w:val="20"/>
                <w:szCs w:val="20"/>
              </w:rPr>
            </w:pPr>
            <w:r w:rsidRPr="00C8330C">
              <w:rPr>
                <w:rFonts w:ascii="Arial" w:hAnsi="Arial" w:cs="Arial"/>
                <w:sz w:val="20"/>
                <w:szCs w:val="20"/>
              </w:rPr>
              <w:t>Entre 1 y 1,5 SMMLV</w:t>
            </w:r>
          </w:p>
        </w:tc>
        <w:tc>
          <w:tcPr>
            <w:tcW w:w="1243" w:type="pct"/>
            <w:shd w:val="clear" w:color="auto" w:fill="auto"/>
            <w:noWrap/>
            <w:vAlign w:val="center"/>
            <w:hideMark/>
          </w:tcPr>
          <w:p w14:paraId="5D8CBBF7" w14:textId="77777777" w:rsidR="009A7E0E" w:rsidRPr="00C8330C" w:rsidRDefault="009A7E0E" w:rsidP="009A7E0E">
            <w:pPr>
              <w:rPr>
                <w:rFonts w:ascii="Arial" w:hAnsi="Arial" w:cs="Arial"/>
                <w:sz w:val="20"/>
                <w:szCs w:val="20"/>
              </w:rPr>
            </w:pPr>
            <w:r w:rsidRPr="00C8330C">
              <w:rPr>
                <w:rFonts w:ascii="Arial" w:hAnsi="Arial" w:cs="Arial"/>
                <w:sz w:val="20"/>
                <w:szCs w:val="20"/>
              </w:rPr>
              <w:t>Entre 1 y 1,5 SMMLV</w:t>
            </w:r>
          </w:p>
        </w:tc>
      </w:tr>
      <w:tr w:rsidR="009A7E0E" w:rsidRPr="00C8330C" w14:paraId="0ED5C967" w14:textId="77777777" w:rsidTr="009A7E0E">
        <w:trPr>
          <w:trHeight w:val="375"/>
          <w:jc w:val="center"/>
        </w:trPr>
        <w:tc>
          <w:tcPr>
            <w:tcW w:w="1264" w:type="pct"/>
            <w:shd w:val="clear" w:color="auto" w:fill="auto"/>
            <w:noWrap/>
            <w:vAlign w:val="center"/>
            <w:hideMark/>
          </w:tcPr>
          <w:p w14:paraId="448CECD4" w14:textId="77777777" w:rsidR="009A7E0E" w:rsidRPr="00C8330C" w:rsidRDefault="009A7E0E" w:rsidP="009A7E0E">
            <w:pPr>
              <w:rPr>
                <w:rFonts w:ascii="Arial" w:hAnsi="Arial" w:cs="Arial"/>
                <w:sz w:val="20"/>
                <w:szCs w:val="20"/>
              </w:rPr>
            </w:pPr>
            <w:r w:rsidRPr="00C8330C">
              <w:rPr>
                <w:rFonts w:ascii="Arial" w:hAnsi="Arial" w:cs="Arial"/>
                <w:sz w:val="20"/>
                <w:szCs w:val="20"/>
              </w:rPr>
              <w:t>Universitaria</w:t>
            </w:r>
          </w:p>
        </w:tc>
        <w:tc>
          <w:tcPr>
            <w:tcW w:w="1246" w:type="pct"/>
            <w:shd w:val="clear" w:color="auto" w:fill="auto"/>
            <w:noWrap/>
            <w:vAlign w:val="center"/>
            <w:hideMark/>
          </w:tcPr>
          <w:p w14:paraId="6D6654DC" w14:textId="77777777" w:rsidR="009A7E0E" w:rsidRPr="00C8330C" w:rsidRDefault="009A7E0E" w:rsidP="009A7E0E">
            <w:pPr>
              <w:rPr>
                <w:rFonts w:ascii="Arial" w:hAnsi="Arial" w:cs="Arial"/>
                <w:sz w:val="20"/>
                <w:szCs w:val="20"/>
              </w:rPr>
            </w:pPr>
            <w:r w:rsidRPr="00C8330C">
              <w:rPr>
                <w:rFonts w:ascii="Arial" w:hAnsi="Arial" w:cs="Arial"/>
                <w:sz w:val="20"/>
                <w:szCs w:val="20"/>
              </w:rPr>
              <w:t>Entre 1,5 y 2 SMMLV</w:t>
            </w:r>
          </w:p>
        </w:tc>
        <w:tc>
          <w:tcPr>
            <w:tcW w:w="1246" w:type="pct"/>
            <w:shd w:val="clear" w:color="auto" w:fill="auto"/>
            <w:noWrap/>
            <w:vAlign w:val="center"/>
            <w:hideMark/>
          </w:tcPr>
          <w:p w14:paraId="09D25F95" w14:textId="77777777" w:rsidR="009A7E0E" w:rsidRPr="00C8330C" w:rsidRDefault="009A7E0E" w:rsidP="009A7E0E">
            <w:pPr>
              <w:rPr>
                <w:rFonts w:ascii="Arial" w:hAnsi="Arial" w:cs="Arial"/>
                <w:sz w:val="20"/>
                <w:szCs w:val="20"/>
              </w:rPr>
            </w:pPr>
            <w:r w:rsidRPr="00C8330C">
              <w:rPr>
                <w:rFonts w:ascii="Arial" w:hAnsi="Arial" w:cs="Arial"/>
                <w:sz w:val="20"/>
                <w:szCs w:val="20"/>
              </w:rPr>
              <w:t>Entre 1,5 y 2 SMMLV</w:t>
            </w:r>
          </w:p>
        </w:tc>
        <w:tc>
          <w:tcPr>
            <w:tcW w:w="1243" w:type="pct"/>
            <w:shd w:val="clear" w:color="auto" w:fill="auto"/>
            <w:noWrap/>
            <w:vAlign w:val="center"/>
            <w:hideMark/>
          </w:tcPr>
          <w:p w14:paraId="66A97AB8" w14:textId="77777777" w:rsidR="009A7E0E" w:rsidRPr="00C8330C" w:rsidRDefault="009A7E0E" w:rsidP="009A7E0E">
            <w:pPr>
              <w:rPr>
                <w:rFonts w:ascii="Arial" w:hAnsi="Arial" w:cs="Arial"/>
                <w:sz w:val="20"/>
                <w:szCs w:val="20"/>
              </w:rPr>
            </w:pPr>
            <w:r w:rsidRPr="00C8330C">
              <w:rPr>
                <w:rFonts w:ascii="Arial" w:hAnsi="Arial" w:cs="Arial"/>
                <w:sz w:val="20"/>
                <w:szCs w:val="20"/>
              </w:rPr>
              <w:t>Entre 1,5 y 2 SMMLV</w:t>
            </w:r>
          </w:p>
        </w:tc>
      </w:tr>
      <w:tr w:rsidR="009A7E0E" w:rsidRPr="00C8330C" w14:paraId="0C5760A4" w14:textId="77777777" w:rsidTr="009A7E0E">
        <w:trPr>
          <w:trHeight w:val="375"/>
          <w:jc w:val="center"/>
        </w:trPr>
        <w:tc>
          <w:tcPr>
            <w:tcW w:w="1264" w:type="pct"/>
            <w:shd w:val="clear" w:color="auto" w:fill="auto"/>
            <w:noWrap/>
            <w:vAlign w:val="center"/>
            <w:hideMark/>
          </w:tcPr>
          <w:p w14:paraId="3A9C1EC1" w14:textId="77777777" w:rsidR="009A7E0E" w:rsidRPr="00C8330C" w:rsidRDefault="009A7E0E" w:rsidP="009A7E0E">
            <w:pPr>
              <w:rPr>
                <w:rFonts w:ascii="Arial" w:hAnsi="Arial" w:cs="Arial"/>
                <w:sz w:val="20"/>
                <w:szCs w:val="20"/>
              </w:rPr>
            </w:pPr>
            <w:r w:rsidRPr="00C8330C">
              <w:rPr>
                <w:rFonts w:ascii="Arial" w:hAnsi="Arial" w:cs="Arial"/>
                <w:sz w:val="20"/>
                <w:szCs w:val="20"/>
              </w:rPr>
              <w:t>Especialización</w:t>
            </w:r>
          </w:p>
        </w:tc>
        <w:tc>
          <w:tcPr>
            <w:tcW w:w="1246" w:type="pct"/>
            <w:shd w:val="clear" w:color="auto" w:fill="auto"/>
            <w:noWrap/>
            <w:vAlign w:val="center"/>
            <w:hideMark/>
          </w:tcPr>
          <w:p w14:paraId="12549DA5" w14:textId="77777777" w:rsidR="009A7E0E" w:rsidRPr="00C8330C" w:rsidRDefault="009A7E0E" w:rsidP="009A7E0E">
            <w:pPr>
              <w:rPr>
                <w:rFonts w:ascii="Arial" w:hAnsi="Arial" w:cs="Arial"/>
                <w:sz w:val="20"/>
                <w:szCs w:val="20"/>
              </w:rPr>
            </w:pPr>
            <w:r w:rsidRPr="00C8330C">
              <w:rPr>
                <w:rFonts w:ascii="Arial" w:hAnsi="Arial" w:cs="Arial"/>
                <w:sz w:val="20"/>
                <w:szCs w:val="20"/>
              </w:rPr>
              <w:t>Entre 3 y 3,5 SMMLV</w:t>
            </w:r>
          </w:p>
        </w:tc>
        <w:tc>
          <w:tcPr>
            <w:tcW w:w="1246" w:type="pct"/>
            <w:shd w:val="clear" w:color="auto" w:fill="auto"/>
            <w:noWrap/>
            <w:vAlign w:val="center"/>
            <w:hideMark/>
          </w:tcPr>
          <w:p w14:paraId="53307A03" w14:textId="77777777" w:rsidR="009A7E0E" w:rsidRPr="00C8330C" w:rsidRDefault="009A7E0E" w:rsidP="009A7E0E">
            <w:pPr>
              <w:rPr>
                <w:rFonts w:ascii="Arial" w:hAnsi="Arial" w:cs="Arial"/>
                <w:sz w:val="20"/>
                <w:szCs w:val="20"/>
              </w:rPr>
            </w:pPr>
            <w:r w:rsidRPr="00C8330C">
              <w:rPr>
                <w:rFonts w:ascii="Arial" w:hAnsi="Arial" w:cs="Arial"/>
                <w:sz w:val="20"/>
                <w:szCs w:val="20"/>
              </w:rPr>
              <w:t>Entre 2,5 y 3 SMMLV</w:t>
            </w:r>
          </w:p>
        </w:tc>
        <w:tc>
          <w:tcPr>
            <w:tcW w:w="1243" w:type="pct"/>
            <w:shd w:val="clear" w:color="auto" w:fill="auto"/>
            <w:noWrap/>
            <w:vAlign w:val="center"/>
            <w:hideMark/>
          </w:tcPr>
          <w:p w14:paraId="05C5B257" w14:textId="77777777" w:rsidR="009A7E0E" w:rsidRPr="00C8330C" w:rsidRDefault="009A7E0E" w:rsidP="009A7E0E">
            <w:pPr>
              <w:rPr>
                <w:rFonts w:ascii="Arial" w:hAnsi="Arial" w:cs="Arial"/>
                <w:sz w:val="20"/>
                <w:szCs w:val="20"/>
              </w:rPr>
            </w:pPr>
            <w:r w:rsidRPr="00C8330C">
              <w:rPr>
                <w:rFonts w:ascii="Arial" w:hAnsi="Arial" w:cs="Arial"/>
                <w:sz w:val="20"/>
                <w:szCs w:val="20"/>
              </w:rPr>
              <w:t>Entre 2,5 y 3 SMMLV</w:t>
            </w:r>
          </w:p>
        </w:tc>
      </w:tr>
      <w:tr w:rsidR="009A7E0E" w:rsidRPr="00C8330C" w14:paraId="0CE5557F" w14:textId="77777777" w:rsidTr="009A7E0E">
        <w:trPr>
          <w:trHeight w:val="375"/>
          <w:jc w:val="center"/>
        </w:trPr>
        <w:tc>
          <w:tcPr>
            <w:tcW w:w="1264" w:type="pct"/>
            <w:shd w:val="clear" w:color="auto" w:fill="auto"/>
            <w:noWrap/>
            <w:vAlign w:val="center"/>
            <w:hideMark/>
          </w:tcPr>
          <w:p w14:paraId="0F232D6D" w14:textId="77777777" w:rsidR="009A7E0E" w:rsidRPr="00C8330C" w:rsidRDefault="009A7E0E" w:rsidP="009A7E0E">
            <w:pPr>
              <w:rPr>
                <w:rFonts w:ascii="Arial" w:hAnsi="Arial" w:cs="Arial"/>
                <w:sz w:val="20"/>
                <w:szCs w:val="20"/>
              </w:rPr>
            </w:pPr>
            <w:r w:rsidRPr="00C8330C">
              <w:rPr>
                <w:rFonts w:ascii="Arial" w:hAnsi="Arial" w:cs="Arial"/>
                <w:sz w:val="20"/>
                <w:szCs w:val="20"/>
              </w:rPr>
              <w:t>Maestría</w:t>
            </w:r>
          </w:p>
        </w:tc>
        <w:tc>
          <w:tcPr>
            <w:tcW w:w="1246" w:type="pct"/>
            <w:shd w:val="clear" w:color="auto" w:fill="auto"/>
            <w:noWrap/>
            <w:vAlign w:val="center"/>
            <w:hideMark/>
          </w:tcPr>
          <w:p w14:paraId="53926AC4" w14:textId="77777777" w:rsidR="009A7E0E" w:rsidRPr="00C8330C" w:rsidRDefault="009A7E0E" w:rsidP="009A7E0E">
            <w:pPr>
              <w:rPr>
                <w:rFonts w:ascii="Arial" w:hAnsi="Arial" w:cs="Arial"/>
                <w:sz w:val="20"/>
                <w:szCs w:val="20"/>
              </w:rPr>
            </w:pPr>
            <w:r w:rsidRPr="00C8330C">
              <w:rPr>
                <w:rFonts w:ascii="Arial" w:hAnsi="Arial" w:cs="Arial"/>
                <w:sz w:val="20"/>
                <w:szCs w:val="20"/>
              </w:rPr>
              <w:t>Entre 4 y 4,5 SMMLV</w:t>
            </w:r>
          </w:p>
        </w:tc>
        <w:tc>
          <w:tcPr>
            <w:tcW w:w="1246" w:type="pct"/>
            <w:shd w:val="clear" w:color="auto" w:fill="auto"/>
            <w:noWrap/>
            <w:vAlign w:val="center"/>
            <w:hideMark/>
          </w:tcPr>
          <w:p w14:paraId="3316B593" w14:textId="77777777" w:rsidR="009A7E0E" w:rsidRPr="00C8330C" w:rsidRDefault="009A7E0E" w:rsidP="009A7E0E">
            <w:pPr>
              <w:rPr>
                <w:rFonts w:ascii="Arial" w:hAnsi="Arial" w:cs="Arial"/>
                <w:sz w:val="20"/>
                <w:szCs w:val="20"/>
              </w:rPr>
            </w:pPr>
            <w:r w:rsidRPr="00C8330C">
              <w:rPr>
                <w:rFonts w:ascii="Arial" w:hAnsi="Arial" w:cs="Arial"/>
                <w:sz w:val="20"/>
                <w:szCs w:val="20"/>
              </w:rPr>
              <w:t>Entre 4 y 4,5 SMMLV</w:t>
            </w:r>
          </w:p>
        </w:tc>
        <w:tc>
          <w:tcPr>
            <w:tcW w:w="1243" w:type="pct"/>
            <w:shd w:val="clear" w:color="auto" w:fill="auto"/>
            <w:noWrap/>
            <w:vAlign w:val="center"/>
            <w:hideMark/>
          </w:tcPr>
          <w:p w14:paraId="0940901D" w14:textId="77777777" w:rsidR="009A7E0E" w:rsidRPr="00C8330C" w:rsidRDefault="009A7E0E" w:rsidP="009A7E0E">
            <w:pPr>
              <w:rPr>
                <w:rFonts w:ascii="Arial" w:hAnsi="Arial" w:cs="Arial"/>
                <w:sz w:val="20"/>
                <w:szCs w:val="20"/>
              </w:rPr>
            </w:pPr>
            <w:r w:rsidRPr="00C8330C">
              <w:rPr>
                <w:rFonts w:ascii="Arial" w:hAnsi="Arial" w:cs="Arial"/>
                <w:sz w:val="20"/>
                <w:szCs w:val="20"/>
              </w:rPr>
              <w:t>Entre 3,5 y 4 SMMLV</w:t>
            </w:r>
          </w:p>
        </w:tc>
      </w:tr>
      <w:tr w:rsidR="009A7E0E" w:rsidRPr="00C8330C" w14:paraId="6F8D9AEB" w14:textId="77777777" w:rsidTr="009A7E0E">
        <w:trPr>
          <w:trHeight w:val="390"/>
          <w:jc w:val="center"/>
        </w:trPr>
        <w:tc>
          <w:tcPr>
            <w:tcW w:w="1264" w:type="pct"/>
            <w:shd w:val="clear" w:color="auto" w:fill="auto"/>
            <w:noWrap/>
            <w:vAlign w:val="center"/>
            <w:hideMark/>
          </w:tcPr>
          <w:p w14:paraId="550D9C03" w14:textId="77777777" w:rsidR="009A7E0E" w:rsidRPr="00C8330C" w:rsidRDefault="009A7E0E" w:rsidP="009A7E0E">
            <w:pPr>
              <w:rPr>
                <w:rFonts w:ascii="Arial" w:hAnsi="Arial" w:cs="Arial"/>
                <w:sz w:val="20"/>
                <w:szCs w:val="20"/>
              </w:rPr>
            </w:pPr>
            <w:r w:rsidRPr="00C8330C">
              <w:rPr>
                <w:rFonts w:ascii="Arial" w:hAnsi="Arial" w:cs="Arial"/>
                <w:sz w:val="20"/>
                <w:szCs w:val="20"/>
              </w:rPr>
              <w:t>Doctorado</w:t>
            </w:r>
          </w:p>
        </w:tc>
        <w:tc>
          <w:tcPr>
            <w:tcW w:w="1246" w:type="pct"/>
            <w:shd w:val="clear" w:color="auto" w:fill="auto"/>
            <w:noWrap/>
            <w:vAlign w:val="center"/>
            <w:hideMark/>
          </w:tcPr>
          <w:p w14:paraId="062705BF" w14:textId="77777777" w:rsidR="009A7E0E" w:rsidRPr="00C8330C" w:rsidRDefault="009A7E0E" w:rsidP="009A7E0E">
            <w:pPr>
              <w:rPr>
                <w:rFonts w:ascii="Arial" w:hAnsi="Arial" w:cs="Arial"/>
                <w:sz w:val="20"/>
                <w:szCs w:val="20"/>
              </w:rPr>
            </w:pPr>
            <w:r w:rsidRPr="00C8330C">
              <w:rPr>
                <w:rFonts w:ascii="Arial" w:hAnsi="Arial" w:cs="Arial"/>
                <w:sz w:val="20"/>
                <w:szCs w:val="20"/>
              </w:rPr>
              <w:t>Entre 8 y 9 SMMLV </w:t>
            </w:r>
          </w:p>
        </w:tc>
        <w:tc>
          <w:tcPr>
            <w:tcW w:w="1246" w:type="pct"/>
            <w:shd w:val="clear" w:color="auto" w:fill="auto"/>
            <w:noWrap/>
            <w:vAlign w:val="center"/>
            <w:hideMark/>
          </w:tcPr>
          <w:p w14:paraId="22141E05" w14:textId="77777777" w:rsidR="009A7E0E" w:rsidRPr="00C8330C" w:rsidRDefault="009A7E0E" w:rsidP="009A7E0E">
            <w:pPr>
              <w:rPr>
                <w:rFonts w:ascii="Arial" w:hAnsi="Arial" w:cs="Arial"/>
                <w:sz w:val="20"/>
                <w:szCs w:val="20"/>
              </w:rPr>
            </w:pPr>
            <w:r w:rsidRPr="00C8330C">
              <w:rPr>
                <w:rFonts w:ascii="Arial" w:hAnsi="Arial" w:cs="Arial"/>
                <w:sz w:val="20"/>
                <w:szCs w:val="20"/>
              </w:rPr>
              <w:t>Entre 7 y 8 SMMLV</w:t>
            </w:r>
          </w:p>
        </w:tc>
        <w:tc>
          <w:tcPr>
            <w:tcW w:w="1243" w:type="pct"/>
            <w:shd w:val="clear" w:color="auto" w:fill="auto"/>
            <w:noWrap/>
            <w:vAlign w:val="center"/>
            <w:hideMark/>
          </w:tcPr>
          <w:p w14:paraId="78D0710B" w14:textId="77777777" w:rsidR="009A7E0E" w:rsidRPr="00C8330C" w:rsidRDefault="009A7E0E" w:rsidP="009A7E0E">
            <w:pPr>
              <w:rPr>
                <w:rFonts w:ascii="Arial" w:hAnsi="Arial" w:cs="Arial"/>
                <w:sz w:val="20"/>
                <w:szCs w:val="20"/>
              </w:rPr>
            </w:pPr>
            <w:r w:rsidRPr="00C8330C">
              <w:rPr>
                <w:rFonts w:ascii="Arial" w:hAnsi="Arial" w:cs="Arial"/>
                <w:sz w:val="20"/>
                <w:szCs w:val="20"/>
              </w:rPr>
              <w:t>Entre 6 y 7 SMMLV</w:t>
            </w:r>
          </w:p>
        </w:tc>
      </w:tr>
    </w:tbl>
    <w:p w14:paraId="51F5A774" w14:textId="77777777" w:rsidR="009A7E0E" w:rsidRPr="00C8330C" w:rsidRDefault="009A7E0E" w:rsidP="009A7E0E">
      <w:pPr>
        <w:rPr>
          <w:rFonts w:ascii="Arial" w:hAnsi="Arial" w:cs="Arial"/>
          <w:color w:val="808080" w:themeColor="background1" w:themeShade="80"/>
          <w:sz w:val="16"/>
          <w:szCs w:val="16"/>
        </w:rPr>
      </w:pPr>
      <w:r w:rsidRPr="00C8330C">
        <w:rPr>
          <w:rFonts w:ascii="Arial" w:hAnsi="Arial" w:cs="Arial"/>
          <w:color w:val="808080" w:themeColor="background1" w:themeShade="80"/>
          <w:sz w:val="16"/>
          <w:szCs w:val="16"/>
        </w:rPr>
        <w:t>Fuente: MEN - OLE</w:t>
      </w:r>
    </w:p>
    <w:p w14:paraId="304C03C6" w14:textId="45BF4CBF" w:rsidR="009A7E0E" w:rsidRPr="00985A2D" w:rsidRDefault="009A7E0E" w:rsidP="009A7E0E">
      <w:pPr>
        <w:pStyle w:val="Ttulo1"/>
        <w:rPr>
          <w:rFonts w:ascii="Arial" w:hAnsi="Arial" w:cs="Arial"/>
          <w:sz w:val="22"/>
          <w:szCs w:val="22"/>
        </w:rPr>
      </w:pPr>
      <w:r w:rsidRPr="00985A2D">
        <w:rPr>
          <w:rFonts w:ascii="Arial" w:hAnsi="Arial" w:cs="Arial"/>
          <w:sz w:val="22"/>
          <w:szCs w:val="22"/>
        </w:rPr>
        <w:t>Tasa de deserción universitaria anual</w:t>
      </w:r>
    </w:p>
    <w:p w14:paraId="56F00D48" w14:textId="523A7173" w:rsidR="009A7E0E" w:rsidRPr="00985A2D" w:rsidRDefault="009A7E0E" w:rsidP="009A7E0E">
      <w:pPr>
        <w:rPr>
          <w:rFonts w:ascii="Arial" w:hAnsi="Arial" w:cs="Arial"/>
          <w:szCs w:val="22"/>
        </w:rPr>
      </w:pPr>
    </w:p>
    <w:p w14:paraId="2886CBF0" w14:textId="77777777" w:rsidR="009A7E0E" w:rsidRPr="00985A2D" w:rsidRDefault="009A7E0E" w:rsidP="009A7E0E">
      <w:pPr>
        <w:rPr>
          <w:rFonts w:ascii="Arial" w:hAnsi="Arial" w:cs="Arial"/>
          <w:szCs w:val="22"/>
        </w:rPr>
      </w:pPr>
      <w:r w:rsidRPr="00985A2D">
        <w:rPr>
          <w:rFonts w:ascii="Arial" w:hAnsi="Arial" w:cs="Arial"/>
          <w:szCs w:val="22"/>
        </w:rPr>
        <w:t>La tasa de deserción del departamento se ha mantenido en niveles cercanos al 5%, excepto en el año 2017, año en el cual casi se duplicó. Frente al consolidado nacional, esta tasa es mucho menor en el departamento.</w:t>
      </w:r>
    </w:p>
    <w:p w14:paraId="271F3101" w14:textId="17A1A5BE" w:rsidR="009A7E0E" w:rsidRPr="00985A2D" w:rsidRDefault="009A7E0E" w:rsidP="009A7E0E">
      <w:pPr>
        <w:rPr>
          <w:rFonts w:ascii="Arial" w:hAnsi="Arial" w:cs="Arial"/>
          <w:szCs w:val="22"/>
        </w:rPr>
      </w:pPr>
    </w:p>
    <w:p w14:paraId="2F6029CA" w14:textId="77777777" w:rsidR="00DE30EC" w:rsidRPr="00985A2D" w:rsidRDefault="00DE30EC" w:rsidP="009A7E0E">
      <w:pPr>
        <w:rPr>
          <w:rFonts w:ascii="Arial" w:hAnsi="Arial" w:cs="Arial"/>
          <w:szCs w:val="22"/>
        </w:rPr>
      </w:pPr>
    </w:p>
    <w:p w14:paraId="16C33916" w14:textId="16CC4858" w:rsidR="009A7E0E" w:rsidRPr="00985A2D" w:rsidRDefault="009A7E0E" w:rsidP="009A7E0E">
      <w:pPr>
        <w:rPr>
          <w:rFonts w:ascii="Arial" w:hAnsi="Arial" w:cs="Arial"/>
          <w:b/>
          <w:iCs/>
          <w:szCs w:val="22"/>
        </w:rPr>
      </w:pPr>
      <w:r w:rsidRPr="00985A2D">
        <w:rPr>
          <w:rFonts w:ascii="Arial" w:hAnsi="Arial" w:cs="Arial"/>
          <w:b/>
          <w:iCs/>
          <w:szCs w:val="22"/>
        </w:rPr>
        <w:t xml:space="preserve">Tabla </w:t>
      </w:r>
      <w:r w:rsidRPr="00985A2D">
        <w:rPr>
          <w:rFonts w:ascii="Arial" w:hAnsi="Arial" w:cs="Arial"/>
          <w:b/>
          <w:iCs/>
          <w:szCs w:val="22"/>
        </w:rPr>
        <w:fldChar w:fldCharType="begin"/>
      </w:r>
      <w:r w:rsidRPr="00985A2D">
        <w:rPr>
          <w:rFonts w:ascii="Arial" w:hAnsi="Arial" w:cs="Arial"/>
          <w:b/>
          <w:iCs/>
          <w:szCs w:val="22"/>
        </w:rPr>
        <w:instrText xml:space="preserve"> SEQ Tabla \* ARABIC </w:instrText>
      </w:r>
      <w:r w:rsidRPr="00985A2D">
        <w:rPr>
          <w:rFonts w:ascii="Arial" w:hAnsi="Arial" w:cs="Arial"/>
          <w:b/>
          <w:iCs/>
          <w:szCs w:val="22"/>
        </w:rPr>
        <w:fldChar w:fldCharType="separate"/>
      </w:r>
      <w:r w:rsidR="009F20F0">
        <w:rPr>
          <w:rFonts w:ascii="Arial" w:hAnsi="Arial" w:cs="Arial"/>
          <w:b/>
          <w:iCs/>
          <w:noProof/>
          <w:szCs w:val="22"/>
        </w:rPr>
        <w:t>7</w:t>
      </w:r>
      <w:r w:rsidRPr="00985A2D">
        <w:rPr>
          <w:rFonts w:ascii="Arial" w:hAnsi="Arial" w:cs="Arial"/>
          <w:szCs w:val="22"/>
        </w:rPr>
        <w:fldChar w:fldCharType="end"/>
      </w:r>
      <w:r w:rsidRPr="00985A2D">
        <w:rPr>
          <w:rFonts w:ascii="Arial" w:hAnsi="Arial" w:cs="Arial"/>
          <w:b/>
          <w:iCs/>
          <w:szCs w:val="22"/>
        </w:rPr>
        <w:t xml:space="preserve"> Tasa de deserción universitaria anual (2015-2019)</w:t>
      </w:r>
    </w:p>
    <w:tbl>
      <w:tblPr>
        <w:tblW w:w="5000" w:type="pct"/>
        <w:tblBorders>
          <w:top w:val="single" w:sz="8" w:space="0" w:color="3366CC"/>
          <w:left w:val="single" w:sz="8" w:space="0" w:color="3366CC"/>
          <w:bottom w:val="single" w:sz="8" w:space="0" w:color="3366CC"/>
          <w:right w:val="single" w:sz="8" w:space="0" w:color="3366CC"/>
          <w:insideH w:val="single" w:sz="8" w:space="0" w:color="3366CC"/>
          <w:insideV w:val="single" w:sz="8" w:space="0" w:color="3366CC"/>
        </w:tblBorders>
        <w:tblCellMar>
          <w:left w:w="70" w:type="dxa"/>
          <w:right w:w="70" w:type="dxa"/>
        </w:tblCellMar>
        <w:tblLook w:val="04A0" w:firstRow="1" w:lastRow="0" w:firstColumn="1" w:lastColumn="0" w:noHBand="0" w:noVBand="1"/>
      </w:tblPr>
      <w:tblGrid>
        <w:gridCol w:w="2415"/>
        <w:gridCol w:w="1413"/>
        <w:gridCol w:w="1242"/>
        <w:gridCol w:w="1242"/>
        <w:gridCol w:w="1254"/>
        <w:gridCol w:w="1252"/>
      </w:tblGrid>
      <w:tr w:rsidR="009A7E0E" w:rsidRPr="00C8330C" w14:paraId="37739633" w14:textId="77777777" w:rsidTr="00D10898">
        <w:trPr>
          <w:trHeight w:val="390"/>
        </w:trPr>
        <w:tc>
          <w:tcPr>
            <w:tcW w:w="1369" w:type="pct"/>
            <w:shd w:val="clear" w:color="000000" w:fill="DDEBF7"/>
            <w:noWrap/>
            <w:vAlign w:val="center"/>
            <w:hideMark/>
          </w:tcPr>
          <w:p w14:paraId="09ED9469" w14:textId="77777777" w:rsidR="009A7E0E" w:rsidRPr="00C8330C" w:rsidRDefault="009A7E0E" w:rsidP="009A7E0E">
            <w:pPr>
              <w:rPr>
                <w:rFonts w:ascii="Arial" w:hAnsi="Arial" w:cs="Arial"/>
                <w:b/>
                <w:bCs/>
                <w:sz w:val="20"/>
                <w:szCs w:val="20"/>
              </w:rPr>
            </w:pPr>
            <w:r w:rsidRPr="00C8330C">
              <w:rPr>
                <w:rFonts w:ascii="Arial" w:hAnsi="Arial" w:cs="Arial"/>
                <w:b/>
                <w:bCs/>
                <w:sz w:val="20"/>
                <w:szCs w:val="20"/>
              </w:rPr>
              <w:t>Tasa de Deserción</w:t>
            </w:r>
          </w:p>
        </w:tc>
        <w:tc>
          <w:tcPr>
            <w:tcW w:w="801" w:type="pct"/>
            <w:shd w:val="clear" w:color="000000" w:fill="DDEBF7"/>
            <w:vAlign w:val="center"/>
            <w:hideMark/>
          </w:tcPr>
          <w:p w14:paraId="7A6336FD" w14:textId="77777777" w:rsidR="009A7E0E" w:rsidRPr="00C8330C" w:rsidRDefault="009A7E0E" w:rsidP="009A7E0E">
            <w:pPr>
              <w:rPr>
                <w:rFonts w:ascii="Arial" w:hAnsi="Arial" w:cs="Arial"/>
                <w:b/>
                <w:bCs/>
                <w:sz w:val="20"/>
                <w:szCs w:val="20"/>
              </w:rPr>
            </w:pPr>
            <w:r w:rsidRPr="00C8330C">
              <w:rPr>
                <w:rFonts w:ascii="Arial" w:hAnsi="Arial" w:cs="Arial"/>
                <w:b/>
                <w:bCs/>
                <w:sz w:val="20"/>
                <w:szCs w:val="20"/>
              </w:rPr>
              <w:t>2015</w:t>
            </w:r>
          </w:p>
        </w:tc>
        <w:tc>
          <w:tcPr>
            <w:tcW w:w="704" w:type="pct"/>
            <w:shd w:val="clear" w:color="000000" w:fill="DDEBF7"/>
            <w:vAlign w:val="center"/>
            <w:hideMark/>
          </w:tcPr>
          <w:p w14:paraId="4B41869D" w14:textId="77777777" w:rsidR="009A7E0E" w:rsidRPr="00C8330C" w:rsidRDefault="009A7E0E" w:rsidP="009A7E0E">
            <w:pPr>
              <w:rPr>
                <w:rFonts w:ascii="Arial" w:hAnsi="Arial" w:cs="Arial"/>
                <w:b/>
                <w:bCs/>
                <w:sz w:val="20"/>
                <w:szCs w:val="20"/>
              </w:rPr>
            </w:pPr>
            <w:r w:rsidRPr="00C8330C">
              <w:rPr>
                <w:rFonts w:ascii="Arial" w:hAnsi="Arial" w:cs="Arial"/>
                <w:b/>
                <w:bCs/>
                <w:sz w:val="20"/>
                <w:szCs w:val="20"/>
              </w:rPr>
              <w:t>2016</w:t>
            </w:r>
          </w:p>
        </w:tc>
        <w:tc>
          <w:tcPr>
            <w:tcW w:w="704" w:type="pct"/>
            <w:shd w:val="clear" w:color="000000" w:fill="DDEBF7"/>
            <w:vAlign w:val="center"/>
            <w:hideMark/>
          </w:tcPr>
          <w:p w14:paraId="2BD614DF" w14:textId="77777777" w:rsidR="009A7E0E" w:rsidRPr="00C8330C" w:rsidRDefault="009A7E0E" w:rsidP="009A7E0E">
            <w:pPr>
              <w:rPr>
                <w:rFonts w:ascii="Arial" w:hAnsi="Arial" w:cs="Arial"/>
                <w:b/>
                <w:bCs/>
                <w:sz w:val="20"/>
                <w:szCs w:val="20"/>
              </w:rPr>
            </w:pPr>
            <w:r w:rsidRPr="00C8330C">
              <w:rPr>
                <w:rFonts w:ascii="Arial" w:hAnsi="Arial" w:cs="Arial"/>
                <w:b/>
                <w:bCs/>
                <w:sz w:val="20"/>
                <w:szCs w:val="20"/>
              </w:rPr>
              <w:t>2017</w:t>
            </w:r>
          </w:p>
        </w:tc>
        <w:tc>
          <w:tcPr>
            <w:tcW w:w="711" w:type="pct"/>
            <w:shd w:val="clear" w:color="000000" w:fill="DDEBF7"/>
            <w:vAlign w:val="center"/>
            <w:hideMark/>
          </w:tcPr>
          <w:p w14:paraId="4EEB6EB3" w14:textId="77777777" w:rsidR="009A7E0E" w:rsidRPr="00C8330C" w:rsidRDefault="009A7E0E" w:rsidP="009A7E0E">
            <w:pPr>
              <w:rPr>
                <w:rFonts w:ascii="Arial" w:hAnsi="Arial" w:cs="Arial"/>
                <w:b/>
                <w:bCs/>
                <w:sz w:val="20"/>
                <w:szCs w:val="20"/>
              </w:rPr>
            </w:pPr>
            <w:r w:rsidRPr="00C8330C">
              <w:rPr>
                <w:rFonts w:ascii="Arial" w:hAnsi="Arial" w:cs="Arial"/>
                <w:b/>
                <w:bCs/>
                <w:sz w:val="20"/>
                <w:szCs w:val="20"/>
              </w:rPr>
              <w:t>2018</w:t>
            </w:r>
          </w:p>
        </w:tc>
        <w:tc>
          <w:tcPr>
            <w:tcW w:w="710" w:type="pct"/>
            <w:shd w:val="clear" w:color="000000" w:fill="DDEBF7"/>
            <w:vAlign w:val="center"/>
            <w:hideMark/>
          </w:tcPr>
          <w:p w14:paraId="3902B201" w14:textId="77777777" w:rsidR="009A7E0E" w:rsidRPr="00C8330C" w:rsidRDefault="009A7E0E" w:rsidP="009A7E0E">
            <w:pPr>
              <w:rPr>
                <w:rFonts w:ascii="Arial" w:hAnsi="Arial" w:cs="Arial"/>
                <w:b/>
                <w:bCs/>
                <w:sz w:val="20"/>
                <w:szCs w:val="20"/>
              </w:rPr>
            </w:pPr>
            <w:r w:rsidRPr="00C8330C">
              <w:rPr>
                <w:rFonts w:ascii="Arial" w:hAnsi="Arial" w:cs="Arial"/>
                <w:b/>
                <w:bCs/>
                <w:sz w:val="20"/>
                <w:szCs w:val="20"/>
              </w:rPr>
              <w:t>2019</w:t>
            </w:r>
          </w:p>
        </w:tc>
      </w:tr>
      <w:tr w:rsidR="009A7E0E" w:rsidRPr="00C8330C" w14:paraId="3C99D534" w14:textId="77777777" w:rsidTr="00D10898">
        <w:trPr>
          <w:trHeight w:val="375"/>
        </w:trPr>
        <w:tc>
          <w:tcPr>
            <w:tcW w:w="1369" w:type="pct"/>
            <w:shd w:val="clear" w:color="auto" w:fill="auto"/>
            <w:noWrap/>
            <w:vAlign w:val="center"/>
            <w:hideMark/>
          </w:tcPr>
          <w:p w14:paraId="6855E117" w14:textId="77777777" w:rsidR="009A7E0E" w:rsidRPr="00C8330C" w:rsidRDefault="009A7E0E" w:rsidP="009A7E0E">
            <w:pPr>
              <w:rPr>
                <w:rFonts w:ascii="Arial" w:hAnsi="Arial" w:cs="Arial"/>
                <w:b/>
                <w:bCs/>
                <w:sz w:val="20"/>
                <w:szCs w:val="20"/>
              </w:rPr>
            </w:pPr>
            <w:r w:rsidRPr="00C8330C">
              <w:rPr>
                <w:rFonts w:ascii="Arial" w:hAnsi="Arial" w:cs="Arial"/>
                <w:b/>
                <w:bCs/>
                <w:sz w:val="20"/>
                <w:szCs w:val="20"/>
              </w:rPr>
              <w:t>Departamento</w:t>
            </w:r>
          </w:p>
        </w:tc>
        <w:tc>
          <w:tcPr>
            <w:tcW w:w="801" w:type="pct"/>
            <w:shd w:val="clear" w:color="auto" w:fill="auto"/>
            <w:noWrap/>
            <w:vAlign w:val="center"/>
            <w:hideMark/>
          </w:tcPr>
          <w:p w14:paraId="41A922E5" w14:textId="77777777" w:rsidR="009A7E0E" w:rsidRPr="00C8330C" w:rsidRDefault="009A7E0E" w:rsidP="009A7E0E">
            <w:pPr>
              <w:rPr>
                <w:rFonts w:ascii="Arial" w:hAnsi="Arial" w:cs="Arial"/>
                <w:sz w:val="20"/>
                <w:szCs w:val="20"/>
              </w:rPr>
            </w:pPr>
            <w:r w:rsidRPr="00C8330C">
              <w:rPr>
                <w:rFonts w:ascii="Arial" w:hAnsi="Arial" w:cs="Arial"/>
                <w:sz w:val="20"/>
                <w:szCs w:val="20"/>
              </w:rPr>
              <w:t>4,9%</w:t>
            </w:r>
          </w:p>
        </w:tc>
        <w:tc>
          <w:tcPr>
            <w:tcW w:w="704" w:type="pct"/>
            <w:shd w:val="clear" w:color="auto" w:fill="auto"/>
            <w:noWrap/>
            <w:vAlign w:val="center"/>
            <w:hideMark/>
          </w:tcPr>
          <w:p w14:paraId="10AC887B" w14:textId="77777777" w:rsidR="009A7E0E" w:rsidRPr="00C8330C" w:rsidRDefault="009A7E0E" w:rsidP="009A7E0E">
            <w:pPr>
              <w:rPr>
                <w:rFonts w:ascii="Arial" w:hAnsi="Arial" w:cs="Arial"/>
                <w:sz w:val="20"/>
                <w:szCs w:val="20"/>
              </w:rPr>
            </w:pPr>
            <w:r w:rsidRPr="00C8330C">
              <w:rPr>
                <w:rFonts w:ascii="Arial" w:hAnsi="Arial" w:cs="Arial"/>
                <w:sz w:val="20"/>
                <w:szCs w:val="20"/>
              </w:rPr>
              <w:t>4,7%</w:t>
            </w:r>
          </w:p>
        </w:tc>
        <w:tc>
          <w:tcPr>
            <w:tcW w:w="704" w:type="pct"/>
            <w:shd w:val="clear" w:color="auto" w:fill="auto"/>
            <w:noWrap/>
            <w:vAlign w:val="center"/>
            <w:hideMark/>
          </w:tcPr>
          <w:p w14:paraId="45FC8FA1" w14:textId="77777777" w:rsidR="009A7E0E" w:rsidRPr="00C8330C" w:rsidRDefault="009A7E0E" w:rsidP="009A7E0E">
            <w:pPr>
              <w:rPr>
                <w:rFonts w:ascii="Arial" w:hAnsi="Arial" w:cs="Arial"/>
                <w:sz w:val="20"/>
                <w:szCs w:val="20"/>
              </w:rPr>
            </w:pPr>
            <w:r w:rsidRPr="00C8330C">
              <w:rPr>
                <w:rFonts w:ascii="Arial" w:hAnsi="Arial" w:cs="Arial"/>
                <w:sz w:val="20"/>
                <w:szCs w:val="20"/>
              </w:rPr>
              <w:t>9,3%</w:t>
            </w:r>
          </w:p>
        </w:tc>
        <w:tc>
          <w:tcPr>
            <w:tcW w:w="711" w:type="pct"/>
            <w:shd w:val="clear" w:color="auto" w:fill="auto"/>
            <w:noWrap/>
            <w:vAlign w:val="center"/>
            <w:hideMark/>
          </w:tcPr>
          <w:p w14:paraId="051EEF21" w14:textId="77777777" w:rsidR="009A7E0E" w:rsidRPr="00C8330C" w:rsidRDefault="009A7E0E" w:rsidP="009A7E0E">
            <w:pPr>
              <w:rPr>
                <w:rFonts w:ascii="Arial" w:hAnsi="Arial" w:cs="Arial"/>
                <w:sz w:val="20"/>
                <w:szCs w:val="20"/>
              </w:rPr>
            </w:pPr>
            <w:r w:rsidRPr="00C8330C">
              <w:rPr>
                <w:rFonts w:ascii="Arial" w:hAnsi="Arial" w:cs="Arial"/>
                <w:sz w:val="20"/>
                <w:szCs w:val="20"/>
              </w:rPr>
              <w:t>5,0%</w:t>
            </w:r>
          </w:p>
        </w:tc>
        <w:tc>
          <w:tcPr>
            <w:tcW w:w="710" w:type="pct"/>
            <w:shd w:val="clear" w:color="auto" w:fill="auto"/>
            <w:noWrap/>
            <w:vAlign w:val="center"/>
            <w:hideMark/>
          </w:tcPr>
          <w:p w14:paraId="0EC87E16" w14:textId="77777777" w:rsidR="009A7E0E" w:rsidRPr="00C8330C" w:rsidRDefault="009A7E0E" w:rsidP="009A7E0E">
            <w:pPr>
              <w:rPr>
                <w:rFonts w:ascii="Arial" w:hAnsi="Arial" w:cs="Arial"/>
                <w:sz w:val="20"/>
                <w:szCs w:val="20"/>
              </w:rPr>
            </w:pPr>
            <w:r w:rsidRPr="00C8330C">
              <w:rPr>
                <w:rFonts w:ascii="Arial" w:hAnsi="Arial" w:cs="Arial"/>
                <w:sz w:val="20"/>
                <w:szCs w:val="20"/>
              </w:rPr>
              <w:t>4,7%</w:t>
            </w:r>
          </w:p>
        </w:tc>
      </w:tr>
      <w:tr w:rsidR="009A7E0E" w:rsidRPr="00C8330C" w14:paraId="53FA1978" w14:textId="77777777" w:rsidTr="00D10898">
        <w:trPr>
          <w:trHeight w:val="390"/>
        </w:trPr>
        <w:tc>
          <w:tcPr>
            <w:tcW w:w="1369" w:type="pct"/>
            <w:shd w:val="clear" w:color="auto" w:fill="auto"/>
            <w:noWrap/>
            <w:vAlign w:val="center"/>
            <w:hideMark/>
          </w:tcPr>
          <w:p w14:paraId="7495031B" w14:textId="77777777" w:rsidR="009A7E0E" w:rsidRPr="00C8330C" w:rsidRDefault="009A7E0E" w:rsidP="009A7E0E">
            <w:pPr>
              <w:rPr>
                <w:rFonts w:ascii="Arial" w:hAnsi="Arial" w:cs="Arial"/>
                <w:sz w:val="20"/>
                <w:szCs w:val="20"/>
              </w:rPr>
            </w:pPr>
            <w:r w:rsidRPr="00C8330C">
              <w:rPr>
                <w:rFonts w:ascii="Arial" w:hAnsi="Arial" w:cs="Arial"/>
                <w:sz w:val="20"/>
                <w:szCs w:val="20"/>
              </w:rPr>
              <w:t>Nacional</w:t>
            </w:r>
          </w:p>
        </w:tc>
        <w:tc>
          <w:tcPr>
            <w:tcW w:w="801" w:type="pct"/>
            <w:shd w:val="clear" w:color="auto" w:fill="auto"/>
            <w:noWrap/>
            <w:vAlign w:val="center"/>
            <w:hideMark/>
          </w:tcPr>
          <w:p w14:paraId="13A50D23" w14:textId="77777777" w:rsidR="009A7E0E" w:rsidRPr="00C8330C" w:rsidRDefault="009A7E0E" w:rsidP="009A7E0E">
            <w:pPr>
              <w:rPr>
                <w:rFonts w:ascii="Arial" w:hAnsi="Arial" w:cs="Arial"/>
                <w:sz w:val="20"/>
                <w:szCs w:val="20"/>
              </w:rPr>
            </w:pPr>
            <w:r w:rsidRPr="00C8330C">
              <w:rPr>
                <w:rFonts w:ascii="Arial" w:hAnsi="Arial" w:cs="Arial"/>
                <w:sz w:val="20"/>
                <w:szCs w:val="20"/>
              </w:rPr>
              <w:t>9,0%</w:t>
            </w:r>
          </w:p>
        </w:tc>
        <w:tc>
          <w:tcPr>
            <w:tcW w:w="704" w:type="pct"/>
            <w:shd w:val="clear" w:color="auto" w:fill="auto"/>
            <w:noWrap/>
            <w:vAlign w:val="center"/>
            <w:hideMark/>
          </w:tcPr>
          <w:p w14:paraId="3DF5A19A" w14:textId="77777777" w:rsidR="009A7E0E" w:rsidRPr="00C8330C" w:rsidRDefault="009A7E0E" w:rsidP="009A7E0E">
            <w:pPr>
              <w:rPr>
                <w:rFonts w:ascii="Arial" w:hAnsi="Arial" w:cs="Arial"/>
                <w:sz w:val="20"/>
                <w:szCs w:val="20"/>
              </w:rPr>
            </w:pPr>
            <w:r w:rsidRPr="00C8330C">
              <w:rPr>
                <w:rFonts w:ascii="Arial" w:hAnsi="Arial" w:cs="Arial"/>
                <w:sz w:val="20"/>
                <w:szCs w:val="20"/>
              </w:rPr>
              <w:t>8,2%</w:t>
            </w:r>
          </w:p>
        </w:tc>
        <w:tc>
          <w:tcPr>
            <w:tcW w:w="704" w:type="pct"/>
            <w:shd w:val="clear" w:color="auto" w:fill="auto"/>
            <w:noWrap/>
            <w:vAlign w:val="center"/>
            <w:hideMark/>
          </w:tcPr>
          <w:p w14:paraId="13455908" w14:textId="77777777" w:rsidR="009A7E0E" w:rsidRPr="00C8330C" w:rsidRDefault="009A7E0E" w:rsidP="009A7E0E">
            <w:pPr>
              <w:rPr>
                <w:rFonts w:ascii="Arial" w:hAnsi="Arial" w:cs="Arial"/>
                <w:sz w:val="20"/>
                <w:szCs w:val="20"/>
              </w:rPr>
            </w:pPr>
            <w:r w:rsidRPr="00C8330C">
              <w:rPr>
                <w:rFonts w:ascii="Arial" w:hAnsi="Arial" w:cs="Arial"/>
                <w:sz w:val="20"/>
                <w:szCs w:val="20"/>
              </w:rPr>
              <w:t>9,1%</w:t>
            </w:r>
          </w:p>
        </w:tc>
        <w:tc>
          <w:tcPr>
            <w:tcW w:w="711" w:type="pct"/>
            <w:shd w:val="clear" w:color="auto" w:fill="auto"/>
            <w:noWrap/>
            <w:vAlign w:val="center"/>
            <w:hideMark/>
          </w:tcPr>
          <w:p w14:paraId="66753157" w14:textId="77777777" w:rsidR="009A7E0E" w:rsidRPr="00C8330C" w:rsidRDefault="009A7E0E" w:rsidP="009A7E0E">
            <w:pPr>
              <w:rPr>
                <w:rFonts w:ascii="Arial" w:hAnsi="Arial" w:cs="Arial"/>
                <w:sz w:val="20"/>
                <w:szCs w:val="20"/>
              </w:rPr>
            </w:pPr>
            <w:r w:rsidRPr="00C8330C">
              <w:rPr>
                <w:rFonts w:ascii="Arial" w:hAnsi="Arial" w:cs="Arial"/>
                <w:sz w:val="20"/>
                <w:szCs w:val="20"/>
              </w:rPr>
              <w:t>8,8%</w:t>
            </w:r>
          </w:p>
        </w:tc>
        <w:tc>
          <w:tcPr>
            <w:tcW w:w="710" w:type="pct"/>
            <w:shd w:val="clear" w:color="auto" w:fill="auto"/>
            <w:noWrap/>
            <w:vAlign w:val="center"/>
            <w:hideMark/>
          </w:tcPr>
          <w:p w14:paraId="38F2C19B" w14:textId="77777777" w:rsidR="009A7E0E" w:rsidRPr="00C8330C" w:rsidRDefault="009A7E0E" w:rsidP="009A7E0E">
            <w:pPr>
              <w:rPr>
                <w:rFonts w:ascii="Arial" w:hAnsi="Arial" w:cs="Arial"/>
                <w:sz w:val="20"/>
                <w:szCs w:val="20"/>
              </w:rPr>
            </w:pPr>
            <w:r w:rsidRPr="00C8330C">
              <w:rPr>
                <w:rFonts w:ascii="Arial" w:hAnsi="Arial" w:cs="Arial"/>
                <w:sz w:val="20"/>
                <w:szCs w:val="20"/>
              </w:rPr>
              <w:t>8,3%</w:t>
            </w:r>
          </w:p>
        </w:tc>
      </w:tr>
    </w:tbl>
    <w:p w14:paraId="4FE7F647" w14:textId="77777777" w:rsidR="009A7E0E" w:rsidRPr="00C8330C" w:rsidRDefault="009A7E0E" w:rsidP="009A7E0E">
      <w:pPr>
        <w:rPr>
          <w:rStyle w:val="Referenciasutil"/>
          <w:rFonts w:ascii="Arial" w:hAnsi="Arial" w:cs="Arial"/>
          <w:sz w:val="16"/>
          <w:szCs w:val="16"/>
        </w:rPr>
      </w:pPr>
      <w:r w:rsidRPr="00C8330C">
        <w:rPr>
          <w:rStyle w:val="Referenciasutil"/>
          <w:rFonts w:ascii="Arial" w:hAnsi="Arial" w:cs="Arial"/>
          <w:sz w:val="16"/>
          <w:szCs w:val="16"/>
        </w:rPr>
        <w:t>Fuente: MEN - SPADIES 3.0</w:t>
      </w:r>
    </w:p>
    <w:p w14:paraId="5A7D5F70" w14:textId="46869F24" w:rsidR="009A7E0E" w:rsidRPr="00985A2D" w:rsidRDefault="009A7E0E" w:rsidP="009A7E0E">
      <w:pPr>
        <w:rPr>
          <w:rFonts w:ascii="Arial" w:hAnsi="Arial" w:cs="Arial"/>
          <w:szCs w:val="22"/>
        </w:rPr>
      </w:pPr>
    </w:p>
    <w:p w14:paraId="0A93209D" w14:textId="77777777" w:rsidR="009A7E0E" w:rsidRPr="00985A2D" w:rsidRDefault="009A7E0E" w:rsidP="009A7E0E">
      <w:pPr>
        <w:rPr>
          <w:rFonts w:ascii="Arial" w:hAnsi="Arial" w:cs="Arial"/>
          <w:szCs w:val="22"/>
        </w:rPr>
      </w:pPr>
      <w:r w:rsidRPr="00985A2D">
        <w:rPr>
          <w:rFonts w:ascii="Arial" w:hAnsi="Arial" w:cs="Arial"/>
          <w:szCs w:val="22"/>
        </w:rPr>
        <w:t>Resultados del diagnóstico en torno al sistema de ciencia, tecnología, innovación y educación en caldas: barreras y oportunidades</w:t>
      </w:r>
    </w:p>
    <w:p w14:paraId="35940511" w14:textId="218D07D8" w:rsidR="009A7E0E" w:rsidRPr="00985A2D" w:rsidRDefault="009A7E0E" w:rsidP="009A7E0E">
      <w:pPr>
        <w:rPr>
          <w:rFonts w:ascii="Arial" w:hAnsi="Arial" w:cs="Arial"/>
          <w:szCs w:val="22"/>
        </w:rPr>
      </w:pPr>
    </w:p>
    <w:p w14:paraId="3A72A3B0" w14:textId="1DCDDA70" w:rsidR="009A7E0E" w:rsidRPr="00985A2D" w:rsidRDefault="009A7E0E" w:rsidP="009A7E0E">
      <w:pPr>
        <w:pStyle w:val="Ttulo1"/>
        <w:rPr>
          <w:rFonts w:ascii="Arial" w:hAnsi="Arial" w:cs="Arial"/>
          <w:sz w:val="22"/>
          <w:szCs w:val="22"/>
        </w:rPr>
      </w:pPr>
      <w:r w:rsidRPr="00985A2D">
        <w:rPr>
          <w:rFonts w:ascii="Arial" w:hAnsi="Arial" w:cs="Arial"/>
          <w:sz w:val="22"/>
          <w:szCs w:val="22"/>
        </w:rPr>
        <w:t>Generación de conocimiento</w:t>
      </w:r>
    </w:p>
    <w:p w14:paraId="7D41C35D" w14:textId="5EF0CE54" w:rsidR="009A7E0E" w:rsidRPr="00985A2D" w:rsidRDefault="009A7E0E" w:rsidP="009A7E0E">
      <w:pPr>
        <w:rPr>
          <w:rFonts w:ascii="Arial" w:hAnsi="Arial" w:cs="Arial"/>
          <w:szCs w:val="22"/>
        </w:rPr>
      </w:pPr>
    </w:p>
    <w:p w14:paraId="085F9F74" w14:textId="535D55FE" w:rsidR="009A7E0E" w:rsidRPr="00985A2D" w:rsidRDefault="009A7E0E" w:rsidP="009A7E0E">
      <w:pPr>
        <w:rPr>
          <w:rFonts w:ascii="Arial" w:hAnsi="Arial" w:cs="Arial"/>
          <w:szCs w:val="22"/>
        </w:rPr>
      </w:pPr>
      <w:r w:rsidRPr="00985A2D">
        <w:rPr>
          <w:rFonts w:ascii="Arial" w:hAnsi="Arial" w:cs="Arial"/>
          <w:szCs w:val="22"/>
        </w:rPr>
        <w:t>De acuerdo con el informe de resultados de la Fase I de la Misión de Sabios por Caldas- 2020-2021, la inversión en Ciencia, Tecnología e Innovación en Caldas aún es baja. Actualmente Min</w:t>
      </w:r>
      <w:r w:rsidR="00D10898">
        <w:rPr>
          <w:rFonts w:ascii="Arial" w:hAnsi="Arial" w:cs="Arial"/>
          <w:szCs w:val="22"/>
        </w:rPr>
        <w:t xml:space="preserve"> </w:t>
      </w:r>
      <w:r w:rsidRPr="00985A2D">
        <w:rPr>
          <w:rFonts w:ascii="Arial" w:hAnsi="Arial" w:cs="Arial"/>
          <w:szCs w:val="22"/>
        </w:rPr>
        <w:t>ciencias reporta que en el Departamento en los últimos cinco años se ha tenido una disminución en la inversión. Además, se evidencia que, del total de inversión nacional, Caldas tiene un 0.5%.</w:t>
      </w:r>
    </w:p>
    <w:p w14:paraId="5774E1D5" w14:textId="77777777" w:rsidR="009A7E0E" w:rsidRPr="00985A2D" w:rsidRDefault="009A7E0E" w:rsidP="009A7E0E">
      <w:pPr>
        <w:rPr>
          <w:rFonts w:ascii="Arial" w:hAnsi="Arial" w:cs="Arial"/>
          <w:szCs w:val="22"/>
        </w:rPr>
      </w:pPr>
    </w:p>
    <w:p w14:paraId="3A08872A" w14:textId="77777777" w:rsidR="009A7E0E" w:rsidRPr="00985A2D" w:rsidRDefault="009A7E0E" w:rsidP="009A7E0E">
      <w:pPr>
        <w:rPr>
          <w:rFonts w:ascii="Arial" w:hAnsi="Arial" w:cs="Arial"/>
          <w:szCs w:val="22"/>
        </w:rPr>
      </w:pPr>
      <w:r w:rsidRPr="00985A2D">
        <w:rPr>
          <w:rFonts w:ascii="Arial" w:hAnsi="Arial" w:cs="Arial"/>
          <w:szCs w:val="22"/>
        </w:rPr>
        <w:t>Medidos a través de la inversión en A.C.T.I, los esfuerzos de innovación del Departamento de Caldas son débiles y decrecientes. En 2019, Caldas invirtió 82 mil millones de pesos en A.C.T.I señalando una tendencia decreciente desde un máximo de 105 mil millones de pesos en 2016 (precios constantes). Como proporción del PIB, esto representa una caída desde 0,823% en 2016 hasta 0,596% en el 2019. La inversión en I+D también cayó desde 0,50% en el 2012 hasta 0,23% en el 2019. En ambos casos, los esfuerzos del Departamento se encuentran por debajo del promedio nacional, que en 2019 fue 0,73% para ACTI y 0,28% para I+D (</w:t>
      </w:r>
      <w:proofErr w:type="spellStart"/>
      <w:r w:rsidRPr="00985A2D">
        <w:rPr>
          <w:rFonts w:ascii="Arial" w:hAnsi="Arial" w:cs="Arial"/>
          <w:szCs w:val="22"/>
        </w:rPr>
        <w:t>OCyT</w:t>
      </w:r>
      <w:proofErr w:type="spellEnd"/>
      <w:r w:rsidRPr="00985A2D">
        <w:rPr>
          <w:rFonts w:ascii="Arial" w:hAnsi="Arial" w:cs="Arial"/>
          <w:szCs w:val="22"/>
        </w:rPr>
        <w:t>, 2019). No obstante, Caldas fortalece su capital estructural con la provisión de infraestructura de alta calidad y servicios especializados, además de un ambiente que fomenta la innovación. De acuerdo con el IDIC (2019).</w:t>
      </w:r>
    </w:p>
    <w:p w14:paraId="57285CFB" w14:textId="756FCDF8" w:rsidR="009A7E0E" w:rsidRPr="00985A2D" w:rsidRDefault="009A7E0E" w:rsidP="009A7E0E">
      <w:pPr>
        <w:rPr>
          <w:rFonts w:ascii="Arial" w:hAnsi="Arial" w:cs="Arial"/>
          <w:szCs w:val="22"/>
        </w:rPr>
      </w:pPr>
    </w:p>
    <w:p w14:paraId="5D3DA3E5" w14:textId="4F7908DA" w:rsidR="009A7E0E" w:rsidRPr="00985A2D" w:rsidRDefault="009A7E0E" w:rsidP="009A7E0E">
      <w:pPr>
        <w:pStyle w:val="Ttulo2"/>
        <w:rPr>
          <w:rFonts w:ascii="Arial" w:hAnsi="Arial" w:cs="Arial"/>
          <w:sz w:val="22"/>
          <w:szCs w:val="22"/>
        </w:rPr>
      </w:pPr>
      <w:r w:rsidRPr="00985A2D">
        <w:rPr>
          <w:rFonts w:ascii="Arial" w:hAnsi="Arial" w:cs="Arial"/>
          <w:sz w:val="22"/>
          <w:szCs w:val="22"/>
        </w:rPr>
        <w:t xml:space="preserve">Grupos de investigación </w:t>
      </w:r>
    </w:p>
    <w:p w14:paraId="715569A9" w14:textId="07BD30F0" w:rsidR="009A7E0E" w:rsidRPr="00985A2D" w:rsidRDefault="009A7E0E" w:rsidP="009A7E0E">
      <w:pPr>
        <w:rPr>
          <w:rFonts w:ascii="Arial" w:hAnsi="Arial" w:cs="Arial"/>
          <w:szCs w:val="22"/>
        </w:rPr>
      </w:pPr>
    </w:p>
    <w:p w14:paraId="254BDCA0" w14:textId="0845B15F" w:rsidR="00CE77CA" w:rsidRPr="00985A2D" w:rsidRDefault="009A7E0E" w:rsidP="00C8330C">
      <w:pPr>
        <w:rPr>
          <w:rFonts w:ascii="Arial" w:hAnsi="Arial" w:cs="Arial"/>
          <w:szCs w:val="22"/>
        </w:rPr>
      </w:pPr>
      <w:r w:rsidRPr="00985A2D">
        <w:rPr>
          <w:rFonts w:ascii="Arial" w:hAnsi="Arial" w:cs="Arial"/>
          <w:szCs w:val="22"/>
        </w:rPr>
        <w:t xml:space="preserve">Respecto a los grupos de investigación, actualmente Colombia registra 5772 grupos clasificados en el Sistema de Ciencias Tecnología e Innovación. De ellos el 12% (717 grupos) son categoría A1, mientras que el 18% (1023 grupos) son categoría A; el 22% (1285 </w:t>
      </w:r>
      <w:r w:rsidRPr="00985A2D">
        <w:rPr>
          <w:rFonts w:ascii="Arial" w:hAnsi="Arial" w:cs="Arial"/>
          <w:szCs w:val="22"/>
        </w:rPr>
        <w:lastRenderedPageBreak/>
        <w:t>grupos) están en B; el 40% de los grupos (2328) se encuentran en categoría C, y el 7% de ellos (419) son reconocidos. En esta clasificación el Departamento de Caldas cuenta con 168 grupos de investigación que representan el 2.9% de los grupos de investigación registrados en el país (</w:t>
      </w:r>
      <w:proofErr w:type="spellStart"/>
      <w:r w:rsidRPr="00985A2D">
        <w:rPr>
          <w:rFonts w:ascii="Arial" w:hAnsi="Arial" w:cs="Arial"/>
          <w:szCs w:val="22"/>
        </w:rPr>
        <w:t>Minciencias</w:t>
      </w:r>
      <w:proofErr w:type="spellEnd"/>
      <w:r w:rsidRPr="00985A2D">
        <w:rPr>
          <w:rFonts w:ascii="Arial" w:hAnsi="Arial" w:cs="Arial"/>
          <w:szCs w:val="22"/>
        </w:rPr>
        <w:t>, 2020).</w:t>
      </w:r>
    </w:p>
    <w:p w14:paraId="000B2B9A" w14:textId="5FA3DB9E" w:rsidR="009A7E0E" w:rsidRPr="00985A2D" w:rsidRDefault="009A7E0E" w:rsidP="009A7E0E">
      <w:pPr>
        <w:rPr>
          <w:rFonts w:ascii="Arial" w:hAnsi="Arial" w:cs="Arial"/>
          <w:szCs w:val="22"/>
        </w:rPr>
      </w:pPr>
    </w:p>
    <w:p w14:paraId="2C2D193C" w14:textId="3D767986" w:rsidR="009A7E0E" w:rsidRPr="00985A2D" w:rsidRDefault="009A7E0E" w:rsidP="00DE30EC">
      <w:pPr>
        <w:jc w:val="center"/>
        <w:rPr>
          <w:rFonts w:ascii="Arial" w:hAnsi="Arial" w:cs="Arial"/>
          <w:szCs w:val="22"/>
        </w:rPr>
      </w:pPr>
      <w:r w:rsidRPr="00985A2D">
        <w:rPr>
          <w:rFonts w:ascii="Arial" w:hAnsi="Arial" w:cs="Arial"/>
          <w:noProof/>
          <w:szCs w:val="22"/>
          <w:lang w:eastAsia="es-CO"/>
        </w:rPr>
        <w:drawing>
          <wp:inline distT="0" distB="0" distL="0" distR="0" wp14:anchorId="783D4666" wp14:editId="06F536D8">
            <wp:extent cx="3173574" cy="1565050"/>
            <wp:effectExtent l="0" t="0" r="190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77375" cy="1566924"/>
                    </a:xfrm>
                    <a:prstGeom prst="rect">
                      <a:avLst/>
                    </a:prstGeom>
                  </pic:spPr>
                </pic:pic>
              </a:graphicData>
            </a:graphic>
          </wp:inline>
        </w:drawing>
      </w:r>
    </w:p>
    <w:p w14:paraId="2A7E6067" w14:textId="4F4F59A4" w:rsidR="008B78F5" w:rsidRPr="00C8330C" w:rsidRDefault="008B78F5" w:rsidP="00DE30EC">
      <w:pPr>
        <w:jc w:val="center"/>
        <w:rPr>
          <w:rStyle w:val="Referenciasutil"/>
          <w:rFonts w:ascii="Arial" w:hAnsi="Arial" w:cs="Arial"/>
          <w:sz w:val="16"/>
          <w:szCs w:val="16"/>
        </w:rPr>
      </w:pPr>
      <w:r w:rsidRPr="00C8330C">
        <w:rPr>
          <w:rStyle w:val="Referenciasutil"/>
          <w:rFonts w:ascii="Arial" w:hAnsi="Arial" w:cs="Arial"/>
          <w:sz w:val="16"/>
          <w:szCs w:val="16"/>
        </w:rPr>
        <w:t>Fuente: Alianza SUMA</w:t>
      </w:r>
    </w:p>
    <w:p w14:paraId="045FFB71" w14:textId="77777777" w:rsidR="009A7E0E" w:rsidRPr="00985A2D" w:rsidRDefault="009A7E0E" w:rsidP="009A7E0E">
      <w:pPr>
        <w:rPr>
          <w:rFonts w:ascii="Arial" w:hAnsi="Arial" w:cs="Arial"/>
          <w:szCs w:val="22"/>
        </w:rPr>
      </w:pPr>
    </w:p>
    <w:p w14:paraId="5B85A2D0" w14:textId="6A5BA6DC" w:rsidR="009A7E0E" w:rsidRPr="00985A2D" w:rsidRDefault="009A7E0E" w:rsidP="009A7E0E">
      <w:pPr>
        <w:rPr>
          <w:rFonts w:ascii="Arial" w:hAnsi="Arial" w:cs="Arial"/>
          <w:szCs w:val="22"/>
        </w:rPr>
      </w:pPr>
      <w:r w:rsidRPr="00985A2D">
        <w:rPr>
          <w:rFonts w:ascii="Arial" w:hAnsi="Arial" w:cs="Arial"/>
          <w:szCs w:val="22"/>
        </w:rPr>
        <w:t>De acuerdo con datos de la Alianza SUMA, la distribución departamental de los grupos de investigación por IES es la siguiente:</w:t>
      </w:r>
    </w:p>
    <w:p w14:paraId="0520EF36" w14:textId="6F32605F" w:rsidR="009A7E0E" w:rsidRPr="00985A2D" w:rsidRDefault="009A7E0E" w:rsidP="009A7E0E">
      <w:pPr>
        <w:rPr>
          <w:rFonts w:ascii="Arial" w:hAnsi="Arial" w:cs="Arial"/>
          <w:szCs w:val="22"/>
        </w:rPr>
      </w:pPr>
    </w:p>
    <w:p w14:paraId="4B3201E0" w14:textId="420ED0D5" w:rsidR="009A7E0E" w:rsidRPr="00985A2D" w:rsidRDefault="009A7E0E" w:rsidP="009A7E0E">
      <w:pPr>
        <w:rPr>
          <w:rFonts w:ascii="Arial" w:hAnsi="Arial" w:cs="Arial"/>
          <w:b/>
          <w:iCs/>
          <w:szCs w:val="22"/>
        </w:rPr>
      </w:pPr>
      <w:r w:rsidRPr="00985A2D">
        <w:rPr>
          <w:rFonts w:ascii="Arial" w:hAnsi="Arial" w:cs="Arial"/>
          <w:b/>
          <w:iCs/>
          <w:szCs w:val="22"/>
        </w:rPr>
        <w:t xml:space="preserve">Tabla </w:t>
      </w:r>
      <w:r w:rsidR="0009503A" w:rsidRPr="00985A2D">
        <w:rPr>
          <w:rFonts w:ascii="Arial" w:hAnsi="Arial" w:cs="Arial"/>
          <w:b/>
          <w:iCs/>
          <w:szCs w:val="22"/>
        </w:rPr>
        <w:t>14</w:t>
      </w:r>
      <w:r w:rsidRPr="00985A2D">
        <w:rPr>
          <w:rFonts w:ascii="Arial" w:hAnsi="Arial" w:cs="Arial"/>
          <w:b/>
          <w:iCs/>
          <w:szCs w:val="22"/>
        </w:rPr>
        <w:t xml:space="preserve"> Distribución departamental de los grupos de investigación</w:t>
      </w:r>
    </w:p>
    <w:p w14:paraId="0F1E7FE6" w14:textId="77777777" w:rsidR="009A7E0E" w:rsidRPr="00985A2D" w:rsidRDefault="009A7E0E" w:rsidP="009A7E0E">
      <w:pPr>
        <w:rPr>
          <w:rFonts w:ascii="Arial" w:hAnsi="Arial" w:cs="Arial"/>
          <w:b/>
          <w:iCs/>
          <w:szCs w:val="22"/>
        </w:rPr>
      </w:pPr>
    </w:p>
    <w:p w14:paraId="10DB6157" w14:textId="22E7A474" w:rsidR="009A7E0E" w:rsidRPr="00985A2D" w:rsidRDefault="009A7E0E" w:rsidP="009A7E0E">
      <w:pPr>
        <w:jc w:val="center"/>
        <w:rPr>
          <w:rFonts w:ascii="Arial" w:hAnsi="Arial" w:cs="Arial"/>
          <w:szCs w:val="22"/>
        </w:rPr>
      </w:pPr>
      <w:r w:rsidRPr="00985A2D">
        <w:rPr>
          <w:rFonts w:ascii="Arial" w:hAnsi="Arial" w:cs="Arial"/>
          <w:noProof/>
          <w:szCs w:val="22"/>
          <w:lang w:eastAsia="es-CO"/>
        </w:rPr>
        <w:drawing>
          <wp:inline distT="0" distB="0" distL="0" distR="0" wp14:anchorId="663A783A" wp14:editId="6C232BE6">
            <wp:extent cx="3821502" cy="2083709"/>
            <wp:effectExtent l="0" t="0" r="7620" b="0"/>
            <wp:docPr id="15" name="Imagen 1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abla&#10;&#10;Descripción generada automáticamente"/>
                    <pic:cNvPicPr/>
                  </pic:nvPicPr>
                  <pic:blipFill>
                    <a:blip r:embed="rId21"/>
                    <a:stretch>
                      <a:fillRect/>
                    </a:stretch>
                  </pic:blipFill>
                  <pic:spPr>
                    <a:xfrm>
                      <a:off x="0" y="0"/>
                      <a:ext cx="3838584" cy="2093023"/>
                    </a:xfrm>
                    <a:prstGeom prst="rect">
                      <a:avLst/>
                    </a:prstGeom>
                  </pic:spPr>
                </pic:pic>
              </a:graphicData>
            </a:graphic>
          </wp:inline>
        </w:drawing>
      </w:r>
    </w:p>
    <w:p w14:paraId="5D5AB493" w14:textId="77777777" w:rsidR="008B78F5" w:rsidRPr="00C8330C" w:rsidRDefault="008B78F5" w:rsidP="008B78F5">
      <w:pPr>
        <w:jc w:val="center"/>
        <w:rPr>
          <w:rStyle w:val="Referenciasutil"/>
          <w:rFonts w:ascii="Arial" w:hAnsi="Arial" w:cs="Arial"/>
          <w:sz w:val="16"/>
          <w:szCs w:val="16"/>
        </w:rPr>
      </w:pPr>
      <w:r w:rsidRPr="00C8330C">
        <w:rPr>
          <w:rStyle w:val="Referenciasutil"/>
          <w:rFonts w:ascii="Arial" w:hAnsi="Arial" w:cs="Arial"/>
          <w:sz w:val="16"/>
          <w:szCs w:val="16"/>
        </w:rPr>
        <w:t>Fuente: Alianza SUMA</w:t>
      </w:r>
    </w:p>
    <w:p w14:paraId="2825F9C7" w14:textId="77777777" w:rsidR="009A7E0E" w:rsidRPr="00985A2D" w:rsidRDefault="009A7E0E" w:rsidP="009A7E0E">
      <w:pPr>
        <w:rPr>
          <w:rFonts w:ascii="Arial" w:hAnsi="Arial" w:cs="Arial"/>
          <w:szCs w:val="22"/>
        </w:rPr>
      </w:pPr>
    </w:p>
    <w:p w14:paraId="53EC19DD" w14:textId="77777777" w:rsidR="009A7E0E" w:rsidRPr="00985A2D" w:rsidRDefault="009A7E0E" w:rsidP="009A7E0E">
      <w:pPr>
        <w:rPr>
          <w:rFonts w:ascii="Arial" w:hAnsi="Arial" w:cs="Arial"/>
          <w:szCs w:val="22"/>
        </w:rPr>
      </w:pPr>
      <w:r w:rsidRPr="00985A2D">
        <w:rPr>
          <w:rFonts w:ascii="Arial" w:hAnsi="Arial" w:cs="Arial"/>
          <w:szCs w:val="22"/>
        </w:rPr>
        <w:lastRenderedPageBreak/>
        <w:t xml:space="preserve">En Caldas, de los 630 investigadores reconocidos por </w:t>
      </w:r>
      <w:proofErr w:type="spellStart"/>
      <w:r w:rsidRPr="00985A2D">
        <w:rPr>
          <w:rFonts w:ascii="Arial" w:hAnsi="Arial" w:cs="Arial"/>
          <w:szCs w:val="22"/>
        </w:rPr>
        <w:t>Minciencias</w:t>
      </w:r>
      <w:proofErr w:type="spellEnd"/>
      <w:r w:rsidRPr="00985A2D">
        <w:rPr>
          <w:rFonts w:ascii="Arial" w:hAnsi="Arial" w:cs="Arial"/>
          <w:szCs w:val="22"/>
        </w:rPr>
        <w:t>, 339 tienen doctorado, 205 maestría, 5 especialización médica, 9 especialización, y 12 pregrado. Pero, un análisis más detallado de esta información muestra que de acuerdo al 2% de la proporción poblacional que representa Caldas en Colombia, la formación del personal calificado para la investigación en el Departamento está por encima de lo esperado.</w:t>
      </w:r>
    </w:p>
    <w:p w14:paraId="23A91392" w14:textId="77777777" w:rsidR="009A7E0E" w:rsidRPr="00985A2D" w:rsidRDefault="009A7E0E" w:rsidP="009A7E0E">
      <w:pPr>
        <w:rPr>
          <w:rFonts w:ascii="Arial" w:hAnsi="Arial" w:cs="Arial"/>
          <w:szCs w:val="22"/>
        </w:rPr>
      </w:pPr>
    </w:p>
    <w:p w14:paraId="28608B2D" w14:textId="661EBC28" w:rsidR="009A7E0E" w:rsidRPr="00985A2D" w:rsidRDefault="009A7E0E" w:rsidP="009A7E0E">
      <w:pPr>
        <w:rPr>
          <w:rFonts w:ascii="Arial" w:hAnsi="Arial" w:cs="Arial"/>
          <w:szCs w:val="22"/>
        </w:rPr>
      </w:pPr>
      <w:r w:rsidRPr="00985A2D">
        <w:rPr>
          <w:rFonts w:ascii="Arial" w:hAnsi="Arial" w:cs="Arial"/>
          <w:szCs w:val="22"/>
        </w:rPr>
        <w:t xml:space="preserve">En el nivel de pregrado se espera que tuviéramos 7 investigadores reconocidos por </w:t>
      </w:r>
      <w:proofErr w:type="spellStart"/>
      <w:r w:rsidRPr="00985A2D">
        <w:rPr>
          <w:rFonts w:ascii="Arial" w:hAnsi="Arial" w:cs="Arial"/>
          <w:szCs w:val="22"/>
        </w:rPr>
        <w:t>Minciencias</w:t>
      </w:r>
      <w:proofErr w:type="spellEnd"/>
      <w:r w:rsidRPr="00985A2D">
        <w:rPr>
          <w:rFonts w:ascii="Arial" w:hAnsi="Arial" w:cs="Arial"/>
          <w:szCs w:val="22"/>
        </w:rPr>
        <w:t>, y tenemos 12, lo que representa un 41% más; a nivel de especialización la meta esperada es 8 investigadores, pero, contamos con 9, es decir, un 11% más. En cuanto a la especialización médica se observa que debíamos tener al menos 7 investigadores, pero tenemos sólo 5, un 40% menos; en la formación de investigadores con nivel de maestría la meta esperada es 123, pero llegamos a 205, un 40% más, y finalmente, en formación doctoral se requería tener 187 investigadores, sin embargo, contamos con 399, un 53.1% más.</w:t>
      </w:r>
    </w:p>
    <w:p w14:paraId="44252AD0" w14:textId="77777777" w:rsidR="009A7E0E" w:rsidRPr="00985A2D" w:rsidRDefault="009A7E0E" w:rsidP="009A7E0E">
      <w:pPr>
        <w:rPr>
          <w:rFonts w:ascii="Arial" w:hAnsi="Arial" w:cs="Arial"/>
          <w:szCs w:val="22"/>
        </w:rPr>
      </w:pPr>
    </w:p>
    <w:p w14:paraId="2301AFA5" w14:textId="44E17562" w:rsidR="009A7E0E" w:rsidRPr="00985A2D" w:rsidRDefault="009A7E0E" w:rsidP="009A7E0E">
      <w:pPr>
        <w:rPr>
          <w:rFonts w:ascii="Arial" w:hAnsi="Arial" w:cs="Arial"/>
          <w:b/>
          <w:iCs/>
          <w:szCs w:val="22"/>
        </w:rPr>
      </w:pPr>
      <w:r w:rsidRPr="00985A2D">
        <w:rPr>
          <w:rFonts w:ascii="Arial" w:hAnsi="Arial" w:cs="Arial"/>
          <w:b/>
          <w:iCs/>
          <w:szCs w:val="22"/>
        </w:rPr>
        <w:t xml:space="preserve">Tabla </w:t>
      </w:r>
      <w:r w:rsidR="0009503A" w:rsidRPr="00985A2D">
        <w:rPr>
          <w:rFonts w:ascii="Arial" w:hAnsi="Arial" w:cs="Arial"/>
          <w:b/>
          <w:iCs/>
          <w:szCs w:val="22"/>
        </w:rPr>
        <w:t>15</w:t>
      </w:r>
      <w:r w:rsidRPr="00985A2D">
        <w:rPr>
          <w:rFonts w:ascii="Arial" w:hAnsi="Arial" w:cs="Arial"/>
          <w:b/>
          <w:iCs/>
          <w:szCs w:val="22"/>
        </w:rPr>
        <w:t xml:space="preserve"> Distribución de investigadores clasificados según formación Caldas-2019</w:t>
      </w:r>
    </w:p>
    <w:p w14:paraId="2B9CC92A" w14:textId="17D66EA7" w:rsidR="009A7E0E" w:rsidRPr="00985A2D" w:rsidRDefault="009A7E0E" w:rsidP="00DE30EC">
      <w:pPr>
        <w:jc w:val="center"/>
        <w:rPr>
          <w:rFonts w:ascii="Arial" w:hAnsi="Arial" w:cs="Arial"/>
          <w:szCs w:val="22"/>
        </w:rPr>
      </w:pPr>
      <w:r w:rsidRPr="00985A2D">
        <w:rPr>
          <w:rFonts w:ascii="Arial" w:hAnsi="Arial" w:cs="Arial"/>
          <w:noProof/>
          <w:szCs w:val="22"/>
          <w:lang w:eastAsia="es-CO"/>
        </w:rPr>
        <w:drawing>
          <wp:inline distT="0" distB="0" distL="0" distR="0" wp14:anchorId="5D03F9FF" wp14:editId="7C9A8792">
            <wp:extent cx="3730970" cy="1689626"/>
            <wp:effectExtent l="0" t="0" r="3175" b="6350"/>
            <wp:docPr id="16" name="Imagen 16"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Tabla&#10;&#10;Descripción generada automáticamente"/>
                    <pic:cNvPicPr/>
                  </pic:nvPicPr>
                  <pic:blipFill>
                    <a:blip r:embed="rId22"/>
                    <a:stretch>
                      <a:fillRect/>
                    </a:stretch>
                  </pic:blipFill>
                  <pic:spPr>
                    <a:xfrm>
                      <a:off x="0" y="0"/>
                      <a:ext cx="3754658" cy="1700353"/>
                    </a:xfrm>
                    <a:prstGeom prst="rect">
                      <a:avLst/>
                    </a:prstGeom>
                  </pic:spPr>
                </pic:pic>
              </a:graphicData>
            </a:graphic>
          </wp:inline>
        </w:drawing>
      </w:r>
    </w:p>
    <w:p w14:paraId="03244BCC" w14:textId="77777777" w:rsidR="008B78F5" w:rsidRPr="00C8330C" w:rsidRDefault="008B78F5" w:rsidP="008B78F5">
      <w:pPr>
        <w:jc w:val="center"/>
        <w:rPr>
          <w:rStyle w:val="Referenciasutil"/>
          <w:rFonts w:ascii="Arial" w:hAnsi="Arial" w:cs="Arial"/>
          <w:sz w:val="16"/>
          <w:szCs w:val="16"/>
        </w:rPr>
      </w:pPr>
      <w:r w:rsidRPr="00C8330C">
        <w:rPr>
          <w:rStyle w:val="Referenciasutil"/>
          <w:rFonts w:ascii="Arial" w:hAnsi="Arial" w:cs="Arial"/>
          <w:sz w:val="16"/>
          <w:szCs w:val="16"/>
        </w:rPr>
        <w:t>Fuente: Alianza SUMA</w:t>
      </w:r>
    </w:p>
    <w:p w14:paraId="05F42B0D" w14:textId="77777777" w:rsidR="008B78F5" w:rsidRPr="00985A2D" w:rsidRDefault="008B78F5" w:rsidP="00DE30EC">
      <w:pPr>
        <w:jc w:val="center"/>
        <w:rPr>
          <w:rFonts w:ascii="Arial" w:hAnsi="Arial" w:cs="Arial"/>
          <w:szCs w:val="22"/>
        </w:rPr>
      </w:pPr>
    </w:p>
    <w:p w14:paraId="1272552D" w14:textId="43681CA7" w:rsidR="009A7E0E" w:rsidRPr="00985A2D" w:rsidRDefault="009A7E0E" w:rsidP="009A7E0E">
      <w:pPr>
        <w:rPr>
          <w:rFonts w:ascii="Arial" w:hAnsi="Arial" w:cs="Arial"/>
          <w:szCs w:val="22"/>
        </w:rPr>
      </w:pPr>
      <w:r w:rsidRPr="00985A2D">
        <w:rPr>
          <w:rFonts w:ascii="Arial" w:hAnsi="Arial" w:cs="Arial"/>
          <w:szCs w:val="22"/>
        </w:rPr>
        <w:t xml:space="preserve">En cuanto al sexo de los investigadores, los análisis de los datos de </w:t>
      </w:r>
      <w:proofErr w:type="spellStart"/>
      <w:r w:rsidRPr="00985A2D">
        <w:rPr>
          <w:rFonts w:ascii="Arial" w:hAnsi="Arial" w:cs="Arial"/>
          <w:szCs w:val="22"/>
        </w:rPr>
        <w:t>Minciencias</w:t>
      </w:r>
      <w:proofErr w:type="spellEnd"/>
      <w:r w:rsidRPr="00985A2D">
        <w:rPr>
          <w:rFonts w:ascii="Arial" w:hAnsi="Arial" w:cs="Arial"/>
          <w:szCs w:val="22"/>
        </w:rPr>
        <w:t xml:space="preserve"> muestran que en Departamento se mantiene la tendencia de menor participación de las mujeres como investigadoras.</w:t>
      </w:r>
    </w:p>
    <w:p w14:paraId="0C2018CC" w14:textId="77777777" w:rsidR="009A7E0E" w:rsidRPr="00985A2D" w:rsidRDefault="009A7E0E" w:rsidP="009A7E0E">
      <w:pPr>
        <w:rPr>
          <w:rFonts w:ascii="Arial" w:hAnsi="Arial" w:cs="Arial"/>
          <w:szCs w:val="22"/>
        </w:rPr>
      </w:pPr>
    </w:p>
    <w:p w14:paraId="0B2B2D37" w14:textId="77169E1E" w:rsidR="009A7E0E" w:rsidRPr="00985A2D" w:rsidRDefault="009A7E0E" w:rsidP="009A7E0E">
      <w:pPr>
        <w:pStyle w:val="Ttulo2"/>
        <w:rPr>
          <w:rFonts w:ascii="Arial" w:hAnsi="Arial" w:cs="Arial"/>
          <w:sz w:val="22"/>
          <w:szCs w:val="22"/>
        </w:rPr>
      </w:pPr>
      <w:r w:rsidRPr="00985A2D">
        <w:rPr>
          <w:rFonts w:ascii="Arial" w:hAnsi="Arial" w:cs="Arial"/>
          <w:sz w:val="22"/>
          <w:szCs w:val="22"/>
        </w:rPr>
        <w:lastRenderedPageBreak/>
        <w:t>Patentes</w:t>
      </w:r>
    </w:p>
    <w:p w14:paraId="39BCD72A" w14:textId="1C974040" w:rsidR="009A7E0E" w:rsidRPr="00985A2D" w:rsidRDefault="009A7E0E" w:rsidP="009A7E0E">
      <w:pPr>
        <w:rPr>
          <w:rFonts w:ascii="Arial" w:hAnsi="Arial" w:cs="Arial"/>
          <w:szCs w:val="22"/>
        </w:rPr>
      </w:pPr>
    </w:p>
    <w:p w14:paraId="1668A492" w14:textId="77777777" w:rsidR="009A7E0E" w:rsidRPr="00985A2D" w:rsidRDefault="009A7E0E" w:rsidP="009A7E0E">
      <w:pPr>
        <w:rPr>
          <w:rFonts w:ascii="Arial" w:hAnsi="Arial" w:cs="Arial"/>
          <w:szCs w:val="22"/>
        </w:rPr>
      </w:pPr>
      <w:r w:rsidRPr="00985A2D">
        <w:rPr>
          <w:rFonts w:ascii="Arial" w:hAnsi="Arial" w:cs="Arial"/>
          <w:szCs w:val="22"/>
        </w:rPr>
        <w:t>En el año 2020, el Departamento cuenta con 30 patentes concedidas, 20 en concesión y 1 con diseño industrial. Como se muestra en la tabla, todas las patentes están asociadas a la investigación realizada en IES</w:t>
      </w:r>
    </w:p>
    <w:p w14:paraId="7188907E" w14:textId="7BDE91F5" w:rsidR="009A7E0E" w:rsidRPr="00985A2D" w:rsidRDefault="009A7E0E" w:rsidP="009A7E0E">
      <w:pPr>
        <w:rPr>
          <w:rFonts w:ascii="Arial" w:hAnsi="Arial" w:cs="Arial"/>
          <w:szCs w:val="22"/>
        </w:rPr>
      </w:pPr>
    </w:p>
    <w:p w14:paraId="1D88A91C" w14:textId="06E1E8FA" w:rsidR="009A7E0E" w:rsidRPr="00985A2D" w:rsidRDefault="00C8330C" w:rsidP="00C8330C">
      <w:pPr>
        <w:jc w:val="center"/>
        <w:rPr>
          <w:rFonts w:ascii="Arial" w:hAnsi="Arial" w:cs="Arial"/>
          <w:b/>
          <w:iCs/>
          <w:szCs w:val="22"/>
        </w:rPr>
      </w:pPr>
      <w:r w:rsidRPr="00985A2D">
        <w:rPr>
          <w:rFonts w:ascii="Arial" w:hAnsi="Arial" w:cs="Arial"/>
          <w:b/>
          <w:iCs/>
          <w:szCs w:val="22"/>
        </w:rPr>
        <w:t>TABLA 16. NÚMERO DE PATENTES POR IES</w:t>
      </w:r>
    </w:p>
    <w:p w14:paraId="249259B8" w14:textId="6C0FA120" w:rsidR="009A7E0E" w:rsidRPr="00985A2D" w:rsidRDefault="009A7E0E" w:rsidP="008B78F5">
      <w:pPr>
        <w:jc w:val="center"/>
        <w:rPr>
          <w:rFonts w:ascii="Arial" w:hAnsi="Arial" w:cs="Arial"/>
          <w:szCs w:val="22"/>
        </w:rPr>
      </w:pPr>
      <w:r w:rsidRPr="00985A2D">
        <w:rPr>
          <w:rFonts w:ascii="Arial" w:hAnsi="Arial" w:cs="Arial"/>
          <w:noProof/>
          <w:szCs w:val="22"/>
          <w:lang w:eastAsia="es-CO"/>
        </w:rPr>
        <w:drawing>
          <wp:inline distT="0" distB="0" distL="0" distR="0" wp14:anchorId="093CE465" wp14:editId="1FDF37FA">
            <wp:extent cx="4373351" cy="2066925"/>
            <wp:effectExtent l="0" t="0" r="8255" b="0"/>
            <wp:docPr id="17" name="Imagen 17" descr="Tabla,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Tabla, Calendario&#10;&#10;Descripción generada automáticamente"/>
                    <pic:cNvPicPr/>
                  </pic:nvPicPr>
                  <pic:blipFill>
                    <a:blip r:embed="rId23"/>
                    <a:stretch>
                      <a:fillRect/>
                    </a:stretch>
                  </pic:blipFill>
                  <pic:spPr>
                    <a:xfrm>
                      <a:off x="0" y="0"/>
                      <a:ext cx="4385018" cy="2072439"/>
                    </a:xfrm>
                    <a:prstGeom prst="rect">
                      <a:avLst/>
                    </a:prstGeom>
                  </pic:spPr>
                </pic:pic>
              </a:graphicData>
            </a:graphic>
          </wp:inline>
        </w:drawing>
      </w:r>
    </w:p>
    <w:p w14:paraId="50D7DEB1" w14:textId="77777777" w:rsidR="008B78F5" w:rsidRPr="00C8330C" w:rsidRDefault="008B78F5" w:rsidP="008B78F5">
      <w:pPr>
        <w:jc w:val="center"/>
        <w:rPr>
          <w:rStyle w:val="Referenciasutil"/>
          <w:rFonts w:ascii="Arial" w:hAnsi="Arial" w:cs="Arial"/>
          <w:sz w:val="16"/>
          <w:szCs w:val="16"/>
        </w:rPr>
      </w:pPr>
      <w:r w:rsidRPr="00C8330C">
        <w:rPr>
          <w:rStyle w:val="Referenciasutil"/>
          <w:rFonts w:ascii="Arial" w:hAnsi="Arial" w:cs="Arial"/>
          <w:sz w:val="16"/>
          <w:szCs w:val="16"/>
        </w:rPr>
        <w:t>Fuente: Alianza SUMA</w:t>
      </w:r>
    </w:p>
    <w:p w14:paraId="3AEDD381" w14:textId="77777777" w:rsidR="008B78F5" w:rsidRPr="00985A2D" w:rsidRDefault="008B78F5" w:rsidP="009A7E0E">
      <w:pPr>
        <w:rPr>
          <w:rFonts w:ascii="Arial" w:hAnsi="Arial" w:cs="Arial"/>
          <w:szCs w:val="22"/>
        </w:rPr>
      </w:pPr>
    </w:p>
    <w:p w14:paraId="7AD85BC0" w14:textId="200A0000" w:rsidR="009A7E0E" w:rsidRPr="00985A2D" w:rsidRDefault="0009503A" w:rsidP="009A7E0E">
      <w:pPr>
        <w:pStyle w:val="Ttulo1"/>
        <w:rPr>
          <w:rFonts w:ascii="Arial" w:hAnsi="Arial" w:cs="Arial"/>
          <w:sz w:val="22"/>
          <w:szCs w:val="22"/>
        </w:rPr>
      </w:pPr>
      <w:r w:rsidRPr="00985A2D">
        <w:rPr>
          <w:rFonts w:ascii="Arial" w:hAnsi="Arial" w:cs="Arial"/>
          <w:sz w:val="22"/>
          <w:szCs w:val="22"/>
        </w:rPr>
        <w:t>Las estrategias de Manizales campus universitario y alianza suma</w:t>
      </w:r>
    </w:p>
    <w:p w14:paraId="3AAECD40" w14:textId="6D21E5AC" w:rsidR="0009503A" w:rsidRPr="00985A2D" w:rsidRDefault="0009503A" w:rsidP="0009503A">
      <w:pPr>
        <w:rPr>
          <w:rFonts w:ascii="Arial" w:hAnsi="Arial" w:cs="Arial"/>
          <w:szCs w:val="22"/>
        </w:rPr>
      </w:pPr>
    </w:p>
    <w:p w14:paraId="7503FDAE" w14:textId="77777777" w:rsidR="0009503A" w:rsidRPr="00985A2D" w:rsidRDefault="0009503A" w:rsidP="0009503A">
      <w:pPr>
        <w:rPr>
          <w:rFonts w:ascii="Arial" w:hAnsi="Arial" w:cs="Arial"/>
          <w:szCs w:val="22"/>
        </w:rPr>
      </w:pPr>
      <w:r w:rsidRPr="00985A2D">
        <w:rPr>
          <w:rFonts w:ascii="Arial" w:hAnsi="Arial" w:cs="Arial"/>
          <w:szCs w:val="22"/>
        </w:rPr>
        <w:t>Campus Manizales se constituye como un proyecto que suma diferentes iniciativas de transformación urbana y de movilidad de la ciudad mediante las cuales se desea “cambiarle la cara la ciudad” para generar “dinámicas de participación ciudadana y democrática” en el espacio público, como estrategia para materializar el proyecto de construir en Manizales una ciudad universitaria. A partir de este objetivo, se reconocieron las siguientes necesidades: (i) mejorar la conectividad de la población universitaria con los centros de estudio, (ii) transformar la movilidad de la ciudad según cánones de sostenibilidad medioambiental, y (iii) transformar el espacio público para mejorar su apropiación por parte de la ciudadanía.</w:t>
      </w:r>
    </w:p>
    <w:p w14:paraId="3527FD9D" w14:textId="77777777" w:rsidR="0009503A" w:rsidRPr="00985A2D" w:rsidRDefault="0009503A" w:rsidP="0009503A">
      <w:pPr>
        <w:rPr>
          <w:rFonts w:ascii="Arial" w:hAnsi="Arial" w:cs="Arial"/>
          <w:szCs w:val="22"/>
        </w:rPr>
      </w:pPr>
    </w:p>
    <w:p w14:paraId="5A393E2F" w14:textId="77777777" w:rsidR="0009503A" w:rsidRPr="00985A2D" w:rsidRDefault="0009503A" w:rsidP="0009503A">
      <w:pPr>
        <w:rPr>
          <w:rFonts w:ascii="Arial" w:hAnsi="Arial" w:cs="Arial"/>
          <w:szCs w:val="22"/>
        </w:rPr>
      </w:pPr>
      <w:r w:rsidRPr="00985A2D">
        <w:rPr>
          <w:rFonts w:ascii="Arial" w:hAnsi="Arial" w:cs="Arial"/>
          <w:szCs w:val="22"/>
        </w:rPr>
        <w:t xml:space="preserve">Vale la pena resaltar que, en el Pacto por la Reactivación y el Crecimiento, la Alcaldía de Manizales propone otros productos adicionales del proyecto Campus Manizales, como, por ejemplo, (i) la intervención integral del sector fundadores, (ii) otros modos alternativos de transporte, o (iii) el fortalecimiento de la red de </w:t>
      </w:r>
      <w:proofErr w:type="spellStart"/>
      <w:r w:rsidRPr="00985A2D">
        <w:rPr>
          <w:rFonts w:ascii="Arial" w:hAnsi="Arial" w:cs="Arial"/>
          <w:szCs w:val="22"/>
        </w:rPr>
        <w:t>ecoparques</w:t>
      </w:r>
      <w:proofErr w:type="spellEnd"/>
      <w:r w:rsidRPr="00985A2D">
        <w:rPr>
          <w:rFonts w:ascii="Arial" w:hAnsi="Arial" w:cs="Arial"/>
          <w:szCs w:val="22"/>
        </w:rPr>
        <w:t>.</w:t>
      </w:r>
    </w:p>
    <w:p w14:paraId="61137C38" w14:textId="77777777" w:rsidR="0009503A" w:rsidRPr="00985A2D" w:rsidRDefault="0009503A" w:rsidP="0009503A">
      <w:pPr>
        <w:rPr>
          <w:rFonts w:ascii="Arial" w:hAnsi="Arial" w:cs="Arial"/>
          <w:szCs w:val="22"/>
        </w:rPr>
      </w:pPr>
    </w:p>
    <w:p w14:paraId="439166CE" w14:textId="77777777" w:rsidR="0009503A" w:rsidRPr="00985A2D" w:rsidRDefault="0009503A" w:rsidP="0009503A">
      <w:pPr>
        <w:rPr>
          <w:rFonts w:ascii="Arial" w:hAnsi="Arial" w:cs="Arial"/>
          <w:szCs w:val="22"/>
        </w:rPr>
      </w:pPr>
      <w:proofErr w:type="spellStart"/>
      <w:r w:rsidRPr="00985A2D">
        <w:rPr>
          <w:rFonts w:ascii="Arial" w:hAnsi="Arial" w:cs="Arial"/>
          <w:szCs w:val="22"/>
        </w:rPr>
        <w:t>Eafit</w:t>
      </w:r>
      <w:proofErr w:type="spellEnd"/>
      <w:r w:rsidRPr="00985A2D">
        <w:rPr>
          <w:rFonts w:ascii="Arial" w:hAnsi="Arial" w:cs="Arial"/>
          <w:szCs w:val="22"/>
        </w:rPr>
        <w:t xml:space="preserve"> (2022) encontró que los residentes de las áreas intervenidas por el proyecto Campus Manizales tienen un nivel de educación mayor y una mayor probabilidad de estar empleados que los residentes del resto de la ciudad, lo cual se traduce en mayores ingresos promedio (medidos por el estrato socioeconómico de la vivienda). Adicionalmente, es más probable que vivan en apartamentos, que cuenten con acceso a internet y que vivan en hogares de una o dos personas. Por último, en estas áreas hay una mayor proporción de personas con más de 60 años, personas de minorías étnicas y personas nacidas fuera de Manizales, así como una menor proporción de niños.</w:t>
      </w:r>
    </w:p>
    <w:p w14:paraId="3C21CD58" w14:textId="77777777" w:rsidR="0009503A" w:rsidRPr="00985A2D" w:rsidRDefault="0009503A" w:rsidP="0009503A">
      <w:pPr>
        <w:rPr>
          <w:rFonts w:ascii="Arial" w:hAnsi="Arial" w:cs="Arial"/>
          <w:szCs w:val="22"/>
        </w:rPr>
      </w:pPr>
    </w:p>
    <w:p w14:paraId="77CF8102" w14:textId="77777777" w:rsidR="0009503A" w:rsidRPr="00985A2D" w:rsidRDefault="0009503A" w:rsidP="0009503A">
      <w:pPr>
        <w:rPr>
          <w:rFonts w:ascii="Arial" w:hAnsi="Arial" w:cs="Arial"/>
          <w:szCs w:val="22"/>
        </w:rPr>
      </w:pPr>
      <w:r w:rsidRPr="00985A2D">
        <w:rPr>
          <w:rFonts w:ascii="Arial" w:hAnsi="Arial" w:cs="Arial"/>
          <w:szCs w:val="22"/>
        </w:rPr>
        <w:t>En cuanto a la dinámica empresarial, los resultados muestran que, dentro de Campus Manizales, las zonas que más presentan establecimientos comerciales son aquellas áreas de influencia de las intervenciones de la Av. Santander y del Bulevar de la Calle 19. Esto no debería sorprender dado que estas dos áreas son relativamente extensas (lo que lleva a altos niveles) y céntricas (lo que lleva a alta densidad). Sin embargo, resalta la zona de influencia de las Calles 45 y 48, las cuales concentran un 6.4% de los establecimientos comerciales en un 1.1% del área de la ciudad.</w:t>
      </w:r>
    </w:p>
    <w:p w14:paraId="6E9513F9" w14:textId="77777777" w:rsidR="0009503A" w:rsidRPr="00985A2D" w:rsidRDefault="0009503A" w:rsidP="0009503A">
      <w:pPr>
        <w:rPr>
          <w:rFonts w:ascii="Arial" w:hAnsi="Arial" w:cs="Arial"/>
          <w:szCs w:val="22"/>
        </w:rPr>
      </w:pPr>
    </w:p>
    <w:p w14:paraId="682C272C" w14:textId="77777777" w:rsidR="0009503A" w:rsidRPr="00985A2D" w:rsidRDefault="0009503A" w:rsidP="0009503A">
      <w:pPr>
        <w:rPr>
          <w:rFonts w:ascii="Arial" w:hAnsi="Arial" w:cs="Arial"/>
          <w:szCs w:val="22"/>
        </w:rPr>
      </w:pPr>
      <w:r w:rsidRPr="00985A2D">
        <w:rPr>
          <w:rFonts w:ascii="Arial" w:hAnsi="Arial" w:cs="Arial"/>
          <w:szCs w:val="22"/>
        </w:rPr>
        <w:t xml:space="preserve">En las zonas de influencia de la Av. Santander y de la Calle 19, las finanzas y actividades de seguros son los sectores más importantes, concentrando alrededor del 80% de los activos, seguidos por el comercio (con un 15% en la Calle 19, y un 6.1% en la Av. Santander), y de tercer lugar los servicios de transporte y almacenamiento en el Calle 19 (1.9%) y los servicios de salud alrededor de la Av. Santander (5.6%). Para las zonas de influencia de las calles 45 y 48, el principal sector es el manufacturero con un 75.3% de los </w:t>
      </w:r>
      <w:r w:rsidRPr="00985A2D">
        <w:rPr>
          <w:rFonts w:ascii="Arial" w:hAnsi="Arial" w:cs="Arial"/>
          <w:szCs w:val="22"/>
        </w:rPr>
        <w:lastRenderedPageBreak/>
        <w:t>activos, seguido por el comercio con un 13.4% y por alojamiento y servicios de comida con un 2.9%. Por último, para el área de influencia de La Gotera, el 71.5% de los activos están concentrados en las actividades profesionales, científicas y de apoyo, el 13.5% en comercio y el 11.7% en servicios de información y comunicaciones. Vale la pena recordar el pequeño número de establecimientos alrededor del Parque La Gotera. Estos resultados contrastan un poco con la estructura sectorial del resto de la ciudad en donde el sector de la construcción concentra el mayor valor de activos con un 36.4%, seguidos por las finanzas y seguros con un 18% y por la industria manufacturera con un 15.5%.</w:t>
      </w:r>
    </w:p>
    <w:p w14:paraId="00E7BC99" w14:textId="77777777" w:rsidR="0009503A" w:rsidRPr="00985A2D" w:rsidRDefault="0009503A" w:rsidP="0009503A">
      <w:pPr>
        <w:rPr>
          <w:rFonts w:ascii="Arial" w:hAnsi="Arial" w:cs="Arial"/>
          <w:szCs w:val="22"/>
        </w:rPr>
      </w:pPr>
    </w:p>
    <w:p w14:paraId="553AE57D" w14:textId="77777777" w:rsidR="0009503A" w:rsidRPr="00985A2D" w:rsidRDefault="0009503A" w:rsidP="0009503A">
      <w:pPr>
        <w:rPr>
          <w:rFonts w:ascii="Arial" w:hAnsi="Arial" w:cs="Arial"/>
          <w:szCs w:val="22"/>
        </w:rPr>
      </w:pPr>
      <w:r w:rsidRPr="00985A2D">
        <w:rPr>
          <w:rFonts w:ascii="Arial" w:hAnsi="Arial" w:cs="Arial"/>
          <w:szCs w:val="22"/>
        </w:rPr>
        <w:t>Por su parte, El Sistema Universitario de Manizales (SUMA) es una alianza entre las 6 principales universidades de la ciudad que trabajan permanentemente en la generación de esfuerzos conjuntos de cooperación hacia la ejecución de proyectos de investigación, formación y extensión.</w:t>
      </w:r>
    </w:p>
    <w:p w14:paraId="4F82D72F" w14:textId="77777777" w:rsidR="0009503A" w:rsidRPr="00985A2D" w:rsidRDefault="0009503A" w:rsidP="0009503A">
      <w:pPr>
        <w:rPr>
          <w:rFonts w:ascii="Arial" w:hAnsi="Arial" w:cs="Arial"/>
          <w:szCs w:val="22"/>
        </w:rPr>
      </w:pPr>
    </w:p>
    <w:p w14:paraId="69860528" w14:textId="77777777" w:rsidR="0009503A" w:rsidRPr="00985A2D" w:rsidRDefault="0009503A" w:rsidP="0009503A">
      <w:pPr>
        <w:rPr>
          <w:rFonts w:ascii="Arial" w:hAnsi="Arial" w:cs="Arial"/>
          <w:szCs w:val="22"/>
        </w:rPr>
      </w:pPr>
      <w:r w:rsidRPr="00985A2D">
        <w:rPr>
          <w:rFonts w:ascii="Arial" w:hAnsi="Arial" w:cs="Arial"/>
          <w:szCs w:val="22"/>
        </w:rPr>
        <w:t>La alianza SUMA es altamente beneficiosa para la comunidad, pues la integración de recursos humanos, técnicos y físicos con que cuenta cada universidad, genera mayor calidad, cobertura y eficiencia para el cumplimiento de sus objetivos. El Sistema Universitario de Manizales está constituido por: Universidad Nacional de Colombia, sede Manizales; Universidad de Caldas; Universidad Católica Luis Amigó; Universidad Católica de Manizales; Universidad Autónoma de Manizales y Universidad de Manizales.</w:t>
      </w:r>
    </w:p>
    <w:p w14:paraId="5580BCA0" w14:textId="77777777" w:rsidR="0009503A" w:rsidRPr="00985A2D" w:rsidRDefault="0009503A" w:rsidP="0009503A">
      <w:pPr>
        <w:rPr>
          <w:rFonts w:ascii="Arial" w:hAnsi="Arial" w:cs="Arial"/>
          <w:szCs w:val="22"/>
        </w:rPr>
      </w:pPr>
    </w:p>
    <w:p w14:paraId="46D131F2" w14:textId="77777777" w:rsidR="0009503A" w:rsidRPr="00985A2D" w:rsidRDefault="0009503A" w:rsidP="0009503A">
      <w:pPr>
        <w:rPr>
          <w:rFonts w:ascii="Arial" w:hAnsi="Arial" w:cs="Arial"/>
          <w:szCs w:val="22"/>
        </w:rPr>
      </w:pPr>
      <w:r w:rsidRPr="00985A2D">
        <w:rPr>
          <w:rFonts w:ascii="Arial" w:hAnsi="Arial" w:cs="Arial"/>
          <w:szCs w:val="22"/>
        </w:rPr>
        <w:t xml:space="preserve">Otras iniciativas importantes de destacar en la ciudad es el Programa Universidad en Tu Colegio, a cargo de la Fundación </w:t>
      </w:r>
      <w:proofErr w:type="spellStart"/>
      <w:r w:rsidRPr="00985A2D">
        <w:rPr>
          <w:rFonts w:ascii="Arial" w:hAnsi="Arial" w:cs="Arial"/>
          <w:szCs w:val="22"/>
        </w:rPr>
        <w:t>Luker</w:t>
      </w:r>
      <w:proofErr w:type="spellEnd"/>
      <w:r w:rsidRPr="00985A2D">
        <w:rPr>
          <w:rFonts w:ascii="Arial" w:hAnsi="Arial" w:cs="Arial"/>
          <w:szCs w:val="22"/>
        </w:rPr>
        <w:t xml:space="preserve">, el cual facilita el acceso a programas de formación técnica y tecnológica a jóvenes de colegios oficiales con Universidades e Instituciones para el trabajo y el desarrollo humano de la región. Los programas son pertinentes a las necesidades del sector empresarial y se desarrollan mientras los estudiantes cursan grado 10° y 11° en </w:t>
      </w:r>
      <w:proofErr w:type="spellStart"/>
      <w:r w:rsidRPr="00985A2D">
        <w:rPr>
          <w:rFonts w:ascii="Arial" w:hAnsi="Arial" w:cs="Arial"/>
          <w:szCs w:val="22"/>
        </w:rPr>
        <w:t>contrajornada</w:t>
      </w:r>
      <w:proofErr w:type="spellEnd"/>
      <w:r w:rsidRPr="00985A2D">
        <w:rPr>
          <w:rFonts w:ascii="Arial" w:hAnsi="Arial" w:cs="Arial"/>
          <w:szCs w:val="22"/>
        </w:rPr>
        <w:t xml:space="preserve"> en los colegios, pues los profesores universitarios se desplazan a éstos.</w:t>
      </w:r>
    </w:p>
    <w:p w14:paraId="6275F95D" w14:textId="77777777" w:rsidR="0009503A" w:rsidRPr="00985A2D" w:rsidRDefault="0009503A" w:rsidP="0009503A">
      <w:pPr>
        <w:rPr>
          <w:rFonts w:ascii="Arial" w:hAnsi="Arial" w:cs="Arial"/>
          <w:szCs w:val="22"/>
        </w:rPr>
      </w:pPr>
    </w:p>
    <w:p w14:paraId="62EC4691" w14:textId="77777777" w:rsidR="0009503A" w:rsidRPr="00985A2D" w:rsidRDefault="0009503A" w:rsidP="0009503A">
      <w:pPr>
        <w:rPr>
          <w:rFonts w:ascii="Arial" w:hAnsi="Arial" w:cs="Arial"/>
          <w:szCs w:val="22"/>
        </w:rPr>
      </w:pPr>
      <w:r w:rsidRPr="00985A2D">
        <w:rPr>
          <w:rFonts w:ascii="Arial" w:hAnsi="Arial" w:cs="Arial"/>
          <w:szCs w:val="22"/>
        </w:rPr>
        <w:lastRenderedPageBreak/>
        <w:t>Para la zona rural, se tiene el Programa Universidad en el Campo que se desarrolla a través de una alianza público-privada con el objetivo de facilitar el acceso a programas de formación técnica y tecnológica a jóvenes de las zonas rurales del departamento, desarrollados mientras los estudiantes cursan grado 10° y 11°, sin la necesidad de salir de su entorno, pues los profesores universitarios se desplazan hacia las instituciones educativas.</w:t>
      </w:r>
    </w:p>
    <w:p w14:paraId="4874F211" w14:textId="0C935A13" w:rsidR="0009503A" w:rsidRPr="00985A2D" w:rsidRDefault="0009503A" w:rsidP="0009503A">
      <w:pPr>
        <w:rPr>
          <w:rFonts w:ascii="Arial" w:hAnsi="Arial" w:cs="Arial"/>
          <w:szCs w:val="22"/>
        </w:rPr>
      </w:pPr>
    </w:p>
    <w:p w14:paraId="0BF348B9" w14:textId="2A873AAC" w:rsidR="0009503A" w:rsidRPr="00985A2D" w:rsidRDefault="0009503A" w:rsidP="0009503A">
      <w:pPr>
        <w:pStyle w:val="Ttulo1"/>
        <w:rPr>
          <w:rFonts w:ascii="Arial" w:hAnsi="Arial" w:cs="Arial"/>
          <w:sz w:val="22"/>
          <w:szCs w:val="22"/>
        </w:rPr>
      </w:pPr>
      <w:r w:rsidRPr="00985A2D">
        <w:rPr>
          <w:rFonts w:ascii="Arial" w:hAnsi="Arial" w:cs="Arial"/>
          <w:sz w:val="22"/>
          <w:szCs w:val="22"/>
        </w:rPr>
        <w:t xml:space="preserve"> El jalonamiento que la educación superior da al departamento y a la ciudad en los índices de competitividad e innovación</w:t>
      </w:r>
    </w:p>
    <w:p w14:paraId="4DCFF956" w14:textId="2635112F" w:rsidR="0009503A" w:rsidRPr="00985A2D" w:rsidRDefault="0009503A" w:rsidP="0009503A">
      <w:pPr>
        <w:rPr>
          <w:rFonts w:ascii="Arial" w:hAnsi="Arial" w:cs="Arial"/>
          <w:szCs w:val="22"/>
        </w:rPr>
      </w:pPr>
    </w:p>
    <w:p w14:paraId="49066228" w14:textId="4A229E01" w:rsidR="0009503A" w:rsidRPr="00985A2D" w:rsidRDefault="0009503A" w:rsidP="0009503A">
      <w:pPr>
        <w:rPr>
          <w:rFonts w:ascii="Arial" w:hAnsi="Arial" w:cs="Arial"/>
          <w:szCs w:val="22"/>
        </w:rPr>
      </w:pPr>
      <w:r w:rsidRPr="00985A2D">
        <w:rPr>
          <w:rFonts w:ascii="Arial" w:hAnsi="Arial" w:cs="Arial"/>
          <w:szCs w:val="22"/>
        </w:rPr>
        <w:t xml:space="preserve">En el </w:t>
      </w:r>
      <w:r w:rsidR="00CE77CA" w:rsidRPr="00985A2D">
        <w:rPr>
          <w:rFonts w:ascii="Arial" w:hAnsi="Arial" w:cs="Arial"/>
          <w:szCs w:val="22"/>
        </w:rPr>
        <w:t>Índice</w:t>
      </w:r>
      <w:r w:rsidRPr="00985A2D">
        <w:rPr>
          <w:rFonts w:ascii="Arial" w:hAnsi="Arial" w:cs="Arial"/>
          <w:szCs w:val="22"/>
        </w:rPr>
        <w:t xml:space="preserve"> de Competitividad Departamental, Caldas se destaca en el puesto No. 7, jalonado entre otros pilares, por el pilar de innovación, en el que ocupa la tercera posición luego de Bogotá D.C y Antioquia. El departamento además ocupa el segundo lugar de la medición en los indicadores de investigación de alta calidad, revistas indexadas en </w:t>
      </w:r>
      <w:proofErr w:type="spellStart"/>
      <w:r w:rsidRPr="00985A2D">
        <w:rPr>
          <w:rFonts w:ascii="Arial" w:hAnsi="Arial" w:cs="Arial"/>
          <w:szCs w:val="22"/>
        </w:rPr>
        <w:t>publindex</w:t>
      </w:r>
      <w:proofErr w:type="spellEnd"/>
      <w:r w:rsidRPr="00985A2D">
        <w:rPr>
          <w:rFonts w:ascii="Arial" w:hAnsi="Arial" w:cs="Arial"/>
          <w:szCs w:val="22"/>
        </w:rPr>
        <w:t>, investigadores per cápita y modelos de utilidad</w:t>
      </w:r>
    </w:p>
    <w:p w14:paraId="14F07B4A" w14:textId="77777777" w:rsidR="0009503A" w:rsidRPr="00985A2D" w:rsidRDefault="0009503A" w:rsidP="0009503A">
      <w:pPr>
        <w:rPr>
          <w:rFonts w:ascii="Arial" w:hAnsi="Arial" w:cs="Arial"/>
          <w:szCs w:val="22"/>
        </w:rPr>
      </w:pPr>
    </w:p>
    <w:p w14:paraId="68B688CB" w14:textId="77777777" w:rsidR="0009503A" w:rsidRPr="00985A2D" w:rsidRDefault="0009503A" w:rsidP="0009503A">
      <w:pPr>
        <w:rPr>
          <w:rFonts w:ascii="Arial" w:hAnsi="Arial" w:cs="Arial"/>
          <w:szCs w:val="22"/>
        </w:rPr>
      </w:pPr>
      <w:r w:rsidRPr="00985A2D">
        <w:rPr>
          <w:rFonts w:ascii="Arial" w:hAnsi="Arial" w:cs="Arial"/>
          <w:szCs w:val="22"/>
        </w:rPr>
        <w:t>El subpilar investigación de alta calidad incluye indicadores de número de grupos de investigación reconocidos, publicaciones en revistas de alta calidad, así como los recursos humanos y presupuestales para la investigación. Tan solo el 39% de los departamentos (13 de 33) se encuentran por encima del promedio nacional. La brecha en el subpilar de investigación de alta calidad es sobresaliente, muestra de ello es que Bogotá registra un puntaje de 8,95, en el segundo lugar Caldas obtiene 6,42 y el 61 % de los departamentos están por debajo de 2,78.</w:t>
      </w:r>
    </w:p>
    <w:p w14:paraId="3DAAB574" w14:textId="77777777" w:rsidR="0009503A" w:rsidRPr="00985A2D" w:rsidRDefault="0009503A" w:rsidP="0009503A">
      <w:pPr>
        <w:rPr>
          <w:rFonts w:ascii="Arial" w:hAnsi="Arial" w:cs="Arial"/>
          <w:szCs w:val="22"/>
        </w:rPr>
      </w:pPr>
    </w:p>
    <w:p w14:paraId="58FFF795" w14:textId="2BDC57C3" w:rsidR="0009503A" w:rsidRPr="00985A2D" w:rsidRDefault="0009503A" w:rsidP="0009503A">
      <w:pPr>
        <w:rPr>
          <w:rFonts w:ascii="Arial" w:hAnsi="Arial" w:cs="Arial"/>
          <w:szCs w:val="22"/>
        </w:rPr>
      </w:pPr>
      <w:r w:rsidRPr="00985A2D">
        <w:rPr>
          <w:rFonts w:ascii="Arial" w:hAnsi="Arial" w:cs="Arial"/>
          <w:szCs w:val="22"/>
        </w:rPr>
        <w:t xml:space="preserve">De igual manera, Manizales su capital, en el índice de Competitividad de Ciudades, </w:t>
      </w:r>
      <w:r w:rsidR="00B8528D">
        <w:rPr>
          <w:rFonts w:ascii="Arial" w:hAnsi="Arial" w:cs="Arial"/>
          <w:szCs w:val="22"/>
        </w:rPr>
        <w:t xml:space="preserve">se </w:t>
      </w:r>
      <w:r w:rsidRPr="00985A2D">
        <w:rPr>
          <w:rFonts w:ascii="Arial" w:hAnsi="Arial" w:cs="Arial"/>
          <w:szCs w:val="22"/>
        </w:rPr>
        <w:t xml:space="preserve">ubica en el puesto No. 6. Se destaca en el pilar de educación superior y formación para el trabajo con una calificación de 7,72 sobre 10. Manizales AM avanza en tres posiciones y ocupa la primera posición del pilar. Esta área metropolitana lidera el subpilar de calidad de la </w:t>
      </w:r>
      <w:r w:rsidRPr="00985A2D">
        <w:rPr>
          <w:rFonts w:ascii="Arial" w:hAnsi="Arial" w:cs="Arial"/>
          <w:szCs w:val="22"/>
        </w:rPr>
        <w:lastRenderedPageBreak/>
        <w:t>educación superior gracias al buen desempeño en el indicador de cobertura de instituciones de educación superior con acreditación de alta calidad, en el que ocupa el segundo puesto a nivel nacional, con una puntuación de 9,48 sobre 10. Así mismo, se destaca en el indicador calidad de los docentes de educación superior, ocupando la tercera posición entre las 32 ciudades evaluadas.</w:t>
      </w:r>
    </w:p>
    <w:p w14:paraId="6ECA042A" w14:textId="77777777" w:rsidR="0009503A" w:rsidRPr="00985A2D" w:rsidRDefault="0009503A" w:rsidP="0009503A">
      <w:pPr>
        <w:rPr>
          <w:rFonts w:ascii="Arial" w:hAnsi="Arial" w:cs="Arial"/>
          <w:szCs w:val="22"/>
        </w:rPr>
      </w:pPr>
    </w:p>
    <w:p w14:paraId="570EB4D2" w14:textId="77777777" w:rsidR="0009503A" w:rsidRPr="00985A2D" w:rsidRDefault="0009503A" w:rsidP="0009503A">
      <w:pPr>
        <w:rPr>
          <w:rFonts w:ascii="Arial" w:hAnsi="Arial" w:cs="Arial"/>
          <w:szCs w:val="22"/>
        </w:rPr>
      </w:pPr>
      <w:r w:rsidRPr="00985A2D">
        <w:rPr>
          <w:rFonts w:ascii="Arial" w:hAnsi="Arial" w:cs="Arial"/>
          <w:szCs w:val="22"/>
        </w:rPr>
        <w:t>Los tres primeros lugares del pilar de innovación le corresponden a Medellín AM, Bogotá D.C. y Manizales AM, que obtienen calificaciones de 7,30, 6,87 y 6,31, respectivamente. Manizales AM es tercero en este pilar gracias a su buen desempeño en el indicador de modelos de utilidad, en el que registra un puntaje de 10 sobre 10. Además, esta área metropolitana sobresale en investigadores per cápita e investigación de alta calidad, en los que obtiene puntajes arriba de 8,70 sobre 10.</w:t>
      </w:r>
    </w:p>
    <w:p w14:paraId="6A3BB5FA" w14:textId="77777777" w:rsidR="0009503A" w:rsidRPr="00985A2D" w:rsidRDefault="0009503A" w:rsidP="0009503A">
      <w:pPr>
        <w:rPr>
          <w:rFonts w:ascii="Arial" w:hAnsi="Arial" w:cs="Arial"/>
          <w:szCs w:val="22"/>
        </w:rPr>
      </w:pPr>
    </w:p>
    <w:p w14:paraId="0FC121EC" w14:textId="20E291F5" w:rsidR="0009503A" w:rsidRPr="00985A2D" w:rsidRDefault="0009503A" w:rsidP="0009503A">
      <w:pPr>
        <w:rPr>
          <w:rFonts w:ascii="Arial" w:hAnsi="Arial" w:cs="Arial"/>
          <w:szCs w:val="22"/>
        </w:rPr>
      </w:pPr>
      <w:r w:rsidRPr="00985A2D">
        <w:rPr>
          <w:rFonts w:ascii="Arial" w:hAnsi="Arial" w:cs="Arial"/>
          <w:szCs w:val="22"/>
        </w:rPr>
        <w:t xml:space="preserve">En el </w:t>
      </w:r>
      <w:proofErr w:type="spellStart"/>
      <w:r w:rsidRPr="00985A2D">
        <w:rPr>
          <w:rFonts w:ascii="Arial" w:hAnsi="Arial" w:cs="Arial"/>
          <w:szCs w:val="22"/>
        </w:rPr>
        <w:t>Indice</w:t>
      </w:r>
      <w:proofErr w:type="spellEnd"/>
      <w:r w:rsidRPr="00985A2D">
        <w:rPr>
          <w:rFonts w:ascii="Arial" w:hAnsi="Arial" w:cs="Arial"/>
          <w:szCs w:val="22"/>
        </w:rPr>
        <w:t xml:space="preserve"> Departamental de Innovación, Caldas ocupa el puesto 7, jalonado entre otros por el subpilar de Investigación y Desarrollo. Caldas es el segundo departamento de Colombia con mayor número de Investigadores por Millón de Habitantes, con un puntaje de 99,6.</w:t>
      </w:r>
    </w:p>
    <w:p w14:paraId="2F0623B2" w14:textId="784ECCAF" w:rsidR="008B78F5" w:rsidRPr="00985A2D" w:rsidRDefault="008B78F5">
      <w:pPr>
        <w:spacing w:line="240" w:lineRule="auto"/>
        <w:jc w:val="left"/>
        <w:rPr>
          <w:rFonts w:ascii="Arial" w:hAnsi="Arial" w:cs="Arial"/>
          <w:szCs w:val="22"/>
        </w:rPr>
      </w:pPr>
      <w:r w:rsidRPr="00985A2D">
        <w:rPr>
          <w:rFonts w:ascii="Arial" w:hAnsi="Arial" w:cs="Arial"/>
          <w:szCs w:val="22"/>
        </w:rPr>
        <w:br w:type="page"/>
      </w:r>
    </w:p>
    <w:p w14:paraId="6388CAD7" w14:textId="7E3CCACE" w:rsidR="0009503A" w:rsidRPr="00985A2D" w:rsidRDefault="00C8330C" w:rsidP="00DE30EC">
      <w:pPr>
        <w:pStyle w:val="Ttulo1"/>
        <w:rPr>
          <w:rFonts w:ascii="Arial" w:hAnsi="Arial" w:cs="Arial"/>
          <w:sz w:val="22"/>
          <w:szCs w:val="22"/>
        </w:rPr>
      </w:pPr>
      <w:r>
        <w:rPr>
          <w:rFonts w:ascii="Arial" w:hAnsi="Arial" w:cs="Arial"/>
          <w:sz w:val="22"/>
          <w:szCs w:val="22"/>
        </w:rPr>
        <w:lastRenderedPageBreak/>
        <w:t>Conclusión</w:t>
      </w:r>
    </w:p>
    <w:p w14:paraId="638D37A0" w14:textId="295F9E7F" w:rsidR="0009503A" w:rsidRPr="00985A2D" w:rsidRDefault="0009503A" w:rsidP="00DE30EC">
      <w:pPr>
        <w:rPr>
          <w:rFonts w:ascii="Arial" w:hAnsi="Arial" w:cs="Arial"/>
          <w:szCs w:val="22"/>
        </w:rPr>
      </w:pPr>
    </w:p>
    <w:p w14:paraId="22D5824F" w14:textId="2160FF47" w:rsidR="0009503A" w:rsidRPr="00985A2D" w:rsidRDefault="0009503A" w:rsidP="0009503A">
      <w:pPr>
        <w:rPr>
          <w:rFonts w:ascii="Arial" w:hAnsi="Arial" w:cs="Arial"/>
          <w:szCs w:val="22"/>
        </w:rPr>
      </w:pPr>
      <w:r w:rsidRPr="00985A2D">
        <w:rPr>
          <w:rFonts w:ascii="Arial" w:hAnsi="Arial" w:cs="Arial"/>
          <w:szCs w:val="22"/>
        </w:rPr>
        <w:t xml:space="preserve">La educación superior ha sido un rasgo distintivo de la ciudad de Manizales desde hace más de 40 años. Esta distinción fue reconocida por la UNESCO al nombrarla una Ciudad del aprendizaje en el año 2019. Manizales es una ciudad que, además de tener diferentes universidades con acreditación de alta calidad, tiene un Sistema Universitario (SUMA) que facilita la cooperación entre las instituciones de educación superior y los procesos formativos, investigativos, administrativos y de proyección que en ellas se realizan. </w:t>
      </w:r>
    </w:p>
    <w:p w14:paraId="73F4E5BD" w14:textId="77777777" w:rsidR="0009503A" w:rsidRPr="00985A2D" w:rsidRDefault="0009503A" w:rsidP="0009503A">
      <w:pPr>
        <w:rPr>
          <w:rFonts w:ascii="Arial" w:hAnsi="Arial" w:cs="Arial"/>
          <w:szCs w:val="22"/>
        </w:rPr>
      </w:pPr>
    </w:p>
    <w:p w14:paraId="151E8A16" w14:textId="6A335613" w:rsidR="0009503A" w:rsidRPr="00985A2D" w:rsidRDefault="0009503A" w:rsidP="0009503A">
      <w:pPr>
        <w:rPr>
          <w:rFonts w:ascii="Arial" w:hAnsi="Arial" w:cs="Arial"/>
          <w:szCs w:val="22"/>
        </w:rPr>
      </w:pPr>
      <w:r w:rsidRPr="00985A2D">
        <w:rPr>
          <w:rFonts w:ascii="Arial" w:hAnsi="Arial" w:cs="Arial"/>
          <w:szCs w:val="22"/>
        </w:rPr>
        <w:t xml:space="preserve">Manizales como ciudad universitaria </w:t>
      </w:r>
      <w:r w:rsidR="00C8330C">
        <w:rPr>
          <w:rFonts w:ascii="Arial" w:hAnsi="Arial" w:cs="Arial"/>
          <w:szCs w:val="22"/>
        </w:rPr>
        <w:t>ha tenido una trayectoria que inició gracias a</w:t>
      </w:r>
      <w:r w:rsidRPr="00985A2D">
        <w:rPr>
          <w:rFonts w:ascii="Arial" w:hAnsi="Arial" w:cs="Arial"/>
          <w:szCs w:val="22"/>
        </w:rPr>
        <w:t>l Concejo municipal de la ciudad</w:t>
      </w:r>
      <w:r w:rsidR="00C8330C">
        <w:rPr>
          <w:rFonts w:ascii="Arial" w:hAnsi="Arial" w:cs="Arial"/>
          <w:szCs w:val="22"/>
        </w:rPr>
        <w:t xml:space="preserve">, cuando </w:t>
      </w:r>
      <w:r w:rsidRPr="00985A2D">
        <w:rPr>
          <w:rFonts w:ascii="Arial" w:hAnsi="Arial" w:cs="Arial"/>
          <w:szCs w:val="22"/>
        </w:rPr>
        <w:t xml:space="preserve">adoptó </w:t>
      </w:r>
      <w:r w:rsidR="00C8330C">
        <w:rPr>
          <w:rFonts w:ascii="Arial" w:hAnsi="Arial" w:cs="Arial"/>
          <w:szCs w:val="22"/>
        </w:rPr>
        <w:t>este</w:t>
      </w:r>
      <w:r w:rsidRPr="00985A2D">
        <w:rPr>
          <w:rFonts w:ascii="Arial" w:hAnsi="Arial" w:cs="Arial"/>
          <w:szCs w:val="22"/>
        </w:rPr>
        <w:t xml:space="preserve"> nombre </w:t>
      </w:r>
      <w:r w:rsidR="00C8330C">
        <w:rPr>
          <w:rFonts w:ascii="Arial" w:hAnsi="Arial" w:cs="Arial"/>
          <w:szCs w:val="22"/>
        </w:rPr>
        <w:t>por medio d</w:t>
      </w:r>
      <w:r w:rsidRPr="00985A2D">
        <w:rPr>
          <w:rFonts w:ascii="Arial" w:hAnsi="Arial" w:cs="Arial"/>
          <w:szCs w:val="22"/>
        </w:rPr>
        <w:t>el Acuerdo 052 de 1989; más atrás con el surgimiento de las universidades públicas en la ciudad y, posteriormente con las privadas, el sector educativo superior fue cobrando cada vez más fuerza como sello característico en la ciudad. Hoy, por su parte, el Plan de Ordenamiento Territorial (POT) vigente visualiza que Manizales será la “capital universitaria del conocimiento, el emprendimiento y la innovación” en el 2032: una década por delante para lograr este esfuerzo colectivo”.</w:t>
      </w:r>
    </w:p>
    <w:p w14:paraId="4FA41C5F" w14:textId="77777777" w:rsidR="0009503A" w:rsidRPr="00985A2D" w:rsidRDefault="0009503A" w:rsidP="0009503A">
      <w:pPr>
        <w:rPr>
          <w:rFonts w:ascii="Arial" w:hAnsi="Arial" w:cs="Arial"/>
          <w:szCs w:val="22"/>
        </w:rPr>
      </w:pPr>
    </w:p>
    <w:p w14:paraId="65E1530F" w14:textId="77777777" w:rsidR="0009503A" w:rsidRPr="00985A2D" w:rsidRDefault="0009503A" w:rsidP="0009503A">
      <w:pPr>
        <w:rPr>
          <w:rFonts w:ascii="Arial" w:hAnsi="Arial" w:cs="Arial"/>
          <w:szCs w:val="22"/>
        </w:rPr>
      </w:pPr>
      <w:r w:rsidRPr="00985A2D">
        <w:rPr>
          <w:rFonts w:ascii="Arial" w:hAnsi="Arial" w:cs="Arial"/>
          <w:szCs w:val="22"/>
        </w:rPr>
        <w:t xml:space="preserve">La vocación universitaria de la ciudad la confirman además las cifras. Anualmente tiene alrededor de 46 mil estudiantes, aproximadamente la mitad de ellos proveniente de otras partes del país e incluso del extranjero. Las cinco universidades con domicilio en la ciudad cuentan con acreditación de alta calidad, tiene el más alto índice de docentes con doctorado por millón de habitantes y se destaca en los diferentes índices de competitividad e innovación gracias a los resultados en pilares de educación superior e investigación de alta calidad. </w:t>
      </w:r>
    </w:p>
    <w:p w14:paraId="103C4B88" w14:textId="77777777" w:rsidR="0009503A" w:rsidRPr="00985A2D" w:rsidRDefault="0009503A" w:rsidP="0009503A">
      <w:pPr>
        <w:rPr>
          <w:rFonts w:ascii="Arial" w:hAnsi="Arial" w:cs="Arial"/>
          <w:szCs w:val="22"/>
        </w:rPr>
      </w:pPr>
    </w:p>
    <w:p w14:paraId="5CE108FF" w14:textId="28C3185A" w:rsidR="0009503A" w:rsidRDefault="0009503A" w:rsidP="0009503A">
      <w:pPr>
        <w:rPr>
          <w:rFonts w:ascii="Arial" w:hAnsi="Arial" w:cs="Arial"/>
          <w:szCs w:val="22"/>
        </w:rPr>
      </w:pPr>
      <w:r w:rsidRPr="00985A2D">
        <w:rPr>
          <w:rFonts w:ascii="Arial" w:hAnsi="Arial" w:cs="Arial"/>
          <w:szCs w:val="22"/>
        </w:rPr>
        <w:t xml:space="preserve">Gracias a esta vocación, gran parte de la economía de la ciudad está relacionada con el sector universitario, el sector inmobiliario, de transporte, cultural, gastronómico, entre otros. Los diferentes informes de Manizales Como </w:t>
      </w:r>
      <w:r w:rsidR="00CE77CA" w:rsidRPr="00985A2D">
        <w:rPr>
          <w:rFonts w:ascii="Arial" w:hAnsi="Arial" w:cs="Arial"/>
          <w:szCs w:val="22"/>
        </w:rPr>
        <w:t>Vamos</w:t>
      </w:r>
      <w:r w:rsidRPr="00985A2D">
        <w:rPr>
          <w:rFonts w:ascii="Arial" w:hAnsi="Arial" w:cs="Arial"/>
          <w:szCs w:val="22"/>
        </w:rPr>
        <w:t xml:space="preserve"> dan cuenta de la dinámica que </w:t>
      </w:r>
      <w:r w:rsidRPr="00985A2D">
        <w:rPr>
          <w:rFonts w:ascii="Arial" w:hAnsi="Arial" w:cs="Arial"/>
          <w:szCs w:val="22"/>
        </w:rPr>
        <w:lastRenderedPageBreak/>
        <w:t>representa este sector en la ciudad, con alrededor de $200 mil millones generados por los estudiantes universitarios locales y foráneos, monto asociado a una canasta educativa diversa de los estudiantes, como el arrendamiento de vivienda, alimentación, transporte, ocio y recreación, entre otros.</w:t>
      </w:r>
    </w:p>
    <w:p w14:paraId="5F89FE46" w14:textId="1C683C1A" w:rsidR="00C651D0" w:rsidRDefault="00C651D0" w:rsidP="0009503A">
      <w:pPr>
        <w:rPr>
          <w:rFonts w:ascii="Arial" w:hAnsi="Arial" w:cs="Arial"/>
          <w:szCs w:val="22"/>
        </w:rPr>
      </w:pPr>
    </w:p>
    <w:p w14:paraId="6F68A6B1" w14:textId="1CDC2D64" w:rsidR="0034290B" w:rsidRPr="00985A2D" w:rsidRDefault="0034290B" w:rsidP="0034290B">
      <w:pPr>
        <w:pStyle w:val="Ttulo1"/>
        <w:rPr>
          <w:rFonts w:ascii="Arial" w:hAnsi="Arial" w:cs="Arial"/>
          <w:sz w:val="22"/>
          <w:szCs w:val="22"/>
        </w:rPr>
      </w:pPr>
      <w:r>
        <w:rPr>
          <w:rFonts w:ascii="Arial" w:hAnsi="Arial" w:cs="Arial"/>
          <w:sz w:val="22"/>
          <w:szCs w:val="22"/>
        </w:rPr>
        <w:t>Circunstancias o eventos que podrían generar un conflicto de interés – artículo 291 de la Ley 5 de 1992</w:t>
      </w:r>
    </w:p>
    <w:p w14:paraId="29B6774B" w14:textId="77777777" w:rsidR="0034290B" w:rsidRDefault="0034290B" w:rsidP="0034290B">
      <w:pPr>
        <w:pBdr>
          <w:top w:val="nil"/>
          <w:left w:val="nil"/>
          <w:bottom w:val="nil"/>
          <w:right w:val="nil"/>
          <w:between w:val="nil"/>
        </w:pBdr>
        <w:spacing w:after="160" w:line="276" w:lineRule="auto"/>
        <w:rPr>
          <w:color w:val="000000" w:themeColor="text1"/>
          <w:sz w:val="24"/>
          <w:highlight w:val="white"/>
        </w:rPr>
      </w:pPr>
    </w:p>
    <w:p w14:paraId="580B3C0E" w14:textId="77777777" w:rsidR="0034290B" w:rsidRPr="003E1CD2" w:rsidRDefault="0034290B" w:rsidP="0034290B">
      <w:pPr>
        <w:pBdr>
          <w:top w:val="nil"/>
          <w:left w:val="nil"/>
          <w:bottom w:val="nil"/>
          <w:right w:val="nil"/>
          <w:between w:val="nil"/>
        </w:pBdr>
        <w:spacing w:after="160" w:line="276" w:lineRule="auto"/>
        <w:rPr>
          <w:rFonts w:ascii="Arial" w:hAnsi="Arial" w:cs="Arial"/>
          <w:color w:val="000000" w:themeColor="text1"/>
          <w:sz w:val="24"/>
        </w:rPr>
      </w:pPr>
      <w:r w:rsidRPr="003E1CD2">
        <w:rPr>
          <w:rFonts w:ascii="Arial" w:hAnsi="Arial" w:cs="Arial"/>
          <w:color w:val="000000" w:themeColor="text1"/>
          <w:sz w:val="24"/>
          <w:highlight w:val="white"/>
        </w:rPr>
        <w:t xml:space="preserve">Con base en el artículo 3º de la Ley 2003 de 2019, según el cual “El autor del proyecto y </w:t>
      </w:r>
      <w:r w:rsidRPr="003E1CD2">
        <w:rPr>
          <w:rFonts w:ascii="Arial" w:hAnsi="Arial" w:cs="Arial"/>
          <w:i/>
          <w:color w:val="000000" w:themeColor="text1"/>
          <w:sz w:val="24"/>
        </w:rPr>
        <w:t>el ponente presentarán en el cuerpo de la exposición de motivos un acápite que describa las circunstancias o eventos que podrían generar un conflicto de interés para la discusión y votación del proyecto, de acuerdo al artículo 286 ley 5 de 1992. Estos serán criterios guías para que los otros congresistas tomen una decisión en torno a si se encuentran en una causal de impedimento, no obstante, otras causales que el Congresista pueda encontrar”</w:t>
      </w:r>
      <w:r w:rsidRPr="003E1CD2">
        <w:rPr>
          <w:rFonts w:ascii="Arial" w:hAnsi="Arial" w:cs="Arial"/>
          <w:color w:val="000000" w:themeColor="text1"/>
          <w:sz w:val="24"/>
        </w:rPr>
        <w:t>.</w:t>
      </w:r>
    </w:p>
    <w:p w14:paraId="420BCDB0" w14:textId="77777777" w:rsidR="0034290B" w:rsidRPr="003E1CD2" w:rsidRDefault="0034290B" w:rsidP="0034290B">
      <w:pPr>
        <w:pBdr>
          <w:top w:val="nil"/>
          <w:left w:val="nil"/>
          <w:bottom w:val="nil"/>
          <w:right w:val="nil"/>
          <w:between w:val="nil"/>
        </w:pBdr>
        <w:spacing w:after="160" w:line="276" w:lineRule="auto"/>
        <w:rPr>
          <w:rFonts w:ascii="Arial" w:hAnsi="Arial" w:cs="Arial"/>
          <w:b/>
          <w:color w:val="000000" w:themeColor="text1"/>
          <w:sz w:val="24"/>
        </w:rPr>
      </w:pPr>
      <w:r w:rsidRPr="003E1CD2">
        <w:rPr>
          <w:rFonts w:ascii="Arial" w:hAnsi="Arial" w:cs="Arial"/>
          <w:color w:val="000000" w:themeColor="text1"/>
          <w:sz w:val="24"/>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14:paraId="59DEA24B" w14:textId="77777777" w:rsidR="0034290B" w:rsidRPr="003E1CD2" w:rsidRDefault="0034290B" w:rsidP="0034290B">
      <w:pPr>
        <w:spacing w:before="280" w:after="280" w:line="276" w:lineRule="auto"/>
        <w:ind w:firstLine="720"/>
        <w:rPr>
          <w:rFonts w:ascii="Arial" w:hAnsi="Arial" w:cs="Arial"/>
          <w:b/>
          <w:i/>
          <w:color w:val="000000" w:themeColor="text1"/>
          <w:sz w:val="24"/>
        </w:rPr>
      </w:pPr>
      <w:r w:rsidRPr="003E1CD2">
        <w:rPr>
          <w:rFonts w:ascii="Arial" w:hAnsi="Arial" w:cs="Arial"/>
          <w:b/>
          <w:color w:val="000000" w:themeColor="text1"/>
          <w:sz w:val="24"/>
        </w:rPr>
        <w:t>“</w:t>
      </w:r>
      <w:r w:rsidRPr="003E1CD2">
        <w:rPr>
          <w:rFonts w:ascii="Arial" w:hAnsi="Arial" w:cs="Arial"/>
          <w:b/>
          <w:i/>
          <w:color w:val="000000" w:themeColor="text1"/>
          <w:sz w:val="24"/>
        </w:rPr>
        <w:t xml:space="preserve">Artículo 1º. El artículo </w:t>
      </w:r>
      <w:hyperlink r:id="rId24" w:anchor="286">
        <w:r w:rsidRPr="003E1CD2">
          <w:rPr>
            <w:rFonts w:ascii="Arial" w:hAnsi="Arial" w:cs="Arial"/>
            <w:b/>
            <w:i/>
            <w:color w:val="000000" w:themeColor="text1"/>
            <w:sz w:val="24"/>
            <w:u w:val="single"/>
          </w:rPr>
          <w:t>286</w:t>
        </w:r>
      </w:hyperlink>
      <w:r w:rsidRPr="003E1CD2">
        <w:rPr>
          <w:rFonts w:ascii="Arial" w:hAnsi="Arial" w:cs="Arial"/>
          <w:b/>
          <w:i/>
          <w:color w:val="000000" w:themeColor="text1"/>
          <w:sz w:val="24"/>
        </w:rPr>
        <w:t xml:space="preserve"> de la Ley 5 de 1992 quedará así:</w:t>
      </w:r>
    </w:p>
    <w:p w14:paraId="4D04EA6B" w14:textId="77777777" w:rsidR="0034290B" w:rsidRPr="003E1CD2" w:rsidRDefault="0034290B" w:rsidP="0034290B">
      <w:pPr>
        <w:spacing w:before="280" w:after="280" w:line="276" w:lineRule="auto"/>
        <w:rPr>
          <w:rFonts w:ascii="Arial" w:hAnsi="Arial" w:cs="Arial"/>
          <w:i/>
          <w:color w:val="000000" w:themeColor="text1"/>
          <w:sz w:val="24"/>
        </w:rPr>
      </w:pPr>
      <w:r w:rsidRPr="003E1CD2">
        <w:rPr>
          <w:rFonts w:ascii="Arial" w:hAnsi="Arial" w:cs="Arial"/>
          <w:i/>
          <w:color w:val="000000" w:themeColor="text1"/>
          <w:sz w:val="24"/>
        </w:rPr>
        <w:t>ARTÍCULO 286. Régimen de conflicto de interés de los congresistas. Todos los congresistas deberán declarar los conflictos De intereses que pudieran surgir en ejercicio de sus funciones.</w:t>
      </w:r>
    </w:p>
    <w:p w14:paraId="50A1D62C" w14:textId="77777777" w:rsidR="0034290B" w:rsidRPr="003E1CD2" w:rsidRDefault="0034290B" w:rsidP="0034290B">
      <w:pPr>
        <w:spacing w:before="280" w:after="280" w:line="276" w:lineRule="auto"/>
        <w:rPr>
          <w:rFonts w:ascii="Arial" w:hAnsi="Arial" w:cs="Arial"/>
          <w:i/>
          <w:color w:val="000000" w:themeColor="text1"/>
          <w:sz w:val="24"/>
        </w:rPr>
      </w:pPr>
      <w:r w:rsidRPr="003E1CD2">
        <w:rPr>
          <w:rFonts w:ascii="Arial" w:hAnsi="Arial" w:cs="Arial"/>
          <w:i/>
          <w:color w:val="000000" w:themeColor="text1"/>
          <w:sz w:val="24"/>
        </w:rPr>
        <w:t>Se entiende como conflicto de interés una situación donde la discusión o votación de un proyecto de ley o acto legislativo o artículo, pueda resultar en un beneficio particular, actual y directo a favor del congresista.</w:t>
      </w:r>
    </w:p>
    <w:p w14:paraId="6BA244E0" w14:textId="77777777" w:rsidR="0034290B" w:rsidRPr="003E1CD2" w:rsidRDefault="0034290B" w:rsidP="0034290B">
      <w:pPr>
        <w:spacing w:before="280" w:after="280" w:line="276" w:lineRule="auto"/>
        <w:ind w:left="720"/>
        <w:rPr>
          <w:rFonts w:ascii="Arial" w:hAnsi="Arial" w:cs="Arial"/>
          <w:i/>
          <w:color w:val="000000" w:themeColor="text1"/>
          <w:sz w:val="24"/>
        </w:rPr>
      </w:pPr>
      <w:r w:rsidRPr="003E1CD2">
        <w:rPr>
          <w:rFonts w:ascii="Arial" w:hAnsi="Arial" w:cs="Arial"/>
          <w:i/>
          <w:color w:val="000000" w:themeColor="text1"/>
          <w:sz w:val="24"/>
        </w:rPr>
        <w:t xml:space="preserve">a) Beneficio particular: aquel que otorga un privilegio o genera ganancias o crea indemnizaciones económicas o elimina obligaciones a favor del </w:t>
      </w:r>
      <w:r w:rsidRPr="003E1CD2">
        <w:rPr>
          <w:rFonts w:ascii="Arial" w:hAnsi="Arial" w:cs="Arial"/>
          <w:i/>
          <w:color w:val="000000" w:themeColor="text1"/>
          <w:sz w:val="24"/>
        </w:rPr>
        <w:lastRenderedPageBreak/>
        <w:t>congresista de las que no gozan el resto de los ciudadanos. Modifique normas que afecten investigaciones penales, disciplinarias, fiscales o administrativas a las que se encuentre formalmente vinculado.</w:t>
      </w:r>
    </w:p>
    <w:p w14:paraId="4B393EFC" w14:textId="77777777" w:rsidR="0034290B" w:rsidRPr="003E1CD2" w:rsidRDefault="0034290B" w:rsidP="0034290B">
      <w:pPr>
        <w:spacing w:before="280" w:after="280" w:line="276" w:lineRule="auto"/>
        <w:ind w:left="720"/>
        <w:rPr>
          <w:rFonts w:ascii="Arial" w:hAnsi="Arial" w:cs="Arial"/>
          <w:i/>
          <w:color w:val="000000" w:themeColor="text1"/>
          <w:sz w:val="24"/>
        </w:rPr>
      </w:pPr>
      <w:r w:rsidRPr="003E1CD2">
        <w:rPr>
          <w:rFonts w:ascii="Arial" w:hAnsi="Arial" w:cs="Arial"/>
          <w:i/>
          <w:color w:val="000000" w:themeColor="text1"/>
          <w:sz w:val="24"/>
        </w:rPr>
        <w:t>b) Beneficio actual: aquel que efectivamente se configura en las circunstancias presentes y existentes al momento en el que el congresista participa de la decisión.</w:t>
      </w:r>
    </w:p>
    <w:p w14:paraId="6E321BE4" w14:textId="77777777" w:rsidR="0034290B" w:rsidRPr="003E1CD2" w:rsidRDefault="0034290B" w:rsidP="0034290B">
      <w:pPr>
        <w:spacing w:before="280" w:after="280" w:line="276" w:lineRule="auto"/>
        <w:ind w:left="720"/>
        <w:rPr>
          <w:rFonts w:ascii="Arial" w:hAnsi="Arial" w:cs="Arial"/>
          <w:i/>
          <w:color w:val="000000" w:themeColor="text1"/>
          <w:sz w:val="24"/>
        </w:rPr>
      </w:pPr>
      <w:r w:rsidRPr="003E1CD2">
        <w:rPr>
          <w:rFonts w:ascii="Arial" w:hAnsi="Arial" w:cs="Arial"/>
          <w:i/>
          <w:color w:val="000000" w:themeColor="text1"/>
          <w:sz w:val="24"/>
        </w:rPr>
        <w:t>c) Beneficio directo: aquel que se produzca de forma específica respecto del congresista, de su cónyuge, compañero o compañera permanente, o parientes dentro del segundo grado de consanguinidad, segundo de afinidad o primero civil.</w:t>
      </w:r>
    </w:p>
    <w:p w14:paraId="1364EB93" w14:textId="77777777" w:rsidR="0034290B" w:rsidRPr="003E1CD2" w:rsidRDefault="0034290B" w:rsidP="0034290B">
      <w:pPr>
        <w:spacing w:before="280" w:after="280" w:line="276" w:lineRule="auto"/>
        <w:ind w:left="720"/>
        <w:rPr>
          <w:rFonts w:ascii="Arial" w:hAnsi="Arial" w:cs="Arial"/>
          <w:i/>
          <w:color w:val="000000" w:themeColor="text1"/>
          <w:sz w:val="24"/>
        </w:rPr>
      </w:pPr>
      <w:r w:rsidRPr="003E1CD2">
        <w:rPr>
          <w:rFonts w:ascii="Arial" w:hAnsi="Arial" w:cs="Arial"/>
          <w:i/>
          <w:color w:val="000000" w:themeColor="text1"/>
          <w:sz w:val="24"/>
        </w:rPr>
        <w:t>Para todos los efectos se entiende que no hay conflicto de interés en las siguientes circunstancias:</w:t>
      </w:r>
    </w:p>
    <w:p w14:paraId="21AE0FB1" w14:textId="77777777" w:rsidR="0034290B" w:rsidRPr="003E1CD2" w:rsidRDefault="0034290B" w:rsidP="0034290B">
      <w:pPr>
        <w:spacing w:before="280" w:after="280" w:line="276" w:lineRule="auto"/>
        <w:ind w:left="720"/>
        <w:rPr>
          <w:rFonts w:ascii="Arial" w:hAnsi="Arial" w:cs="Arial"/>
          <w:b/>
          <w:i/>
          <w:color w:val="000000" w:themeColor="text1"/>
          <w:sz w:val="24"/>
          <w:u w:val="single"/>
        </w:rPr>
      </w:pPr>
      <w:r w:rsidRPr="003E1CD2">
        <w:rPr>
          <w:rFonts w:ascii="Arial" w:hAnsi="Arial" w:cs="Arial"/>
          <w:b/>
          <w:i/>
          <w:color w:val="000000" w:themeColor="text1"/>
          <w:sz w:val="24"/>
          <w:u w:val="single"/>
        </w:rPr>
        <w:t xml:space="preserve">a) Cuando el congresista participe, discuta, vote un proyecto de ley o de acto legislativo que otorgue beneficios o cargos de carácter general, es decir cuando el interés del congresista coincide o se fusione con los intereses de los electores. </w:t>
      </w:r>
      <w:r w:rsidRPr="003E1CD2">
        <w:rPr>
          <w:rFonts w:ascii="Arial" w:hAnsi="Arial" w:cs="Arial"/>
          <w:b/>
          <w:i/>
          <w:color w:val="000000" w:themeColor="text1"/>
          <w:sz w:val="24"/>
        </w:rPr>
        <w:t xml:space="preserve"> (Negrilla propia)</w:t>
      </w:r>
    </w:p>
    <w:p w14:paraId="2D9CB000" w14:textId="77777777" w:rsidR="0034290B" w:rsidRPr="003E1CD2" w:rsidRDefault="0034290B" w:rsidP="0034290B">
      <w:pPr>
        <w:spacing w:before="280" w:after="280" w:line="276" w:lineRule="auto"/>
        <w:ind w:left="700" w:firstLine="20"/>
        <w:rPr>
          <w:rFonts w:ascii="Arial" w:hAnsi="Arial" w:cs="Arial"/>
          <w:i/>
          <w:color w:val="000000" w:themeColor="text1"/>
          <w:sz w:val="24"/>
        </w:rPr>
      </w:pPr>
      <w:r w:rsidRPr="003E1CD2">
        <w:rPr>
          <w:rFonts w:ascii="Arial" w:hAnsi="Arial" w:cs="Arial"/>
          <w:i/>
          <w:color w:val="000000" w:themeColor="text1"/>
          <w:sz w:val="24"/>
        </w:rPr>
        <w:t>b) Cuando el beneficio podría o no configurarse para el congresista en el futuro.</w:t>
      </w:r>
    </w:p>
    <w:p w14:paraId="6F18BA67" w14:textId="77777777" w:rsidR="0034290B" w:rsidRPr="003E1CD2" w:rsidRDefault="0034290B" w:rsidP="0034290B">
      <w:pPr>
        <w:spacing w:before="280" w:after="280" w:line="276" w:lineRule="auto"/>
        <w:ind w:left="720"/>
        <w:rPr>
          <w:rFonts w:ascii="Arial" w:hAnsi="Arial" w:cs="Arial"/>
          <w:i/>
          <w:color w:val="000000" w:themeColor="text1"/>
          <w:sz w:val="24"/>
        </w:rPr>
      </w:pPr>
      <w:r w:rsidRPr="003E1CD2">
        <w:rPr>
          <w:rFonts w:ascii="Arial" w:hAnsi="Arial" w:cs="Arial"/>
          <w:i/>
          <w:color w:val="000000" w:themeColor="text1"/>
          <w:sz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22B3E96C" w14:textId="77777777" w:rsidR="0034290B" w:rsidRPr="003E1CD2" w:rsidRDefault="0034290B" w:rsidP="0034290B">
      <w:pPr>
        <w:spacing w:before="280" w:after="280" w:line="276" w:lineRule="auto"/>
        <w:ind w:left="720"/>
        <w:rPr>
          <w:rFonts w:ascii="Arial" w:hAnsi="Arial" w:cs="Arial"/>
          <w:i/>
          <w:color w:val="000000" w:themeColor="text1"/>
          <w:sz w:val="24"/>
        </w:rPr>
      </w:pPr>
      <w:r w:rsidRPr="003E1CD2">
        <w:rPr>
          <w:rFonts w:ascii="Arial" w:hAnsi="Arial" w:cs="Arial"/>
          <w:i/>
          <w:color w:val="000000" w:themeColor="text1"/>
          <w:sz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6B0E8C34" w14:textId="77777777" w:rsidR="0034290B" w:rsidRPr="003E1CD2" w:rsidRDefault="0034290B" w:rsidP="0034290B">
      <w:pPr>
        <w:spacing w:before="280" w:after="280" w:line="276" w:lineRule="auto"/>
        <w:ind w:left="720"/>
        <w:rPr>
          <w:rFonts w:ascii="Arial" w:hAnsi="Arial" w:cs="Arial"/>
          <w:i/>
          <w:color w:val="000000" w:themeColor="text1"/>
          <w:sz w:val="24"/>
        </w:rPr>
      </w:pPr>
      <w:r w:rsidRPr="003E1CD2">
        <w:rPr>
          <w:rFonts w:ascii="Arial" w:hAnsi="Arial" w:cs="Arial"/>
          <w:i/>
          <w:color w:val="000000" w:themeColor="text1"/>
          <w:sz w:val="24"/>
        </w:rPr>
        <w:lastRenderedPageBreak/>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45B94A5D" w14:textId="2608D8B2" w:rsidR="0034290B" w:rsidRPr="0034290B" w:rsidRDefault="0034290B" w:rsidP="0034290B">
      <w:pPr>
        <w:spacing w:before="280" w:after="280" w:line="276" w:lineRule="auto"/>
        <w:ind w:left="720"/>
        <w:rPr>
          <w:rFonts w:ascii="Arial" w:hAnsi="Arial" w:cs="Arial"/>
          <w:color w:val="000000" w:themeColor="text1"/>
          <w:sz w:val="24"/>
        </w:rPr>
      </w:pPr>
      <w:r w:rsidRPr="003E1CD2">
        <w:rPr>
          <w:rFonts w:ascii="Arial" w:hAnsi="Arial" w:cs="Arial"/>
          <w:i/>
          <w:color w:val="000000" w:themeColor="text1"/>
          <w:sz w:val="24"/>
        </w:rPr>
        <w:t xml:space="preserve">f) Cuando el congresista participa en la elección de otros servidores públicos mediante el voto secreto. Se exceptúan los casos en que se presenten inhabilidades referidas al parentesco con los candidatos (...)”. </w:t>
      </w:r>
      <w:r w:rsidRPr="003E1CD2">
        <w:rPr>
          <w:rFonts w:ascii="Arial" w:hAnsi="Arial" w:cs="Arial"/>
          <w:color w:val="000000" w:themeColor="text1"/>
          <w:sz w:val="24"/>
        </w:rPr>
        <w:t>(Subrayado y negrilla fuera de texto).</w:t>
      </w:r>
      <w:bookmarkStart w:id="9" w:name="_kt0h2lohccae" w:colFirst="0" w:colLast="0"/>
      <w:bookmarkEnd w:id="9"/>
    </w:p>
    <w:p w14:paraId="70669E0F" w14:textId="77777777" w:rsidR="0034290B" w:rsidRPr="003E1CD2" w:rsidRDefault="0034290B" w:rsidP="0034290B">
      <w:pPr>
        <w:spacing w:line="276" w:lineRule="auto"/>
        <w:rPr>
          <w:rFonts w:ascii="Arial" w:hAnsi="Arial" w:cs="Arial"/>
          <w:sz w:val="24"/>
        </w:rPr>
      </w:pPr>
      <w:r w:rsidRPr="003E1CD2">
        <w:rPr>
          <w:rFonts w:ascii="Arial" w:hAnsi="Arial" w:cs="Arial"/>
          <w:sz w:val="24"/>
        </w:rPr>
        <w:t>En el mismo sentido, ha manifestado ya la Honorable Corte Constitucional, que el inevitable interés político que subyace a una reforma constitucional, al concurrir con los intereses generales, no configura un conflicto de interés:</w:t>
      </w:r>
    </w:p>
    <w:p w14:paraId="2BCAA235" w14:textId="53EC7364" w:rsidR="0034290B" w:rsidRDefault="0034290B" w:rsidP="0034290B">
      <w:pPr>
        <w:rPr>
          <w:sz w:val="24"/>
        </w:rPr>
      </w:pPr>
      <w:r>
        <w:rPr>
          <w:sz w:val="24"/>
        </w:rPr>
        <w:t xml:space="preserve">en sentencia </w:t>
      </w:r>
      <w:r w:rsidRPr="00484929">
        <w:rPr>
          <w:b/>
          <w:sz w:val="24"/>
        </w:rPr>
        <w:t xml:space="preserve">C 294 de 2021 </w:t>
      </w:r>
      <w:r w:rsidR="0088045F">
        <w:rPr>
          <w:sz w:val="24"/>
        </w:rPr>
        <w:t>estableció</w:t>
      </w:r>
      <w:r>
        <w:rPr>
          <w:sz w:val="24"/>
        </w:rPr>
        <w:t xml:space="preserve"> lo siguiente: </w:t>
      </w:r>
    </w:p>
    <w:p w14:paraId="1CF5A691" w14:textId="2B9D38CF" w:rsidR="0034290B" w:rsidRDefault="0034290B" w:rsidP="0034290B">
      <w:pPr>
        <w:spacing w:line="276" w:lineRule="auto"/>
        <w:rPr>
          <w:rFonts w:ascii="Arial" w:hAnsi="Arial" w:cs="Arial"/>
          <w:i/>
          <w:sz w:val="24"/>
        </w:rPr>
      </w:pPr>
      <w:r w:rsidRPr="003E1CD2">
        <w:rPr>
          <w:i/>
          <w:sz w:val="24"/>
        </w:rPr>
        <w:t xml:space="preserve"> </w:t>
      </w:r>
      <w:r w:rsidRPr="003E1CD2">
        <w:rPr>
          <w:rFonts w:ascii="Arial" w:hAnsi="Arial" w:cs="Arial"/>
          <w:i/>
          <w:sz w:val="24"/>
        </w:rPr>
        <w:t>“La regla general es que no cabe plantear impedimentos o recusaciones por conflicto de intereses con motivo del trámite de una reforma constitucional; estas figuras únicamente son procedentes en casos excepcionales en los que aparezca claramente demostrada la existencia de un interés privado concurrente en cabeza de un miembro del Congreso. Como por regla general las reformas constitucionales afectan por igual a todos los colombianos, independientemente de su condición o no de parlamentario, es inusual que algún congresista se encuentre particularmente privilegiado o perjudicado por</w:t>
      </w:r>
      <w:r w:rsidRPr="003E1CD2">
        <w:rPr>
          <w:i/>
          <w:sz w:val="24"/>
        </w:rPr>
        <w:t xml:space="preserve"> </w:t>
      </w:r>
      <w:r w:rsidRPr="003E1CD2">
        <w:rPr>
          <w:rFonts w:ascii="Arial" w:hAnsi="Arial" w:cs="Arial"/>
          <w:i/>
          <w:sz w:val="24"/>
        </w:rPr>
        <w:t xml:space="preserve">un acto legislativo, y que, por lo mismo, de él se predique un conflicto de intereses. No se </w:t>
      </w:r>
      <w:r>
        <w:rPr>
          <w:i/>
          <w:sz w:val="24"/>
        </w:rPr>
        <w:t>d</w:t>
      </w:r>
      <w:r w:rsidRPr="003E1CD2">
        <w:rPr>
          <w:i/>
          <w:sz w:val="24"/>
        </w:rPr>
        <w:t>eben</w:t>
      </w:r>
      <w:r w:rsidRPr="003E1CD2">
        <w:rPr>
          <w:rFonts w:ascii="Arial" w:hAnsi="Arial" w:cs="Arial"/>
          <w:i/>
          <w:sz w:val="24"/>
        </w:rPr>
        <w:t xml:space="preserve"> confundir, de un lado, los intereses políticos - inevitables en el ámbito parlamentario y sobre todo cuando se trata de reformar la Constitución- los cuales pueden concurrir con los intereses generales, con los denominados intereses meramente privados que, de otro lado, sí están excluidos por la figura del conflicto de intereses -tales como los intereses económicos particulares del congresista o los intereses meramente personales y subjetivos de orden no político-. De admitirse que los intereses políticos a favor o en contra de una reforma constitucional inhiben a los congresistas de participar en su tramitación, muchas normas de la Carta se tornarían irreformables o pétreas, como por ejemplo todas las normas sobre el Congreso de la República, las </w:t>
      </w:r>
      <w:r w:rsidRPr="003E1CD2">
        <w:rPr>
          <w:rFonts w:ascii="Arial" w:hAnsi="Arial" w:cs="Arial"/>
          <w:i/>
          <w:sz w:val="24"/>
        </w:rPr>
        <w:lastRenderedPageBreak/>
        <w:t>elecciones, los partidos, la relación entre el gobierno y la oposición y las entidades territoriales”</w:t>
      </w:r>
    </w:p>
    <w:p w14:paraId="499919F7" w14:textId="77777777" w:rsidR="0034290B" w:rsidRPr="003E1CD2" w:rsidRDefault="0034290B" w:rsidP="0034290B">
      <w:pPr>
        <w:spacing w:line="276" w:lineRule="auto"/>
        <w:rPr>
          <w:rFonts w:ascii="Arial" w:hAnsi="Arial" w:cs="Arial"/>
          <w:i/>
          <w:sz w:val="24"/>
        </w:rPr>
      </w:pPr>
    </w:p>
    <w:p w14:paraId="35C1F06D" w14:textId="67A3A16E" w:rsidR="0034290B" w:rsidRPr="0034290B" w:rsidRDefault="0034290B" w:rsidP="0034290B">
      <w:pPr>
        <w:spacing w:line="276" w:lineRule="auto"/>
        <w:rPr>
          <w:rFonts w:ascii="Arial" w:hAnsi="Arial" w:cs="Arial"/>
          <w:sz w:val="24"/>
        </w:rPr>
      </w:pPr>
      <w:r>
        <w:rPr>
          <w:rFonts w:ascii="Arial" w:hAnsi="Arial" w:cs="Arial"/>
          <w:sz w:val="24"/>
        </w:rPr>
        <w:t xml:space="preserve"> </w:t>
      </w:r>
      <w:r w:rsidRPr="003E1CD2">
        <w:rPr>
          <w:rFonts w:ascii="Arial" w:hAnsi="Arial" w:cs="Arial"/>
          <w:color w:val="000000" w:themeColor="text1"/>
          <w:sz w:val="24"/>
        </w:rPr>
        <w:t xml:space="preserve">De lo anterior, y de manera meramente orientativa, se considera </w:t>
      </w:r>
      <w:r w:rsidRPr="003E1CD2">
        <w:rPr>
          <w:b/>
          <w:color w:val="000000" w:themeColor="text1"/>
        </w:rPr>
        <w:t>q</w:t>
      </w:r>
      <w:r w:rsidRPr="0088045F">
        <w:rPr>
          <w:color w:val="000000" w:themeColor="text1"/>
        </w:rPr>
        <w:t>ue,</w:t>
      </w:r>
      <w:r w:rsidRPr="0088045F">
        <w:rPr>
          <w:rFonts w:ascii="Arial" w:hAnsi="Arial" w:cs="Arial"/>
          <w:color w:val="000000" w:themeColor="text1"/>
          <w:sz w:val="24"/>
        </w:rPr>
        <w:t xml:space="preserve"> para la discusión y apr</w:t>
      </w:r>
      <w:r w:rsidRPr="0088045F">
        <w:rPr>
          <w:color w:val="000000" w:themeColor="text1"/>
        </w:rPr>
        <w:t xml:space="preserve">obación de este Proyecto de Acto Legislativo, </w:t>
      </w:r>
      <w:r w:rsidRPr="0088045F">
        <w:rPr>
          <w:rFonts w:ascii="Arial" w:hAnsi="Arial" w:cs="Arial"/>
          <w:color w:val="000000" w:themeColor="text1"/>
          <w:sz w:val="24"/>
        </w:rPr>
        <w:t xml:space="preserve">no existen circunstancias que pudieran dar lugar a un eventual conflicto de interés </w:t>
      </w:r>
      <w:r w:rsidRPr="003E1CD2">
        <w:rPr>
          <w:rFonts w:ascii="Arial" w:hAnsi="Arial" w:cs="Arial"/>
          <w:color w:val="000000" w:themeColor="text1"/>
          <w:sz w:val="24"/>
        </w:rPr>
        <w:t>por parte de los Honorables Congresistas, pues es una iniciativa de carácter general, impersonal y abstracta, con lo cual no se materializa una situación concreta que permita enmarcar un beneficio particular, directo ni actual. En todo caso, es pertinente aclarar que los conflictos de interés son personales y corresponde a cada Congresista evaluarlos.</w:t>
      </w:r>
    </w:p>
    <w:p w14:paraId="6C315A44" w14:textId="77777777" w:rsidR="0034290B" w:rsidRPr="003E1CD2" w:rsidRDefault="0034290B" w:rsidP="0034290B">
      <w:pPr>
        <w:pStyle w:val="Ttulo1"/>
        <w:numPr>
          <w:ilvl w:val="0"/>
          <w:numId w:val="0"/>
        </w:numPr>
        <w:spacing w:line="276" w:lineRule="auto"/>
        <w:jc w:val="both"/>
        <w:rPr>
          <w:rFonts w:ascii="Arial" w:hAnsi="Arial" w:cs="Arial"/>
          <w:b w:val="0"/>
          <w:color w:val="000000" w:themeColor="text1"/>
          <w:sz w:val="24"/>
          <w:szCs w:val="24"/>
        </w:rPr>
      </w:pPr>
    </w:p>
    <w:p w14:paraId="0ED46B7B" w14:textId="77777777" w:rsidR="00B14027" w:rsidRPr="005F43D1" w:rsidRDefault="00B14027" w:rsidP="00B14027">
      <w:pPr>
        <w:rPr>
          <w:szCs w:val="22"/>
        </w:rPr>
      </w:pPr>
      <w:r>
        <w:rPr>
          <w:szCs w:val="22"/>
        </w:rPr>
        <w:t xml:space="preserve">De los Honorables Congresistas. </w:t>
      </w:r>
    </w:p>
    <w:p w14:paraId="062BFDCB" w14:textId="77777777" w:rsidR="00B14027" w:rsidRPr="005F43D1" w:rsidRDefault="00B14027" w:rsidP="00B14027">
      <w:pPr>
        <w:rPr>
          <w:szCs w:val="22"/>
        </w:rPr>
      </w:pPr>
    </w:p>
    <w:p w14:paraId="60B3F962" w14:textId="77777777" w:rsidR="00B14027" w:rsidRPr="005F43D1" w:rsidRDefault="00B14027" w:rsidP="00B14027">
      <w:pPr>
        <w:rPr>
          <w:szCs w:val="22"/>
        </w:rPr>
      </w:pPr>
    </w:p>
    <w:p w14:paraId="73731DFC" w14:textId="77777777" w:rsidR="00B14027" w:rsidRPr="005F43D1" w:rsidRDefault="00B14027" w:rsidP="00B14027">
      <w:pPr>
        <w:rPr>
          <w:szCs w:val="22"/>
        </w:rPr>
      </w:pPr>
    </w:p>
    <w:p w14:paraId="22523047" w14:textId="77777777" w:rsidR="00B14027" w:rsidRDefault="00B14027" w:rsidP="00B14027">
      <w:pPr>
        <w:rPr>
          <w:b/>
          <w:bCs/>
          <w:szCs w:val="22"/>
        </w:rPr>
      </w:pPr>
      <w:r w:rsidRPr="005F43D1">
        <w:rPr>
          <w:b/>
          <w:bCs/>
          <w:szCs w:val="22"/>
        </w:rPr>
        <w:t>GUIDO ECHEVERR</w:t>
      </w:r>
      <w:r>
        <w:rPr>
          <w:b/>
          <w:bCs/>
          <w:szCs w:val="22"/>
        </w:rPr>
        <w:t>I PIEDRAHITA</w:t>
      </w:r>
    </w:p>
    <w:p w14:paraId="4612E4A4" w14:textId="77777777" w:rsidR="00B14027" w:rsidRPr="000A605E" w:rsidRDefault="00B14027" w:rsidP="00B14027">
      <w:pPr>
        <w:rPr>
          <w:b/>
          <w:bCs/>
          <w:szCs w:val="22"/>
        </w:rPr>
      </w:pPr>
      <w:r>
        <w:rPr>
          <w:b/>
          <w:bCs/>
          <w:szCs w:val="22"/>
        </w:rPr>
        <w:t xml:space="preserve">_________________________   </w:t>
      </w:r>
      <w:r>
        <w:rPr>
          <w:b/>
          <w:bCs/>
          <w:szCs w:val="22"/>
        </w:rPr>
        <w:tab/>
        <w:t xml:space="preserve">_________________________   </w:t>
      </w:r>
    </w:p>
    <w:p w14:paraId="5DDA410A" w14:textId="77777777" w:rsidR="00B14027" w:rsidRPr="000A605E" w:rsidRDefault="00B14027" w:rsidP="00B14027">
      <w:pPr>
        <w:rPr>
          <w:b/>
          <w:bCs/>
          <w:szCs w:val="22"/>
        </w:rPr>
      </w:pPr>
    </w:p>
    <w:p w14:paraId="18FE1831" w14:textId="77777777" w:rsidR="00B14027" w:rsidRPr="005F43D1" w:rsidRDefault="00B14027" w:rsidP="00B14027">
      <w:pPr>
        <w:ind w:left="284"/>
        <w:rPr>
          <w:szCs w:val="22"/>
        </w:rPr>
      </w:pPr>
    </w:p>
    <w:p w14:paraId="66F2D76E" w14:textId="77777777" w:rsidR="00B14027" w:rsidRDefault="00B14027" w:rsidP="00B14027">
      <w:pPr>
        <w:rPr>
          <w:b/>
          <w:bCs/>
          <w:szCs w:val="22"/>
        </w:rPr>
      </w:pPr>
      <w:r>
        <w:rPr>
          <w:b/>
          <w:bCs/>
          <w:szCs w:val="22"/>
        </w:rPr>
        <w:t xml:space="preserve">_________________________   </w:t>
      </w:r>
      <w:r>
        <w:rPr>
          <w:b/>
          <w:bCs/>
          <w:szCs w:val="22"/>
        </w:rPr>
        <w:tab/>
        <w:t xml:space="preserve">_________________________ </w:t>
      </w:r>
    </w:p>
    <w:p w14:paraId="0D3F89AE" w14:textId="77777777" w:rsidR="00B14027" w:rsidRDefault="00B14027" w:rsidP="00B14027">
      <w:pPr>
        <w:rPr>
          <w:b/>
          <w:bCs/>
          <w:szCs w:val="22"/>
        </w:rPr>
      </w:pPr>
    </w:p>
    <w:p w14:paraId="59918F35" w14:textId="77777777" w:rsidR="00B14027" w:rsidRDefault="00B14027" w:rsidP="00B14027">
      <w:pPr>
        <w:rPr>
          <w:b/>
          <w:bCs/>
          <w:szCs w:val="22"/>
        </w:rPr>
      </w:pPr>
      <w:r>
        <w:rPr>
          <w:b/>
          <w:bCs/>
          <w:szCs w:val="22"/>
        </w:rPr>
        <w:t xml:space="preserve">  </w:t>
      </w:r>
    </w:p>
    <w:p w14:paraId="402FCA88" w14:textId="77777777" w:rsidR="00B14027" w:rsidRPr="005F43D1" w:rsidRDefault="00B14027" w:rsidP="00B14027">
      <w:pPr>
        <w:ind w:left="284"/>
        <w:rPr>
          <w:szCs w:val="22"/>
        </w:rPr>
      </w:pPr>
    </w:p>
    <w:p w14:paraId="04799AED" w14:textId="77777777" w:rsidR="00B14027" w:rsidRDefault="00B14027" w:rsidP="00B14027">
      <w:pPr>
        <w:rPr>
          <w:b/>
          <w:bCs/>
          <w:szCs w:val="22"/>
        </w:rPr>
      </w:pPr>
      <w:r>
        <w:rPr>
          <w:b/>
          <w:bCs/>
          <w:szCs w:val="22"/>
        </w:rPr>
        <w:t xml:space="preserve">_________________________   </w:t>
      </w:r>
      <w:r>
        <w:rPr>
          <w:b/>
          <w:bCs/>
          <w:szCs w:val="22"/>
        </w:rPr>
        <w:tab/>
        <w:t xml:space="preserve">_________________________ </w:t>
      </w:r>
    </w:p>
    <w:p w14:paraId="48392F91" w14:textId="77777777" w:rsidR="00B14027" w:rsidRDefault="00B14027" w:rsidP="00B14027">
      <w:pPr>
        <w:rPr>
          <w:b/>
          <w:bCs/>
          <w:szCs w:val="22"/>
        </w:rPr>
      </w:pPr>
    </w:p>
    <w:p w14:paraId="54E2B3BA" w14:textId="77777777" w:rsidR="00B14027" w:rsidRDefault="00B14027" w:rsidP="00B14027">
      <w:pPr>
        <w:rPr>
          <w:b/>
          <w:bCs/>
          <w:szCs w:val="22"/>
        </w:rPr>
      </w:pPr>
    </w:p>
    <w:p w14:paraId="1815CF8C" w14:textId="77777777" w:rsidR="00B14027" w:rsidRDefault="00B14027" w:rsidP="00B14027">
      <w:pPr>
        <w:rPr>
          <w:b/>
          <w:bCs/>
          <w:szCs w:val="22"/>
        </w:rPr>
      </w:pPr>
    </w:p>
    <w:p w14:paraId="17C7F3B2" w14:textId="77777777" w:rsidR="00B14027" w:rsidRDefault="00B14027" w:rsidP="00B14027">
      <w:pPr>
        <w:rPr>
          <w:b/>
          <w:bCs/>
          <w:szCs w:val="22"/>
        </w:rPr>
      </w:pPr>
      <w:r>
        <w:rPr>
          <w:b/>
          <w:bCs/>
          <w:szCs w:val="22"/>
        </w:rPr>
        <w:t xml:space="preserve">_________________________   </w:t>
      </w:r>
      <w:r>
        <w:rPr>
          <w:b/>
          <w:bCs/>
          <w:szCs w:val="22"/>
        </w:rPr>
        <w:tab/>
        <w:t xml:space="preserve">_________________________ </w:t>
      </w:r>
    </w:p>
    <w:p w14:paraId="6CDCB23A" w14:textId="77777777" w:rsidR="00B14027" w:rsidRDefault="00B14027" w:rsidP="00B14027">
      <w:pPr>
        <w:rPr>
          <w:b/>
          <w:bCs/>
          <w:szCs w:val="22"/>
        </w:rPr>
      </w:pPr>
    </w:p>
    <w:p w14:paraId="69AE4E9C" w14:textId="77777777" w:rsidR="00B14027" w:rsidRDefault="00B14027" w:rsidP="00B14027">
      <w:pPr>
        <w:rPr>
          <w:b/>
          <w:bCs/>
          <w:szCs w:val="22"/>
        </w:rPr>
      </w:pPr>
    </w:p>
    <w:p w14:paraId="5F0A941B" w14:textId="77777777" w:rsidR="00B14027" w:rsidRDefault="00B14027" w:rsidP="00B14027">
      <w:pPr>
        <w:rPr>
          <w:b/>
          <w:bCs/>
          <w:szCs w:val="22"/>
        </w:rPr>
      </w:pPr>
    </w:p>
    <w:p w14:paraId="33E0BD0E" w14:textId="77777777" w:rsidR="00B14027" w:rsidRDefault="00B14027" w:rsidP="00B14027">
      <w:pPr>
        <w:rPr>
          <w:b/>
          <w:bCs/>
          <w:szCs w:val="22"/>
        </w:rPr>
      </w:pPr>
      <w:r>
        <w:rPr>
          <w:b/>
          <w:bCs/>
          <w:szCs w:val="22"/>
        </w:rPr>
        <w:t xml:space="preserve">_________________________   </w:t>
      </w:r>
      <w:r>
        <w:rPr>
          <w:b/>
          <w:bCs/>
          <w:szCs w:val="22"/>
        </w:rPr>
        <w:tab/>
        <w:t xml:space="preserve">_________________________ </w:t>
      </w:r>
    </w:p>
    <w:p w14:paraId="4FC1957B" w14:textId="77777777" w:rsidR="00B14027" w:rsidRDefault="00B14027" w:rsidP="00B14027">
      <w:pPr>
        <w:rPr>
          <w:b/>
          <w:bCs/>
          <w:szCs w:val="22"/>
        </w:rPr>
      </w:pPr>
    </w:p>
    <w:p w14:paraId="50906FE4" w14:textId="77777777" w:rsidR="00B14027" w:rsidRPr="000A605E" w:rsidRDefault="00B14027" w:rsidP="00B14027">
      <w:pPr>
        <w:rPr>
          <w:b/>
          <w:bCs/>
          <w:szCs w:val="22"/>
        </w:rPr>
      </w:pPr>
    </w:p>
    <w:p w14:paraId="5021605C" w14:textId="77777777" w:rsidR="00B14027" w:rsidRDefault="00B14027" w:rsidP="00B14027">
      <w:pPr>
        <w:ind w:left="360" w:hanging="360"/>
      </w:pPr>
    </w:p>
    <w:p w14:paraId="2B7A7DCB" w14:textId="77777777" w:rsidR="00B14027" w:rsidRDefault="00B14027" w:rsidP="00B14027">
      <w:pPr>
        <w:rPr>
          <w:b/>
          <w:bCs/>
          <w:szCs w:val="22"/>
        </w:rPr>
      </w:pPr>
      <w:r>
        <w:rPr>
          <w:b/>
          <w:bCs/>
          <w:szCs w:val="22"/>
        </w:rPr>
        <w:t xml:space="preserve">_________________________   </w:t>
      </w:r>
      <w:r>
        <w:rPr>
          <w:b/>
          <w:bCs/>
          <w:szCs w:val="22"/>
        </w:rPr>
        <w:tab/>
        <w:t xml:space="preserve">_________________________ </w:t>
      </w:r>
    </w:p>
    <w:p w14:paraId="15389C75" w14:textId="77777777" w:rsidR="00B14027" w:rsidRDefault="00B14027" w:rsidP="00B14027">
      <w:pPr>
        <w:rPr>
          <w:szCs w:val="22"/>
        </w:rPr>
      </w:pPr>
    </w:p>
    <w:p w14:paraId="7B2CBC78" w14:textId="77777777" w:rsidR="00C651D0" w:rsidRDefault="00C651D0" w:rsidP="0009503A">
      <w:pPr>
        <w:rPr>
          <w:rFonts w:ascii="Arial" w:hAnsi="Arial" w:cs="Arial"/>
          <w:szCs w:val="22"/>
        </w:rPr>
      </w:pPr>
    </w:p>
    <w:p w14:paraId="52CBF61E" w14:textId="75ADC220" w:rsidR="00AF47A3" w:rsidRDefault="00AF47A3" w:rsidP="0009503A">
      <w:pPr>
        <w:rPr>
          <w:rFonts w:ascii="Arial" w:hAnsi="Arial" w:cs="Arial"/>
          <w:szCs w:val="22"/>
        </w:rPr>
      </w:pPr>
    </w:p>
    <w:p w14:paraId="25FD2EAD" w14:textId="7CF46FCC" w:rsidR="00AF47A3" w:rsidRDefault="00AF47A3" w:rsidP="0009503A">
      <w:pPr>
        <w:rPr>
          <w:rFonts w:ascii="Arial" w:hAnsi="Arial" w:cs="Arial"/>
          <w:szCs w:val="22"/>
        </w:rPr>
      </w:pPr>
    </w:p>
    <w:p w14:paraId="4871D3DA" w14:textId="51D93E04" w:rsidR="00AF47A3" w:rsidRDefault="00AF47A3" w:rsidP="0009503A">
      <w:pPr>
        <w:rPr>
          <w:rFonts w:ascii="Arial" w:hAnsi="Arial" w:cs="Arial"/>
          <w:szCs w:val="22"/>
        </w:rPr>
      </w:pPr>
    </w:p>
    <w:p w14:paraId="162D07E8" w14:textId="77777777" w:rsidR="00AF47A3" w:rsidRPr="00985A2D" w:rsidRDefault="00AF47A3" w:rsidP="0009503A">
      <w:pPr>
        <w:rPr>
          <w:rFonts w:ascii="Arial" w:hAnsi="Arial" w:cs="Arial"/>
          <w:szCs w:val="22"/>
        </w:rPr>
      </w:pPr>
    </w:p>
    <w:sectPr w:rsidR="00AF47A3" w:rsidRPr="00985A2D" w:rsidSect="00BF2742">
      <w:headerReference w:type="default" r:id="rId25"/>
      <w:footerReference w:type="default" r:id="rId26"/>
      <w:pgSz w:w="12240" w:h="15840"/>
      <w:pgMar w:top="2722" w:right="1701" w:bottom="213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7B766" w14:textId="77777777" w:rsidR="001B5FFF" w:rsidRDefault="001B5FFF" w:rsidP="003D302F">
      <w:r>
        <w:separator/>
      </w:r>
    </w:p>
  </w:endnote>
  <w:endnote w:type="continuationSeparator" w:id="0">
    <w:p w14:paraId="7FDC0171" w14:textId="77777777" w:rsidR="001B5FFF" w:rsidRDefault="001B5FFF" w:rsidP="003D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altName w:val="Poppins Light"/>
    <w:charset w:val="00"/>
    <w:family w:val="auto"/>
    <w:pitch w:val="variable"/>
    <w:sig w:usb0="00008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ACE2" w14:textId="77777777" w:rsidR="001B5FFF" w:rsidRDefault="001B5FFF">
    <w:pPr>
      <w:pStyle w:val="Piedepgina"/>
    </w:pPr>
    <w:r>
      <w:rPr>
        <w:noProof/>
        <w:lang w:eastAsia="es-CO"/>
      </w:rPr>
      <mc:AlternateContent>
        <mc:Choice Requires="wps">
          <w:drawing>
            <wp:anchor distT="0" distB="0" distL="114300" distR="114300" simplePos="0" relativeHeight="251664384" behindDoc="0" locked="0" layoutInCell="1" allowOverlap="1" wp14:anchorId="7234ACE7" wp14:editId="7234ACE8">
              <wp:simplePos x="0" y="0"/>
              <wp:positionH relativeFrom="column">
                <wp:posOffset>-102074</wp:posOffset>
              </wp:positionH>
              <wp:positionV relativeFrom="paragraph">
                <wp:posOffset>-110932</wp:posOffset>
              </wp:positionV>
              <wp:extent cx="2106592" cy="0"/>
              <wp:effectExtent l="12700" t="12700" r="1905" b="12700"/>
              <wp:wrapNone/>
              <wp:docPr id="7" name="Conector recto 7"/>
              <wp:cNvGraphicFramePr/>
              <a:graphic xmlns:a="http://schemas.openxmlformats.org/drawingml/2006/main">
                <a:graphicData uri="http://schemas.microsoft.com/office/word/2010/wordprocessingShape">
                  <wps:wsp>
                    <wps:cNvCnPr/>
                    <wps:spPr>
                      <a:xfrm flipH="1">
                        <a:off x="0" y="0"/>
                        <a:ext cx="2106592" cy="0"/>
                      </a:xfrm>
                      <a:prstGeom prst="line">
                        <a:avLst/>
                      </a:prstGeom>
                      <a:ln w="19050">
                        <a:solidFill>
                          <a:srgbClr val="009F93">
                            <a:alpha val="2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E99FA76" id="Conector recto 7"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8.75pt" to="157.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" strokecolor="#009f93" strokeweight="1.5pt">
              <v:stroke opacity="13107f" joinstyle="miter"/>
            </v:line>
          </w:pict>
        </mc:Fallback>
      </mc:AlternateContent>
    </w:r>
    <w:r>
      <w:rPr>
        <w:noProof/>
        <w:lang w:eastAsia="es-CO"/>
      </w:rPr>
      <w:drawing>
        <wp:anchor distT="0" distB="0" distL="114300" distR="114300" simplePos="0" relativeHeight="251667456" behindDoc="1" locked="0" layoutInCell="1" allowOverlap="1" wp14:anchorId="7234ACE9" wp14:editId="7234ACEA">
          <wp:simplePos x="0" y="0"/>
          <wp:positionH relativeFrom="column">
            <wp:posOffset>2082165</wp:posOffset>
          </wp:positionH>
          <wp:positionV relativeFrom="paragraph">
            <wp:posOffset>-425133</wp:posOffset>
          </wp:positionV>
          <wp:extent cx="3976445" cy="380045"/>
          <wp:effectExtent l="0" t="0" r="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a de Pantalla 2022-08-08 a la(s) 5.24.47 p. m..png"/>
                  <pic:cNvPicPr/>
                </pic:nvPicPr>
                <pic:blipFill>
                  <a:blip r:embed="rId1">
                    <a:extLst>
                      <a:ext uri="{28A0092B-C50C-407E-A947-70E740481C1C}">
                        <a14:useLocalDpi xmlns:a14="http://schemas.microsoft.com/office/drawing/2010/main" val="0"/>
                      </a:ext>
                    </a:extLst>
                  </a:blip>
                  <a:stretch>
                    <a:fillRect/>
                  </a:stretch>
                </pic:blipFill>
                <pic:spPr>
                  <a:xfrm>
                    <a:off x="0" y="0"/>
                    <a:ext cx="3976445" cy="3800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1312" behindDoc="1" locked="0" layoutInCell="1" allowOverlap="1" wp14:anchorId="7234ACEB" wp14:editId="7234ACEC">
          <wp:simplePos x="0" y="0"/>
          <wp:positionH relativeFrom="column">
            <wp:posOffset>5625465</wp:posOffset>
          </wp:positionH>
          <wp:positionV relativeFrom="paragraph">
            <wp:posOffset>98658</wp:posOffset>
          </wp:positionV>
          <wp:extent cx="1054735" cy="542486"/>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2-08-08 a la(s) 5.14.59 p. m..png"/>
                  <pic:cNvPicPr/>
                </pic:nvPicPr>
                <pic:blipFill>
                  <a:blip r:embed="rId2">
                    <a:extLst>
                      <a:ext uri="{28A0092B-C50C-407E-A947-70E740481C1C}">
                        <a14:useLocalDpi xmlns:a14="http://schemas.microsoft.com/office/drawing/2010/main" val="0"/>
                      </a:ext>
                    </a:extLst>
                  </a:blip>
                  <a:stretch>
                    <a:fillRect/>
                  </a:stretch>
                </pic:blipFill>
                <pic:spPr>
                  <a:xfrm>
                    <a:off x="0" y="0"/>
                    <a:ext cx="1089700" cy="56046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4801C" w14:textId="77777777" w:rsidR="001B5FFF" w:rsidRDefault="001B5FFF" w:rsidP="003D302F">
      <w:r>
        <w:separator/>
      </w:r>
    </w:p>
  </w:footnote>
  <w:footnote w:type="continuationSeparator" w:id="0">
    <w:p w14:paraId="1162876B" w14:textId="77777777" w:rsidR="001B5FFF" w:rsidRDefault="001B5FFF" w:rsidP="003D30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ACE1" w14:textId="77777777" w:rsidR="001B5FFF" w:rsidRDefault="001B5FFF">
    <w:pPr>
      <w:pStyle w:val="Encabezado"/>
    </w:pPr>
    <w:r>
      <w:rPr>
        <w:noProof/>
        <w:lang w:eastAsia="es-CO"/>
      </w:rPr>
      <mc:AlternateContent>
        <mc:Choice Requires="wps">
          <w:drawing>
            <wp:anchor distT="0" distB="0" distL="114300" distR="114300" simplePos="0" relativeHeight="251663360" behindDoc="0" locked="0" layoutInCell="1" allowOverlap="1" wp14:anchorId="7234ACE3" wp14:editId="7234ACE4">
              <wp:simplePos x="0" y="0"/>
              <wp:positionH relativeFrom="column">
                <wp:posOffset>-104590</wp:posOffset>
              </wp:positionH>
              <wp:positionV relativeFrom="paragraph">
                <wp:posOffset>1791003</wp:posOffset>
              </wp:positionV>
              <wp:extent cx="0" cy="7072638"/>
              <wp:effectExtent l="12700" t="0" r="12700" b="13970"/>
              <wp:wrapNone/>
              <wp:docPr id="6" name="Conector recto 6"/>
              <wp:cNvGraphicFramePr/>
              <a:graphic xmlns:a="http://schemas.openxmlformats.org/drawingml/2006/main">
                <a:graphicData uri="http://schemas.microsoft.com/office/word/2010/wordprocessingShape">
                  <wps:wsp>
                    <wps:cNvCnPr/>
                    <wps:spPr>
                      <a:xfrm>
                        <a:off x="0" y="0"/>
                        <a:ext cx="0" cy="7072638"/>
                      </a:xfrm>
                      <a:prstGeom prst="line">
                        <a:avLst/>
                      </a:prstGeom>
                      <a:ln w="19050">
                        <a:solidFill>
                          <a:srgbClr val="009F93">
                            <a:alpha val="2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E43B03B" id="Conector recto 6"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5pt,141pt" to="-8.25pt,6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" strokecolor="#009f93" strokeweight="1.5pt">
              <v:stroke opacity="13107f" joinstyle="miter"/>
            </v:line>
          </w:pict>
        </mc:Fallback>
      </mc:AlternateContent>
    </w:r>
    <w:r>
      <w:rPr>
        <w:noProof/>
        <w:lang w:eastAsia="es-CO"/>
      </w:rPr>
      <w:drawing>
        <wp:anchor distT="0" distB="0" distL="114300" distR="114300" simplePos="0" relativeHeight="251668480" behindDoc="1" locked="0" layoutInCell="1" allowOverlap="1" wp14:anchorId="7234ACE5" wp14:editId="7234ACE6">
          <wp:simplePos x="0" y="0"/>
          <wp:positionH relativeFrom="column">
            <wp:posOffset>-191135</wp:posOffset>
          </wp:positionH>
          <wp:positionV relativeFrom="paragraph">
            <wp:posOffset>-5080</wp:posOffset>
          </wp:positionV>
          <wp:extent cx="2760345" cy="1302385"/>
          <wp:effectExtent l="0" t="0" r="0" b="571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a de Pantalla 2022-08-08 a la(s) 5.24.03 p. m..png"/>
                  <pic:cNvPicPr/>
                </pic:nvPicPr>
                <pic:blipFill>
                  <a:blip r:embed="rId1">
                    <a:extLst>
                      <a:ext uri="{28A0092B-C50C-407E-A947-70E740481C1C}">
                        <a14:useLocalDpi xmlns:a14="http://schemas.microsoft.com/office/drawing/2010/main" val="0"/>
                      </a:ext>
                    </a:extLst>
                  </a:blip>
                  <a:stretch>
                    <a:fillRect/>
                  </a:stretch>
                </pic:blipFill>
                <pic:spPr>
                  <a:xfrm>
                    <a:off x="0" y="0"/>
                    <a:ext cx="2760345" cy="13023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37A0"/>
    <w:multiLevelType w:val="hybridMultilevel"/>
    <w:tmpl w:val="50E037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D7923CC"/>
    <w:multiLevelType w:val="hybridMultilevel"/>
    <w:tmpl w:val="1C567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D0F6B4A"/>
    <w:multiLevelType w:val="hybridMultilevel"/>
    <w:tmpl w:val="34CA8C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FD444D2"/>
    <w:multiLevelType w:val="multilevel"/>
    <w:tmpl w:val="DB4A6170"/>
    <w:lvl w:ilvl="0">
      <w:start w:val="2"/>
      <w:numFmt w:val="decimal"/>
      <w:lvlText w:val="%1."/>
      <w:lvlJc w:val="left"/>
      <w:pPr>
        <w:ind w:left="570" w:hanging="570"/>
      </w:pPr>
      <w:rPr>
        <w:rFonts w:ascii="Times New Roman" w:hAnsi="Times New Roman" w:cs="Times New Roman" w:hint="default"/>
        <w:b/>
        <w:color w:val="auto"/>
        <w:sz w:val="32"/>
      </w:rPr>
    </w:lvl>
    <w:lvl w:ilvl="1">
      <w:start w:val="1"/>
      <w:numFmt w:val="decimal"/>
      <w:lvlText w:val="%1.%2."/>
      <w:lvlJc w:val="left"/>
      <w:pPr>
        <w:ind w:left="570" w:hanging="57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C21246"/>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611E0B06"/>
    <w:multiLevelType w:val="hybridMultilevel"/>
    <w:tmpl w:val="E7261950"/>
    <w:lvl w:ilvl="0" w:tplc="FFFFFFFF">
      <w:start w:val="1"/>
      <w:numFmt w:val="decimal"/>
      <w:lvlText w:val="%1)"/>
      <w:lvlJc w:val="left"/>
      <w:pPr>
        <w:ind w:left="720" w:hanging="360"/>
      </w:pPr>
      <w:rPr>
        <w:rFonts w:ascii="Poppins Light" w:eastAsiaTheme="minorEastAsia" w:hAnsi="Poppins Light"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606EA3"/>
    <w:multiLevelType w:val="hybridMultilevel"/>
    <w:tmpl w:val="558C6174"/>
    <w:lvl w:ilvl="0" w:tplc="F6722EE2">
      <w:start w:val="1"/>
      <w:numFmt w:val="bullet"/>
      <w:lvlText w:val=""/>
      <w:lvlJc w:val="left"/>
      <w:pPr>
        <w:ind w:left="720" w:hanging="360"/>
      </w:pPr>
      <w:rPr>
        <w:rFonts w:ascii="Symbol" w:hAnsi="Symbo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093756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6A569F"/>
    <w:multiLevelType w:val="multilevel"/>
    <w:tmpl w:val="D004A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2F"/>
    <w:rsid w:val="0003253C"/>
    <w:rsid w:val="00075A75"/>
    <w:rsid w:val="0008115D"/>
    <w:rsid w:val="000845DB"/>
    <w:rsid w:val="0009503A"/>
    <w:rsid w:val="00095581"/>
    <w:rsid w:val="000A605E"/>
    <w:rsid w:val="000F4CAC"/>
    <w:rsid w:val="000F4E5B"/>
    <w:rsid w:val="00102ED9"/>
    <w:rsid w:val="00103DA8"/>
    <w:rsid w:val="00121359"/>
    <w:rsid w:val="001215F1"/>
    <w:rsid w:val="00142E2A"/>
    <w:rsid w:val="00146E11"/>
    <w:rsid w:val="00185133"/>
    <w:rsid w:val="0019149E"/>
    <w:rsid w:val="00195079"/>
    <w:rsid w:val="00197864"/>
    <w:rsid w:val="001A1396"/>
    <w:rsid w:val="001B5FFF"/>
    <w:rsid w:val="001E2AA6"/>
    <w:rsid w:val="001E2E7B"/>
    <w:rsid w:val="001E3AFB"/>
    <w:rsid w:val="001F0ECA"/>
    <w:rsid w:val="001F4974"/>
    <w:rsid w:val="001F7AE8"/>
    <w:rsid w:val="00227D63"/>
    <w:rsid w:val="002437ED"/>
    <w:rsid w:val="0026779F"/>
    <w:rsid w:val="00275703"/>
    <w:rsid w:val="002A56FE"/>
    <w:rsid w:val="002C3EDA"/>
    <w:rsid w:val="002E1AE8"/>
    <w:rsid w:val="002F1A91"/>
    <w:rsid w:val="002F7789"/>
    <w:rsid w:val="003033A2"/>
    <w:rsid w:val="003047A9"/>
    <w:rsid w:val="0034290B"/>
    <w:rsid w:val="0034542A"/>
    <w:rsid w:val="00352818"/>
    <w:rsid w:val="0037237A"/>
    <w:rsid w:val="00394649"/>
    <w:rsid w:val="003C6EF9"/>
    <w:rsid w:val="003D0818"/>
    <w:rsid w:val="003D302F"/>
    <w:rsid w:val="003F3D36"/>
    <w:rsid w:val="0040702F"/>
    <w:rsid w:val="00436A97"/>
    <w:rsid w:val="00462EF2"/>
    <w:rsid w:val="004B5F4F"/>
    <w:rsid w:val="004E0658"/>
    <w:rsid w:val="004E6ED3"/>
    <w:rsid w:val="004F0993"/>
    <w:rsid w:val="00501C6A"/>
    <w:rsid w:val="0050455C"/>
    <w:rsid w:val="005533BF"/>
    <w:rsid w:val="00563829"/>
    <w:rsid w:val="005646D0"/>
    <w:rsid w:val="005A613A"/>
    <w:rsid w:val="005A6430"/>
    <w:rsid w:val="005B1193"/>
    <w:rsid w:val="005E351F"/>
    <w:rsid w:val="005F2298"/>
    <w:rsid w:val="00616479"/>
    <w:rsid w:val="00637696"/>
    <w:rsid w:val="00665646"/>
    <w:rsid w:val="00670908"/>
    <w:rsid w:val="00673B0F"/>
    <w:rsid w:val="006809C2"/>
    <w:rsid w:val="00683CFC"/>
    <w:rsid w:val="00686826"/>
    <w:rsid w:val="006B7C57"/>
    <w:rsid w:val="006D6FBB"/>
    <w:rsid w:val="006E3580"/>
    <w:rsid w:val="006E549B"/>
    <w:rsid w:val="006F1C17"/>
    <w:rsid w:val="006F222D"/>
    <w:rsid w:val="006F71C7"/>
    <w:rsid w:val="00716639"/>
    <w:rsid w:val="007205C8"/>
    <w:rsid w:val="007208AC"/>
    <w:rsid w:val="00720D0F"/>
    <w:rsid w:val="0077428E"/>
    <w:rsid w:val="007B0598"/>
    <w:rsid w:val="007B5B30"/>
    <w:rsid w:val="007C03F1"/>
    <w:rsid w:val="007C1B53"/>
    <w:rsid w:val="008209EC"/>
    <w:rsid w:val="00843FF0"/>
    <w:rsid w:val="00844866"/>
    <w:rsid w:val="00863E43"/>
    <w:rsid w:val="00873FB5"/>
    <w:rsid w:val="0088045F"/>
    <w:rsid w:val="008A531B"/>
    <w:rsid w:val="008B78F5"/>
    <w:rsid w:val="008E025A"/>
    <w:rsid w:val="008E1C90"/>
    <w:rsid w:val="008E5850"/>
    <w:rsid w:val="009152F4"/>
    <w:rsid w:val="009459DC"/>
    <w:rsid w:val="00951DF5"/>
    <w:rsid w:val="00961BBC"/>
    <w:rsid w:val="00985A2D"/>
    <w:rsid w:val="009A7E0E"/>
    <w:rsid w:val="009C01F0"/>
    <w:rsid w:val="009C5626"/>
    <w:rsid w:val="009C78C7"/>
    <w:rsid w:val="009F20F0"/>
    <w:rsid w:val="009F4E74"/>
    <w:rsid w:val="009F78BB"/>
    <w:rsid w:val="00A23988"/>
    <w:rsid w:val="00A54B22"/>
    <w:rsid w:val="00A859E4"/>
    <w:rsid w:val="00AC0E56"/>
    <w:rsid w:val="00AF47A3"/>
    <w:rsid w:val="00B049E6"/>
    <w:rsid w:val="00B14027"/>
    <w:rsid w:val="00B21A50"/>
    <w:rsid w:val="00B36CAC"/>
    <w:rsid w:val="00B60000"/>
    <w:rsid w:val="00B70666"/>
    <w:rsid w:val="00B8528D"/>
    <w:rsid w:val="00B86D1E"/>
    <w:rsid w:val="00B927CC"/>
    <w:rsid w:val="00BB3A75"/>
    <w:rsid w:val="00BC3733"/>
    <w:rsid w:val="00BE0FDB"/>
    <w:rsid w:val="00BF0C74"/>
    <w:rsid w:val="00BF2742"/>
    <w:rsid w:val="00C07C4C"/>
    <w:rsid w:val="00C523A3"/>
    <w:rsid w:val="00C64C9B"/>
    <w:rsid w:val="00C651D0"/>
    <w:rsid w:val="00C66F54"/>
    <w:rsid w:val="00C739B0"/>
    <w:rsid w:val="00C8330C"/>
    <w:rsid w:val="00C862C9"/>
    <w:rsid w:val="00C92814"/>
    <w:rsid w:val="00CA41BE"/>
    <w:rsid w:val="00CC52B5"/>
    <w:rsid w:val="00CD660A"/>
    <w:rsid w:val="00CD6901"/>
    <w:rsid w:val="00CE77CA"/>
    <w:rsid w:val="00CF0B9E"/>
    <w:rsid w:val="00D10898"/>
    <w:rsid w:val="00D4245E"/>
    <w:rsid w:val="00D4581B"/>
    <w:rsid w:val="00D46C64"/>
    <w:rsid w:val="00D57E7A"/>
    <w:rsid w:val="00D60E12"/>
    <w:rsid w:val="00DE30EC"/>
    <w:rsid w:val="00E05903"/>
    <w:rsid w:val="00E07C08"/>
    <w:rsid w:val="00E10644"/>
    <w:rsid w:val="00E17EAC"/>
    <w:rsid w:val="00E21530"/>
    <w:rsid w:val="00E221B7"/>
    <w:rsid w:val="00E26A73"/>
    <w:rsid w:val="00E5069E"/>
    <w:rsid w:val="00EC5F51"/>
    <w:rsid w:val="00ED19F3"/>
    <w:rsid w:val="00ED2580"/>
    <w:rsid w:val="00EE6A14"/>
    <w:rsid w:val="00EE74ED"/>
    <w:rsid w:val="00F13ABD"/>
    <w:rsid w:val="00F37FDC"/>
    <w:rsid w:val="00F408B5"/>
    <w:rsid w:val="00F97C0F"/>
    <w:rsid w:val="00FA6814"/>
    <w:rsid w:val="00FC66B6"/>
    <w:rsid w:val="00FD7DD3"/>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ACC8"/>
  <w15:chartTrackingRefBased/>
  <w15:docId w15:val="{907B8C52-6D23-E148-851C-7D67D06C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8F5"/>
    <w:pPr>
      <w:spacing w:line="360" w:lineRule="auto"/>
      <w:jc w:val="both"/>
    </w:pPr>
    <w:rPr>
      <w:rFonts w:ascii="Tahoma" w:eastAsiaTheme="minorEastAsia" w:hAnsi="Tahoma"/>
      <w:sz w:val="22"/>
    </w:rPr>
  </w:style>
  <w:style w:type="paragraph" w:styleId="Ttulo1">
    <w:name w:val="heading 1"/>
    <w:basedOn w:val="Normal"/>
    <w:next w:val="Normal"/>
    <w:link w:val="Ttulo1Car"/>
    <w:uiPriority w:val="9"/>
    <w:qFormat/>
    <w:rsid w:val="00CA41BE"/>
    <w:pPr>
      <w:keepNext/>
      <w:keepLines/>
      <w:numPr>
        <w:numId w:val="1"/>
      </w:numPr>
      <w:spacing w:before="240"/>
      <w:ind w:left="431" w:hanging="431"/>
      <w:jc w:val="center"/>
      <w:outlineLvl w:val="0"/>
    </w:pPr>
    <w:rPr>
      <w:rFonts w:eastAsiaTheme="majorEastAsia" w:cstheme="majorBidi"/>
      <w:b/>
      <w:color w:val="7F7F7F" w:themeColor="text1" w:themeTint="80"/>
      <w:sz w:val="32"/>
      <w:szCs w:val="32"/>
    </w:rPr>
  </w:style>
  <w:style w:type="paragraph" w:styleId="Ttulo2">
    <w:name w:val="heading 2"/>
    <w:basedOn w:val="Normal"/>
    <w:next w:val="Normal"/>
    <w:link w:val="Ttulo2Car"/>
    <w:uiPriority w:val="9"/>
    <w:unhideWhenUsed/>
    <w:qFormat/>
    <w:rsid w:val="006D6FBB"/>
    <w:pPr>
      <w:keepNext/>
      <w:keepLines/>
      <w:numPr>
        <w:ilvl w:val="1"/>
        <w:numId w:val="1"/>
      </w:numPr>
      <w:spacing w:before="40"/>
      <w:outlineLvl w:val="1"/>
    </w:pPr>
    <w:rPr>
      <w:rFonts w:eastAsiaTheme="majorEastAsia" w:cstheme="majorBidi"/>
      <w:b/>
      <w:color w:val="595959" w:themeColor="text1" w:themeTint="A6"/>
      <w:sz w:val="28"/>
      <w:szCs w:val="26"/>
    </w:rPr>
  </w:style>
  <w:style w:type="paragraph" w:styleId="Ttulo3">
    <w:name w:val="heading 3"/>
    <w:basedOn w:val="Normal"/>
    <w:next w:val="Normal"/>
    <w:link w:val="Ttulo3Car"/>
    <w:uiPriority w:val="9"/>
    <w:unhideWhenUsed/>
    <w:qFormat/>
    <w:rsid w:val="00DE30EC"/>
    <w:pPr>
      <w:keepNext/>
      <w:keepLines/>
      <w:numPr>
        <w:ilvl w:val="2"/>
        <w:numId w:val="1"/>
      </w:numPr>
      <w:spacing w:before="40"/>
      <w:outlineLvl w:val="2"/>
    </w:pPr>
    <w:rPr>
      <w:rFonts w:eastAsiaTheme="majorEastAsia" w:cstheme="majorBidi"/>
      <w:b/>
      <w:color w:val="1F3763" w:themeColor="accent1" w:themeShade="7F"/>
    </w:rPr>
  </w:style>
  <w:style w:type="paragraph" w:styleId="Ttulo4">
    <w:name w:val="heading 4"/>
    <w:basedOn w:val="Normal"/>
    <w:next w:val="Normal"/>
    <w:link w:val="Ttulo4Car"/>
    <w:uiPriority w:val="9"/>
    <w:semiHidden/>
    <w:unhideWhenUsed/>
    <w:qFormat/>
    <w:rsid w:val="009C5626"/>
    <w:pPr>
      <w:keepNext/>
      <w:keepLines/>
      <w:numPr>
        <w:ilvl w:val="3"/>
        <w:numId w:val="1"/>
      </w:numPr>
      <w:spacing w:before="40"/>
      <w:outlineLvl w:val="3"/>
    </w:pPr>
    <w:rPr>
      <w:rFonts w:asciiTheme="majorHAnsi" w:eastAsiaTheme="majorEastAsia" w:hAnsiTheme="majorHAnsi" w:cstheme="majorBidi"/>
      <w:i/>
      <w:iCs/>
      <w:color w:val="2F5496" w:themeColor="accent1" w:themeShade="BF"/>
      <w:szCs w:val="22"/>
    </w:rPr>
  </w:style>
  <w:style w:type="paragraph" w:styleId="Ttulo5">
    <w:name w:val="heading 5"/>
    <w:basedOn w:val="Normal"/>
    <w:next w:val="Normal"/>
    <w:link w:val="Ttulo5Car"/>
    <w:uiPriority w:val="9"/>
    <w:semiHidden/>
    <w:unhideWhenUsed/>
    <w:qFormat/>
    <w:rsid w:val="009C5626"/>
    <w:pPr>
      <w:keepNext/>
      <w:keepLines/>
      <w:numPr>
        <w:ilvl w:val="4"/>
        <w:numId w:val="1"/>
      </w:numPr>
      <w:spacing w:before="40"/>
      <w:outlineLvl w:val="4"/>
    </w:pPr>
    <w:rPr>
      <w:rFonts w:asciiTheme="majorHAnsi" w:eastAsiaTheme="majorEastAsia" w:hAnsiTheme="majorHAnsi" w:cstheme="majorBidi"/>
      <w:color w:val="2F5496" w:themeColor="accent1" w:themeShade="BF"/>
      <w:szCs w:val="22"/>
    </w:rPr>
  </w:style>
  <w:style w:type="paragraph" w:styleId="Ttulo6">
    <w:name w:val="heading 6"/>
    <w:basedOn w:val="Normal"/>
    <w:next w:val="Normal"/>
    <w:link w:val="Ttulo6Car"/>
    <w:uiPriority w:val="9"/>
    <w:semiHidden/>
    <w:unhideWhenUsed/>
    <w:qFormat/>
    <w:rsid w:val="009C5626"/>
    <w:pPr>
      <w:keepNext/>
      <w:keepLines/>
      <w:numPr>
        <w:ilvl w:val="5"/>
        <w:numId w:val="1"/>
      </w:numPr>
      <w:spacing w:before="40"/>
      <w:outlineLvl w:val="5"/>
    </w:pPr>
    <w:rPr>
      <w:rFonts w:asciiTheme="majorHAnsi" w:eastAsiaTheme="majorEastAsia" w:hAnsiTheme="majorHAnsi" w:cstheme="majorBidi"/>
      <w:color w:val="1F3763" w:themeColor="accent1" w:themeShade="7F"/>
      <w:szCs w:val="22"/>
    </w:rPr>
  </w:style>
  <w:style w:type="paragraph" w:styleId="Ttulo7">
    <w:name w:val="heading 7"/>
    <w:basedOn w:val="Normal"/>
    <w:next w:val="Normal"/>
    <w:link w:val="Ttulo7Car"/>
    <w:uiPriority w:val="9"/>
    <w:semiHidden/>
    <w:unhideWhenUsed/>
    <w:qFormat/>
    <w:rsid w:val="009C5626"/>
    <w:pPr>
      <w:keepNext/>
      <w:keepLines/>
      <w:numPr>
        <w:ilvl w:val="6"/>
        <w:numId w:val="1"/>
      </w:numPr>
      <w:spacing w:before="40"/>
      <w:outlineLvl w:val="6"/>
    </w:pPr>
    <w:rPr>
      <w:rFonts w:asciiTheme="majorHAnsi" w:eastAsiaTheme="majorEastAsia" w:hAnsiTheme="majorHAnsi" w:cstheme="majorBidi"/>
      <w:i/>
      <w:iCs/>
      <w:color w:val="1F3763" w:themeColor="accent1" w:themeShade="7F"/>
      <w:szCs w:val="22"/>
    </w:rPr>
  </w:style>
  <w:style w:type="paragraph" w:styleId="Ttulo8">
    <w:name w:val="heading 8"/>
    <w:basedOn w:val="Normal"/>
    <w:next w:val="Normal"/>
    <w:link w:val="Ttulo8Car"/>
    <w:uiPriority w:val="9"/>
    <w:semiHidden/>
    <w:unhideWhenUsed/>
    <w:qFormat/>
    <w:rsid w:val="009C562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C562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302F"/>
    <w:pPr>
      <w:tabs>
        <w:tab w:val="center" w:pos="4252"/>
        <w:tab w:val="right" w:pos="8504"/>
      </w:tabs>
    </w:pPr>
  </w:style>
  <w:style w:type="character" w:customStyle="1" w:styleId="EncabezadoCar">
    <w:name w:val="Encabezado Car"/>
    <w:basedOn w:val="Fuentedeprrafopredeter"/>
    <w:link w:val="Encabezado"/>
    <w:uiPriority w:val="99"/>
    <w:rsid w:val="003D302F"/>
    <w:rPr>
      <w:rFonts w:eastAsiaTheme="minorEastAsia"/>
    </w:rPr>
  </w:style>
  <w:style w:type="paragraph" w:styleId="Piedepgina">
    <w:name w:val="footer"/>
    <w:basedOn w:val="Normal"/>
    <w:link w:val="PiedepginaCar"/>
    <w:uiPriority w:val="99"/>
    <w:unhideWhenUsed/>
    <w:rsid w:val="003D302F"/>
    <w:pPr>
      <w:tabs>
        <w:tab w:val="center" w:pos="4252"/>
        <w:tab w:val="right" w:pos="8504"/>
      </w:tabs>
    </w:pPr>
  </w:style>
  <w:style w:type="character" w:customStyle="1" w:styleId="PiedepginaCar">
    <w:name w:val="Pie de página Car"/>
    <w:basedOn w:val="Fuentedeprrafopredeter"/>
    <w:link w:val="Piedepgina"/>
    <w:uiPriority w:val="99"/>
    <w:rsid w:val="003D302F"/>
    <w:rPr>
      <w:rFonts w:eastAsiaTheme="minorEastAsia"/>
    </w:rPr>
  </w:style>
  <w:style w:type="character" w:customStyle="1" w:styleId="Ttulo1Car">
    <w:name w:val="Título 1 Car"/>
    <w:basedOn w:val="Fuentedeprrafopredeter"/>
    <w:link w:val="Ttulo1"/>
    <w:uiPriority w:val="9"/>
    <w:rsid w:val="00CA41BE"/>
    <w:rPr>
      <w:rFonts w:ascii="Tahoma" w:eastAsiaTheme="majorEastAsia" w:hAnsi="Tahoma" w:cstheme="majorBidi"/>
      <w:b/>
      <w:color w:val="7F7F7F" w:themeColor="text1" w:themeTint="80"/>
      <w:sz w:val="32"/>
      <w:szCs w:val="32"/>
    </w:rPr>
  </w:style>
  <w:style w:type="character" w:customStyle="1" w:styleId="Ttulo2Car">
    <w:name w:val="Título 2 Car"/>
    <w:basedOn w:val="Fuentedeprrafopredeter"/>
    <w:link w:val="Ttulo2"/>
    <w:uiPriority w:val="9"/>
    <w:rsid w:val="006D6FBB"/>
    <w:rPr>
      <w:rFonts w:ascii="Tahoma" w:eastAsiaTheme="majorEastAsia" w:hAnsi="Tahoma" w:cstheme="majorBidi"/>
      <w:b/>
      <w:color w:val="595959" w:themeColor="text1" w:themeTint="A6"/>
      <w:sz w:val="28"/>
      <w:szCs w:val="26"/>
    </w:rPr>
  </w:style>
  <w:style w:type="character" w:customStyle="1" w:styleId="Ttulo3Car">
    <w:name w:val="Título 3 Car"/>
    <w:basedOn w:val="Fuentedeprrafopredeter"/>
    <w:link w:val="Ttulo3"/>
    <w:uiPriority w:val="9"/>
    <w:rsid w:val="00DE30EC"/>
    <w:rPr>
      <w:rFonts w:ascii="Tahoma" w:eastAsiaTheme="majorEastAsia" w:hAnsi="Tahoma" w:cstheme="majorBidi"/>
      <w:b/>
      <w:color w:val="1F3763" w:themeColor="accent1" w:themeShade="7F"/>
      <w:sz w:val="22"/>
    </w:rPr>
  </w:style>
  <w:style w:type="character" w:customStyle="1" w:styleId="Ttulo4Car">
    <w:name w:val="Título 4 Car"/>
    <w:basedOn w:val="Fuentedeprrafopredeter"/>
    <w:link w:val="Ttulo4"/>
    <w:uiPriority w:val="9"/>
    <w:semiHidden/>
    <w:rsid w:val="009C5626"/>
    <w:rPr>
      <w:rFonts w:asciiTheme="majorHAnsi" w:eastAsiaTheme="majorEastAsia" w:hAnsiTheme="majorHAnsi" w:cstheme="majorBidi"/>
      <w:i/>
      <w:iCs/>
      <w:color w:val="2F5496" w:themeColor="accent1" w:themeShade="BF"/>
      <w:szCs w:val="22"/>
    </w:rPr>
  </w:style>
  <w:style w:type="character" w:customStyle="1" w:styleId="Ttulo5Car">
    <w:name w:val="Título 5 Car"/>
    <w:basedOn w:val="Fuentedeprrafopredeter"/>
    <w:link w:val="Ttulo5"/>
    <w:uiPriority w:val="9"/>
    <w:semiHidden/>
    <w:rsid w:val="009C5626"/>
    <w:rPr>
      <w:rFonts w:asciiTheme="majorHAnsi" w:eastAsiaTheme="majorEastAsia" w:hAnsiTheme="majorHAnsi" w:cstheme="majorBidi"/>
      <w:color w:val="2F5496" w:themeColor="accent1" w:themeShade="BF"/>
      <w:szCs w:val="22"/>
    </w:rPr>
  </w:style>
  <w:style w:type="character" w:customStyle="1" w:styleId="Ttulo6Car">
    <w:name w:val="Título 6 Car"/>
    <w:basedOn w:val="Fuentedeprrafopredeter"/>
    <w:link w:val="Ttulo6"/>
    <w:uiPriority w:val="9"/>
    <w:semiHidden/>
    <w:rsid w:val="009C5626"/>
    <w:rPr>
      <w:rFonts w:asciiTheme="majorHAnsi" w:eastAsiaTheme="majorEastAsia" w:hAnsiTheme="majorHAnsi" w:cstheme="majorBidi"/>
      <w:color w:val="1F3763" w:themeColor="accent1" w:themeShade="7F"/>
      <w:szCs w:val="22"/>
    </w:rPr>
  </w:style>
  <w:style w:type="character" w:customStyle="1" w:styleId="Ttulo7Car">
    <w:name w:val="Título 7 Car"/>
    <w:basedOn w:val="Fuentedeprrafopredeter"/>
    <w:link w:val="Ttulo7"/>
    <w:uiPriority w:val="9"/>
    <w:semiHidden/>
    <w:rsid w:val="009C5626"/>
    <w:rPr>
      <w:rFonts w:asciiTheme="majorHAnsi" w:eastAsiaTheme="majorEastAsia" w:hAnsiTheme="majorHAnsi" w:cstheme="majorBidi"/>
      <w:i/>
      <w:iCs/>
      <w:color w:val="1F3763" w:themeColor="accent1" w:themeShade="7F"/>
      <w:szCs w:val="22"/>
    </w:rPr>
  </w:style>
  <w:style w:type="character" w:customStyle="1" w:styleId="Ttulo8Car">
    <w:name w:val="Título 8 Car"/>
    <w:basedOn w:val="Fuentedeprrafopredeter"/>
    <w:link w:val="Ttulo8"/>
    <w:uiPriority w:val="9"/>
    <w:semiHidden/>
    <w:rsid w:val="009C562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C5626"/>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436A97"/>
    <w:pPr>
      <w:ind w:left="720"/>
      <w:contextualSpacing/>
    </w:pPr>
  </w:style>
  <w:style w:type="paragraph" w:styleId="Ttulo">
    <w:name w:val="Title"/>
    <w:basedOn w:val="Normal"/>
    <w:next w:val="Normal"/>
    <w:link w:val="TtuloCar"/>
    <w:uiPriority w:val="10"/>
    <w:qFormat/>
    <w:rsid w:val="0009503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503A"/>
    <w:rPr>
      <w:rFonts w:asciiTheme="majorHAnsi" w:eastAsiaTheme="majorEastAsia" w:hAnsiTheme="majorHAnsi" w:cstheme="majorBidi"/>
      <w:spacing w:val="-10"/>
      <w:kern w:val="28"/>
      <w:sz w:val="56"/>
      <w:szCs w:val="56"/>
    </w:rPr>
  </w:style>
  <w:style w:type="character" w:styleId="Referenciasutil">
    <w:name w:val="Subtle Reference"/>
    <w:basedOn w:val="CitaHTML"/>
    <w:uiPriority w:val="31"/>
    <w:qFormat/>
    <w:rsid w:val="001F4974"/>
    <w:rPr>
      <w:rFonts w:ascii="Tahoma" w:hAnsi="Tahoma"/>
      <w:i/>
      <w:iCs/>
      <w:smallCaps/>
      <w:color w:val="5A5A5A" w:themeColor="text1" w:themeTint="A5"/>
      <w:sz w:val="20"/>
    </w:rPr>
  </w:style>
  <w:style w:type="character" w:styleId="CitaHTML">
    <w:name w:val="HTML Cite"/>
    <w:basedOn w:val="Fuentedeprrafopredeter"/>
    <w:uiPriority w:val="99"/>
    <w:semiHidden/>
    <w:unhideWhenUsed/>
    <w:rsid w:val="001F4974"/>
    <w:rPr>
      <w:i/>
      <w:iCs/>
    </w:rPr>
  </w:style>
  <w:style w:type="paragraph" w:styleId="Textodeglobo">
    <w:name w:val="Balloon Text"/>
    <w:basedOn w:val="Normal"/>
    <w:link w:val="TextodegloboCar"/>
    <w:uiPriority w:val="99"/>
    <w:semiHidden/>
    <w:unhideWhenUsed/>
    <w:rsid w:val="0019149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149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00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hyperlink" Target="http://www.secretariasenado.gov.co/senado/basedoc/ley_0005_1992_pr007.html" TargetMode="Externa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5.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NALMAN\Dropbox\MCV_2020\Calidad\Salida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D:\CATALINA\OTROS\OTROS\MANIZALES%20COMO%20VAMOS\MCV_2020\Acceso\Origen%20estudiantes\Union_Universidad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ATALINA\OTROS\OTROS\MANIZALES%20COMO%20VAMOS\MCV_2020\Acceso\Origen%20estudiantes\Union_Universidad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ATALINA\OTROS\OTROS\MANIZALES%20COMO%20VAMOS\MCV_2020\Acceso\Origen%20estudiantes\Union_Universidad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restamos\Desktop\Asociar.csv"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restamos\Desktop\Asociar.csv"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Prestamos\Desktop\Asociar.csv"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Prestamos\Desktop\Asociar.csv"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Prestamos\Desktop\Cata\Libro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773835499478227E-2"/>
          <c:y val="4.4511879605720971E-2"/>
          <c:w val="0.92325155741074527"/>
          <c:h val="0.75235909775662679"/>
        </c:manualLayout>
      </c:layout>
      <c:barChart>
        <c:barDir val="col"/>
        <c:grouping val="clustered"/>
        <c:varyColors val="0"/>
        <c:ser>
          <c:idx val="0"/>
          <c:order val="0"/>
          <c:tx>
            <c:strRef>
              <c:f>Hoja1!$A$2</c:f>
              <c:strCache>
                <c:ptCount val="1"/>
                <c:pt idx="0">
                  <c:v>Departamento</c:v>
                </c:pt>
              </c:strCache>
            </c:strRef>
          </c:tx>
          <c:spPr>
            <a:solidFill>
              <a:schemeClr val="accent1"/>
            </a:solidFill>
            <a:ln>
              <a:noFill/>
            </a:ln>
            <a:effectLst/>
          </c:spPr>
          <c:invertIfNegative val="0"/>
          <c:dLbls>
            <c:dLbl>
              <c:idx val="5"/>
              <c:layout>
                <c:manualLayout>
                  <c:x val="0"/>
                  <c:y val="2.577319587628865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E64-4022-97AA-332FF22801B2}"/>
                </c:ext>
              </c:extLst>
            </c:dLbl>
            <c:dLbl>
              <c:idx val="6"/>
              <c:layout>
                <c:manualLayout>
                  <c:x val="0"/>
                  <c:y val="1.932989690721649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E64-4022-97AA-332FF22801B2}"/>
                </c:ext>
              </c:extLst>
            </c:dLbl>
            <c:dLbl>
              <c:idx val="10"/>
              <c:layout>
                <c:manualLayout>
                  <c:x val="0"/>
                  <c:y val="1.932989690721649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E64-4022-97AA-332FF22801B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Hoja1!$B$2:$L$2</c:f>
              <c:numCache>
                <c:formatCode>0.0%</c:formatCode>
                <c:ptCount val="11"/>
                <c:pt idx="0">
                  <c:v>0.39643562057355158</c:v>
                </c:pt>
                <c:pt idx="1">
                  <c:v>0.42062962051714642</c:v>
                </c:pt>
                <c:pt idx="2">
                  <c:v>0.45793715798345264</c:v>
                </c:pt>
                <c:pt idx="3">
                  <c:v>0.49150640638949883</c:v>
                </c:pt>
                <c:pt idx="4">
                  <c:v>0.51210083208561397</c:v>
                </c:pt>
                <c:pt idx="5">
                  <c:v>0.55327275450596636</c:v>
                </c:pt>
                <c:pt idx="6">
                  <c:v>0.56422099840113693</c:v>
                </c:pt>
                <c:pt idx="7">
                  <c:v>0.58373507141296099</c:v>
                </c:pt>
                <c:pt idx="8">
                  <c:v>0.57861030643925127</c:v>
                </c:pt>
                <c:pt idx="9">
                  <c:v>0.58032416231777373</c:v>
                </c:pt>
                <c:pt idx="10">
                  <c:v>0.55659358965815953</c:v>
                </c:pt>
              </c:numCache>
            </c:numRef>
          </c:val>
          <c:extLst>
            <c:ext xmlns:c16="http://schemas.microsoft.com/office/drawing/2014/chart" uri="{C3380CC4-5D6E-409C-BE32-E72D297353CC}">
              <c16:uniqueId val="{00000003-2E64-4022-97AA-332FF22801B2}"/>
            </c:ext>
          </c:extLst>
        </c:ser>
        <c:dLbls>
          <c:showLegendKey val="0"/>
          <c:showVal val="0"/>
          <c:showCatName val="0"/>
          <c:showSerName val="0"/>
          <c:showPercent val="0"/>
          <c:showBubbleSize val="0"/>
        </c:dLbls>
        <c:gapWidth val="60"/>
        <c:overlap val="-27"/>
        <c:axId val="444590288"/>
        <c:axId val="444594600"/>
      </c:barChart>
      <c:catAx>
        <c:axId val="44459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444594600"/>
        <c:crosses val="autoZero"/>
        <c:auto val="1"/>
        <c:lblAlgn val="ctr"/>
        <c:lblOffset val="100"/>
        <c:noMultiLvlLbl val="0"/>
      </c:catAx>
      <c:valAx>
        <c:axId val="444594600"/>
        <c:scaling>
          <c:orientation val="minMax"/>
          <c:max val="0.60000000000000009"/>
        </c:scaling>
        <c:delete val="1"/>
        <c:axPos val="l"/>
        <c:numFmt formatCode="0%" sourceLinked="0"/>
        <c:majorTickMark val="none"/>
        <c:minorTickMark val="none"/>
        <c:tickLblPos val="nextTo"/>
        <c:crossAx val="444590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mn-lt"/>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Hoja2!$I$29</c:f>
              <c:strCache>
                <c:ptCount val="1"/>
                <c:pt idx="0">
                  <c:v>2016 </c:v>
                </c:pt>
              </c:strCache>
            </c:strRef>
          </c:tx>
          <c:spPr>
            <a:solidFill>
              <a:schemeClr val="accent1"/>
            </a:solidFill>
            <a:ln>
              <a:noFill/>
            </a:ln>
            <a:effectLst/>
          </c:spPr>
          <c:invertIfNegative val="0"/>
          <c:cat>
            <c:strRef>
              <c:f>Hoja2!$H$30:$H$52</c:f>
              <c:strCache>
                <c:ptCount val="23"/>
                <c:pt idx="0">
                  <c:v>Florencia</c:v>
                </c:pt>
                <c:pt idx="1">
                  <c:v>Quibdó</c:v>
                </c:pt>
                <c:pt idx="2">
                  <c:v>Riohacha</c:v>
                </c:pt>
                <c:pt idx="3">
                  <c:v>Sincelejo</c:v>
                </c:pt>
                <c:pt idx="4">
                  <c:v>Valledupar</c:v>
                </c:pt>
                <c:pt idx="5">
                  <c:v>Cúcuta</c:v>
                </c:pt>
                <c:pt idx="6">
                  <c:v>Villavicencio</c:v>
                </c:pt>
                <c:pt idx="7">
                  <c:v>Ibagué</c:v>
                </c:pt>
                <c:pt idx="8">
                  <c:v>Pasto</c:v>
                </c:pt>
                <c:pt idx="9">
                  <c:v>Cali</c:v>
                </c:pt>
                <c:pt idx="10">
                  <c:v>Popayán</c:v>
                </c:pt>
                <c:pt idx="11">
                  <c:v>Bogotá</c:v>
                </c:pt>
                <c:pt idx="12">
                  <c:v>Neiva</c:v>
                </c:pt>
                <c:pt idx="13">
                  <c:v>Medellin</c:v>
                </c:pt>
                <c:pt idx="14">
                  <c:v>Pereira</c:v>
                </c:pt>
                <c:pt idx="15">
                  <c:v>Bucaramanga</c:v>
                </c:pt>
                <c:pt idx="16">
                  <c:v>Cartagena</c:v>
                </c:pt>
                <c:pt idx="17">
                  <c:v>Armenia</c:v>
                </c:pt>
                <c:pt idx="18">
                  <c:v>Tunja</c:v>
                </c:pt>
                <c:pt idx="19">
                  <c:v>Barranquilla</c:v>
                </c:pt>
                <c:pt idx="20">
                  <c:v>Santa Marta</c:v>
                </c:pt>
                <c:pt idx="21">
                  <c:v>Monteria</c:v>
                </c:pt>
                <c:pt idx="22">
                  <c:v>Manizales</c:v>
                </c:pt>
              </c:strCache>
            </c:strRef>
          </c:cat>
          <c:val>
            <c:numRef>
              <c:f>Hoja2!$I$30:$I$52</c:f>
              <c:numCache>
                <c:formatCode>#,#00%</c:formatCode>
                <c:ptCount val="23"/>
                <c:pt idx="0">
                  <c:v>0</c:v>
                </c:pt>
                <c:pt idx="1">
                  <c:v>0</c:v>
                </c:pt>
                <c:pt idx="2">
                  <c:v>0</c:v>
                </c:pt>
                <c:pt idx="3">
                  <c:v>0</c:v>
                </c:pt>
                <c:pt idx="4">
                  <c:v>0</c:v>
                </c:pt>
                <c:pt idx="5">
                  <c:v>0.24605157301943514</c:v>
                </c:pt>
                <c:pt idx="6">
                  <c:v>0.14234934740349903</c:v>
                </c:pt>
                <c:pt idx="7">
                  <c:v>2.7416038382453737E-3</c:v>
                </c:pt>
                <c:pt idx="8">
                  <c:v>3.7616611495636476E-5</c:v>
                </c:pt>
                <c:pt idx="9">
                  <c:v>0.56540772069717948</c:v>
                </c:pt>
                <c:pt idx="10">
                  <c:v>0.52266591449409683</c:v>
                </c:pt>
                <c:pt idx="11">
                  <c:v>0.4949073130983907</c:v>
                </c:pt>
                <c:pt idx="12">
                  <c:v>1.7035775127768313E-4</c:v>
                </c:pt>
                <c:pt idx="13">
                  <c:v>0.52359064575011238</c:v>
                </c:pt>
                <c:pt idx="14">
                  <c:v>0.66680777371560518</c:v>
                </c:pt>
                <c:pt idx="15">
                  <c:v>0.41406656786958784</c:v>
                </c:pt>
                <c:pt idx="16">
                  <c:v>0.48005339790754709</c:v>
                </c:pt>
                <c:pt idx="17">
                  <c:v>0</c:v>
                </c:pt>
                <c:pt idx="18">
                  <c:v>0.69889880234707824</c:v>
                </c:pt>
                <c:pt idx="19">
                  <c:v>0.32689326628605997</c:v>
                </c:pt>
                <c:pt idx="20">
                  <c:v>0.71834239130434785</c:v>
                </c:pt>
                <c:pt idx="21">
                  <c:v>0</c:v>
                </c:pt>
                <c:pt idx="22">
                  <c:v>0.86871762426351373</c:v>
                </c:pt>
              </c:numCache>
            </c:numRef>
          </c:val>
          <c:extLst>
            <c:ext xmlns:c16="http://schemas.microsoft.com/office/drawing/2014/chart" uri="{C3380CC4-5D6E-409C-BE32-E72D297353CC}">
              <c16:uniqueId val="{00000000-3091-43D1-A90E-F4A69AB1E3F0}"/>
            </c:ext>
          </c:extLst>
        </c:ser>
        <c:ser>
          <c:idx val="3"/>
          <c:order val="1"/>
          <c:tx>
            <c:strRef>
              <c:f>Hoja2!$L$29</c:f>
              <c:strCache>
                <c:ptCount val="1"/>
                <c:pt idx="0">
                  <c:v>2019 </c:v>
                </c:pt>
              </c:strCache>
            </c:strRef>
          </c:tx>
          <c:spPr>
            <a:solidFill>
              <a:schemeClr val="accent4"/>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Hoja2!$L$30:$L$52</c:f>
              <c:numCache>
                <c:formatCode>#,#00%</c:formatCode>
                <c:ptCount val="23"/>
                <c:pt idx="0">
                  <c:v>0</c:v>
                </c:pt>
                <c:pt idx="1">
                  <c:v>0</c:v>
                </c:pt>
                <c:pt idx="2">
                  <c:v>0</c:v>
                </c:pt>
                <c:pt idx="3">
                  <c:v>0</c:v>
                </c:pt>
                <c:pt idx="4">
                  <c:v>0</c:v>
                </c:pt>
                <c:pt idx="5">
                  <c:v>0.20368881932399849</c:v>
                </c:pt>
                <c:pt idx="6">
                  <c:v>0.21140992579337931</c:v>
                </c:pt>
                <c:pt idx="7">
                  <c:v>0.34491962749866539</c:v>
                </c:pt>
                <c:pt idx="8">
                  <c:v>0.41260649872754768</c:v>
                </c:pt>
                <c:pt idx="9">
                  <c:v>0.50993592238047059</c:v>
                </c:pt>
                <c:pt idx="10">
                  <c:v>0.53840375586854461</c:v>
                </c:pt>
                <c:pt idx="11">
                  <c:v>0.57085041219545896</c:v>
                </c:pt>
                <c:pt idx="12">
                  <c:v>0.58439755691282624</c:v>
                </c:pt>
                <c:pt idx="13">
                  <c:v>0.62845186036045109</c:v>
                </c:pt>
                <c:pt idx="14">
                  <c:v>0.63542909944942827</c:v>
                </c:pt>
                <c:pt idx="15">
                  <c:v>0.65224142049526235</c:v>
                </c:pt>
                <c:pt idx="16">
                  <c:v>0.68974194089523866</c:v>
                </c:pt>
                <c:pt idx="17">
                  <c:v>0.72447562669005339</c:v>
                </c:pt>
                <c:pt idx="18">
                  <c:v>0.73200045785798773</c:v>
                </c:pt>
                <c:pt idx="19">
                  <c:v>0.73267948412050588</c:v>
                </c:pt>
                <c:pt idx="20">
                  <c:v>0.81118787608647203</c:v>
                </c:pt>
                <c:pt idx="21">
                  <c:v>0.81857683703321282</c:v>
                </c:pt>
                <c:pt idx="22">
                  <c:v>0.92692585963977003</c:v>
                </c:pt>
              </c:numCache>
            </c:numRef>
          </c:val>
          <c:extLst>
            <c:ext xmlns:c16="http://schemas.microsoft.com/office/drawing/2014/chart" uri="{C3380CC4-5D6E-409C-BE32-E72D297353CC}">
              <c16:uniqueId val="{00000001-3091-43D1-A90E-F4A69AB1E3F0}"/>
            </c:ext>
          </c:extLst>
        </c:ser>
        <c:dLbls>
          <c:showLegendKey val="0"/>
          <c:showVal val="0"/>
          <c:showCatName val="0"/>
          <c:showSerName val="0"/>
          <c:showPercent val="0"/>
          <c:showBubbleSize val="0"/>
        </c:dLbls>
        <c:gapWidth val="182"/>
        <c:axId val="48728351"/>
        <c:axId val="48728767"/>
      </c:barChart>
      <c:catAx>
        <c:axId val="487283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s-CO"/>
          </a:p>
        </c:txPr>
        <c:crossAx val="48728767"/>
        <c:crosses val="autoZero"/>
        <c:auto val="1"/>
        <c:lblAlgn val="ctr"/>
        <c:lblOffset val="100"/>
        <c:noMultiLvlLbl val="0"/>
      </c:catAx>
      <c:valAx>
        <c:axId val="48728767"/>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s-CO"/>
          </a:p>
        </c:txPr>
        <c:crossAx val="4872835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800">
          <a:latin typeface="Segoe UI" panose="020B0502040204020203" pitchFamily="34" charset="0"/>
          <a:cs typeface="Segoe UI" panose="020B0502040204020203" pitchFamily="34" charset="0"/>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explosion val="4"/>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470-4AFC-A1ED-079C5DA95B9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470-4AFC-A1ED-079C5DA95B9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470-4AFC-A1ED-079C5DA95B9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470-4AFC-A1ED-079C5DA95B9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470-4AFC-A1ED-079C5DA95B9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470-4AFC-A1ED-079C5DA95B9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470-4AFC-A1ED-079C5DA95B9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470-4AFC-A1ED-079C5DA95B9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470-4AFC-A1ED-079C5DA95B9F}"/>
              </c:ext>
            </c:extLst>
          </c:dPt>
          <c:dLbls>
            <c:dLbl>
              <c:idx val="0"/>
              <c:layout>
                <c:manualLayout>
                  <c:x val="6.8075117370892016E-2"/>
                  <c:y val="-0.14066586592079525"/>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470-4AFC-A1ED-079C5DA95B9F}"/>
                </c:ext>
              </c:extLst>
            </c:dLbl>
            <c:dLbl>
              <c:idx val="1"/>
              <c:layout>
                <c:manualLayout>
                  <c:x val="0.15023474178403748"/>
                  <c:y val="-0.112808446717501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470-4AFC-A1ED-079C5DA95B9F}"/>
                </c:ext>
              </c:extLst>
            </c:dLbl>
            <c:dLbl>
              <c:idx val="2"/>
              <c:spPr>
                <a:noFill/>
                <a:ln>
                  <a:noFill/>
                </a:ln>
                <a:effectLst/>
              </c:spPr>
              <c:txPr>
                <a:bodyPr rot="0" spcFirstLastPara="1" vertOverflow="ellipsis" horzOverflow="clip"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1470-4AFC-A1ED-079C5DA95B9F}"/>
                </c:ext>
              </c:extLst>
            </c:dLbl>
            <c:dLbl>
              <c:idx val="3"/>
              <c:layout>
                <c:manualLayout>
                  <c:x val="2.3475102584007124E-3"/>
                  <c:y val="6.2671359287500093E-3"/>
                </c:manualLayout>
              </c:layout>
              <c:showLegendKey val="0"/>
              <c:showVal val="1"/>
              <c:showCatName val="1"/>
              <c:showSerName val="0"/>
              <c:showPercent val="0"/>
              <c:showBubbleSize val="0"/>
              <c:extLst>
                <c:ext xmlns:c15="http://schemas.microsoft.com/office/drawing/2012/chart" uri="{CE6537A1-D6FC-4f65-9D91-7224C49458BB}">
                  <c15:layout>
                    <c:manualLayout>
                      <c:w val="0.16188957894347711"/>
                      <c:h val="7.8245192070444586E-2"/>
                    </c:manualLayout>
                  </c15:layout>
                </c:ext>
                <c:ext xmlns:c16="http://schemas.microsoft.com/office/drawing/2014/chart" uri="{C3380CC4-5D6E-409C-BE32-E72D297353CC}">
                  <c16:uniqueId val="{00000007-1470-4AFC-A1ED-079C5DA95B9F}"/>
                </c:ext>
              </c:extLst>
            </c:dLbl>
            <c:dLbl>
              <c:idx val="4"/>
              <c:layout>
                <c:manualLayout>
                  <c:x val="4.6948356807512597E-3"/>
                  <c:y val="-2.5068420346182771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bg1"/>
                      </a:solidFill>
                      <a:latin typeface="+mn-lt"/>
                      <a:ea typeface="+mn-ea"/>
                      <a:cs typeface="+mn-cs"/>
                    </a:defRPr>
                  </a:pPr>
                  <a:endParaRPr lang="es-CO"/>
                </a:p>
              </c:txPr>
              <c:showLegendKey val="0"/>
              <c:showVal val="1"/>
              <c:showCatName val="1"/>
              <c:showSerName val="0"/>
              <c:showPercent val="0"/>
              <c:showBubbleSize val="0"/>
              <c:extLst>
                <c:ext xmlns:c15="http://schemas.microsoft.com/office/drawing/2012/chart" uri="{CE6537A1-D6FC-4f65-9D91-7224C49458BB}">
                  <c15:layout>
                    <c:manualLayout>
                      <c:w val="0.14755868544600939"/>
                      <c:h val="0.11898157560732001"/>
                    </c:manualLayout>
                  </c15:layout>
                </c:ext>
                <c:ext xmlns:c16="http://schemas.microsoft.com/office/drawing/2014/chart" uri="{C3380CC4-5D6E-409C-BE32-E72D297353CC}">
                  <c16:uniqueId val="{00000009-1470-4AFC-A1ED-079C5DA95B9F}"/>
                </c:ext>
              </c:extLst>
            </c:dLbl>
            <c:dLbl>
              <c:idx val="5"/>
              <c:layout>
                <c:manualLayout>
                  <c:x val="2.9342630586669582E-2"/>
                  <c:y val="2.4673763487526396E-7"/>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showLegendKey val="0"/>
              <c:showVal val="1"/>
              <c:showCatName val="1"/>
              <c:showSerName val="0"/>
              <c:showPercent val="0"/>
              <c:showBubbleSize val="0"/>
              <c:extLst>
                <c:ext xmlns:c15="http://schemas.microsoft.com/office/drawing/2012/chart" uri="{CE6537A1-D6FC-4f65-9D91-7224C49458BB}">
                  <c15:layout>
                    <c:manualLayout>
                      <c:w val="0.17704225352112674"/>
                      <c:h val="0.11266755952792182"/>
                    </c:manualLayout>
                  </c15:layout>
                </c:ext>
                <c:ext xmlns:c16="http://schemas.microsoft.com/office/drawing/2014/chart" uri="{C3380CC4-5D6E-409C-BE32-E72D297353CC}">
                  <c16:uniqueId val="{0000000B-1470-4AFC-A1ED-079C5DA95B9F}"/>
                </c:ext>
              </c:extLst>
            </c:dLbl>
            <c:dLbl>
              <c:idx val="6"/>
              <c:layout>
                <c:manualLayout>
                  <c:x val="-4.6948356807511738E-3"/>
                  <c:y val="0"/>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1470-4AFC-A1ED-079C5DA95B9F}"/>
                </c:ext>
              </c:extLst>
            </c:dLbl>
            <c:dLbl>
              <c:idx val="7"/>
              <c:layout>
                <c:manualLayout>
                  <c:x val="-0.18075117370892022"/>
                  <c:y val="-0.14414412636125154"/>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1470-4AFC-A1ED-079C5DA95B9F}"/>
                </c:ext>
              </c:extLst>
            </c:dLbl>
            <c:dLbl>
              <c:idx val="8"/>
              <c:layout>
                <c:manualLayout>
                  <c:x val="-3.0516431924882632E-2"/>
                  <c:y val="-0.14414412636125154"/>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1"/>
              <c:showSerName val="0"/>
              <c:showPercent val="0"/>
              <c:showBubbleSize val="0"/>
              <c:extLst>
                <c:ext xmlns:c15="http://schemas.microsoft.com/office/drawing/2012/chart" uri="{CE6537A1-D6FC-4f65-9D91-7224C49458BB}">
                  <c15:layout>
                    <c:manualLayout>
                      <c:w val="0.14650234741784038"/>
                      <c:h val="6.8891615065602582E-2"/>
                    </c:manualLayout>
                  </c15:layout>
                </c:ext>
                <c:ext xmlns:c16="http://schemas.microsoft.com/office/drawing/2014/chart" uri="{C3380CC4-5D6E-409C-BE32-E72D297353CC}">
                  <c16:uniqueId val="{00000011-1470-4AFC-A1ED-079C5DA95B9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Hoja1!$H$97:$H$105</c:f>
              <c:strCache>
                <c:ptCount val="9"/>
                <c:pt idx="0">
                  <c:v>Agronomía, veterinaria y afines</c:v>
                </c:pt>
                <c:pt idx="1">
                  <c:v>Bellas artes</c:v>
                </c:pt>
                <c:pt idx="2">
                  <c:v>Ciencias de la educación</c:v>
                </c:pt>
                <c:pt idx="3">
                  <c:v>Ciencias de la salud</c:v>
                </c:pt>
                <c:pt idx="4">
                  <c:v>Ciencias sociales y humanas</c:v>
                </c:pt>
                <c:pt idx="5">
                  <c:v>Economía administración contad.</c:v>
                </c:pt>
                <c:pt idx="6">
                  <c:v>Ingeniería arquitectura urbanismo</c:v>
                </c:pt>
                <c:pt idx="7">
                  <c:v>Matemáticas y ciencias naturales</c:v>
                </c:pt>
                <c:pt idx="8">
                  <c:v>Sin información</c:v>
                </c:pt>
              </c:strCache>
            </c:strRef>
          </c:cat>
          <c:val>
            <c:numRef>
              <c:f>Hoja1!$I$97:$I$105</c:f>
              <c:numCache>
                <c:formatCode>0%</c:formatCode>
                <c:ptCount val="9"/>
                <c:pt idx="0">
                  <c:v>4.5684405328054054E-2</c:v>
                </c:pt>
                <c:pt idx="1">
                  <c:v>2.5499774052634976E-2</c:v>
                </c:pt>
                <c:pt idx="2">
                  <c:v>7.5530976307804865E-2</c:v>
                </c:pt>
                <c:pt idx="3">
                  <c:v>9.2401712896214849E-2</c:v>
                </c:pt>
                <c:pt idx="4">
                  <c:v>0.17972498977857157</c:v>
                </c:pt>
                <c:pt idx="5">
                  <c:v>0.27967980030556694</c:v>
                </c:pt>
                <c:pt idx="6">
                  <c:v>0.25930149986012785</c:v>
                </c:pt>
                <c:pt idx="7">
                  <c:v>3.0728841643175315E-2</c:v>
                </c:pt>
                <c:pt idx="8">
                  <c:v>1.1447999827849626E-2</c:v>
                </c:pt>
              </c:numCache>
            </c:numRef>
          </c:val>
          <c:extLst>
            <c:ext xmlns:c16="http://schemas.microsoft.com/office/drawing/2014/chart" uri="{C3380CC4-5D6E-409C-BE32-E72D297353CC}">
              <c16:uniqueId val="{00000012-1470-4AFC-A1ED-079C5DA95B9F}"/>
            </c:ext>
          </c:extLst>
        </c:ser>
        <c:dLbls>
          <c:showLegendKey val="0"/>
          <c:showVal val="1"/>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906-4150-BC40-DC2D7CA65F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906-4150-BC40-DC2D7CA65FE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906-4150-BC40-DC2D7CA65FE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906-4150-BC40-DC2D7CA65FE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906-4150-BC40-DC2D7CA65FEB}"/>
              </c:ext>
            </c:extLst>
          </c:dPt>
          <c:dLbls>
            <c:dLbl>
              <c:idx val="0"/>
              <c:layout>
                <c:manualLayout>
                  <c:x val="0.13232633420822398"/>
                  <c:y val="2.9749927092446778E-3"/>
                </c:manualLayout>
              </c:layout>
              <c:tx>
                <c:rich>
                  <a:bodyPr/>
                  <a:lstStyle/>
                  <a:p>
                    <a:r>
                      <a:rPr lang="en-US"/>
                      <a:t>Manizales</a:t>
                    </a:r>
                  </a:p>
                  <a:p>
                    <a:r>
                      <a:rPr lang="en-US"/>
                      <a:t>53,7%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906-4150-BC40-DC2D7CA65FEB}"/>
                </c:ext>
              </c:extLst>
            </c:dLbl>
            <c:dLbl>
              <c:idx val="2"/>
              <c:layout/>
              <c:tx>
                <c:rich>
                  <a:bodyPr/>
                  <a:lstStyle/>
                  <a:p>
                    <a:r>
                      <a:rPr lang="en-US"/>
                      <a:t>Otros municipios de Caldas</a:t>
                    </a:r>
                  </a:p>
                  <a:p>
                    <a:fld id="{75F90522-06C4-4639-B8F2-A805B0F6DA4E}" type="VALUE">
                      <a:rPr lang="en-US"/>
                      <a:pPr/>
                      <a:t>[VALOR]</a:t>
                    </a:fld>
                    <a:endParaRPr lang="es-CO"/>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F906-4150-BC40-DC2D7CA65FEB}"/>
                </c:ext>
              </c:extLst>
            </c:dLbl>
            <c:dLbl>
              <c:idx val="3"/>
              <c:layout>
                <c:manualLayout>
                  <c:x val="5.2777777777777882E-2"/>
                  <c:y val="8.5543890347039866E-2"/>
                </c:manualLayout>
              </c:layout>
              <c:tx>
                <c:rich>
                  <a:bodyPr/>
                  <a:lstStyle/>
                  <a:p>
                    <a:r>
                      <a:rPr lang="en-US"/>
                      <a:t>Otros departamentos y extranjeros</a:t>
                    </a:r>
                  </a:p>
                  <a:p>
                    <a:fld id="{6B19A67A-1F9D-4BE5-AEAD-274CEF92F4BC}" type="VALUE">
                      <a:rPr lang="en-US"/>
                      <a:pPr/>
                      <a:t>[VALOR]</a:t>
                    </a:fld>
                    <a:endParaRPr lang="es-CO"/>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F906-4150-BC40-DC2D7CA65FEB}"/>
                </c:ext>
              </c:extLst>
            </c:dLbl>
            <c:dLbl>
              <c:idx val="4"/>
              <c:layout>
                <c:manualLayout>
                  <c:x val="-0.17235039370078739"/>
                  <c:y val="2.7419437153689122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solidFill>
                          <a:schemeClr val="bg1"/>
                        </a:solidFill>
                      </a:rPr>
                      <a:t>Otro origen</a:t>
                    </a:r>
                  </a:p>
                  <a:p>
                    <a:pPr>
                      <a:defRPr>
                        <a:solidFill>
                          <a:schemeClr val="bg1"/>
                        </a:solidFill>
                      </a:defRPr>
                    </a:pPr>
                    <a:r>
                      <a:rPr lang="en-US">
                        <a:solidFill>
                          <a:schemeClr val="bg1"/>
                        </a:solidFill>
                      </a:rPr>
                      <a:t>46,3%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F906-4150-BC40-DC2D7CA65F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Hoja1!$B$14:$B$17</c:f>
              <c:numCache>
                <c:formatCode>General</c:formatCode>
                <c:ptCount val="4"/>
                <c:pt idx="0" formatCode="#,#00%">
                  <c:v>0.53707541219929722</c:v>
                </c:pt>
                <c:pt idx="2" formatCode="#,#00%">
                  <c:v>0.16836351623269363</c:v>
                </c:pt>
                <c:pt idx="3" formatCode="#,#00%">
                  <c:v>0.29456107156800909</c:v>
                </c:pt>
              </c:numCache>
            </c:numRef>
          </c:val>
          <c:extLst>
            <c:ext xmlns:c16="http://schemas.microsoft.com/office/drawing/2014/chart" uri="{C3380CC4-5D6E-409C-BE32-E72D297353CC}">
              <c16:uniqueId val="{0000000A-F906-4150-BC40-DC2D7CA65FEB}"/>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Hoja1!$B$35</c:f>
              <c:strCache>
                <c:ptCount val="1"/>
                <c:pt idx="0">
                  <c:v>Manizales</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Hoja1!$C$34:$G$34</c:f>
              <c:numCache>
                <c:formatCode>General</c:formatCode>
                <c:ptCount val="5"/>
                <c:pt idx="0">
                  <c:v>2016</c:v>
                </c:pt>
                <c:pt idx="1">
                  <c:v>2017</c:v>
                </c:pt>
                <c:pt idx="2">
                  <c:v>2018</c:v>
                </c:pt>
                <c:pt idx="3">
                  <c:v>2019</c:v>
                </c:pt>
                <c:pt idx="4">
                  <c:v>2020</c:v>
                </c:pt>
              </c:numCache>
            </c:numRef>
          </c:cat>
          <c:val>
            <c:numRef>
              <c:f>Hoja1!$C$35:$G$35</c:f>
              <c:numCache>
                <c:formatCode>#,#00%</c:formatCode>
                <c:ptCount val="5"/>
                <c:pt idx="0" formatCode="0.00%">
                  <c:v>0.56699999999999995</c:v>
                </c:pt>
                <c:pt idx="1">
                  <c:v>0.59</c:v>
                </c:pt>
                <c:pt idx="2">
                  <c:v>0.58699999999999997</c:v>
                </c:pt>
                <c:pt idx="3">
                  <c:v>0.51291184327693673</c:v>
                </c:pt>
                <c:pt idx="4" formatCode="0%">
                  <c:v>0.53707541219929722</c:v>
                </c:pt>
              </c:numCache>
            </c:numRef>
          </c:val>
          <c:extLst>
            <c:ext xmlns:c16="http://schemas.microsoft.com/office/drawing/2014/chart" uri="{C3380CC4-5D6E-409C-BE32-E72D297353CC}">
              <c16:uniqueId val="{00000000-0540-4B6E-8A2A-9A161E179F19}"/>
            </c:ext>
          </c:extLst>
        </c:ser>
        <c:ser>
          <c:idx val="1"/>
          <c:order val="1"/>
          <c:tx>
            <c:strRef>
              <c:f>Hoja1!$B$36</c:f>
              <c:strCache>
                <c:ptCount val="1"/>
                <c:pt idx="0">
                  <c:v>Otros municipios de Caldas</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Hoja1!$C$34:$G$34</c:f>
              <c:numCache>
                <c:formatCode>General</c:formatCode>
                <c:ptCount val="5"/>
                <c:pt idx="0">
                  <c:v>2016</c:v>
                </c:pt>
                <c:pt idx="1">
                  <c:v>2017</c:v>
                </c:pt>
                <c:pt idx="2">
                  <c:v>2018</c:v>
                </c:pt>
                <c:pt idx="3">
                  <c:v>2019</c:v>
                </c:pt>
                <c:pt idx="4">
                  <c:v>2020</c:v>
                </c:pt>
              </c:numCache>
            </c:numRef>
          </c:cat>
          <c:val>
            <c:numRef>
              <c:f>Hoja1!$C$36:$G$36</c:f>
              <c:numCache>
                <c:formatCode>#,#00%</c:formatCode>
                <c:ptCount val="5"/>
                <c:pt idx="0" formatCode="0.00%">
                  <c:v>0.13700000000000001</c:v>
                </c:pt>
                <c:pt idx="1">
                  <c:v>0.123</c:v>
                </c:pt>
                <c:pt idx="2">
                  <c:v>0.16200000000000001</c:v>
                </c:pt>
                <c:pt idx="3">
                  <c:v>0.15478806907378337</c:v>
                </c:pt>
                <c:pt idx="4">
                  <c:v>0.16836351623269363</c:v>
                </c:pt>
              </c:numCache>
            </c:numRef>
          </c:val>
          <c:extLst>
            <c:ext xmlns:c16="http://schemas.microsoft.com/office/drawing/2014/chart" uri="{C3380CC4-5D6E-409C-BE32-E72D297353CC}">
              <c16:uniqueId val="{00000001-0540-4B6E-8A2A-9A161E179F19}"/>
            </c:ext>
          </c:extLst>
        </c:ser>
        <c:ser>
          <c:idx val="2"/>
          <c:order val="2"/>
          <c:tx>
            <c:strRef>
              <c:f>Hoja1!$B$37</c:f>
              <c:strCache>
                <c:ptCount val="1"/>
                <c:pt idx="0">
                  <c:v>Fuera de Caldas</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Hoja1!$C$34:$G$34</c:f>
              <c:numCache>
                <c:formatCode>General</c:formatCode>
                <c:ptCount val="5"/>
                <c:pt idx="0">
                  <c:v>2016</c:v>
                </c:pt>
                <c:pt idx="1">
                  <c:v>2017</c:v>
                </c:pt>
                <c:pt idx="2">
                  <c:v>2018</c:v>
                </c:pt>
                <c:pt idx="3">
                  <c:v>2019</c:v>
                </c:pt>
                <c:pt idx="4">
                  <c:v>2020</c:v>
                </c:pt>
              </c:numCache>
            </c:numRef>
          </c:cat>
          <c:val>
            <c:numRef>
              <c:f>Hoja1!$C$37:$G$37</c:f>
              <c:numCache>
                <c:formatCode>#,#00%</c:formatCode>
                <c:ptCount val="5"/>
                <c:pt idx="0" formatCode="0.00%">
                  <c:v>0.29599999999999999</c:v>
                </c:pt>
                <c:pt idx="1">
                  <c:v>0.28299999999999997</c:v>
                </c:pt>
                <c:pt idx="2">
                  <c:v>0.26900000000000002</c:v>
                </c:pt>
                <c:pt idx="3">
                  <c:v>0.33181580324437465</c:v>
                </c:pt>
                <c:pt idx="4">
                  <c:v>0.29456107156800909</c:v>
                </c:pt>
              </c:numCache>
            </c:numRef>
          </c:val>
          <c:extLst>
            <c:ext xmlns:c16="http://schemas.microsoft.com/office/drawing/2014/chart" uri="{C3380CC4-5D6E-409C-BE32-E72D297353CC}">
              <c16:uniqueId val="{00000002-0540-4B6E-8A2A-9A161E179F19}"/>
            </c:ext>
          </c:extLst>
        </c:ser>
        <c:dLbls>
          <c:showLegendKey val="0"/>
          <c:showVal val="0"/>
          <c:showCatName val="0"/>
          <c:showSerName val="0"/>
          <c:showPercent val="0"/>
          <c:showBubbleSize val="0"/>
        </c:dLbls>
        <c:gapWidth val="124"/>
        <c:overlap val="100"/>
        <c:axId val="1986443439"/>
        <c:axId val="1986442191"/>
      </c:barChart>
      <c:catAx>
        <c:axId val="19864434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86442191"/>
        <c:crosses val="autoZero"/>
        <c:auto val="1"/>
        <c:lblAlgn val="ctr"/>
        <c:lblOffset val="100"/>
        <c:noMultiLvlLbl val="0"/>
      </c:catAx>
      <c:valAx>
        <c:axId val="1986442191"/>
        <c:scaling>
          <c:orientation val="minMax"/>
        </c:scaling>
        <c:delete val="1"/>
        <c:axPos val="b"/>
        <c:numFmt formatCode="0%" sourceLinked="1"/>
        <c:majorTickMark val="none"/>
        <c:minorTickMark val="none"/>
        <c:tickLblPos val="nextTo"/>
        <c:crossAx val="198644343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1388163458734325"/>
          <c:w val="0.95833333333333337"/>
          <c:h val="0.67468175853018386"/>
        </c:manualLayout>
      </c:layout>
      <c:ofPieChart>
        <c:ofPieType val="bar"/>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2B0-4F4B-9361-923107F46FD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2B0-4F4B-9361-923107F46FD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2B0-4F4B-9361-923107F46FD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2B0-4F4B-9361-923107F46FD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2B0-4F4B-9361-923107F46FD7}"/>
              </c:ext>
            </c:extLst>
          </c:dPt>
          <c:dLbls>
            <c:dLbl>
              <c:idx val="0"/>
              <c:layout/>
              <c:tx>
                <c:rich>
                  <a:bodyPr/>
                  <a:lstStyle/>
                  <a:p>
                    <a:r>
                      <a:rPr lang="en-US"/>
                      <a:t>Manizales</a:t>
                    </a:r>
                  </a:p>
                  <a:p>
                    <a:fld id="{D6198B6C-8D47-491B-BCE6-7C424B00380D}" type="VALUE">
                      <a:rPr lang="en-US"/>
                      <a:pPr/>
                      <a:t>[VALOR]</a:t>
                    </a:fld>
                    <a:endParaRPr lang="es-CO"/>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62B0-4F4B-9361-923107F46FD7}"/>
                </c:ext>
              </c:extLst>
            </c:dLbl>
            <c:dLbl>
              <c:idx val="2"/>
              <c:layout>
                <c:manualLayout>
                  <c:x val="4.1666666666666567E-2"/>
                  <c:y val="2.5428331875182269E-2"/>
                </c:manualLayout>
              </c:layout>
              <c:tx>
                <c:rich>
                  <a:bodyPr/>
                  <a:lstStyle/>
                  <a:p>
                    <a:r>
                      <a:rPr lang="en-US"/>
                      <a:t>Otros municipios de Caldas </a:t>
                    </a:r>
                    <a:fld id="{D299C40A-A81F-4B0E-94B4-2149217DBA9F}" type="VALUE">
                      <a:rPr lang="en-US"/>
                      <a:pPr/>
                      <a:t>[VALOR]</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62B0-4F4B-9361-923107F46FD7}"/>
                </c:ext>
              </c:extLst>
            </c:dLbl>
            <c:dLbl>
              <c:idx val="3"/>
              <c:layout/>
              <c:tx>
                <c:rich>
                  <a:bodyPr/>
                  <a:lstStyle/>
                  <a:p>
                    <a:r>
                      <a:rPr lang="en-US"/>
                      <a:t>Otros departamentos y extranjeros</a:t>
                    </a:r>
                  </a:p>
                  <a:p>
                    <a:fld id="{FF1536FE-F44D-43A9-982D-6F3215909495}" type="VALUE">
                      <a:rPr lang="en-US"/>
                      <a:pPr/>
                      <a:t>[VALOR]</a:t>
                    </a:fld>
                    <a:endParaRPr lang="es-CO"/>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62B0-4F4B-9361-923107F46FD7}"/>
                </c:ext>
              </c:extLst>
            </c:dLbl>
            <c:dLbl>
              <c:idx val="4"/>
              <c:layout>
                <c:manualLayout>
                  <c:x val="-0.16172364391951005"/>
                  <c:y val="2.8403324584426945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solidFill>
                          <a:schemeClr val="bg1"/>
                        </a:solidFill>
                      </a:rPr>
                      <a:t>Otro</a:t>
                    </a:r>
                    <a:r>
                      <a:rPr lang="en-US" baseline="0">
                        <a:solidFill>
                          <a:schemeClr val="bg1"/>
                        </a:solidFill>
                      </a:rPr>
                      <a:t> origen</a:t>
                    </a:r>
                  </a:p>
                  <a:p>
                    <a:pPr>
                      <a:defRPr>
                        <a:solidFill>
                          <a:schemeClr val="bg1"/>
                        </a:solidFill>
                      </a:defRPr>
                    </a:pPr>
                    <a:r>
                      <a:rPr lang="en-US">
                        <a:solidFill>
                          <a:schemeClr val="bg1"/>
                        </a:solidFill>
                      </a:rPr>
                      <a:t>67,1%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2B0-4F4B-9361-923107F46F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Hoja1!$J$15:$J$18</c:f>
              <c:numCache>
                <c:formatCode>General</c:formatCode>
                <c:ptCount val="4"/>
                <c:pt idx="0" formatCode="#,#00%">
                  <c:v>0.31156156156156156</c:v>
                </c:pt>
                <c:pt idx="2" formatCode="#,#00%">
                  <c:v>8.2957957957957962E-2</c:v>
                </c:pt>
                <c:pt idx="3" formatCode="#,#00%">
                  <c:v>0.60548048048048053</c:v>
                </c:pt>
              </c:numCache>
            </c:numRef>
          </c:val>
          <c:extLst>
            <c:ext xmlns:c16="http://schemas.microsoft.com/office/drawing/2014/chart" uri="{C3380CC4-5D6E-409C-BE32-E72D297353CC}">
              <c16:uniqueId val="{0000000A-62B0-4F4B-9361-923107F46FD7}"/>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Hoja1!$A$2:$A$8</c:f>
              <c:strCache>
                <c:ptCount val="7"/>
                <c:pt idx="0">
                  <c:v>Agronomía, veterinaria y afines</c:v>
                </c:pt>
                <c:pt idx="1">
                  <c:v>Bellas Artes</c:v>
                </c:pt>
                <c:pt idx="2">
                  <c:v>Ciencias de la salud</c:v>
                </c:pt>
                <c:pt idx="3">
                  <c:v>Ciencias sociales y humanas</c:v>
                </c:pt>
                <c:pt idx="4">
                  <c:v>Economía, administración, contaduría y afines</c:v>
                </c:pt>
                <c:pt idx="5">
                  <c:v>Ingeniería, arquitectura, urbanismo y afines</c:v>
                </c:pt>
                <c:pt idx="6">
                  <c:v>Matemáticas y ciencias naturales</c:v>
                </c:pt>
              </c:strCache>
            </c:strRef>
          </c:cat>
          <c:val>
            <c:numRef>
              <c:f>Hoja1!$B$2:$B$8</c:f>
              <c:numCache>
                <c:formatCode>General</c:formatCode>
                <c:ptCount val="7"/>
                <c:pt idx="0">
                  <c:v>8</c:v>
                </c:pt>
                <c:pt idx="1">
                  <c:v>2</c:v>
                </c:pt>
                <c:pt idx="2">
                  <c:v>2</c:v>
                </c:pt>
                <c:pt idx="3">
                  <c:v>4</c:v>
                </c:pt>
                <c:pt idx="4">
                  <c:v>17</c:v>
                </c:pt>
                <c:pt idx="5">
                  <c:v>27</c:v>
                </c:pt>
                <c:pt idx="6">
                  <c:v>2</c:v>
                </c:pt>
              </c:numCache>
            </c:numRef>
          </c:val>
          <c:extLst>
            <c:ext xmlns:c16="http://schemas.microsoft.com/office/drawing/2014/chart" uri="{C3380CC4-5D6E-409C-BE32-E72D297353CC}">
              <c16:uniqueId val="{00000000-6B3B-4EC4-B749-EB04A976DC11}"/>
            </c:ext>
          </c:extLst>
        </c:ser>
        <c:dLbls>
          <c:dLblPos val="outEnd"/>
          <c:showLegendKey val="0"/>
          <c:showVal val="1"/>
          <c:showCatName val="0"/>
          <c:showSerName val="0"/>
          <c:showPercent val="0"/>
          <c:showBubbleSize val="0"/>
        </c:dLbls>
        <c:gapWidth val="100"/>
        <c:axId val="444594992"/>
        <c:axId val="444585976"/>
      </c:barChart>
      <c:catAx>
        <c:axId val="444594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585976"/>
        <c:crosses val="autoZero"/>
        <c:auto val="1"/>
        <c:lblAlgn val="ctr"/>
        <c:lblOffset val="100"/>
        <c:noMultiLvlLbl val="0"/>
      </c:catAx>
      <c:valAx>
        <c:axId val="444585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594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Hoja1!$A$35:$A$41</c:f>
              <c:strCache>
                <c:ptCount val="7"/>
                <c:pt idx="0">
                  <c:v>Agronomía, veterinaria y afines</c:v>
                </c:pt>
                <c:pt idx="1">
                  <c:v>Bellas Artes</c:v>
                </c:pt>
                <c:pt idx="2">
                  <c:v>Ciencias de la salud</c:v>
                </c:pt>
                <c:pt idx="3">
                  <c:v>Ciencias sociales y humanas</c:v>
                </c:pt>
                <c:pt idx="4">
                  <c:v>Economía, administración, contaduría y afines</c:v>
                </c:pt>
                <c:pt idx="5">
                  <c:v>Ingeniería, arquitectura, urbanismo y afines</c:v>
                </c:pt>
                <c:pt idx="6">
                  <c:v>Matemáticas y ciencias naturales</c:v>
                </c:pt>
              </c:strCache>
            </c:strRef>
          </c:cat>
          <c:val>
            <c:numRef>
              <c:f>Hoja1!$B$35:$B$41</c:f>
              <c:numCache>
                <c:formatCode>General</c:formatCode>
                <c:ptCount val="7"/>
                <c:pt idx="0">
                  <c:v>10</c:v>
                </c:pt>
                <c:pt idx="1">
                  <c:v>7</c:v>
                </c:pt>
                <c:pt idx="2">
                  <c:v>2</c:v>
                </c:pt>
                <c:pt idx="3">
                  <c:v>1</c:v>
                </c:pt>
                <c:pt idx="4">
                  <c:v>46</c:v>
                </c:pt>
                <c:pt idx="5">
                  <c:v>70</c:v>
                </c:pt>
                <c:pt idx="6">
                  <c:v>3</c:v>
                </c:pt>
              </c:numCache>
            </c:numRef>
          </c:val>
          <c:extLst>
            <c:ext xmlns:c16="http://schemas.microsoft.com/office/drawing/2014/chart" uri="{C3380CC4-5D6E-409C-BE32-E72D297353CC}">
              <c16:uniqueId val="{00000000-F02A-4939-920B-86E6877E13CB}"/>
            </c:ext>
          </c:extLst>
        </c:ser>
        <c:dLbls>
          <c:dLblPos val="outEnd"/>
          <c:showLegendKey val="0"/>
          <c:showVal val="1"/>
          <c:showCatName val="0"/>
          <c:showSerName val="0"/>
          <c:showPercent val="0"/>
          <c:showBubbleSize val="0"/>
        </c:dLbls>
        <c:gapWidth val="100"/>
        <c:axId val="444584016"/>
        <c:axId val="444584408"/>
      </c:barChart>
      <c:catAx>
        <c:axId val="444584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584408"/>
        <c:crosses val="autoZero"/>
        <c:auto val="1"/>
        <c:lblAlgn val="ctr"/>
        <c:lblOffset val="100"/>
        <c:noMultiLvlLbl val="0"/>
      </c:catAx>
      <c:valAx>
        <c:axId val="444584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584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Hoja1!$A$59:$A$66</c:f>
              <c:strCache>
                <c:ptCount val="8"/>
                <c:pt idx="0">
                  <c:v>Agronomía, veterinaria y afines</c:v>
                </c:pt>
                <c:pt idx="1">
                  <c:v>Bellas Artes</c:v>
                </c:pt>
                <c:pt idx="2">
                  <c:v>Ciencias de la educación</c:v>
                </c:pt>
                <c:pt idx="3">
                  <c:v>Ciencias de la salud</c:v>
                </c:pt>
                <c:pt idx="4">
                  <c:v>Ciencias sociales y humanas</c:v>
                </c:pt>
                <c:pt idx="5">
                  <c:v>Economía, administración, contaduría y afines</c:v>
                </c:pt>
                <c:pt idx="6">
                  <c:v>Ingeniería, arquitectura, urbanismo y afines</c:v>
                </c:pt>
                <c:pt idx="7">
                  <c:v>Matemáticas y ciencias naturales</c:v>
                </c:pt>
              </c:strCache>
            </c:strRef>
          </c:cat>
          <c:val>
            <c:numRef>
              <c:f>Hoja1!$B$59:$B$66</c:f>
              <c:numCache>
                <c:formatCode>General</c:formatCode>
                <c:ptCount val="8"/>
                <c:pt idx="0">
                  <c:v>3</c:v>
                </c:pt>
                <c:pt idx="1">
                  <c:v>7</c:v>
                </c:pt>
                <c:pt idx="2">
                  <c:v>37</c:v>
                </c:pt>
                <c:pt idx="3">
                  <c:v>15</c:v>
                </c:pt>
                <c:pt idx="4">
                  <c:v>25</c:v>
                </c:pt>
                <c:pt idx="5">
                  <c:v>35</c:v>
                </c:pt>
                <c:pt idx="6">
                  <c:v>43</c:v>
                </c:pt>
                <c:pt idx="7">
                  <c:v>4</c:v>
                </c:pt>
              </c:numCache>
            </c:numRef>
          </c:val>
          <c:extLst>
            <c:ext xmlns:c16="http://schemas.microsoft.com/office/drawing/2014/chart" uri="{C3380CC4-5D6E-409C-BE32-E72D297353CC}">
              <c16:uniqueId val="{00000000-8835-40A8-84A8-15887AC38464}"/>
            </c:ext>
          </c:extLst>
        </c:ser>
        <c:dLbls>
          <c:dLblPos val="outEnd"/>
          <c:showLegendKey val="0"/>
          <c:showVal val="1"/>
          <c:showCatName val="0"/>
          <c:showSerName val="0"/>
          <c:showPercent val="0"/>
          <c:showBubbleSize val="0"/>
        </c:dLbls>
        <c:gapWidth val="100"/>
        <c:axId val="444592248"/>
        <c:axId val="444590680"/>
      </c:barChart>
      <c:catAx>
        <c:axId val="444592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590680"/>
        <c:crosses val="autoZero"/>
        <c:auto val="1"/>
        <c:lblAlgn val="ctr"/>
        <c:lblOffset val="100"/>
        <c:noMultiLvlLbl val="0"/>
      </c:catAx>
      <c:valAx>
        <c:axId val="444590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592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Hoja1!$A$85:$A$93</c:f>
              <c:strCache>
                <c:ptCount val="9"/>
                <c:pt idx="0">
                  <c:v>Agronomía, veterinaria y afines</c:v>
                </c:pt>
                <c:pt idx="1">
                  <c:v>Bellas Artes</c:v>
                </c:pt>
                <c:pt idx="2">
                  <c:v>Ciencias de la educación</c:v>
                </c:pt>
                <c:pt idx="3">
                  <c:v>Ciencias de la salud</c:v>
                </c:pt>
                <c:pt idx="4">
                  <c:v>Ciencias sociales y humanas</c:v>
                </c:pt>
                <c:pt idx="5">
                  <c:v>Economía, administración, contaduría y afines</c:v>
                </c:pt>
                <c:pt idx="6">
                  <c:v>Ingeniería, arquitectura, urbanismo y afines</c:v>
                </c:pt>
                <c:pt idx="7">
                  <c:v>Matemáticas y ciencias naturales</c:v>
                </c:pt>
                <c:pt idx="8">
                  <c:v>Sin clasificar</c:v>
                </c:pt>
              </c:strCache>
            </c:strRef>
          </c:cat>
          <c:val>
            <c:numRef>
              <c:f>Hoja1!$B$85:$B$93</c:f>
              <c:numCache>
                <c:formatCode>General</c:formatCode>
                <c:ptCount val="9"/>
                <c:pt idx="0">
                  <c:v>13</c:v>
                </c:pt>
                <c:pt idx="1">
                  <c:v>6</c:v>
                </c:pt>
                <c:pt idx="2">
                  <c:v>43</c:v>
                </c:pt>
                <c:pt idx="3">
                  <c:v>58</c:v>
                </c:pt>
                <c:pt idx="4">
                  <c:v>64</c:v>
                </c:pt>
                <c:pt idx="5">
                  <c:v>106</c:v>
                </c:pt>
                <c:pt idx="6">
                  <c:v>61</c:v>
                </c:pt>
                <c:pt idx="7">
                  <c:v>16</c:v>
                </c:pt>
                <c:pt idx="8">
                  <c:v>4</c:v>
                </c:pt>
              </c:numCache>
            </c:numRef>
          </c:val>
          <c:extLst>
            <c:ext xmlns:c16="http://schemas.microsoft.com/office/drawing/2014/chart" uri="{C3380CC4-5D6E-409C-BE32-E72D297353CC}">
              <c16:uniqueId val="{00000000-688E-408F-8FEE-7199CFA6E488}"/>
            </c:ext>
          </c:extLst>
        </c:ser>
        <c:dLbls>
          <c:dLblPos val="outEnd"/>
          <c:showLegendKey val="0"/>
          <c:showVal val="1"/>
          <c:showCatName val="0"/>
          <c:showSerName val="0"/>
          <c:showPercent val="0"/>
          <c:showBubbleSize val="0"/>
        </c:dLbls>
        <c:gapWidth val="100"/>
        <c:axId val="444591464"/>
        <c:axId val="444604400"/>
      </c:barChart>
      <c:catAx>
        <c:axId val="444591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604400"/>
        <c:crosses val="autoZero"/>
        <c:auto val="1"/>
        <c:lblAlgn val="ctr"/>
        <c:lblOffset val="100"/>
        <c:noMultiLvlLbl val="0"/>
      </c:catAx>
      <c:valAx>
        <c:axId val="444604400"/>
        <c:scaling>
          <c:orientation val="minMax"/>
        </c:scaling>
        <c:delete val="1"/>
        <c:axPos val="b"/>
        <c:numFmt formatCode="General" sourceLinked="1"/>
        <c:majorTickMark val="none"/>
        <c:minorTickMark val="none"/>
        <c:tickLblPos val="nextTo"/>
        <c:crossAx val="444591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481173814576633E-2"/>
          <c:y val="5.0925925925925923E-2"/>
          <c:w val="0.93127725123972538"/>
          <c:h val="0.63334135316418771"/>
        </c:manualLayout>
      </c:layout>
      <c:barChart>
        <c:barDir val="col"/>
        <c:grouping val="stacked"/>
        <c:varyColors val="0"/>
        <c:ser>
          <c:idx val="0"/>
          <c:order val="0"/>
          <c:tx>
            <c:strRef>
              <c:f>Hoja1!$A$133</c:f>
              <c:strCache>
                <c:ptCount val="1"/>
                <c:pt idx="0">
                  <c:v>Dual</c:v>
                </c:pt>
              </c:strCache>
            </c:strRef>
          </c:tx>
          <c:spPr>
            <a:solidFill>
              <a:schemeClr val="accent4"/>
            </a:solidFill>
            <a:ln>
              <a:noFill/>
            </a:ln>
            <a:effectLst/>
          </c:spPr>
          <c:invertIfNegative val="0"/>
          <c:dLbls>
            <c:delete val="1"/>
          </c:dLbls>
          <c:cat>
            <c:numRef>
              <c:f>Hoja1!$C$132:$I$132</c:f>
              <c:numCache>
                <c:formatCode>General</c:formatCode>
                <c:ptCount val="7"/>
                <c:pt idx="0">
                  <c:v>2015</c:v>
                </c:pt>
                <c:pt idx="1">
                  <c:v>2016</c:v>
                </c:pt>
                <c:pt idx="2">
                  <c:v>2017</c:v>
                </c:pt>
                <c:pt idx="3">
                  <c:v>2018</c:v>
                </c:pt>
                <c:pt idx="4">
                  <c:v>2019</c:v>
                </c:pt>
                <c:pt idx="5">
                  <c:v>2020</c:v>
                </c:pt>
                <c:pt idx="6">
                  <c:v>2021</c:v>
                </c:pt>
              </c:numCache>
            </c:numRef>
          </c:cat>
          <c:val>
            <c:numRef>
              <c:f>Hoja1!$C$133:$I$133</c:f>
              <c:numCache>
                <c:formatCode>#,##0</c:formatCode>
                <c:ptCount val="7"/>
                <c:pt idx="0">
                  <c:v>0</c:v>
                </c:pt>
                <c:pt idx="1">
                  <c:v>0</c:v>
                </c:pt>
                <c:pt idx="2">
                  <c:v>0</c:v>
                </c:pt>
                <c:pt idx="3">
                  <c:v>0</c:v>
                </c:pt>
                <c:pt idx="4">
                  <c:v>0</c:v>
                </c:pt>
                <c:pt idx="5">
                  <c:v>42</c:v>
                </c:pt>
                <c:pt idx="6">
                  <c:v>0</c:v>
                </c:pt>
              </c:numCache>
            </c:numRef>
          </c:val>
          <c:extLst>
            <c:ext xmlns:c16="http://schemas.microsoft.com/office/drawing/2014/chart" uri="{C3380CC4-5D6E-409C-BE32-E72D297353CC}">
              <c16:uniqueId val="{00000000-22EA-4C97-AAD0-72CE062F821F}"/>
            </c:ext>
          </c:extLst>
        </c:ser>
        <c:ser>
          <c:idx val="1"/>
          <c:order val="1"/>
          <c:tx>
            <c:strRef>
              <c:f>Hoja1!$A$134</c:f>
              <c:strCache>
                <c:ptCount val="1"/>
                <c:pt idx="0">
                  <c:v>Distancia (Virtual)</c:v>
                </c:pt>
              </c:strCache>
            </c:strRef>
          </c:tx>
          <c:spPr>
            <a:solidFill>
              <a:schemeClr val="accent2">
                <a:lumMod val="75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22EA-4C97-AAD0-72CE062F821F}"/>
                </c:ext>
              </c:extLst>
            </c:dLbl>
            <c:dLbl>
              <c:idx val="1"/>
              <c:layout>
                <c:manualLayout>
                  <c:x val="1.7754105636928214E-3"/>
                  <c:y val="-9.2592592592593437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2EA-4C97-AAD0-72CE062F821F}"/>
                </c:ext>
              </c:extLst>
            </c:dLbl>
            <c:dLbl>
              <c:idx val="2"/>
              <c:layout>
                <c:manualLayout>
                  <c:x val="3.5508211273856428E-3"/>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2EA-4C97-AAD0-72CE062F821F}"/>
                </c:ext>
              </c:extLst>
            </c:dLbl>
            <c:dLbl>
              <c:idx val="6"/>
              <c:layout>
                <c:manualLayout>
                  <c:x val="0"/>
                  <c:y val="-4.6296296296296294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2EA-4C97-AAD0-72CE062F821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Hoja1!$C$132:$I$132</c:f>
              <c:numCache>
                <c:formatCode>General</c:formatCode>
                <c:ptCount val="7"/>
                <c:pt idx="0">
                  <c:v>2015</c:v>
                </c:pt>
                <c:pt idx="1">
                  <c:v>2016</c:v>
                </c:pt>
                <c:pt idx="2">
                  <c:v>2017</c:v>
                </c:pt>
                <c:pt idx="3">
                  <c:v>2018</c:v>
                </c:pt>
                <c:pt idx="4">
                  <c:v>2019</c:v>
                </c:pt>
                <c:pt idx="5">
                  <c:v>2020</c:v>
                </c:pt>
                <c:pt idx="6">
                  <c:v>2021</c:v>
                </c:pt>
              </c:numCache>
            </c:numRef>
          </c:cat>
          <c:val>
            <c:numRef>
              <c:f>Hoja1!$C$134:$I$134</c:f>
              <c:numCache>
                <c:formatCode>#,##0</c:formatCode>
                <c:ptCount val="7"/>
                <c:pt idx="0">
                  <c:v>1119</c:v>
                </c:pt>
                <c:pt idx="1">
                  <c:v>3303</c:v>
                </c:pt>
                <c:pt idx="2">
                  <c:v>3979</c:v>
                </c:pt>
                <c:pt idx="3">
                  <c:v>5450</c:v>
                </c:pt>
                <c:pt idx="4">
                  <c:v>5643</c:v>
                </c:pt>
                <c:pt idx="5">
                  <c:v>4940</c:v>
                </c:pt>
                <c:pt idx="6">
                  <c:v>3258</c:v>
                </c:pt>
              </c:numCache>
            </c:numRef>
          </c:val>
          <c:extLst>
            <c:ext xmlns:c16="http://schemas.microsoft.com/office/drawing/2014/chart" uri="{C3380CC4-5D6E-409C-BE32-E72D297353CC}">
              <c16:uniqueId val="{00000005-22EA-4C97-AAD0-72CE062F821F}"/>
            </c:ext>
          </c:extLst>
        </c:ser>
        <c:ser>
          <c:idx val="2"/>
          <c:order val="2"/>
          <c:tx>
            <c:strRef>
              <c:f>Hoja1!$A$135</c:f>
              <c:strCache>
                <c:ptCount val="1"/>
                <c:pt idx="0">
                  <c:v>Distancia (Tradicional)</c:v>
                </c:pt>
              </c:strCache>
            </c:strRef>
          </c:tx>
          <c:spPr>
            <a:solidFill>
              <a:schemeClr val="accent6">
                <a:lumMod val="75000"/>
              </a:schemeClr>
            </a:solidFill>
            <a:ln>
              <a:noFill/>
            </a:ln>
            <a:effectLst/>
          </c:spPr>
          <c:invertIfNegative val="0"/>
          <c:dLbls>
            <c:dLbl>
              <c:idx val="1"/>
              <c:layout>
                <c:manualLayout>
                  <c:x val="1.7754105636928214E-3"/>
                  <c:y val="-4.6296296296296294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2EA-4C97-AAD0-72CE062F821F}"/>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Hoja1!$C$132:$I$132</c:f>
              <c:numCache>
                <c:formatCode>General</c:formatCode>
                <c:ptCount val="7"/>
                <c:pt idx="0">
                  <c:v>2015</c:v>
                </c:pt>
                <c:pt idx="1">
                  <c:v>2016</c:v>
                </c:pt>
                <c:pt idx="2">
                  <c:v>2017</c:v>
                </c:pt>
                <c:pt idx="3">
                  <c:v>2018</c:v>
                </c:pt>
                <c:pt idx="4">
                  <c:v>2019</c:v>
                </c:pt>
                <c:pt idx="5">
                  <c:v>2020</c:v>
                </c:pt>
                <c:pt idx="6">
                  <c:v>2021</c:v>
                </c:pt>
              </c:numCache>
            </c:numRef>
          </c:cat>
          <c:val>
            <c:numRef>
              <c:f>Hoja1!$C$135:$I$135</c:f>
              <c:numCache>
                <c:formatCode>#,##0</c:formatCode>
                <c:ptCount val="7"/>
                <c:pt idx="0">
                  <c:v>8464</c:v>
                </c:pt>
                <c:pt idx="1">
                  <c:v>8643</c:v>
                </c:pt>
                <c:pt idx="2">
                  <c:v>7288</c:v>
                </c:pt>
                <c:pt idx="3">
                  <c:v>6086</c:v>
                </c:pt>
                <c:pt idx="4">
                  <c:v>5387</c:v>
                </c:pt>
                <c:pt idx="5">
                  <c:v>5615</c:v>
                </c:pt>
                <c:pt idx="6">
                  <c:v>5556</c:v>
                </c:pt>
              </c:numCache>
            </c:numRef>
          </c:val>
          <c:extLst>
            <c:ext xmlns:c16="http://schemas.microsoft.com/office/drawing/2014/chart" uri="{C3380CC4-5D6E-409C-BE32-E72D297353CC}">
              <c16:uniqueId val="{00000007-22EA-4C97-AAD0-72CE062F821F}"/>
            </c:ext>
          </c:extLst>
        </c:ser>
        <c:ser>
          <c:idx val="3"/>
          <c:order val="3"/>
          <c:tx>
            <c:strRef>
              <c:f>Hoja1!$A$136</c:f>
              <c:strCache>
                <c:ptCount val="1"/>
                <c:pt idx="0">
                  <c:v>Presencial</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Hoja1!$C$132:$I$132</c:f>
              <c:numCache>
                <c:formatCode>General</c:formatCode>
                <c:ptCount val="7"/>
                <c:pt idx="0">
                  <c:v>2015</c:v>
                </c:pt>
                <c:pt idx="1">
                  <c:v>2016</c:v>
                </c:pt>
                <c:pt idx="2">
                  <c:v>2017</c:v>
                </c:pt>
                <c:pt idx="3">
                  <c:v>2018</c:v>
                </c:pt>
                <c:pt idx="4">
                  <c:v>2019</c:v>
                </c:pt>
                <c:pt idx="5">
                  <c:v>2020</c:v>
                </c:pt>
                <c:pt idx="6">
                  <c:v>2021</c:v>
                </c:pt>
              </c:numCache>
            </c:numRef>
          </c:cat>
          <c:val>
            <c:numRef>
              <c:f>Hoja1!$C$136:$I$136</c:f>
              <c:numCache>
                <c:formatCode>#,##0</c:formatCode>
                <c:ptCount val="7"/>
                <c:pt idx="0">
                  <c:v>37008</c:v>
                </c:pt>
                <c:pt idx="1">
                  <c:v>37539</c:v>
                </c:pt>
                <c:pt idx="2">
                  <c:v>38890</c:v>
                </c:pt>
                <c:pt idx="3">
                  <c:v>39734</c:v>
                </c:pt>
                <c:pt idx="4">
                  <c:v>39550</c:v>
                </c:pt>
                <c:pt idx="5">
                  <c:v>39013</c:v>
                </c:pt>
                <c:pt idx="6">
                  <c:v>37657</c:v>
                </c:pt>
              </c:numCache>
            </c:numRef>
          </c:val>
          <c:extLst>
            <c:ext xmlns:c16="http://schemas.microsoft.com/office/drawing/2014/chart" uri="{C3380CC4-5D6E-409C-BE32-E72D297353CC}">
              <c16:uniqueId val="{00000008-22EA-4C97-AAD0-72CE062F821F}"/>
            </c:ext>
          </c:extLst>
        </c:ser>
        <c:dLbls>
          <c:dLblPos val="ctr"/>
          <c:showLegendKey val="0"/>
          <c:showVal val="1"/>
          <c:showCatName val="0"/>
          <c:showSerName val="0"/>
          <c:showPercent val="0"/>
          <c:showBubbleSize val="0"/>
        </c:dLbls>
        <c:gapWidth val="54"/>
        <c:overlap val="100"/>
        <c:axId val="444602440"/>
        <c:axId val="444605968"/>
      </c:barChart>
      <c:catAx>
        <c:axId val="444602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605968"/>
        <c:crosses val="autoZero"/>
        <c:auto val="1"/>
        <c:lblAlgn val="ctr"/>
        <c:lblOffset val="100"/>
        <c:noMultiLvlLbl val="0"/>
      </c:catAx>
      <c:valAx>
        <c:axId val="444605968"/>
        <c:scaling>
          <c:orientation val="minMax"/>
          <c:max val="50000"/>
        </c:scaling>
        <c:delete val="1"/>
        <c:axPos val="l"/>
        <c:numFmt formatCode="#,##0" sourceLinked="1"/>
        <c:majorTickMark val="none"/>
        <c:minorTickMark val="none"/>
        <c:tickLblPos val="nextTo"/>
        <c:crossAx val="444602440"/>
        <c:crosses val="autoZero"/>
        <c:crossBetween val="between"/>
        <c:majorUnit val="10000"/>
      </c:valAx>
      <c:spPr>
        <a:noFill/>
        <a:ln>
          <a:noFill/>
        </a:ln>
        <a:effectLst/>
      </c:spPr>
    </c:plotArea>
    <c:legend>
      <c:legendPos val="r"/>
      <c:legendEntry>
        <c:idx val="3"/>
        <c:delete val="1"/>
      </c:legendEntry>
      <c:layout>
        <c:manualLayout>
          <c:xMode val="edge"/>
          <c:yMode val="edge"/>
          <c:x val="0.11086942257217849"/>
          <c:y val="0.90653798483522896"/>
          <c:w val="0.79746391076115475"/>
          <c:h val="7.581291921843104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8545</Words>
  <Characters>47001</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Senado</cp:lastModifiedBy>
  <cp:revision>5</cp:revision>
  <cp:lastPrinted>2022-09-07T00:57:00Z</cp:lastPrinted>
  <dcterms:created xsi:type="dcterms:W3CDTF">2022-09-06T18:21:00Z</dcterms:created>
  <dcterms:modified xsi:type="dcterms:W3CDTF">2022-09-07T01:03:00Z</dcterms:modified>
</cp:coreProperties>
</file>