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135F" w14:textId="77777777" w:rsidR="00076C5D" w:rsidRDefault="00076C5D">
      <w:pPr>
        <w:spacing w:before="240" w:after="240"/>
        <w:jc w:val="right"/>
        <w:rPr>
          <w:rFonts w:ascii="Bookman Old Style" w:eastAsia="Bookman Old Style" w:hAnsi="Bookman Old Style" w:cs="Bookman Old Style"/>
          <w:b/>
        </w:rPr>
      </w:pPr>
    </w:p>
    <w:p w14:paraId="50CD1B53" w14:textId="1DC74A21" w:rsidR="004028B0" w:rsidRPr="004028B0" w:rsidRDefault="004028B0" w:rsidP="004028B0">
      <w:pPr>
        <w:pStyle w:val="Sinespaciado"/>
        <w:tabs>
          <w:tab w:val="left" w:pos="8055"/>
        </w:tabs>
        <w:jc w:val="center"/>
        <w:rPr>
          <w:rFonts w:ascii="Bookman Old Style" w:hAnsi="Bookman Old Style" w:cs="Arial"/>
          <w:b/>
          <w:bCs/>
        </w:rPr>
      </w:pPr>
      <w:r w:rsidRPr="004028B0">
        <w:rPr>
          <w:rFonts w:ascii="Bookman Old Style" w:hAnsi="Bookman Old Style" w:cs="Arial"/>
          <w:b/>
          <w:bCs/>
        </w:rPr>
        <w:t xml:space="preserve">INFORME DE PONENCIA PARA PRIMER DEBATE AL PROYECTO DE LEY </w:t>
      </w:r>
      <w:r>
        <w:rPr>
          <w:rFonts w:ascii="Bookman Old Style" w:hAnsi="Bookman Old Style" w:cs="Arial"/>
          <w:b/>
          <w:bCs/>
        </w:rPr>
        <w:t xml:space="preserve">ESTATUTARIA </w:t>
      </w:r>
      <w:r w:rsidRPr="004028B0">
        <w:rPr>
          <w:rFonts w:ascii="Bookman Old Style" w:hAnsi="Bookman Old Style" w:cs="Arial"/>
          <w:b/>
          <w:bCs/>
        </w:rPr>
        <w:t>NÚMERO 0</w:t>
      </w:r>
      <w:r>
        <w:rPr>
          <w:rFonts w:ascii="Bookman Old Style" w:hAnsi="Bookman Old Style" w:cs="Arial"/>
          <w:b/>
          <w:bCs/>
        </w:rPr>
        <w:t>06</w:t>
      </w:r>
      <w:r w:rsidRPr="004028B0">
        <w:rPr>
          <w:rFonts w:ascii="Bookman Old Style" w:hAnsi="Bookman Old Style" w:cs="Arial"/>
          <w:b/>
          <w:bCs/>
        </w:rPr>
        <w:t xml:space="preserve"> DE 202</w:t>
      </w:r>
      <w:r>
        <w:rPr>
          <w:rFonts w:ascii="Bookman Old Style" w:hAnsi="Bookman Old Style" w:cs="Arial"/>
          <w:b/>
          <w:bCs/>
        </w:rPr>
        <w:t>2</w:t>
      </w:r>
      <w:r w:rsidRPr="004028B0">
        <w:rPr>
          <w:rFonts w:ascii="Bookman Old Style" w:hAnsi="Bookman Old Style" w:cs="Arial"/>
          <w:b/>
          <w:bCs/>
        </w:rPr>
        <w:t xml:space="preserve"> CÁMARA </w:t>
      </w:r>
      <w:r>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w:t>
      </w:r>
    </w:p>
    <w:p w14:paraId="10636958" w14:textId="77777777" w:rsidR="004028B0" w:rsidRPr="004028B0" w:rsidRDefault="004028B0" w:rsidP="004028B0">
      <w:pPr>
        <w:spacing w:before="240" w:after="240"/>
        <w:jc w:val="center"/>
        <w:rPr>
          <w:rFonts w:ascii="Bookman Old Style" w:eastAsia="Bookman Old Style" w:hAnsi="Bookman Old Style" w:cs="Bookman Old Style"/>
          <w:bCs/>
          <w:lang w:val="es-CO"/>
        </w:rPr>
      </w:pPr>
    </w:p>
    <w:p w14:paraId="739C98E4" w14:textId="478858C2" w:rsidR="00647410" w:rsidRPr="004028B0" w:rsidRDefault="00000000">
      <w:pPr>
        <w:spacing w:before="240" w:after="240"/>
        <w:rPr>
          <w:rFonts w:ascii="Bookman Old Style" w:eastAsia="Bookman Old Style" w:hAnsi="Bookman Old Style" w:cs="Bookman Old Style"/>
          <w:bCs/>
        </w:rPr>
      </w:pPr>
      <w:r w:rsidRPr="004028B0">
        <w:rPr>
          <w:rFonts w:ascii="Bookman Old Style" w:eastAsia="Bookman Old Style" w:hAnsi="Bookman Old Style" w:cs="Bookman Old Style"/>
          <w:bCs/>
        </w:rPr>
        <w:t xml:space="preserve">Bogotá D.C., </w:t>
      </w:r>
      <w:r w:rsidR="004028B0" w:rsidRPr="004028B0">
        <w:rPr>
          <w:rFonts w:ascii="Bookman Old Style" w:eastAsia="Bookman Old Style" w:hAnsi="Bookman Old Style" w:cs="Bookman Old Style"/>
          <w:bCs/>
        </w:rPr>
        <w:t>11</w:t>
      </w:r>
      <w:r w:rsidRPr="004028B0">
        <w:rPr>
          <w:rFonts w:ascii="Bookman Old Style" w:eastAsia="Bookman Old Style" w:hAnsi="Bookman Old Style" w:cs="Bookman Old Style"/>
          <w:bCs/>
        </w:rPr>
        <w:t xml:space="preserve"> de </w:t>
      </w:r>
      <w:r w:rsidR="004028B0" w:rsidRPr="004028B0">
        <w:rPr>
          <w:rFonts w:ascii="Bookman Old Style" w:eastAsia="Bookman Old Style" w:hAnsi="Bookman Old Style" w:cs="Bookman Old Style"/>
          <w:bCs/>
        </w:rPr>
        <w:t>agosto</w:t>
      </w:r>
      <w:r w:rsidRPr="004028B0">
        <w:rPr>
          <w:rFonts w:ascii="Bookman Old Style" w:eastAsia="Bookman Old Style" w:hAnsi="Bookman Old Style" w:cs="Bookman Old Style"/>
          <w:bCs/>
        </w:rPr>
        <w:t xml:space="preserve"> de 2022</w:t>
      </w:r>
    </w:p>
    <w:p w14:paraId="079394D1"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Honorable Representante</w:t>
      </w:r>
    </w:p>
    <w:p w14:paraId="43C0C774" w14:textId="6F82E889" w:rsidR="004028B0" w:rsidRPr="004028B0" w:rsidRDefault="004028B0" w:rsidP="004028B0">
      <w:pPr>
        <w:pStyle w:val="Sinespaciado"/>
        <w:tabs>
          <w:tab w:val="right" w:pos="8838"/>
        </w:tabs>
        <w:jc w:val="both"/>
        <w:rPr>
          <w:rFonts w:ascii="Bookman Old Style" w:hAnsi="Bookman Old Style" w:cs="Arial"/>
          <w:b/>
        </w:rPr>
      </w:pPr>
      <w:r w:rsidRPr="004028B0">
        <w:rPr>
          <w:rFonts w:ascii="Bookman Old Style" w:hAnsi="Bookman Old Style" w:cs="Arial"/>
          <w:b/>
        </w:rPr>
        <w:t xml:space="preserve">JUAN CARLOS WILLS OSPINA </w:t>
      </w:r>
      <w:r w:rsidRPr="004028B0">
        <w:rPr>
          <w:rFonts w:ascii="Bookman Old Style" w:hAnsi="Bookman Old Style" w:cs="Arial"/>
          <w:b/>
        </w:rPr>
        <w:tab/>
      </w:r>
    </w:p>
    <w:p w14:paraId="55B08974"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Presidente</w:t>
      </w:r>
    </w:p>
    <w:p w14:paraId="7095F896" w14:textId="77777777" w:rsidR="004028B0" w:rsidRPr="004028B0" w:rsidRDefault="004028B0" w:rsidP="004028B0">
      <w:pPr>
        <w:pStyle w:val="Sinespaciado"/>
        <w:jc w:val="both"/>
        <w:rPr>
          <w:rFonts w:ascii="Bookman Old Style" w:hAnsi="Bookman Old Style" w:cs="Arial"/>
          <w:b/>
          <w:bCs/>
        </w:rPr>
      </w:pPr>
      <w:r w:rsidRPr="004028B0">
        <w:rPr>
          <w:rFonts w:ascii="Bookman Old Style" w:hAnsi="Bookman Old Style" w:cs="Arial"/>
          <w:b/>
          <w:bCs/>
        </w:rPr>
        <w:t>Comisión Primera Constitucional</w:t>
      </w:r>
    </w:p>
    <w:p w14:paraId="446E7D57"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Cámara de Representantes</w:t>
      </w:r>
    </w:p>
    <w:p w14:paraId="5DCB4D58"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Ciudad.</w:t>
      </w:r>
    </w:p>
    <w:p w14:paraId="4D3DDE81" w14:textId="7FA211D8" w:rsidR="00647410" w:rsidRPr="004028B0" w:rsidRDefault="00000000">
      <w:pPr>
        <w:tabs>
          <w:tab w:val="left" w:pos="5544"/>
        </w:tabs>
        <w:spacing w:before="240" w:after="240"/>
        <w:rPr>
          <w:rFonts w:ascii="Bookman Old Style" w:eastAsia="Bookman Old Style" w:hAnsi="Bookman Old Style" w:cs="Bookman Old Style"/>
          <w:b/>
        </w:rPr>
      </w:pPr>
      <w:r w:rsidRPr="004028B0">
        <w:rPr>
          <w:rFonts w:ascii="Bookman Old Style" w:eastAsia="Bookman Old Style" w:hAnsi="Bookman Old Style" w:cs="Bookman Old Style"/>
          <w:b/>
        </w:rPr>
        <w:tab/>
      </w:r>
    </w:p>
    <w:p w14:paraId="32A41DDD" w14:textId="22663286" w:rsidR="00647410" w:rsidRDefault="00000000" w:rsidP="004028B0">
      <w:pPr>
        <w:spacing w:before="240" w:after="240"/>
        <w:ind w:left="3600"/>
        <w:jc w:val="both"/>
        <w:rPr>
          <w:rFonts w:ascii="Bookman Old Style" w:eastAsia="Bookman Old Style" w:hAnsi="Bookman Old Style" w:cs="Bookman Old Style"/>
          <w:bCs/>
        </w:rPr>
      </w:pPr>
      <w:r>
        <w:rPr>
          <w:rFonts w:ascii="Bookman Old Style" w:eastAsia="Bookman Old Style" w:hAnsi="Bookman Old Style" w:cs="Bookman Old Style"/>
          <w:b/>
        </w:rPr>
        <w:t xml:space="preserve">REF: </w:t>
      </w:r>
      <w:r w:rsidR="004028B0">
        <w:rPr>
          <w:rFonts w:ascii="Bookman Old Style" w:eastAsia="Bookman Old Style" w:hAnsi="Bookman Old Style" w:cs="Bookman Old Style"/>
          <w:bCs/>
        </w:rPr>
        <w:t>Informe de ponencia para primer debate al Proyecto de Ley Estatutaria No.006 de 2022 Cámara.</w:t>
      </w:r>
    </w:p>
    <w:p w14:paraId="1995DA64" w14:textId="77777777" w:rsidR="004028B0" w:rsidRPr="004028B0" w:rsidRDefault="004028B0" w:rsidP="004028B0">
      <w:pPr>
        <w:pStyle w:val="Sinespaciado"/>
        <w:jc w:val="both"/>
        <w:rPr>
          <w:rFonts w:ascii="Bookman Old Style" w:hAnsi="Bookman Old Style" w:cs="Arial"/>
        </w:rPr>
      </w:pPr>
      <w:r w:rsidRPr="004028B0">
        <w:rPr>
          <w:rFonts w:ascii="Bookman Old Style" w:hAnsi="Bookman Old Style" w:cs="Arial"/>
        </w:rPr>
        <w:t>Honorables Representantes:</w:t>
      </w:r>
    </w:p>
    <w:p w14:paraId="24E7F763" w14:textId="77777777" w:rsidR="004028B0" w:rsidRPr="004028B0" w:rsidRDefault="004028B0" w:rsidP="004028B0">
      <w:pPr>
        <w:pStyle w:val="Sinespaciado"/>
        <w:jc w:val="both"/>
        <w:rPr>
          <w:rFonts w:ascii="Bookman Old Style" w:hAnsi="Bookman Old Style" w:cs="Arial"/>
        </w:rPr>
      </w:pPr>
    </w:p>
    <w:p w14:paraId="6A29838F" w14:textId="77777777" w:rsidR="004028B0" w:rsidRDefault="004028B0" w:rsidP="004028B0">
      <w:pPr>
        <w:pStyle w:val="Sinespaciado"/>
        <w:tabs>
          <w:tab w:val="left" w:pos="8055"/>
        </w:tabs>
        <w:jc w:val="both"/>
        <w:rPr>
          <w:rFonts w:ascii="Bookman Old Style" w:hAnsi="Bookman Old Style" w:cs="Arial"/>
          <w:i/>
          <w:iCs/>
          <w:sz w:val="24"/>
          <w:szCs w:val="24"/>
        </w:rPr>
      </w:pPr>
      <w:r w:rsidRPr="004028B0">
        <w:rPr>
          <w:rFonts w:ascii="Bookman Old Style" w:hAnsi="Bookman Old Style" w:cs="Arial"/>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Pr>
          <w:rFonts w:ascii="Bookman Old Style" w:hAnsi="Bookman Old Style" w:cs="Arial"/>
        </w:rPr>
        <w:t>nos</w:t>
      </w:r>
      <w:r w:rsidRPr="004028B0">
        <w:rPr>
          <w:rFonts w:ascii="Bookman Old Style" w:hAnsi="Bookman Old Style" w:cs="Arial"/>
        </w:rPr>
        <w:t xml:space="preserve"> permit</w:t>
      </w:r>
      <w:r>
        <w:rPr>
          <w:rFonts w:ascii="Bookman Old Style" w:hAnsi="Bookman Old Style" w:cs="Arial"/>
        </w:rPr>
        <w:t>imos</w:t>
      </w:r>
      <w:r w:rsidRPr="004028B0">
        <w:rPr>
          <w:rFonts w:ascii="Bookman Old Style" w:hAnsi="Bookman Old Style" w:cs="Arial"/>
        </w:rPr>
        <w:t xml:space="preserve"> rendir Informe de Ponencia para Primer Debate del Proyecto de Ley</w:t>
      </w:r>
      <w:r>
        <w:rPr>
          <w:rFonts w:ascii="Bookman Old Style" w:hAnsi="Bookman Old Style" w:cs="Arial"/>
        </w:rPr>
        <w:t xml:space="preserve"> Estatutaria</w:t>
      </w:r>
      <w:r w:rsidRPr="004028B0">
        <w:rPr>
          <w:rFonts w:ascii="Bookman Old Style" w:hAnsi="Bookman Old Style" w:cs="Arial"/>
        </w:rPr>
        <w:t xml:space="preserve"> número 0</w:t>
      </w:r>
      <w:r>
        <w:rPr>
          <w:rFonts w:ascii="Bookman Old Style" w:hAnsi="Bookman Old Style" w:cs="Arial"/>
        </w:rPr>
        <w:t xml:space="preserve">06 </w:t>
      </w:r>
      <w:r w:rsidRPr="004028B0">
        <w:rPr>
          <w:rFonts w:ascii="Bookman Old Style" w:hAnsi="Bookman Old Style" w:cs="Arial"/>
        </w:rPr>
        <w:t>de 202</w:t>
      </w:r>
      <w:r>
        <w:rPr>
          <w:rFonts w:ascii="Bookman Old Style" w:hAnsi="Bookman Old Style" w:cs="Arial"/>
        </w:rPr>
        <w:t>2</w:t>
      </w:r>
      <w:r w:rsidRPr="004028B0">
        <w:rPr>
          <w:rFonts w:ascii="Bookman Old Style" w:hAnsi="Bookman Old Style" w:cs="Arial"/>
        </w:rPr>
        <w:t xml:space="preserve"> Cámara, </w:t>
      </w:r>
      <w:r>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w:t>
      </w:r>
      <w:r w:rsidRPr="004028B0">
        <w:rPr>
          <w:rFonts w:ascii="Bookman Old Style" w:eastAsia="Bookman Old Style" w:hAnsi="Bookman Old Style" w:cs="Bookman Old Style"/>
          <w:sz w:val="21"/>
          <w:szCs w:val="21"/>
        </w:rPr>
        <w:t xml:space="preserve"> </w:t>
      </w:r>
      <w:r w:rsidRPr="004028B0">
        <w:rPr>
          <w:rFonts w:ascii="Bookman Old Style" w:hAnsi="Bookman Old Style" w:cs="Arial"/>
        </w:rPr>
        <w:t>con base en las siguientes consideraciones.</w:t>
      </w:r>
    </w:p>
    <w:p w14:paraId="56F3C88A" w14:textId="61872A0B" w:rsidR="00076C5D" w:rsidRDefault="00076C5D" w:rsidP="00F067D5">
      <w:pPr>
        <w:jc w:val="both"/>
        <w:rPr>
          <w:rFonts w:ascii="Bookman Old Style" w:eastAsia="Bookman Old Style" w:hAnsi="Bookman Old Style" w:cs="Bookman Old Style"/>
          <w:color w:val="000000"/>
        </w:rPr>
      </w:pPr>
    </w:p>
    <w:p w14:paraId="1964CD74" w14:textId="77777777" w:rsidR="004028B0" w:rsidRDefault="004028B0" w:rsidP="00F067D5">
      <w:pPr>
        <w:jc w:val="both"/>
        <w:rPr>
          <w:rFonts w:ascii="Bookman Old Style" w:eastAsia="Bookman Old Style" w:hAnsi="Bookman Old Style" w:cs="Bookman Old Style"/>
          <w:color w:val="000000"/>
        </w:rPr>
      </w:pPr>
    </w:p>
    <w:p w14:paraId="0228157F" w14:textId="56CD4C47" w:rsidR="004028B0" w:rsidRDefault="004028B0" w:rsidP="004028B0">
      <w:pPr>
        <w:jc w:val="both"/>
        <w:rPr>
          <w:rFonts w:ascii="Bookman Old Style" w:eastAsia="Bookman Old Style" w:hAnsi="Bookman Old Style" w:cs="Bookman Old Style"/>
          <w:color w:val="000000"/>
        </w:rPr>
      </w:pPr>
    </w:p>
    <w:p w14:paraId="26A33300" w14:textId="4B2A8C5E" w:rsidR="004028B0" w:rsidRDefault="004028B0" w:rsidP="004028B0">
      <w:pPr>
        <w:jc w:val="both"/>
        <w:rPr>
          <w:rFonts w:ascii="Bookman Old Style" w:eastAsia="Bookman Old Style" w:hAnsi="Bookman Old Style" w:cs="Bookman Old Style"/>
          <w:color w:val="000000"/>
        </w:rPr>
      </w:pPr>
    </w:p>
    <w:p w14:paraId="3A57D8F3" w14:textId="77777777" w:rsidR="004028B0" w:rsidRDefault="004028B0" w:rsidP="004028B0">
      <w:pPr>
        <w:jc w:val="both"/>
        <w:rPr>
          <w:rFonts w:ascii="Bookman Old Style" w:eastAsia="Bookman Old Style" w:hAnsi="Bookman Old Style" w:cs="Bookman Old Style"/>
          <w:color w:val="000000"/>
        </w:rPr>
      </w:pPr>
    </w:p>
    <w:p w14:paraId="33263454" w14:textId="5BB23AA7" w:rsidR="004028B0" w:rsidRDefault="004028B0" w:rsidP="004028B0">
      <w:pPr>
        <w:jc w:val="both"/>
        <w:rPr>
          <w:rFonts w:ascii="Bookman Old Style" w:eastAsia="Bookman Old Style" w:hAnsi="Bookman Old Style" w:cs="Bookman Old Style"/>
          <w:color w:val="000000"/>
        </w:rPr>
      </w:pPr>
    </w:p>
    <w:p w14:paraId="5F810516" w14:textId="73AD16D3" w:rsidR="004028B0" w:rsidRDefault="004028B0" w:rsidP="004028B0">
      <w:pPr>
        <w:jc w:val="both"/>
        <w:rPr>
          <w:rFonts w:ascii="Bookman Old Style" w:eastAsia="Bookman Old Style" w:hAnsi="Bookman Old Style" w:cs="Bookman Old Style"/>
          <w:color w:val="000000"/>
        </w:rPr>
      </w:pPr>
    </w:p>
    <w:p w14:paraId="525183D4" w14:textId="1C3B3A81" w:rsidR="004028B0" w:rsidRDefault="004028B0" w:rsidP="004028B0">
      <w:pPr>
        <w:jc w:val="both"/>
        <w:rPr>
          <w:rFonts w:ascii="Bookman Old Style" w:eastAsia="Bookman Old Style" w:hAnsi="Bookman Old Style" w:cs="Bookman Old Style"/>
          <w:color w:val="000000"/>
        </w:rPr>
      </w:pPr>
    </w:p>
    <w:p w14:paraId="27401C37" w14:textId="77777777" w:rsidR="004028B0" w:rsidRDefault="004028B0" w:rsidP="004028B0">
      <w:pPr>
        <w:jc w:val="both"/>
        <w:rPr>
          <w:rFonts w:ascii="Bookman Old Style" w:eastAsia="Bookman Old Style" w:hAnsi="Bookman Old Style" w:cs="Bookman Old Style"/>
          <w:color w:val="000000"/>
        </w:rPr>
      </w:pPr>
    </w:p>
    <w:p w14:paraId="69ACDA9D" w14:textId="77777777" w:rsidR="00335A1D" w:rsidRDefault="00335A1D">
      <w:pPr>
        <w:rPr>
          <w:rFonts w:ascii="Bookman Old Style" w:eastAsia="Bookman Old Style" w:hAnsi="Bookman Old Style" w:cs="Bookman Old Style"/>
        </w:rPr>
      </w:pPr>
    </w:p>
    <w:p w14:paraId="23663C5D" w14:textId="77777777" w:rsidR="00647410" w:rsidRDefault="00647410" w:rsidP="00CF7A45">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6C52F86D" w14:textId="77777777" w:rsidR="00335A1D" w:rsidRDefault="00335A1D">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4A0DF0F5" w14:textId="77777777" w:rsidR="0006605A" w:rsidRDefault="0006605A" w:rsidP="00335A1D">
      <w:pPr>
        <w:spacing w:before="240" w:after="240"/>
        <w:jc w:val="center"/>
        <w:rPr>
          <w:rFonts w:ascii="Bookman Old Style" w:eastAsia="Bookman Old Style" w:hAnsi="Bookman Old Style" w:cs="Bookman Old Style"/>
          <w:b/>
        </w:rPr>
      </w:pPr>
    </w:p>
    <w:p w14:paraId="5485A9ED" w14:textId="13E1B53B" w:rsidR="0006605A" w:rsidRDefault="00335A1D" w:rsidP="0006605A">
      <w:pPr>
        <w:spacing w:before="240" w:after="240"/>
        <w:jc w:val="center"/>
        <w:rPr>
          <w:rFonts w:ascii="Bookman Old Style" w:eastAsia="Bookman Old Style" w:hAnsi="Bookman Old Style" w:cs="Bookman Old Style"/>
          <w:b/>
        </w:rPr>
      </w:pPr>
      <w:r>
        <w:rPr>
          <w:rFonts w:ascii="Bookman Old Style" w:eastAsia="Bookman Old Style" w:hAnsi="Bookman Old Style" w:cs="Bookman Old Style"/>
          <w:b/>
        </w:rPr>
        <w:t>EXPOSICIÓN DE MOTIVOS</w:t>
      </w:r>
    </w:p>
    <w:p w14:paraId="04917A41" w14:textId="5198230E" w:rsidR="00335A1D" w:rsidRDefault="008931C7" w:rsidP="00335A1D">
      <w:pPr>
        <w:spacing w:before="240" w:after="240"/>
        <w:jc w:val="center"/>
        <w:rPr>
          <w:rFonts w:ascii="Bookman Old Style" w:eastAsia="Bookman Old Style" w:hAnsi="Bookman Old Style" w:cs="Bookman Old Style"/>
        </w:rPr>
      </w:pPr>
      <w:r>
        <w:rPr>
          <w:noProof/>
        </w:rPr>
        <w:pict w14:anchorId="474C87BB">
          <v:rect id="_x0000_i1025" alt="" style="width:441.9pt;height:.05pt;mso-width-percent:0;mso-height-percent:0;mso-width-percent:0;mso-height-percent:0" o:hralign="center" o:hrstd="t" o:hr="t" fillcolor="#a0a0a0" stroked="f"/>
        </w:pict>
      </w:r>
    </w:p>
    <w:p w14:paraId="5EFC8336" w14:textId="55D3E77A" w:rsidR="00C4369D" w:rsidRDefault="00C4369D" w:rsidP="00335A1D">
      <w:pPr>
        <w:numPr>
          <w:ilvl w:val="0"/>
          <w:numId w:val="7"/>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TRÁMITE DE LA INICIATIVA</w:t>
      </w:r>
    </w:p>
    <w:p w14:paraId="3D64127B" w14:textId="4165F19A" w:rsidR="00C4369D" w:rsidRDefault="00C4369D" w:rsidP="00747AAE">
      <w:pPr>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El proyecto de ley Estatutaria 006 de 2022 Cámara fue radicado el 21 de julio del 2022 por los </w:t>
      </w:r>
      <w:r w:rsidRPr="00747AAE">
        <w:rPr>
          <w:rFonts w:ascii="Bookman Old Style" w:eastAsia="Bookman Old Style" w:hAnsi="Bookman Old Style" w:cs="Bookman Old Style"/>
          <w:bCs/>
          <w:color w:val="000000"/>
        </w:rPr>
        <w:t>Honorables Representante</w:t>
      </w:r>
      <w:r w:rsidR="00747AAE" w:rsidRPr="00747AAE">
        <w:rPr>
          <w:rFonts w:ascii="Bookman Old Style" w:eastAsia="Bookman Old Style" w:hAnsi="Bookman Old Style" w:cs="Bookman Old Style"/>
          <w:bCs/>
          <w:color w:val="000000"/>
        </w:rPr>
        <w:t>s Juan Carlos Lozada Vargas</w:t>
      </w:r>
      <w:r w:rsidR="00747AAE">
        <w:rPr>
          <w:rFonts w:ascii="Bookman Old Style" w:eastAsia="Bookman Old Style" w:hAnsi="Bookman Old Style" w:cs="Bookman Old Style"/>
          <w:bCs/>
          <w:color w:val="000000"/>
        </w:rPr>
        <w:t xml:space="preserve">, </w:t>
      </w:r>
      <w:r w:rsidR="00A912B9">
        <w:rPr>
          <w:rFonts w:ascii="Bookman Old Style" w:eastAsia="Bookman Old Style" w:hAnsi="Bookman Old Style" w:cs="Bookman Old Style"/>
          <w:bCs/>
          <w:color w:val="000000"/>
        </w:rPr>
        <w:t>Andrés</w:t>
      </w:r>
      <w:r w:rsidR="00747AAE">
        <w:rPr>
          <w:rFonts w:ascii="Bookman Old Style" w:eastAsia="Bookman Old Style" w:hAnsi="Bookman Old Style" w:cs="Bookman Old Style"/>
          <w:bCs/>
          <w:color w:val="000000"/>
        </w:rPr>
        <w:t xml:space="preserve"> David Calle Aguas, </w:t>
      </w:r>
      <w:r w:rsidR="00A912B9">
        <w:rPr>
          <w:rFonts w:ascii="Bookman Old Style" w:eastAsia="Bookman Old Style" w:hAnsi="Bookman Old Style" w:cs="Bookman Old Style"/>
          <w:bCs/>
          <w:color w:val="000000"/>
        </w:rPr>
        <w:t>Julián</w:t>
      </w:r>
      <w:r w:rsidR="00747AAE">
        <w:rPr>
          <w:rFonts w:ascii="Bookman Old Style" w:eastAsia="Bookman Old Style" w:hAnsi="Bookman Old Style" w:cs="Bookman Old Style"/>
          <w:bCs/>
          <w:color w:val="000000"/>
        </w:rPr>
        <w:t xml:space="preserve"> Peinado Ramírez, María del Mar Pizarro García, Jennifer Dalley Pedraza Sandoval, David Ricardo Racero Mayorca, Diógenes Quintero Amaya, Gabriel Becerra Yánez, Luis Alberto Albán Urbano, Leyla Marleny Rincón</w:t>
      </w:r>
      <w:r w:rsidR="00A912B9">
        <w:rPr>
          <w:rFonts w:ascii="Bookman Old Style" w:eastAsia="Bookman Old Style" w:hAnsi="Bookman Old Style" w:cs="Bookman Old Style"/>
          <w:bCs/>
          <w:color w:val="000000"/>
        </w:rPr>
        <w:t xml:space="preserve"> Trujillo, Alfredo Mondragón Garzón, Jorge Andrés Cancimance López, Carlos Alberto Carreño Marín, Catherine Juvinao Clavijo, Santiago Osorio Marín, María Fernanda Carrascal Rojas, Luvi Katherine Miranda Peña, Martha Lisbeth Alfonso Jurado, Dolcey Oscar Torres Romero, Daniel Carvalho Mejía, Jezmi Lizeth Barraza Arraut, Germán Rogelio Rozo Anís</w:t>
      </w:r>
      <w:r w:rsidR="007D15A9">
        <w:rPr>
          <w:rFonts w:ascii="Bookman Old Style" w:eastAsia="Bookman Old Style" w:hAnsi="Bookman Old Style" w:cs="Bookman Old Style"/>
          <w:bCs/>
          <w:color w:val="000000"/>
        </w:rPr>
        <w:t xml:space="preserve"> </w:t>
      </w:r>
      <w:r w:rsidRPr="00747AAE">
        <w:rPr>
          <w:rFonts w:ascii="Bookman Old Style" w:eastAsia="Bookman Old Style" w:hAnsi="Bookman Old Style" w:cs="Bookman Old Style"/>
          <w:bCs/>
          <w:color w:val="000000"/>
        </w:rPr>
        <w:t>y por los Honorables Senadores</w:t>
      </w:r>
      <w:r>
        <w:rPr>
          <w:rFonts w:ascii="Bookman Old Style" w:eastAsia="Bookman Old Style" w:hAnsi="Bookman Old Style" w:cs="Bookman Old Style"/>
          <w:bCs/>
          <w:color w:val="000000"/>
        </w:rPr>
        <w:t xml:space="preserve"> </w:t>
      </w:r>
      <w:r w:rsidR="007D15A9">
        <w:rPr>
          <w:rFonts w:ascii="Bookman Old Style" w:eastAsia="Bookman Old Style" w:hAnsi="Bookman Old Style" w:cs="Bookman Old Style"/>
          <w:bCs/>
          <w:color w:val="000000"/>
        </w:rPr>
        <w:t xml:space="preserve">Alejandro Vega Pérez, Humberto de la Calle Lombana, María José Pizarro Rodríguez, Alejandro Carlos Chacón Camargo, Inti Raúl Asprilla Reyes, Omar de Jesús Restrepo Correa, Wilson Arias Castillo, Yuly Esmeralda Hernández Silva, Iván Cepeda Castro y Griselda Lobo Silva. </w:t>
      </w:r>
    </w:p>
    <w:p w14:paraId="6107954C" w14:textId="71FA5169" w:rsidR="00C4369D" w:rsidRDefault="00C4369D"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r>
        <w:rPr>
          <w:rFonts w:ascii="Bookman Old Style" w:eastAsia="Bookman Old Style" w:hAnsi="Bookman Old Style" w:cs="Bookman Old Style"/>
          <w:bCs/>
          <w:color w:val="000000"/>
        </w:rPr>
        <w:t xml:space="preserve">El proyecto fue remitido a la Comisión Primera Constitucional Permanente de la Cámara de Representantes donde se designó como </w:t>
      </w:r>
      <w:r w:rsidR="008C7C98">
        <w:rPr>
          <w:rFonts w:ascii="Bookman Old Style" w:eastAsia="Bookman Old Style" w:hAnsi="Bookman Old Style" w:cs="Bookman Old Style"/>
          <w:bCs/>
          <w:color w:val="000000"/>
        </w:rPr>
        <w:t xml:space="preserve">coordinadores </w:t>
      </w:r>
      <w:r>
        <w:rPr>
          <w:rFonts w:ascii="Bookman Old Style" w:eastAsia="Bookman Old Style" w:hAnsi="Bookman Old Style" w:cs="Bookman Old Style"/>
          <w:bCs/>
          <w:color w:val="000000"/>
        </w:rPr>
        <w:t>ponentes al Honorable</w:t>
      </w:r>
      <w:r w:rsidR="00747AAE">
        <w:rPr>
          <w:rFonts w:ascii="Bookman Old Style" w:eastAsia="Bookman Old Style" w:hAnsi="Bookman Old Style" w:cs="Bookman Old Style"/>
          <w:bCs/>
          <w:color w:val="000000"/>
        </w:rPr>
        <w:t xml:space="preserve"> </w:t>
      </w:r>
      <w:r>
        <w:rPr>
          <w:rFonts w:ascii="Bookman Old Style" w:eastAsia="Bookman Old Style" w:hAnsi="Bookman Old Style" w:cs="Bookman Old Style"/>
          <w:bCs/>
          <w:color w:val="000000"/>
        </w:rPr>
        <w:t xml:space="preserve">Representante Juan Carlos Lozada Vargas y al Honorable Representante Gabriel Becerra Yañez. Fueron también designados como ponentes los Honorables Representantes </w:t>
      </w:r>
      <w:r w:rsidR="00747AAE">
        <w:rPr>
          <w:rFonts w:ascii="Bookman Old Style" w:eastAsia="Bookman Old Style" w:hAnsi="Bookman Old Style" w:cs="Bookman Old Style"/>
          <w:bCs/>
          <w:color w:val="000000"/>
        </w:rPr>
        <w:t xml:space="preserve">Luis Alberto Albán, James Hermenegildo Mosquera Torres, Juan Daniel Peñuela Calvache, José Jaime Uscátegui, Santiago Osorio Marín y las Honorables Representantes Adriana Carolina Arbeláez Giraldo, Astrid Sánchez Montes De Oca y </w:t>
      </w:r>
      <w:proofErr w:type="spellStart"/>
      <w:r w:rsidR="00747AAE">
        <w:rPr>
          <w:rFonts w:ascii="Bookman Old Style" w:eastAsia="Bookman Old Style" w:hAnsi="Bookman Old Style" w:cs="Bookman Old Style"/>
          <w:bCs/>
          <w:color w:val="000000"/>
        </w:rPr>
        <w:t>Marelen</w:t>
      </w:r>
      <w:proofErr w:type="spellEnd"/>
      <w:r w:rsidR="00747AAE">
        <w:rPr>
          <w:rFonts w:ascii="Bookman Old Style" w:eastAsia="Bookman Old Style" w:hAnsi="Bookman Old Style" w:cs="Bookman Old Style"/>
          <w:bCs/>
          <w:color w:val="000000"/>
        </w:rPr>
        <w:t xml:space="preserve"> Castillo Torres. </w:t>
      </w:r>
    </w:p>
    <w:p w14:paraId="2B123064" w14:textId="77777777" w:rsidR="0006605A" w:rsidRPr="00C4369D" w:rsidRDefault="0006605A" w:rsidP="00C4369D">
      <w:pPr>
        <w:pBdr>
          <w:top w:val="nil"/>
          <w:left w:val="nil"/>
          <w:bottom w:val="nil"/>
          <w:right w:val="nil"/>
          <w:between w:val="nil"/>
        </w:pBdr>
        <w:spacing w:before="240" w:after="240"/>
        <w:jc w:val="both"/>
        <w:rPr>
          <w:rFonts w:ascii="Bookman Old Style" w:eastAsia="Bookman Old Style" w:hAnsi="Bookman Old Style" w:cs="Bookman Old Style"/>
          <w:bCs/>
          <w:color w:val="000000"/>
        </w:rPr>
      </w:pPr>
    </w:p>
    <w:p w14:paraId="5C0BB693" w14:textId="115AAF1C" w:rsidR="00335A1D" w:rsidRDefault="00335A1D" w:rsidP="00335A1D">
      <w:pPr>
        <w:numPr>
          <w:ilvl w:val="0"/>
          <w:numId w:val="7"/>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OBJETO DE LA LEY</w:t>
      </w:r>
    </w:p>
    <w:p w14:paraId="486810A0"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objeto del presente proyecto de ley estatutaria es regular las condiciones para que las personas puedan tener acceso al derecho a morir dignamente bajo la modalidad de muerte médicamente asistida.</w:t>
      </w:r>
    </w:p>
    <w:p w14:paraId="5B52A131"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adoptan disposiciones normativas para garantizar el goce efectivo del derecho fundamental a la muerte digna mediante la muerte médicamente asistida que ha sido reconocido por vía jurisprudencial desde 1997 por la Corte Constitucional. A </w:t>
      </w:r>
      <w:r>
        <w:rPr>
          <w:rFonts w:ascii="Bookman Old Style" w:eastAsia="Bookman Old Style" w:hAnsi="Bookman Old Style" w:cs="Bookman Old Style"/>
        </w:rPr>
        <w:lastRenderedPageBreak/>
        <w:t xml:space="preserve">su vez, se crean normas para garantizar la seguridad jurídica de los profesionales de la salud que garanticen el referido derecho. </w:t>
      </w:r>
    </w:p>
    <w:p w14:paraId="0BFEB131" w14:textId="77777777" w:rsidR="00335A1D" w:rsidRDefault="00335A1D" w:rsidP="00335A1D">
      <w:pPr>
        <w:jc w:val="both"/>
        <w:rPr>
          <w:rFonts w:ascii="Bookman Old Style" w:eastAsia="Bookman Old Style" w:hAnsi="Bookman Old Style" w:cs="Bookman Old Style"/>
        </w:rPr>
      </w:pPr>
    </w:p>
    <w:p w14:paraId="44E056DA" w14:textId="77777777" w:rsidR="00335A1D" w:rsidRDefault="00335A1D" w:rsidP="00335A1D">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ANTECEDENTES</w:t>
      </w:r>
    </w:p>
    <w:p w14:paraId="6D70CFEB" w14:textId="77777777" w:rsidR="00335A1D" w:rsidRDefault="00335A1D" w:rsidP="00335A1D">
      <w:pPr>
        <w:jc w:val="both"/>
        <w:rPr>
          <w:rFonts w:ascii="Bookman Old Style" w:eastAsia="Bookman Old Style" w:hAnsi="Bookman Old Style" w:cs="Bookman Old Style"/>
        </w:rPr>
      </w:pPr>
    </w:p>
    <w:p w14:paraId="1BE56BB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Desde 1998 ante el Congreso de la República se han radicado y tramitado 14 iniciativas legislativas similares, encaminadas a reglamentar el derecho de acceso a la muerte digna. Algunos de estos proyectos regulaban distintas modalidades de materialización de este derecho, incluyendo la muerte médicamente asistida. En varias ocasiones las iniciativas lograron superar al menos el primer debate, bien fuera en Senado o en Cámara de Representantes, sin embargo, nunca lograron continuar su trámite en el Congreso por lo que a la fecha aún existen vacíos legislativos sobre este asunto. </w:t>
      </w:r>
    </w:p>
    <w:p w14:paraId="4B617949" w14:textId="77777777" w:rsidR="00335A1D" w:rsidRDefault="00335A1D" w:rsidP="00335A1D">
      <w:pPr>
        <w:jc w:val="both"/>
        <w:rPr>
          <w:rFonts w:ascii="Bookman Old Style" w:eastAsia="Bookman Old Style" w:hAnsi="Bookman Old Style" w:cs="Bookman Old Style"/>
        </w:rPr>
      </w:pPr>
    </w:p>
    <w:p w14:paraId="7576B564"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Durante el anterior periodo constitucional del Congreso de la República (2018-2022) se radicaron cinco de esas once iniciativas. El primer esfuerzo fue presentado por los Honorables Representantes Juan Fernando Reyes Kuri, Carlos Adolfo Ardila Espinosa, Elizabeth Jay-</w:t>
      </w:r>
      <w:proofErr w:type="spellStart"/>
      <w:r>
        <w:rPr>
          <w:rFonts w:ascii="Bookman Old Style" w:eastAsia="Bookman Old Style" w:hAnsi="Bookman Old Style" w:cs="Bookman Old Style"/>
        </w:rPr>
        <w:t>Pang</w:t>
      </w:r>
      <w:proofErr w:type="spellEnd"/>
      <w:r>
        <w:rPr>
          <w:rFonts w:ascii="Bookman Old Style" w:eastAsia="Bookman Old Style" w:hAnsi="Bookman Old Style" w:cs="Bookman Old Style"/>
        </w:rPr>
        <w:t xml:space="preserve"> Díaz, Álvaro Henry Monedero Rivera y Hernán Gustavo Estupiñán Calvache y se materializó en el Proyecto de Ley No. 204 de 2019 Cámara. Si bien la iniciativa fue aprobada por la Comisión Primera de la Cámara de Representantes, no llegó a serlo por parte de la Plenaria de dicha Corporación, por lo que fue archivada de conformidad con lo previsto por el Artículo 119 de la Ley 5 de 1992.</w:t>
      </w:r>
    </w:p>
    <w:p w14:paraId="6619AF4B" w14:textId="77777777" w:rsidR="00335A1D" w:rsidRDefault="00335A1D" w:rsidP="00335A1D">
      <w:pPr>
        <w:jc w:val="both"/>
        <w:rPr>
          <w:rFonts w:ascii="Bookman Old Style" w:eastAsia="Bookman Old Style" w:hAnsi="Bookman Old Style" w:cs="Bookman Old Style"/>
        </w:rPr>
      </w:pPr>
    </w:p>
    <w:p w14:paraId="0266B4BB"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El segundo intento se realizó mediante el Proyecto de Ley Estatutaria No. 063 de 2020 Cámara, proyecto que corrió la misma suerte del primero, siendo archivado por la Plenaria de la Cámara de Representantes. De esta iniciativa fueron autores los Honorables Senadores Horacio José Serpa Moncada, Armando Alberto Benedetti Villaneda, Julián Bedoya Pulgarín, Luis Fernando Velasco Chaves, Guillermo García Realpe, Andrés Cristo Bustos y los Honorables Representantes Juan Fernando Reyes Kuri, Elizabeth Jay-</w:t>
      </w:r>
      <w:proofErr w:type="spellStart"/>
      <w:r>
        <w:rPr>
          <w:rFonts w:ascii="Bookman Old Style" w:eastAsia="Bookman Old Style" w:hAnsi="Bookman Old Style" w:cs="Bookman Old Style"/>
        </w:rPr>
        <w:t>Pang</w:t>
      </w:r>
      <w:proofErr w:type="spellEnd"/>
      <w:r>
        <w:rPr>
          <w:rFonts w:ascii="Bookman Old Style" w:eastAsia="Bookman Old Style" w:hAnsi="Bookman Old Style" w:cs="Bookman Old Style"/>
        </w:rPr>
        <w:t xml:space="preserve"> Díaz, Luis Alberto Albán Urbano, Carlos Adolfo Ardila Espinosa, José Daniel López Jiménez, Mauricio Andrés Toro Orjuela, Jaime Rodríguez Contreras, María José Pizarro Rodríguez, Hernán Gustavo </w:t>
      </w:r>
      <w:proofErr w:type="spellStart"/>
      <w:r>
        <w:rPr>
          <w:rFonts w:ascii="Bookman Old Style" w:eastAsia="Bookman Old Style" w:hAnsi="Bookman Old Style" w:cs="Bookman Old Style"/>
        </w:rPr>
        <w:t>Estupiñan</w:t>
      </w:r>
      <w:proofErr w:type="spellEnd"/>
      <w:r>
        <w:rPr>
          <w:rFonts w:ascii="Bookman Old Style" w:eastAsia="Bookman Old Style" w:hAnsi="Bookman Old Style" w:cs="Bookman Old Style"/>
        </w:rPr>
        <w:t xml:space="preserve"> Calvache, Harry Giovanny González García, Elbert Díaz Lozano, Jorge Eliécer Tamayo Marulanda, Rodrigo Arturo Rojas Lara, Nubia López Morales, Álvaro Henry Monedero Rivera, Norma Hurtado Sánchez, John Arley Murillo Benítez, Juanita María </w:t>
      </w:r>
      <w:proofErr w:type="spellStart"/>
      <w:r>
        <w:rPr>
          <w:rFonts w:ascii="Bookman Old Style" w:eastAsia="Bookman Old Style" w:hAnsi="Bookman Old Style" w:cs="Bookman Old Style"/>
        </w:rPr>
        <w:t>Goebertus</w:t>
      </w:r>
      <w:proofErr w:type="spellEnd"/>
      <w:r>
        <w:rPr>
          <w:rFonts w:ascii="Bookman Old Style" w:eastAsia="Bookman Old Style" w:hAnsi="Bookman Old Style" w:cs="Bookman Old Style"/>
        </w:rPr>
        <w:t xml:space="preserve"> Estrada, Alfredo Rafael Deluque Zuleta, Catalina Ortiz </w:t>
      </w:r>
      <w:proofErr w:type="spellStart"/>
      <w:r>
        <w:rPr>
          <w:rFonts w:ascii="Bookman Old Style" w:eastAsia="Bookman Old Style" w:hAnsi="Bookman Old Style" w:cs="Bookman Old Style"/>
        </w:rPr>
        <w:t>Lalinde</w:t>
      </w:r>
      <w:proofErr w:type="spellEnd"/>
      <w:r>
        <w:rPr>
          <w:rFonts w:ascii="Bookman Old Style" w:eastAsia="Bookman Old Style" w:hAnsi="Bookman Old Style" w:cs="Bookman Old Style"/>
        </w:rPr>
        <w:t xml:space="preserve">, Jezmi Lizeth Barraza Arraut, Fabio Fernando Arroyave Rivas, Julián Peinado Ramírez, Jorge Méndez Hernández, Alejandro Alberto Vega Pérez, Ángela María Robledo Gómez, Jorge Enrique Benedetti Martelo, César Augusto </w:t>
      </w:r>
      <w:proofErr w:type="spellStart"/>
      <w:r>
        <w:rPr>
          <w:rFonts w:ascii="Bookman Old Style" w:eastAsia="Bookman Old Style" w:hAnsi="Bookman Old Style" w:cs="Bookman Old Style"/>
        </w:rPr>
        <w:t>Lorduy</w:t>
      </w:r>
      <w:proofErr w:type="spellEnd"/>
      <w:r>
        <w:rPr>
          <w:rFonts w:ascii="Bookman Old Style" w:eastAsia="Bookman Old Style" w:hAnsi="Bookman Old Style" w:cs="Bookman Old Style"/>
        </w:rPr>
        <w:t xml:space="preserve"> Maldonado, Flora Perdomo Andrade, Carlos Germán Navas Talero, Katherine Miranda Peña y Juan Carlos Lozada Vargas.</w:t>
      </w:r>
    </w:p>
    <w:p w14:paraId="39300D4D" w14:textId="77777777" w:rsidR="00335A1D" w:rsidRDefault="00335A1D" w:rsidP="00335A1D">
      <w:pPr>
        <w:jc w:val="both"/>
        <w:rPr>
          <w:rFonts w:ascii="Bookman Old Style" w:eastAsia="Bookman Old Style" w:hAnsi="Bookman Old Style" w:cs="Bookman Old Style"/>
        </w:rPr>
      </w:pPr>
    </w:p>
    <w:p w14:paraId="037B12A1"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El antecedente más reciente presentado en la Cámara de Representantes fue el Proyecto de Ley Estatutaria No. 007 de 2021 Cámara. Una vez más, fue aprobado por la Comisión Primera de la Cámara de Representantes, pero archivado por la Plenaria de la misma corporación. </w:t>
      </w:r>
    </w:p>
    <w:p w14:paraId="238651D4" w14:textId="77777777" w:rsidR="00335A1D" w:rsidRDefault="00335A1D" w:rsidP="00335A1D">
      <w:pPr>
        <w:jc w:val="both"/>
        <w:rPr>
          <w:rFonts w:ascii="Bookman Old Style" w:eastAsia="Bookman Old Style" w:hAnsi="Bookman Old Style" w:cs="Bookman Old Style"/>
        </w:rPr>
      </w:pPr>
    </w:p>
    <w:p w14:paraId="72FDF35A"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De dicha iniciativa fueron autores los Honorables Senadores Guillermo García Realpe, Victoria Sandino </w:t>
      </w:r>
      <w:proofErr w:type="spellStart"/>
      <w:r>
        <w:rPr>
          <w:rFonts w:ascii="Bookman Old Style" w:eastAsia="Bookman Old Style" w:hAnsi="Bookman Old Style" w:cs="Bookman Old Style"/>
        </w:rPr>
        <w:t>Simanca</w:t>
      </w:r>
      <w:proofErr w:type="spellEnd"/>
      <w:r>
        <w:rPr>
          <w:rFonts w:ascii="Bookman Old Style" w:eastAsia="Bookman Old Style" w:hAnsi="Bookman Old Style" w:cs="Bookman Old Style"/>
        </w:rPr>
        <w:t xml:space="preserve"> Herrera, Antonio Sanguino Páez, Iván Cepeda Castro, Temístocles Ortega Narváez, Jorge Eduardo Londoño Ulloa, Armando Alberto Benedetti Villaneda, Andrés Cristo Bustos, Juan Luis Castro Córdoba, Luis Fernando Velasco Chaves, Horacio José Serpa, Angélica Lisbeth Lozano Correa, y por los Honorables Representantes Juan Fernando Reyes Kuri, José Daniel López Jiménez, Carlos Adolfo Ardila Espinosa, Mauricio Andrés Toro Orjuela, Elizabeth Jay-</w:t>
      </w:r>
      <w:proofErr w:type="spellStart"/>
      <w:r>
        <w:rPr>
          <w:rFonts w:ascii="Bookman Old Style" w:eastAsia="Bookman Old Style" w:hAnsi="Bookman Old Style" w:cs="Bookman Old Style"/>
        </w:rPr>
        <w:t>Pang</w:t>
      </w:r>
      <w:proofErr w:type="spellEnd"/>
      <w:r>
        <w:rPr>
          <w:rFonts w:ascii="Bookman Old Style" w:eastAsia="Bookman Old Style" w:hAnsi="Bookman Old Style" w:cs="Bookman Old Style"/>
        </w:rPr>
        <w:t xml:space="preserve"> Díaz, John Arley Murillo Benítez, John Jairo Roldan Avendaño, Jezmi Lizeth Barraza Arraut, Jorge Enrique Benedetti Martelo, Carlos Germán Navas Talero, José Luis Correa López, Jaime Rodríguez Contreras, Rodrigo Arturo Rojas Lara, Juanita María </w:t>
      </w:r>
      <w:proofErr w:type="spellStart"/>
      <w:r>
        <w:rPr>
          <w:rFonts w:ascii="Bookman Old Style" w:eastAsia="Bookman Old Style" w:hAnsi="Bookman Old Style" w:cs="Bookman Old Style"/>
        </w:rPr>
        <w:t>Goebertus</w:t>
      </w:r>
      <w:proofErr w:type="spellEnd"/>
      <w:r>
        <w:rPr>
          <w:rFonts w:ascii="Bookman Old Style" w:eastAsia="Bookman Old Style" w:hAnsi="Bookman Old Style" w:cs="Bookman Old Style"/>
        </w:rPr>
        <w:t xml:space="preserve"> Estrada, Alejandro Alberto Vega Pérez, León Fredy Muñoz Lopera, Ángel María Gaitán Pulido, Hernán Gustavo </w:t>
      </w:r>
      <w:proofErr w:type="spellStart"/>
      <w:r>
        <w:rPr>
          <w:rFonts w:ascii="Bookman Old Style" w:eastAsia="Bookman Old Style" w:hAnsi="Bookman Old Style" w:cs="Bookman Old Style"/>
        </w:rPr>
        <w:t>Estupiñan</w:t>
      </w:r>
      <w:proofErr w:type="spellEnd"/>
      <w:r>
        <w:rPr>
          <w:rFonts w:ascii="Bookman Old Style" w:eastAsia="Bookman Old Style" w:hAnsi="Bookman Old Style" w:cs="Bookman Old Style"/>
        </w:rPr>
        <w:t xml:space="preserve"> Calvache, Norma Hurtado Sánchez, Faber Alberto Muñoz Cerón, Jorge Méndez Hernández, Katherine Miranda Peña, María José Pizarro Rodríguez, Catalina Ortiz </w:t>
      </w:r>
      <w:proofErr w:type="spellStart"/>
      <w:r>
        <w:rPr>
          <w:rFonts w:ascii="Bookman Old Style" w:eastAsia="Bookman Old Style" w:hAnsi="Bookman Old Style" w:cs="Bookman Old Style"/>
        </w:rPr>
        <w:t>Lalinde</w:t>
      </w:r>
      <w:proofErr w:type="spellEnd"/>
      <w:r>
        <w:rPr>
          <w:rFonts w:ascii="Bookman Old Style" w:eastAsia="Bookman Old Style" w:hAnsi="Bookman Old Style" w:cs="Bookman Old Style"/>
        </w:rPr>
        <w:t xml:space="preserve">, Andrés David Calle Aguas, Jorge Eliécer Tamayo Marulanda, Jairo Reinaldo Cala Suárez, Mauricio Parodi Diaz, David Ricardo Racero Mayorca, Álvaro Henry Monedero Rivera, Alejandro Carlos Chacón Camargo, Luciano Grisales Londoño, Luis Alberto Albán Urbano, César Augusto </w:t>
      </w:r>
      <w:proofErr w:type="spellStart"/>
      <w:r>
        <w:rPr>
          <w:rFonts w:ascii="Bookman Old Style" w:eastAsia="Bookman Old Style" w:hAnsi="Bookman Old Style" w:cs="Bookman Old Style"/>
        </w:rPr>
        <w:t>Lorduy</w:t>
      </w:r>
      <w:proofErr w:type="spellEnd"/>
      <w:r>
        <w:rPr>
          <w:rFonts w:ascii="Bookman Old Style" w:eastAsia="Bookman Old Style" w:hAnsi="Bookman Old Style" w:cs="Bookman Old Style"/>
        </w:rPr>
        <w:t xml:space="preserve"> Maldonado y Juan Carlos Losada Vargas.</w:t>
      </w:r>
    </w:p>
    <w:p w14:paraId="136DAC86" w14:textId="77777777" w:rsidR="00335A1D" w:rsidRDefault="00335A1D" w:rsidP="00335A1D">
      <w:pPr>
        <w:jc w:val="both"/>
        <w:rPr>
          <w:rFonts w:ascii="Bookman Old Style" w:eastAsia="Bookman Old Style" w:hAnsi="Bookman Old Style" w:cs="Bookman Old Style"/>
        </w:rPr>
      </w:pPr>
    </w:p>
    <w:p w14:paraId="718048A6"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En el Senado de la República se presentó la cuarta iniciativa legislativa en caminada a regular la materia. Se trató del Proyecto de Ley No. 70 de 2020 Senado cuyo autor fue el Honorable Senado Armando Benedetti. También ante el Senado, pero por iniciativa gubernamental del Ministerio de Salud y Protección Social, se radicó el Proyecto de Ley Estatutaria No. 355 de 2020 Senado. Ninguna de las dos iniciativas prosperó y fueron archivados de conformidad con lo previsto por el artículo 153 superior. </w:t>
      </w:r>
    </w:p>
    <w:p w14:paraId="616FFC71" w14:textId="77777777" w:rsidR="00335A1D" w:rsidRDefault="00335A1D" w:rsidP="00335A1D">
      <w:pPr>
        <w:jc w:val="both"/>
        <w:rPr>
          <w:rFonts w:ascii="Bookman Old Style" w:eastAsia="Bookman Old Style" w:hAnsi="Bookman Old Style" w:cs="Bookman Old Style"/>
        </w:rPr>
      </w:pPr>
    </w:p>
    <w:p w14:paraId="203469DF"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Proyecto de Ley Estatutaria adoptó como base el articulado y la exposición de motivos plasmada por el Proyecto de Ley Estatutaria No. 007 de 2021 Cámara, el cual fue impulsado principalmente por el Honorable Representante Juan Fernando Reyes Kuri quien, durante los cuatro años del periodo legislativo anterior, dio la lucha al interior de la Cámara de Representantes por, finalmente, regular el derecho a morir dignamente. También se tuvieron en cuenta las modificaciones que el congresista referido, quien además fue el ponente de la iniciativa, plasmó en la ponencia para el segundo debate, por considerar que son </w:t>
      </w:r>
      <w:r>
        <w:rPr>
          <w:rFonts w:ascii="Bookman Old Style" w:eastAsia="Bookman Old Style" w:hAnsi="Bookman Old Style" w:cs="Bookman Old Style"/>
        </w:rPr>
        <w:lastRenderedPageBreak/>
        <w:t xml:space="preserve">los avances más recientes como parte de los esfuerzos legislativos por reglamentar el acceso al derecho a la muerte digna. </w:t>
      </w:r>
    </w:p>
    <w:p w14:paraId="15CE5C4B" w14:textId="77777777" w:rsidR="00335A1D" w:rsidRDefault="00335A1D" w:rsidP="00335A1D">
      <w:pPr>
        <w:jc w:val="both"/>
        <w:rPr>
          <w:rFonts w:ascii="Bookman Old Style" w:eastAsia="Bookman Old Style" w:hAnsi="Bookman Old Style" w:cs="Bookman Old Style"/>
        </w:rPr>
      </w:pPr>
    </w:p>
    <w:p w14:paraId="28B75947"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incorporó las subreglas de la totalidad de la jurisprudencia relevante en la materia, especialmente aquellas fijadas en la sentencia C-322 de 2021, que fue publicada con posterioridad a la radicación de la referida ponencia. </w:t>
      </w:r>
    </w:p>
    <w:p w14:paraId="1CE8BCD5" w14:textId="77777777" w:rsidR="00335A1D" w:rsidRDefault="00335A1D" w:rsidP="00335A1D">
      <w:pPr>
        <w:jc w:val="both"/>
        <w:rPr>
          <w:rFonts w:ascii="Bookman Old Style" w:eastAsia="Bookman Old Style" w:hAnsi="Bookman Old Style" w:cs="Bookman Old Style"/>
        </w:rPr>
      </w:pPr>
    </w:p>
    <w:p w14:paraId="27A0E829" w14:textId="73D740EB"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Así las cosas, para la radicación de este texto se actualizó y complementó la información de la exposición de motivos del proyecto referido y se realizaron modificaciones estructurales y transversales al articulado, con el objetivo de plantear una regulación integral sobre este derecho al nuevo Congreso de la República.</w:t>
      </w:r>
    </w:p>
    <w:p w14:paraId="23E27A59" w14:textId="77777777" w:rsidR="0006605A" w:rsidRDefault="0006605A" w:rsidP="00335A1D">
      <w:pPr>
        <w:jc w:val="both"/>
        <w:rPr>
          <w:rFonts w:ascii="Bookman Old Style" w:eastAsia="Bookman Old Style" w:hAnsi="Bookman Old Style" w:cs="Bookman Old Style"/>
        </w:rPr>
      </w:pPr>
    </w:p>
    <w:p w14:paraId="62F729E2" w14:textId="77777777" w:rsidR="00335A1D" w:rsidRDefault="00335A1D" w:rsidP="00335A1D">
      <w:pPr>
        <w:jc w:val="both"/>
        <w:rPr>
          <w:rFonts w:ascii="Bookman Old Style" w:eastAsia="Bookman Old Style" w:hAnsi="Bookman Old Style" w:cs="Bookman Old Style"/>
        </w:rPr>
      </w:pPr>
    </w:p>
    <w:p w14:paraId="3F0EBDC2" w14:textId="77777777" w:rsidR="00335A1D" w:rsidRDefault="00335A1D" w:rsidP="00335A1D">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FUNDAMENTOS JURÍDICOS DEL PROYECTO</w:t>
      </w:r>
    </w:p>
    <w:p w14:paraId="3392A294" w14:textId="77777777" w:rsidR="00335A1D" w:rsidRDefault="00335A1D" w:rsidP="00335A1D">
      <w:pPr>
        <w:jc w:val="both"/>
        <w:rPr>
          <w:rFonts w:ascii="Bookman Old Style" w:eastAsia="Bookman Old Style" w:hAnsi="Bookman Old Style" w:cs="Bookman Old Style"/>
        </w:rPr>
      </w:pPr>
    </w:p>
    <w:p w14:paraId="1B73DF36"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En Colombia el derecho a morir dignamente fue reconocido por vía jurisprudencial por intermedio de la sentencia C-239 de 1997 de la Corte Constitucional. En virtud de dicha providencia, Colombia se convirtió en el primer Estado de la región en reconocer tal posibilidad como un derecho.</w:t>
      </w:r>
    </w:p>
    <w:p w14:paraId="4746CD1E" w14:textId="77777777" w:rsidR="00335A1D" w:rsidRDefault="00335A1D" w:rsidP="00335A1D">
      <w:pPr>
        <w:jc w:val="both"/>
        <w:rPr>
          <w:rFonts w:ascii="Bookman Old Style" w:eastAsia="Bookman Old Style" w:hAnsi="Bookman Old Style" w:cs="Bookman Old Style"/>
        </w:rPr>
      </w:pPr>
    </w:p>
    <w:p w14:paraId="0237E213" w14:textId="427C6F4A"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A continuación, se presenta un recuento de los desarrollos constitucionales, jurisprudenciales, legales y reglamentarios que han configurado el estado actual de cosas desde una perspectiva jurídica del derecho a la muerte digna.</w:t>
      </w:r>
    </w:p>
    <w:p w14:paraId="3AC6443F" w14:textId="77777777" w:rsidR="0006605A" w:rsidRDefault="0006605A" w:rsidP="00335A1D">
      <w:pPr>
        <w:jc w:val="both"/>
        <w:rPr>
          <w:rFonts w:ascii="Bookman Old Style" w:eastAsia="Bookman Old Style" w:hAnsi="Bookman Old Style" w:cs="Bookman Old Style"/>
        </w:rPr>
      </w:pPr>
    </w:p>
    <w:p w14:paraId="34E8B524" w14:textId="77777777" w:rsidR="00335A1D" w:rsidRDefault="00335A1D" w:rsidP="00335A1D">
      <w:pPr>
        <w:jc w:val="both"/>
        <w:rPr>
          <w:rFonts w:ascii="Bookman Old Style" w:eastAsia="Bookman Old Style" w:hAnsi="Bookman Old Style" w:cs="Bookman Old Style"/>
        </w:rPr>
      </w:pPr>
    </w:p>
    <w:p w14:paraId="5E79EF6F"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CONSTITUCIONALES</w:t>
      </w:r>
    </w:p>
    <w:p w14:paraId="06E35F80" w14:textId="77777777" w:rsidR="00335A1D" w:rsidRDefault="00335A1D" w:rsidP="00335A1D">
      <w:pPr>
        <w:jc w:val="both"/>
        <w:rPr>
          <w:rFonts w:ascii="Bookman Old Style" w:eastAsia="Bookman Old Style" w:hAnsi="Bookman Old Style" w:cs="Bookman Old Style"/>
        </w:rPr>
      </w:pPr>
    </w:p>
    <w:p w14:paraId="5BD373BC"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Como se describirá más adelante, el derecho a la muerte digna guarda estrecha relación con otros derechos fundamentales como el libre desarrollo de la personalidad, la autonomía, el derecho a la vida que comporta la muerte como último acto de la persona, la dignidad humana y la igualdad. </w:t>
      </w:r>
    </w:p>
    <w:p w14:paraId="5A0BE304" w14:textId="77777777" w:rsidR="00335A1D" w:rsidRDefault="00335A1D" w:rsidP="00335A1D">
      <w:pPr>
        <w:jc w:val="both"/>
        <w:rPr>
          <w:rFonts w:ascii="Bookman Old Style" w:eastAsia="Bookman Old Style" w:hAnsi="Bookman Old Style" w:cs="Bookman Old Style"/>
        </w:rPr>
      </w:pPr>
    </w:p>
    <w:p w14:paraId="1510E3A0"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Así las cosas, la regulación por vía estatutaria del derecho a la muerte digna desarrolla sendas normas constitucionales dentro de las que se encuentran:</w:t>
      </w:r>
    </w:p>
    <w:p w14:paraId="43F93C6E" w14:textId="77777777" w:rsidR="00335A1D" w:rsidRDefault="00335A1D" w:rsidP="00335A1D">
      <w:pPr>
        <w:jc w:val="both"/>
        <w:rPr>
          <w:rFonts w:ascii="Bookman Old Style" w:eastAsia="Bookman Old Style" w:hAnsi="Bookman Old Style" w:cs="Bookman Old Style"/>
        </w:rPr>
      </w:pPr>
    </w:p>
    <w:p w14:paraId="4B90107E" w14:textId="77777777" w:rsidR="00335A1D" w:rsidRDefault="00335A1D" w:rsidP="00335A1D">
      <w:pPr>
        <w:jc w:val="both"/>
        <w:rPr>
          <w:rFonts w:ascii="Bookman Old Style" w:eastAsia="Bookman Old Style" w:hAnsi="Bookman Old Style" w:cs="Bookman Old Style"/>
        </w:rPr>
      </w:pPr>
    </w:p>
    <w:p w14:paraId="70D58504" w14:textId="77777777" w:rsidR="00335A1D" w:rsidRDefault="00335A1D" w:rsidP="00335A1D">
      <w:pPr>
        <w:spacing w:after="240"/>
        <w:ind w:left="709" w:right="1325"/>
        <w:jc w:val="both"/>
        <w:rPr>
          <w:rFonts w:ascii="Bookman Old Style" w:eastAsia="Bookman Old Style" w:hAnsi="Bookman Old Style" w:cs="Bookman Old Style"/>
          <w:i/>
          <w:color w:val="000000"/>
        </w:rPr>
      </w:pPr>
      <w:bookmarkStart w:id="0" w:name="bookmark=id.30j0zll" w:colFirst="0" w:colLast="0"/>
      <w:bookmarkEnd w:id="0"/>
      <w:r>
        <w:rPr>
          <w:rFonts w:ascii="Bookman Old Style" w:eastAsia="Bookman Old Style" w:hAnsi="Bookman Old Style" w:cs="Bookman Old Style"/>
          <w:b/>
          <w:color w:val="000000"/>
        </w:rPr>
        <w:t>“</w:t>
      </w:r>
      <w:r>
        <w:rPr>
          <w:rFonts w:ascii="Bookman Old Style" w:eastAsia="Bookman Old Style" w:hAnsi="Bookman Old Style" w:cs="Bookman Old Style"/>
          <w:b/>
          <w:i/>
          <w:color w:val="000000"/>
        </w:rPr>
        <w:t>Artículo 1.</w:t>
      </w:r>
      <w:r>
        <w:rPr>
          <w:rFonts w:ascii="Bookman Old Style" w:eastAsia="Bookman Old Style" w:hAnsi="Bookman Old Style" w:cs="Bookman Old Style"/>
          <w:color w:val="000000"/>
        </w:rPr>
        <w:t> </w:t>
      </w:r>
      <w:r>
        <w:rPr>
          <w:rFonts w:ascii="Bookman Old Style" w:eastAsia="Bookman Old Style" w:hAnsi="Bookman Old Style" w:cs="Bookman Old Style"/>
          <w:i/>
          <w:color w:val="000000"/>
        </w:rPr>
        <w:t>Colombia es un estado social de derecho, organizado en forma de república unitaria, descentralizada, con autonomía de sus entidades territoriales, democrática, participativa y pluralista, fundada en el respeto de la dignidad humana</w:t>
      </w:r>
      <w:r>
        <w:rPr>
          <w:rFonts w:ascii="Bookman Old Style" w:eastAsia="Bookman Old Style" w:hAnsi="Bookman Old Style" w:cs="Bookman Old Style"/>
          <w:b/>
          <w:i/>
          <w:color w:val="000000"/>
        </w:rPr>
        <w:t>,</w:t>
      </w:r>
      <w:r>
        <w:rPr>
          <w:rFonts w:ascii="Bookman Old Style" w:eastAsia="Bookman Old Style" w:hAnsi="Bookman Old Style" w:cs="Bookman Old Style"/>
          <w:i/>
          <w:color w:val="000000"/>
        </w:rPr>
        <w:t xml:space="preserve"> en el trabajo y la solidaridad de las personas que la integran y en la prevalencia del interés general”.</w:t>
      </w:r>
      <w:bookmarkStart w:id="1" w:name="bookmark=id.1fob9te" w:colFirst="0" w:colLast="0"/>
      <w:bookmarkStart w:id="2" w:name="bookmark=id.3znysh7" w:colFirst="0" w:colLast="0"/>
      <w:bookmarkEnd w:id="1"/>
      <w:bookmarkEnd w:id="2"/>
    </w:p>
    <w:p w14:paraId="4A5CE316"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lastRenderedPageBreak/>
        <w:t>“</w:t>
      </w:r>
      <w:r>
        <w:rPr>
          <w:rFonts w:ascii="Bookman Old Style" w:eastAsia="Bookman Old Style" w:hAnsi="Bookman Old Style" w:cs="Bookman Old Style"/>
          <w:b/>
          <w:i/>
          <w:color w:val="000000"/>
        </w:rPr>
        <w:t xml:space="preserve">Artículo 2. </w:t>
      </w:r>
      <w:r>
        <w:rPr>
          <w:rFonts w:ascii="Bookman Old Style" w:eastAsia="Bookman Old Style" w:hAnsi="Bookman Old Style" w:cs="Bookman Old Style"/>
          <w:i/>
          <w:color w:val="00000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6880ADEA"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B9CCB91"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color w:val="000000"/>
        </w:rPr>
        <w:br/>
      </w:r>
      <w:r>
        <w:rPr>
          <w:rFonts w:ascii="Bookman Old Style" w:eastAsia="Bookman Old Style" w:hAnsi="Bookman Old Style" w:cs="Bookman Old Style"/>
          <w:b/>
          <w:i/>
          <w:color w:val="000000"/>
        </w:rPr>
        <w:t>“Artículo 12.</w:t>
      </w:r>
      <w:r>
        <w:rPr>
          <w:rFonts w:ascii="Bookman Old Style" w:eastAsia="Bookman Old Style" w:hAnsi="Bookman Old Style" w:cs="Bookman Old Style"/>
          <w:i/>
          <w:color w:val="000000"/>
        </w:rPr>
        <w:t> Nadie será sometido a desaparición forzada, a torturas ni a tratos o penas crueles, inhumanos o degradantes”.</w:t>
      </w:r>
    </w:p>
    <w:p w14:paraId="393A402F" w14:textId="77777777" w:rsidR="00335A1D" w:rsidRDefault="00335A1D" w:rsidP="00335A1D">
      <w:pPr>
        <w:spacing w:after="240"/>
        <w:ind w:left="709" w:right="1325"/>
        <w:jc w:val="both"/>
        <w:rPr>
          <w:rFonts w:ascii="Bookman Old Style" w:eastAsia="Bookman Old Style" w:hAnsi="Bookman Old Style" w:cs="Bookman Old Style"/>
          <w:i/>
          <w:color w:val="000000"/>
        </w:rPr>
      </w:pPr>
      <w:bookmarkStart w:id="3" w:name="bookmark=id.2et92p0" w:colFirst="0" w:colLast="0"/>
      <w:bookmarkEnd w:id="3"/>
      <w:r>
        <w:rPr>
          <w:rFonts w:ascii="Bookman Old Style" w:eastAsia="Bookman Old Style" w:hAnsi="Bookman Old Style" w:cs="Bookman Old Style"/>
          <w:b/>
          <w:i/>
          <w:color w:val="000000"/>
        </w:rPr>
        <w:t>“Artículo 13.</w:t>
      </w:r>
      <w:r>
        <w:rPr>
          <w:rFonts w:ascii="Bookman Old Style" w:eastAsia="Bookman Old Style" w:hAnsi="Bookman Old Style" w:cs="Bookman Old Style"/>
          <w:i/>
          <w:color w:val="000000"/>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0ABD21FF"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El Estado promoverá las condiciones para que la igualdad sea real y efectiva y adoptará medidas en favor de grupos discriminados o marginados.</w:t>
      </w:r>
    </w:p>
    <w:p w14:paraId="14CDDBBA" w14:textId="77777777" w:rsidR="00335A1D" w:rsidRDefault="00335A1D" w:rsidP="00335A1D">
      <w:pPr>
        <w:spacing w:after="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El Estado protegerá especialmente a aquellas personas </w:t>
      </w:r>
      <w:proofErr w:type="gramStart"/>
      <w:r>
        <w:rPr>
          <w:rFonts w:ascii="Bookman Old Style" w:eastAsia="Bookman Old Style" w:hAnsi="Bookman Old Style" w:cs="Bookman Old Style"/>
          <w:i/>
          <w:color w:val="000000"/>
        </w:rPr>
        <w:t>que</w:t>
      </w:r>
      <w:proofErr w:type="gramEnd"/>
      <w:r>
        <w:rPr>
          <w:rFonts w:ascii="Bookman Old Style" w:eastAsia="Bookman Old Style" w:hAnsi="Bookman Old Style" w:cs="Bookman Old Style"/>
          <w:i/>
          <w:color w:val="000000"/>
        </w:rPr>
        <w:t xml:space="preserve"> por su condición económica, física o mental, se encuentren en circunstancia de debilidad manifiesta y sancionará los abusos o maltratos que contra ellas se cometan.”.</w:t>
      </w:r>
      <w:bookmarkStart w:id="4" w:name="bookmark=id.tyjcwt" w:colFirst="0" w:colLast="0"/>
      <w:bookmarkEnd w:id="4"/>
    </w:p>
    <w:p w14:paraId="387328DE" w14:textId="77777777" w:rsidR="00335A1D" w:rsidRDefault="00335A1D" w:rsidP="00335A1D">
      <w:pP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16.</w:t>
      </w:r>
      <w:r>
        <w:rPr>
          <w:rFonts w:ascii="Bookman Old Style" w:eastAsia="Bookman Old Style" w:hAnsi="Bookman Old Style" w:cs="Bookman Old Style"/>
          <w:i/>
          <w:color w:val="000000"/>
        </w:rPr>
        <w:t xml:space="preserve"> Todas las personas tienen derecho al libre desarrollo de su personalidad sin más limitaciones que las que imponen los derechos de los demás y el orden jurídico”.</w:t>
      </w:r>
    </w:p>
    <w:p w14:paraId="34F38C43" w14:textId="77777777" w:rsidR="00335A1D" w:rsidRDefault="00335A1D" w:rsidP="00335A1D">
      <w:pPr>
        <w:ind w:left="709" w:right="1325"/>
        <w:jc w:val="both"/>
        <w:rPr>
          <w:rFonts w:ascii="Bookman Old Style" w:eastAsia="Bookman Old Style" w:hAnsi="Bookman Old Style" w:cs="Bookman Old Style"/>
          <w:i/>
          <w:color w:val="000000"/>
        </w:rPr>
      </w:pPr>
    </w:p>
    <w:p w14:paraId="7E58C858" w14:textId="77777777" w:rsidR="00335A1D" w:rsidRDefault="00335A1D" w:rsidP="00335A1D">
      <w:pP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r>
        <w:rPr>
          <w:rFonts w:ascii="Bookman Old Style" w:eastAsia="Bookman Old Style" w:hAnsi="Bookman Old Style" w:cs="Bookman Old Style"/>
          <w:b/>
          <w:i/>
          <w:color w:val="000000"/>
        </w:rPr>
        <w:t xml:space="preserve">Artículo 18. </w:t>
      </w:r>
      <w:r>
        <w:rPr>
          <w:rFonts w:ascii="Bookman Old Style" w:eastAsia="Bookman Old Style" w:hAnsi="Bookman Old Style" w:cs="Bookman Old Style"/>
          <w:i/>
          <w:color w:val="000000"/>
        </w:rPr>
        <w:t>Se garantiza la libertad de conciencia. Nadie será molestado por razón de sus convicciones o creencias ni compelido a revelarlas ni obligado a actuar contra su conciencia.”</w:t>
      </w:r>
    </w:p>
    <w:p w14:paraId="2F0AC84A" w14:textId="77777777" w:rsidR="00335A1D" w:rsidRDefault="00335A1D" w:rsidP="00335A1D">
      <w:pPr>
        <w:jc w:val="both"/>
      </w:pPr>
    </w:p>
    <w:p w14:paraId="4BB27D26" w14:textId="633500F9" w:rsidR="00335A1D" w:rsidRDefault="00335A1D" w:rsidP="00335A1D">
      <w:pPr>
        <w:jc w:val="both"/>
        <w:rPr>
          <w:rFonts w:ascii="Bookman Old Style" w:eastAsia="Bookman Old Style" w:hAnsi="Bookman Old Style" w:cs="Bookman Old Style"/>
        </w:rPr>
      </w:pPr>
    </w:p>
    <w:p w14:paraId="0373335E" w14:textId="77777777" w:rsidR="0006605A" w:rsidRDefault="0006605A" w:rsidP="00335A1D">
      <w:pPr>
        <w:jc w:val="both"/>
        <w:rPr>
          <w:rFonts w:ascii="Bookman Old Style" w:eastAsia="Bookman Old Style" w:hAnsi="Bookman Old Style" w:cs="Bookman Old Style"/>
        </w:rPr>
      </w:pPr>
    </w:p>
    <w:p w14:paraId="1977F279"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LEGALES</w:t>
      </w:r>
    </w:p>
    <w:p w14:paraId="299DD35E" w14:textId="77777777" w:rsidR="00335A1D" w:rsidRDefault="00335A1D"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26C27499" w14:textId="77777777" w:rsidR="00335A1D" w:rsidRDefault="00335A1D" w:rsidP="00335A1D">
      <w:pPr>
        <w:jc w:val="both"/>
        <w:rPr>
          <w:rFonts w:ascii="Bookman Old Style" w:eastAsia="Bookman Old Style" w:hAnsi="Bookman Old Style" w:cs="Bookman Old Style"/>
          <w:i/>
        </w:rPr>
      </w:pPr>
      <w:r>
        <w:rPr>
          <w:rFonts w:ascii="Bookman Old Style" w:eastAsia="Bookman Old Style" w:hAnsi="Bookman Old Style" w:cs="Bookman Old Style"/>
          <w:b/>
        </w:rPr>
        <w:t xml:space="preserve">Ley 1733 de 2014. Ley Consuelo </w:t>
      </w:r>
      <w:proofErr w:type="spellStart"/>
      <w:r>
        <w:rPr>
          <w:rFonts w:ascii="Bookman Old Style" w:eastAsia="Bookman Old Style" w:hAnsi="Bookman Old Style" w:cs="Bookman Old Style"/>
          <w:b/>
        </w:rPr>
        <w:t>Devis</w:t>
      </w:r>
      <w:proofErr w:type="spellEnd"/>
      <w:r>
        <w:rPr>
          <w:rFonts w:ascii="Bookman Old Style" w:eastAsia="Bookman Old Style" w:hAnsi="Bookman Old Style" w:cs="Bookman Old Style"/>
          <w:b/>
        </w:rPr>
        <w:t xml:space="preserve"> Saavedra</w:t>
      </w:r>
      <w:r>
        <w:rPr>
          <w:rFonts w:ascii="Bookman Old Style" w:eastAsia="Bookman Old Style" w:hAnsi="Bookman Old Style" w:cs="Bookman Old Style"/>
        </w:rPr>
        <w:t>: “m</w:t>
      </w:r>
      <w:r>
        <w:rPr>
          <w:rFonts w:ascii="Bookman Old Style" w:eastAsia="Bookman Old Style" w:hAnsi="Bookman Old Style" w:cs="Bookman Old Style"/>
          <w:i/>
        </w:rPr>
        <w:t>ediante la cual se regulan los servicios de cuidados paliativos para el manejo de pacientes con enfermedades terminales, crónicas, degenerativas e irreversibles en cualquier fase de la enfermedad de alto impacto en la calidad de vida,”</w:t>
      </w:r>
    </w:p>
    <w:p w14:paraId="0CFFD4F2" w14:textId="77777777" w:rsidR="00335A1D" w:rsidRDefault="00335A1D" w:rsidP="00335A1D">
      <w:pPr>
        <w:jc w:val="both"/>
        <w:rPr>
          <w:rFonts w:ascii="Bookman Old Style" w:eastAsia="Bookman Old Style" w:hAnsi="Bookman Old Style" w:cs="Bookman Old Style"/>
        </w:rPr>
      </w:pPr>
    </w:p>
    <w:p w14:paraId="4D9906B4"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En el rango legal la Ley 1722 de 2014 es el desarrollo más significativo de la regulación de aspectos relacionados con el ejercicio y acceso a la muerte digna. El enfoque de dicha regulación está puesto sobre los cuidados paliativos por lo que define los criterios para identificar a los sujetos que pueden ser tenidos como enfermos terminales o con enfermedades degenerativas, irreversibles. Estas pueden ser tanto físicas como mentales. La Ley reconoce que esas afectaciones comportan un significativo impacto en la calidad de vida de la persona y en consecuencia reconoce para esas personas y sus familias las siguientes prerrogativas:</w:t>
      </w:r>
    </w:p>
    <w:p w14:paraId="02A3097A" w14:textId="77777777" w:rsidR="00335A1D" w:rsidRDefault="00335A1D" w:rsidP="00335A1D">
      <w:pPr>
        <w:jc w:val="both"/>
        <w:rPr>
          <w:rFonts w:ascii="Bookman Old Style" w:eastAsia="Bookman Old Style" w:hAnsi="Bookman Old Style" w:cs="Bookman Old Style"/>
        </w:rPr>
      </w:pPr>
    </w:p>
    <w:p w14:paraId="43AF37E1"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“1. Derecho al cuidado paliativo: Todo paciente afectado por enfermedad terminal, crónica, degenerativa, irreversible de alto impacto en la calidad de vida tiene derecho a solicitar libre y espontáneamente la atención integral del cuidado médico paliativo. Las actividades y servicios integrales del cuidado paliativo se deberán prestar de acuerdo al Manual de Actividades, Intervenciones y Procedimientos del Plan Obligatorio de Salud y las guías de manejo que adopten el Ministerio de Salud y Protección Social y la CRES.</w:t>
      </w:r>
    </w:p>
    <w:p w14:paraId="33FF932D" w14:textId="77777777" w:rsidR="00335A1D" w:rsidRDefault="00335A1D" w:rsidP="00335A1D">
      <w:pPr>
        <w:ind w:left="709" w:right="1325"/>
        <w:jc w:val="both"/>
        <w:rPr>
          <w:rFonts w:ascii="Bookman Old Style" w:eastAsia="Bookman Old Style" w:hAnsi="Bookman Old Style" w:cs="Bookman Old Style"/>
          <w:i/>
        </w:rPr>
      </w:pPr>
    </w:p>
    <w:p w14:paraId="6EBDE70F"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2. Derecho a la información: Todo paciente que sea diagnosticado de una enfermedad terminal, crónica, degenerativa e irreversible, tiene derecho a recibir información clara, detallada y comprensible, por parte del médico tratante, sobre su diagnóstico, estado, pronóstico y las alternativas terapéuticas de atención paliativa propuestas y disponibles, así como de los riesgos y consecuencias en caso de rehusar el tratamiento ofrecido. En todo momento la familia del paciente igualmente tendrá derecho a la información sobre los cuidados paliativos y a decidir sobre las alternativas terapéuticas disponibles en caso de incapacidad total del paciente que le impida la toma de decisiones.</w:t>
      </w:r>
    </w:p>
    <w:p w14:paraId="06560FC2" w14:textId="77777777" w:rsidR="00335A1D" w:rsidRDefault="00335A1D" w:rsidP="00335A1D">
      <w:pPr>
        <w:ind w:left="709" w:right="1325"/>
        <w:jc w:val="both"/>
        <w:rPr>
          <w:rFonts w:ascii="Bookman Old Style" w:eastAsia="Bookman Old Style" w:hAnsi="Bookman Old Style" w:cs="Bookman Old Style"/>
          <w:i/>
        </w:rPr>
      </w:pPr>
    </w:p>
    <w:p w14:paraId="2EA728C5"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3. Derecho a una segunda opinión: El paciente afectado por una enfermedad a las cuales se refiere esta ley, podrá solicitar un segundo diagnóstico dentro de la red de servicios que disponga su EPS o entidad territorial.</w:t>
      </w:r>
    </w:p>
    <w:p w14:paraId="5DD3D63F" w14:textId="77777777" w:rsidR="00335A1D" w:rsidRDefault="00335A1D" w:rsidP="00335A1D">
      <w:pPr>
        <w:ind w:left="709" w:right="1325"/>
        <w:jc w:val="both"/>
        <w:rPr>
          <w:rFonts w:ascii="Bookman Old Style" w:eastAsia="Bookman Old Style" w:hAnsi="Bookman Old Style" w:cs="Bookman Old Style"/>
          <w:i/>
        </w:rPr>
      </w:pPr>
    </w:p>
    <w:p w14:paraId="22CF101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 Derecho a suscribir el documento de Voluntad Anticipada: Toda persona capaz, sana o en estado de enfermedad, en pleno uso de sus facultades legales y mentales, con total conocimiento de las implicaciones que acarrea el presente derecho podrá suscribir el documento de Voluntad Anticipada. En este, quien lo suscriba indicará sus decisiones, en el caso de estar atravesando una enfermedad terminal, crónica, degenerativa e irreversible de alto impacto en la calidad de vida de no someterse a tratamientos médicos innecesarios que eviten prolongar una vida digna en el paciente y en el caso de muerte su disposición o no de donar órganos.</w:t>
      </w:r>
    </w:p>
    <w:p w14:paraId="7CA84C91" w14:textId="77777777" w:rsidR="00335A1D" w:rsidRDefault="00335A1D" w:rsidP="00335A1D">
      <w:pPr>
        <w:ind w:left="709" w:right="1325"/>
        <w:jc w:val="both"/>
        <w:rPr>
          <w:rFonts w:ascii="Bookman Old Style" w:eastAsia="Bookman Old Style" w:hAnsi="Bookman Old Style" w:cs="Bookman Old Style"/>
          <w:i/>
        </w:rPr>
      </w:pPr>
    </w:p>
    <w:p w14:paraId="5F8E423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5. Derecho a participar de forma activa en el proceso de atención y la toma de decisiones en el cuidado paliativo: Los pacientes tendrán el derecho a participar de forma activa frente a la toma de decisiones sobre los planes terapéuticos del cuidado paliativo.</w:t>
      </w:r>
    </w:p>
    <w:p w14:paraId="6F8E6B2D" w14:textId="77777777" w:rsidR="00335A1D" w:rsidRDefault="00335A1D" w:rsidP="00335A1D">
      <w:pPr>
        <w:ind w:left="709" w:right="1325"/>
        <w:jc w:val="both"/>
        <w:rPr>
          <w:rFonts w:ascii="Bookman Old Style" w:eastAsia="Bookman Old Style" w:hAnsi="Bookman Old Style" w:cs="Bookman Old Style"/>
          <w:i/>
        </w:rPr>
      </w:pPr>
    </w:p>
    <w:p w14:paraId="45B29695"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6. Derechos de los Niños y Adolescentes: Si el paciente que requiere cuidados paliativos es un niño o niña menor de catorce (14) años, serán sus padres o adultos responsables de su cuidado quienes elevarán la solicitud. Si el paciente es un adolescente entre catorce (14) y dieciocho (18) años, él será consultado sobre la decisión a tomar.</w:t>
      </w:r>
    </w:p>
    <w:p w14:paraId="6F47A812" w14:textId="77777777" w:rsidR="00335A1D" w:rsidRDefault="00335A1D" w:rsidP="00335A1D">
      <w:pPr>
        <w:ind w:left="709" w:right="1325"/>
        <w:jc w:val="both"/>
        <w:rPr>
          <w:rFonts w:ascii="Bookman Old Style" w:eastAsia="Bookman Old Style" w:hAnsi="Bookman Old Style" w:cs="Bookman Old Style"/>
          <w:i/>
        </w:rPr>
      </w:pPr>
    </w:p>
    <w:p w14:paraId="2B07A17E"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7. Derecho de los familiares. Si se trata de un paciente adulto que está inconsciente o en estado de coma, la decisión sobre el cuidado paliativo la tomará su cónyuge e hijos mayores y faltando estos sus padres, seguidos de sus familiares más cercanos por consanguinidad.”</w:t>
      </w:r>
    </w:p>
    <w:p w14:paraId="5ECB286D" w14:textId="77777777" w:rsidR="00335A1D" w:rsidRDefault="00335A1D" w:rsidP="00335A1D">
      <w:pPr>
        <w:ind w:right="1325"/>
        <w:jc w:val="both"/>
        <w:rPr>
          <w:rFonts w:ascii="Bookman Old Style" w:eastAsia="Bookman Old Style" w:hAnsi="Bookman Old Style" w:cs="Bookman Old Style"/>
          <w:i/>
        </w:rPr>
      </w:pPr>
    </w:p>
    <w:p w14:paraId="32DACCA4"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Tanto esta norma como las reglas jurisprudenciales que en adelante serán referenciadas han sido desarrollados por vía reglamentaria, eminentemente a cargo del Ministerio de Salud y Protección Social.</w:t>
      </w:r>
    </w:p>
    <w:p w14:paraId="0EE990C3" w14:textId="77777777" w:rsidR="00335A1D" w:rsidRDefault="00335A1D" w:rsidP="00335A1D">
      <w:pPr>
        <w:ind w:right="49"/>
        <w:jc w:val="both"/>
        <w:rPr>
          <w:rFonts w:ascii="Bookman Old Style" w:eastAsia="Bookman Old Style" w:hAnsi="Bookman Old Style" w:cs="Bookman Old Style"/>
        </w:rPr>
      </w:pPr>
    </w:p>
    <w:p w14:paraId="316352DF" w14:textId="77777777" w:rsidR="00335A1D" w:rsidRDefault="00335A1D" w:rsidP="00335A1D">
      <w:pPr>
        <w:ind w:right="49"/>
        <w:jc w:val="both"/>
        <w:rPr>
          <w:rFonts w:ascii="Bookman Old Style" w:eastAsia="Bookman Old Style" w:hAnsi="Bookman Old Style" w:cs="Bookman Old Style"/>
          <w:i/>
        </w:rPr>
      </w:pPr>
      <w:r>
        <w:rPr>
          <w:rFonts w:ascii="Bookman Old Style" w:eastAsia="Bookman Old Style" w:hAnsi="Bookman Old Style" w:cs="Bookman Old Style"/>
          <w:b/>
        </w:rPr>
        <w:t xml:space="preserve">Ley 2055 de 2020. </w:t>
      </w:r>
      <w:r>
        <w:rPr>
          <w:rFonts w:ascii="Bookman Old Style" w:eastAsia="Bookman Old Style" w:hAnsi="Bookman Old Style" w:cs="Bookman Old Style"/>
          <w:i/>
        </w:rPr>
        <w:t>“Por medio de la cual se aprueba la «convención interamericana sobre la protección de los derechos humanos de las personas mayores», adoptada en Washington, el 15 de junio de 2015.”</w:t>
      </w:r>
    </w:p>
    <w:p w14:paraId="4A6EFA2C" w14:textId="77777777" w:rsidR="00335A1D" w:rsidRDefault="00335A1D" w:rsidP="00335A1D">
      <w:pPr>
        <w:ind w:right="49"/>
        <w:jc w:val="both"/>
        <w:rPr>
          <w:rFonts w:ascii="Bookman Old Style" w:eastAsia="Bookman Old Style" w:hAnsi="Bookman Old Style" w:cs="Bookman Old Style"/>
          <w:i/>
        </w:rPr>
      </w:pPr>
    </w:p>
    <w:p w14:paraId="1E803690" w14:textId="5C2E57C5"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virtud de la adopción del referido instrumento de derechos humanos en el ámbito interamericano, el Estado se obligó a adoptar medidas que garanticen los cuidados paliativos a las personas mayores. Estas obligaciones también tienen alcance sobre la familia y el entorno de los pacientes. Así, se establece el </w:t>
      </w:r>
      <w:r>
        <w:rPr>
          <w:rFonts w:ascii="Bookman Old Style" w:eastAsia="Bookman Old Style" w:hAnsi="Bookman Old Style" w:cs="Bookman Old Style"/>
        </w:rPr>
        <w:lastRenderedPageBreak/>
        <w:t xml:space="preserve">reconocimiento de ciertos derechos como el de la salud, y el de recibir servicios de cuidado a largo plazo. Así las cosas, los cuidados paliativos se tienen como constitutivos de un derecho humano que el Estado colombiano está en obligación de proteger y garantizar. </w:t>
      </w:r>
    </w:p>
    <w:p w14:paraId="78E9F622" w14:textId="77777777" w:rsidR="0006605A" w:rsidRDefault="0006605A" w:rsidP="00335A1D">
      <w:pPr>
        <w:ind w:right="49"/>
        <w:jc w:val="both"/>
        <w:rPr>
          <w:rFonts w:ascii="Bookman Old Style" w:eastAsia="Bookman Old Style" w:hAnsi="Bookman Old Style" w:cs="Bookman Old Style"/>
        </w:rPr>
      </w:pPr>
    </w:p>
    <w:p w14:paraId="37B9FE37" w14:textId="77777777" w:rsidR="00335A1D" w:rsidRDefault="00335A1D" w:rsidP="00335A1D">
      <w:pPr>
        <w:jc w:val="both"/>
        <w:rPr>
          <w:rFonts w:ascii="Bookman Old Style" w:eastAsia="Bookman Old Style" w:hAnsi="Bookman Old Style" w:cs="Bookman Old Style"/>
        </w:rPr>
      </w:pPr>
    </w:p>
    <w:p w14:paraId="755A5DE4"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REGLAMENTARIOS</w:t>
      </w:r>
    </w:p>
    <w:p w14:paraId="26D0F2D5" w14:textId="77777777" w:rsidR="00335A1D" w:rsidRDefault="00335A1D"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3900AAB9" w14:textId="77777777" w:rsidR="00335A1D" w:rsidRDefault="00335A1D" w:rsidP="00335A1D">
      <w:pPr>
        <w:jc w:val="both"/>
        <w:rPr>
          <w:rFonts w:ascii="Bookman Old Style" w:eastAsia="Bookman Old Style" w:hAnsi="Bookman Old Style" w:cs="Bookman Old Style"/>
          <w:i/>
        </w:rPr>
      </w:pPr>
      <w:r>
        <w:rPr>
          <w:rFonts w:ascii="Bookman Old Style" w:eastAsia="Bookman Old Style" w:hAnsi="Bookman Old Style" w:cs="Bookman Old Style"/>
          <w:b/>
        </w:rPr>
        <w:t>Resolución 13437 de 1991</w:t>
      </w:r>
      <w:r>
        <w:rPr>
          <w:rFonts w:ascii="Bookman Old Style" w:eastAsia="Bookman Old Style" w:hAnsi="Bookman Old Style" w:cs="Bookman Old Style"/>
        </w:rPr>
        <w:t xml:space="preserve"> expedida por el Ministerio de Salud </w:t>
      </w:r>
      <w:r>
        <w:rPr>
          <w:rFonts w:ascii="Bookman Old Style" w:eastAsia="Bookman Old Style" w:hAnsi="Bookman Old Style" w:cs="Bookman Old Style"/>
          <w:i/>
        </w:rPr>
        <w:t>“por la cual se constituyen los Comités de Ética Hospitalaria y se adopta el Decálogo de los Derechos de los Pacientes”</w:t>
      </w:r>
    </w:p>
    <w:p w14:paraId="69A250C6" w14:textId="77777777" w:rsidR="00335A1D" w:rsidRDefault="00335A1D" w:rsidP="00335A1D">
      <w:pPr>
        <w:jc w:val="both"/>
        <w:rPr>
          <w:rFonts w:ascii="Bookman Old Style" w:eastAsia="Bookman Old Style" w:hAnsi="Bookman Old Style" w:cs="Bookman Old Style"/>
          <w:i/>
        </w:rPr>
      </w:pPr>
    </w:p>
    <w:p w14:paraId="1301A668"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Incluso antes de que la Corte Constitucional lo hiciera, este acto</w:t>
      </w:r>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reconoció por vez primera en un sentido normativo el derecho a la muerte digna. Lo hizo en el artículo primero, en el que reconoció una serie de derechos de los pacientes frente al sistema de salud, entre los cuales se encuentran los que se encuentra: </w:t>
      </w:r>
    </w:p>
    <w:p w14:paraId="41599B87" w14:textId="77777777" w:rsidR="00335A1D" w:rsidRDefault="00335A1D" w:rsidP="00335A1D">
      <w:pPr>
        <w:pBdr>
          <w:top w:val="nil"/>
          <w:left w:val="nil"/>
          <w:bottom w:val="nil"/>
          <w:right w:val="nil"/>
          <w:between w:val="nil"/>
        </w:pBdr>
        <w:ind w:left="480"/>
        <w:jc w:val="both"/>
        <w:rPr>
          <w:rFonts w:ascii="Bookman Old Style" w:eastAsia="Bookman Old Style" w:hAnsi="Bookman Old Style" w:cs="Bookman Old Style"/>
          <w:color w:val="000000"/>
        </w:rPr>
      </w:pPr>
    </w:p>
    <w:p w14:paraId="25B0694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u w:val="single"/>
        </w:rPr>
      </w:pPr>
      <w:r>
        <w:rPr>
          <w:rFonts w:ascii="Bookman Old Style" w:eastAsia="Bookman Old Style" w:hAnsi="Bookman Old Style" w:cs="Bookman Old Style"/>
          <w:i/>
          <w:color w:val="000000"/>
          <w:u w:val="single"/>
        </w:rPr>
        <w:t>“(…)</w:t>
      </w:r>
    </w:p>
    <w:p w14:paraId="7BC39D75"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u w:val="single"/>
        </w:rPr>
        <w:t>10. Su derecho a morir con dignidad y a que se le respete su voluntad de permitir que el proceso de la muerte siga su curso natural en la fase terminal de su enfermedad.</w:t>
      </w:r>
      <w:r>
        <w:rPr>
          <w:rFonts w:ascii="Bookman Old Style" w:eastAsia="Bookman Old Style" w:hAnsi="Bookman Old Style" w:cs="Bookman Old Style"/>
          <w:i/>
          <w:color w:val="000000"/>
        </w:rPr>
        <w:t>” </w:t>
      </w:r>
    </w:p>
    <w:p w14:paraId="1A7C9B73" w14:textId="77777777" w:rsidR="00335A1D" w:rsidRDefault="00335A1D" w:rsidP="00335A1D">
      <w:pPr>
        <w:ind w:right="191"/>
        <w:jc w:val="both"/>
        <w:rPr>
          <w:b/>
          <w:i/>
          <w:color w:val="000000"/>
        </w:rPr>
      </w:pPr>
    </w:p>
    <w:p w14:paraId="39644DB0" w14:textId="77777777" w:rsidR="00335A1D" w:rsidRDefault="00335A1D" w:rsidP="00335A1D">
      <w:pPr>
        <w:ind w:right="-93"/>
        <w:jc w:val="both"/>
        <w:rPr>
          <w:rFonts w:ascii="Bookman Old Style" w:eastAsia="Bookman Old Style" w:hAnsi="Bookman Old Style" w:cs="Bookman Old Style"/>
          <w:b/>
        </w:rPr>
      </w:pPr>
      <w:r>
        <w:rPr>
          <w:rFonts w:ascii="Bookman Old Style" w:eastAsia="Bookman Old Style" w:hAnsi="Bookman Old Style" w:cs="Bookman Old Style"/>
          <w:b/>
        </w:rPr>
        <w:t xml:space="preserve">Resolución 1216 de 2015 </w:t>
      </w:r>
      <w:r>
        <w:rPr>
          <w:rFonts w:ascii="Bookman Old Style" w:eastAsia="Bookman Old Style" w:hAnsi="Bookman Old Style" w:cs="Bookman Old Style"/>
        </w:rPr>
        <w:t xml:space="preserve">expedida por el Ministerio de Salud y Protección Social. </w:t>
      </w:r>
      <w:r>
        <w:rPr>
          <w:rFonts w:ascii="Bookman Old Style" w:eastAsia="Bookman Old Style" w:hAnsi="Bookman Old Style" w:cs="Bookman Old Style"/>
          <w:i/>
        </w:rPr>
        <w:t>“Por medio de la cual se da cumplimiento a la orden cuarta de la sentencia T-980 de 2014 de la Honorable Corte Constitucional en relación con las directrices para la organización y funcionamiento de los Comités para hacer efectivo el derecho a morir con dignidad”.</w:t>
      </w:r>
    </w:p>
    <w:p w14:paraId="58053AA5" w14:textId="77777777" w:rsidR="00335A1D" w:rsidRDefault="00335A1D" w:rsidP="00335A1D">
      <w:pPr>
        <w:ind w:right="-93"/>
        <w:jc w:val="both"/>
        <w:rPr>
          <w:rFonts w:ascii="Bookman Old Style" w:eastAsia="Bookman Old Style" w:hAnsi="Bookman Old Style" w:cs="Bookman Old Style"/>
          <w:b/>
        </w:rPr>
      </w:pPr>
    </w:p>
    <w:p w14:paraId="5BA7A062"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Fijó los parámetros generales para garantizar el derecho a morir dignamente, así como la conformación y funciones de los comités científico-interdisciplinarios. Esta resolución fue derogada por la Resolución 971 de 2021, también expedida por el Ministerio de Salud y protección social.  </w:t>
      </w:r>
    </w:p>
    <w:p w14:paraId="48C0C4A4" w14:textId="77777777" w:rsidR="00335A1D" w:rsidRDefault="00335A1D" w:rsidP="00335A1D">
      <w:pPr>
        <w:ind w:right="-93"/>
        <w:jc w:val="both"/>
        <w:rPr>
          <w:b/>
        </w:rPr>
      </w:pPr>
    </w:p>
    <w:p w14:paraId="264496C7" w14:textId="77777777" w:rsidR="00335A1D" w:rsidRDefault="00335A1D" w:rsidP="00335A1D">
      <w:pPr>
        <w:ind w:right="-93"/>
        <w:jc w:val="both"/>
        <w:rPr>
          <w:rFonts w:ascii="Bookman Old Style" w:eastAsia="Bookman Old Style" w:hAnsi="Bookman Old Style" w:cs="Bookman Old Style"/>
          <w:i/>
        </w:rPr>
      </w:pPr>
      <w:r>
        <w:rPr>
          <w:rFonts w:ascii="Bookman Old Style" w:eastAsia="Bookman Old Style" w:hAnsi="Bookman Old Style" w:cs="Bookman Old Style"/>
          <w:b/>
        </w:rPr>
        <w:t xml:space="preserve">Resolución 0825 de 2018 </w:t>
      </w:r>
      <w:r>
        <w:rPr>
          <w:rFonts w:ascii="Bookman Old Style" w:eastAsia="Bookman Old Style" w:hAnsi="Bookman Old Style" w:cs="Bookman Old Style"/>
        </w:rPr>
        <w:t xml:space="preserve">expedida por el Ministerio de Salud y Protección Social. </w:t>
      </w:r>
      <w:r>
        <w:rPr>
          <w:rFonts w:ascii="Bookman Old Style" w:eastAsia="Bookman Old Style" w:hAnsi="Bookman Old Style" w:cs="Bookman Old Style"/>
          <w:i/>
        </w:rPr>
        <w:t xml:space="preserve">“Por medio de la cual se reglamenta el procedimiento para hacer efectivo el derecho a morir con dignidad de los niños, niñas y adolescentes.” </w:t>
      </w:r>
    </w:p>
    <w:p w14:paraId="305929E9" w14:textId="77777777" w:rsidR="00335A1D" w:rsidRDefault="00335A1D" w:rsidP="00335A1D">
      <w:pPr>
        <w:ind w:right="-93"/>
        <w:jc w:val="both"/>
        <w:rPr>
          <w:rFonts w:ascii="Bookman Old Style" w:eastAsia="Bookman Old Style" w:hAnsi="Bookman Old Style" w:cs="Bookman Old Style"/>
          <w:i/>
        </w:rPr>
      </w:pPr>
    </w:p>
    <w:p w14:paraId="67A98C69"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Este acto también se dio como parte del cumplimiento de las órdenes dadas por la Corte Constitucional en la Sentencia T-540 de 2017. Como lo indica su nombre, se establecieron los parámetros generales para acceder al derecho a morir dignamente en niños, niñas y adolescentes. </w:t>
      </w:r>
    </w:p>
    <w:p w14:paraId="6E7C7DE5" w14:textId="77777777" w:rsidR="00335A1D" w:rsidRDefault="00335A1D" w:rsidP="00335A1D">
      <w:pPr>
        <w:ind w:right="-93"/>
        <w:jc w:val="both"/>
        <w:rPr>
          <w:rFonts w:ascii="Bookman Old Style" w:eastAsia="Bookman Old Style" w:hAnsi="Bookman Old Style" w:cs="Bookman Old Style"/>
        </w:rPr>
      </w:pPr>
    </w:p>
    <w:p w14:paraId="38F6ADA8"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Así, definió el derecho a los cuidados paliativos pediátricos, dispuso criterios para la toma de decisiones de niños, niñas y adolescentes en el ámbito médico y dispuso una comprensión diferencial sobre la comprensión de la muerte en esta población de acuerdo con cuatro rangos de edad: 0 a 3 años, 3 a 6 años, 6 a 12 años y a partir de los 12 años en adelante. </w:t>
      </w:r>
    </w:p>
    <w:p w14:paraId="6A70DC6C" w14:textId="77777777" w:rsidR="00335A1D" w:rsidRDefault="00335A1D" w:rsidP="00335A1D">
      <w:pPr>
        <w:ind w:right="-93"/>
        <w:jc w:val="both"/>
      </w:pPr>
    </w:p>
    <w:p w14:paraId="06C505A3"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b/>
          <w:color w:val="000000"/>
        </w:rPr>
        <w:t xml:space="preserve">Resolución 2665 </w:t>
      </w:r>
      <w:r>
        <w:rPr>
          <w:rFonts w:ascii="Bookman Old Style" w:eastAsia="Bookman Old Style" w:hAnsi="Bookman Old Style" w:cs="Bookman Old Style"/>
          <w:b/>
        </w:rPr>
        <w:t xml:space="preserve">de 2018 </w:t>
      </w:r>
      <w:r>
        <w:rPr>
          <w:rFonts w:ascii="Bookman Old Style" w:eastAsia="Bookman Old Style" w:hAnsi="Bookman Old Style" w:cs="Bookman Old Style"/>
        </w:rPr>
        <w:t xml:space="preserve">expedida por el Ministerio de Salud y Protección Social. </w:t>
      </w:r>
      <w:r>
        <w:rPr>
          <w:rFonts w:ascii="Bookman Old Style" w:eastAsia="Bookman Old Style" w:hAnsi="Bookman Old Style" w:cs="Bookman Old Style"/>
          <w:i/>
        </w:rPr>
        <w:t xml:space="preserve"> “Por medio de la cual se reglamenta parcialmente la Ley 1733 de 2014 en cuanto al derecho a suscribir el Documento de Voluntad Anticipada”</w:t>
      </w:r>
    </w:p>
    <w:p w14:paraId="4F75EEFE" w14:textId="77777777" w:rsidR="00335A1D" w:rsidRDefault="00335A1D" w:rsidP="00335A1D">
      <w:pPr>
        <w:ind w:right="-93"/>
        <w:jc w:val="both"/>
        <w:rPr>
          <w:rFonts w:ascii="Bookman Old Style" w:eastAsia="Bookman Old Style" w:hAnsi="Bookman Old Style" w:cs="Bookman Old Style"/>
        </w:rPr>
      </w:pPr>
    </w:p>
    <w:p w14:paraId="7A5E69A0"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Este acto dispone entre otras, el contenido, los requisitos, formas y condiciones para que las voluntades anticipadas se consideren válidas y para que los interesados tengan acceso y puedan manifestar su voluntad por intermedio del referido documento.</w:t>
      </w:r>
    </w:p>
    <w:p w14:paraId="130719C9" w14:textId="77777777" w:rsidR="00335A1D" w:rsidRDefault="00335A1D" w:rsidP="00335A1D">
      <w:pPr>
        <w:ind w:right="-93"/>
        <w:jc w:val="both"/>
        <w:rPr>
          <w:rFonts w:ascii="Bookman Old Style" w:eastAsia="Bookman Old Style" w:hAnsi="Bookman Old Style" w:cs="Bookman Old Style"/>
        </w:rPr>
      </w:pPr>
    </w:p>
    <w:p w14:paraId="1274F4D6"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b/>
          <w:color w:val="000000"/>
        </w:rPr>
        <w:t>Resolución 229</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de 2020</w:t>
      </w:r>
      <w:r>
        <w:rPr>
          <w:rFonts w:ascii="Bookman Old Style" w:eastAsia="Bookman Old Style" w:hAnsi="Bookman Old Style" w:cs="Bookman Old Style"/>
          <w:color w:val="000000"/>
        </w:rPr>
        <w:t xml:space="preserve"> expedida por el Ministerio de Salud y Protección Social </w:t>
      </w:r>
      <w:r>
        <w:rPr>
          <w:rFonts w:ascii="Bookman Old Style" w:eastAsia="Bookman Old Style" w:hAnsi="Bookman Old Style" w:cs="Bookman Old Style"/>
          <w:i/>
          <w:color w:val="000000"/>
        </w:rPr>
        <w:t xml:space="preserve">“Por la cual se definen los lineamientos de la carta de derechos y deberes de la persona afiliada y del paciente en el Sistema General de Seguridad Social en Salud y de la carta de desempeño de las Entidades Promotoras de Salud - EPS de los Regímenes Contributivo y Subsidiado” </w:t>
      </w:r>
    </w:p>
    <w:p w14:paraId="2BE16DCA"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i/>
          <w:color w:val="000000"/>
        </w:rPr>
      </w:pPr>
    </w:p>
    <w:p w14:paraId="023DB321"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ese acto, el capítulo 4.5. estuvo dedicado a establecer regulaciones sobre el derecho a morir dignamente. La Resolución resaltó que ese derecho está vinculado con el derecho a la vida digna y que la muerte digna no se refiere exclusivamente a la eutanasia sino también a todo el proceso de la muerte incluyendo los cuidados paliativos y la limitación de los esfuerzos terapéuticos o de readecuación de las medidas asistenciales.</w:t>
      </w:r>
    </w:p>
    <w:p w14:paraId="140DBD2D"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6E1F2610"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línea con ello, la reglamentación le reconoció a los pacientes los siguientes derechos: </w:t>
      </w:r>
    </w:p>
    <w:p w14:paraId="3C0425EE"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062FE78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 Ser el eje principal de la toma de decisiones al final de la vida.</w:t>
      </w:r>
    </w:p>
    <w:p w14:paraId="76D1747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5C6CE373"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 Recibir información sobre la oferta de servicios y prestadores a los cuales puede acceder para garantizar la atención en cuidados paliativos para mejorar la calidad de vida, independientemente de la fase clínica de final de vida, enfermedad incurable avanzada o enfermedad terminal, mediante un tratamiento integral del dolor y otros síntomas, que puedan generar sufrimiento, teniendo en cuenta sus concepciones psicológicas, físicas, emocionales, sociales y espirituales.</w:t>
      </w:r>
    </w:p>
    <w:p w14:paraId="585E88D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3DB5A18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4.5.2.3 Recibir toda la atención necesaria para garantizar el cuidado integral y oportuno con el objetivo de aliviar los síntomas y disminuir al máximo el sufrimiento secundario al proceso de la enfermedad incurable avanzada o la enfermedad terminal. </w:t>
      </w:r>
    </w:p>
    <w:p w14:paraId="7C02EC6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733C08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4.5.2.4 Ser informado de los derechos al final de la vida, incluidas las opciones de cuidados paliativos o eutanasia y cómo éstas no son excluyentes. El médico tratante, o de ser necesario el equipo médico interdisciplinario, debe brindar al paciente y a su familia toda la información objetiva y necesaria, para que se tomen las decisiones de acuerdo con la voluntad del paciente y su mejor interés y no sobre el interés individual de terceros o del equipo médico. </w:t>
      </w:r>
    </w:p>
    <w:p w14:paraId="376E9D6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2998D9B3"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4.5.2.5 Estar enterado de su diagnóstico o condición y de los resultados de estar en el proceso de muerte, así como de su pronóstico de vida. El paciente podrá negarse a recibir dicha información o a decidir a quién debe entregarse. </w:t>
      </w:r>
    </w:p>
    <w:p w14:paraId="67E46FB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419F529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4.5.2.6 Recibir información clara, detallada, franca, completa y comprensible respecto a su tratamiento y las alternativas terapéuticas, así como sobre su plan de cuidados y objetivos terapéuticos de las intervenciones paliativas al final de la vida. También le será informado acerca de su derecho a negarse a recibir dicha información o a decidir a quién debe entregarse la misma. </w:t>
      </w:r>
    </w:p>
    <w:p w14:paraId="183150A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36EF63D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4.5.2.7 Solicitar que se cumplan los principios de proporcionalidad terapéutica y racionalidad, así como negarse a que se apliquen actividades, intervenciones, insumos, medicamentos, dispositivos, servicios, procedimientos o tratamientos que sean fútiles o desproporcionados en su condición y que puedan resultar en obstinación terapéutica. </w:t>
      </w:r>
    </w:p>
    <w:p w14:paraId="18D70FA5"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0D7FF82C"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4.5.2.8 Solicitar que sean readecuados los esfuerzos terapéuticos al final de la vida en consonancia con su derecho a morir con dignidad permitiendo una muerte oportuna. </w:t>
      </w:r>
    </w:p>
    <w:p w14:paraId="0160718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6BF0DF3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4.5.2.9 Ser respetado en su derecho al libre desarrollo de la personalidad cuando, tras recibir información, decide de forma libre rechazar actividades, intervenciones, insumas, </w:t>
      </w:r>
      <w:r>
        <w:rPr>
          <w:rFonts w:ascii="Bookman Old Style" w:eastAsia="Bookman Old Style" w:hAnsi="Bookman Old Style" w:cs="Bookman Old Style"/>
          <w:i/>
        </w:rPr>
        <w:lastRenderedPageBreak/>
        <w:t xml:space="preserve">medicamentos, dispositivos, servicios, procedimientos y/o tratamientos. </w:t>
      </w:r>
    </w:p>
    <w:p w14:paraId="12B085F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9104EA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4.5.2.10 Ser respetado en su voluntad de solicitar el procedimiento eutanásico como forma de muerte digna. </w:t>
      </w:r>
    </w:p>
    <w:p w14:paraId="21A5B15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6C91F0B5"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4.5.2.11 A que le sea garantizado el ejercicio del derecho a morir con dignidad a través de la eutanasia, una vez ha expresado de forma libre, inequívoca e informada esta voluntad y a ser evaluado para confirmar que esta decisión no es resultado de la falta de acceso al adecuado alivio sintomático. </w:t>
      </w:r>
    </w:p>
    <w:p w14:paraId="35CC4B3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796F23D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4.5.2.12 Que se mantenga la intimidad y la confidencialidad de su nombre y el de su familia limitando la publicación de todo tipo de información que fuera del dominio público y que pudiera identificarlos, sin perjuicio de las excepciones legales. </w:t>
      </w:r>
    </w:p>
    <w:p w14:paraId="37BE262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4C976C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4.5.2.13 Que se garantice la celeridad y oportunidad en el trámite para acceder al procedimiento de eutanasia, sin que se impongan barreras administrativas y burocráticas que alejen al paciente del goce efectivo del derecho, y sin que se prolongue excesivamente su sufrimiento al punto de causar su muerte en condiciones de dolor que, precisamente, busca evitar.</w:t>
      </w:r>
    </w:p>
    <w:p w14:paraId="0FDDE83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4F22437F"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4.5.2.14 Recibir por parte de los profesionales de la salud, los representantes y miembros de las EPS e IPS una atención imparcial y neutral frente a la aplicación de los procedimientos y procesos asistenciales orientados a hacer efectivo el derecho a morir dignamente a través del procedimiento eutanásico.</w:t>
      </w:r>
    </w:p>
    <w:p w14:paraId="70843DD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C45781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4.5.2.15 Ser informado sobre la existencia de objeción de conciencia del médico tratante o quien haya sido designado para la realización del procedimiento eutanásico, en caso de que existiera, para evitar que los profesionales de la salud sobrepongan sus posiciones personales ya sean de contenido ético, moral o religioso y que conduzcan a negar el ejercicio del derecho.</w:t>
      </w:r>
    </w:p>
    <w:p w14:paraId="301CBE2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59B6E58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4.5.2.16 A que la IPS donde está recibiendo la atención, con apoyo de la EPS en caso de ser necesario, garantice el acceso inmediato a la eutanasia cuando el médico designado para el procedimiento sea objetor de conciencia.</w:t>
      </w:r>
    </w:p>
    <w:p w14:paraId="589081AC"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3ACB999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4.5.2.17 Recibir la ayuda o el apoyo psicológico. médico y social para el paciente y su familia, que permita un proceso de duelo apropiado. La atención y acompañamiento no debe ser esporádica, sino que tendrá que ser constante, antes, durante y después de las fases de decisión y ejecución del procedimiento orientado a hacer efectivo el derecho a morir dignamente.</w:t>
      </w:r>
    </w:p>
    <w:p w14:paraId="2FCF5A1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40BF2AD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4.5.2.18 Ser informado de su derecho a suscribir un documento de voluntad anticipada, según lo establecido en la Resolución 2665 de 2018 o la norma que la modifique o sustituya donde exprese sus preferencias al final de la vida y dé indicaciones concretas sobre su cuidado, el acceso a la información de su historia clínica y aquellas que considere relevantes en el marco de sus valores personales o de la posibilidad de revocarlo, sustituirlo o modificarlo.</w:t>
      </w:r>
    </w:p>
    <w:p w14:paraId="00DAA2A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5E9F2E9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4.5.2.19 Que en caso de inconciencia o incapacidad para decidir al final de la vida y de no contar con un documento de voluntad anticipada, su representante legal consienta, disienta o rechace medidas, actividades, intervenciones, insumas, medicamentos, dispositivos, </w:t>
      </w:r>
      <w:proofErr w:type="spellStart"/>
      <w:r>
        <w:rPr>
          <w:rFonts w:ascii="Bookman Old Style" w:eastAsia="Bookman Old Style" w:hAnsi="Bookman Old Style" w:cs="Bookman Old Style"/>
          <w:i/>
        </w:rPr>
        <w:t>servicIos</w:t>
      </w:r>
      <w:proofErr w:type="spellEnd"/>
      <w:r>
        <w:rPr>
          <w:rFonts w:ascii="Bookman Old Style" w:eastAsia="Bookman Old Style" w:hAnsi="Bookman Old Style" w:cs="Bookman Old Style"/>
          <w:i/>
        </w:rPr>
        <w:t>, procedimientos o tratamientos que resulten desproporcionados o que vayan en contra del mejor interés del paciente.</w:t>
      </w:r>
    </w:p>
    <w:p w14:paraId="1BCA7694"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4133BB0C"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4.5.2.20 Ser respetado por los profesionales de la salud y demás instancias que participen en la atención respecto de la voluntad anticipada que haya suscrito como un ejercicio de su autonomía y a que estas instancias sean tenidas en cuenta para la toma de decisiones sobre la atención y cuidados de la persona; lo anterior, sin desconocer la buena práctica médica.</w:t>
      </w:r>
    </w:p>
    <w:p w14:paraId="789B866F"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018150A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4.5.2.21 Expresar sus preferencias sobre el sitio de donde desea fallecer y a que sea respetada su voluntad sobre los ritos espirituales que haya solicitado.</w:t>
      </w:r>
    </w:p>
    <w:p w14:paraId="5900DC8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p>
    <w:p w14:paraId="1119258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4.5.2.22 Recibir asistencia espiritual siempre que lo solicite y a ser respetado en sus creencias, cualquiera que estas sean, al igual que negarse a recibir asistencia espiritual y a ser respetado en su decisión.”</w:t>
      </w:r>
    </w:p>
    <w:p w14:paraId="0CC15C00" w14:textId="429460D3" w:rsidR="00335A1D" w:rsidRDefault="00335A1D" w:rsidP="00335A1D">
      <w:pPr>
        <w:pBdr>
          <w:top w:val="nil"/>
          <w:left w:val="nil"/>
          <w:bottom w:val="nil"/>
          <w:right w:val="nil"/>
          <w:between w:val="nil"/>
        </w:pBdr>
        <w:ind w:right="1325"/>
        <w:jc w:val="both"/>
        <w:rPr>
          <w:rFonts w:ascii="Bookman Old Style" w:eastAsia="Bookman Old Style" w:hAnsi="Bookman Old Style" w:cs="Bookman Old Style"/>
          <w:i/>
        </w:rPr>
      </w:pPr>
    </w:p>
    <w:p w14:paraId="51535CD6" w14:textId="77777777" w:rsidR="0006605A" w:rsidRDefault="0006605A" w:rsidP="00335A1D">
      <w:pPr>
        <w:pBdr>
          <w:top w:val="nil"/>
          <w:left w:val="nil"/>
          <w:bottom w:val="nil"/>
          <w:right w:val="nil"/>
          <w:between w:val="nil"/>
        </w:pBdr>
        <w:ind w:right="1325"/>
        <w:jc w:val="both"/>
        <w:rPr>
          <w:rFonts w:ascii="Bookman Old Style" w:eastAsia="Bookman Old Style" w:hAnsi="Bookman Old Style" w:cs="Bookman Old Style"/>
          <w:i/>
        </w:rPr>
      </w:pPr>
    </w:p>
    <w:p w14:paraId="70F32910"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Además, estableció como deberes de los pacientes informar al médico sobre la existencia o prueba de una expresión de voluntad anticipada e información sobre la enfermedad avanzada, terminal o incurable. </w:t>
      </w:r>
    </w:p>
    <w:p w14:paraId="3B7B4C70"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p>
    <w:p w14:paraId="043047D2"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p>
    <w:p w14:paraId="4B4002AE"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i/>
        </w:rPr>
      </w:pPr>
      <w:r>
        <w:rPr>
          <w:rFonts w:ascii="Bookman Old Style" w:eastAsia="Bookman Old Style" w:hAnsi="Bookman Old Style" w:cs="Bookman Old Style"/>
          <w:b/>
          <w:color w:val="000000"/>
        </w:rPr>
        <w:t>Resolución 971</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de 2021</w:t>
      </w:r>
      <w:r>
        <w:rPr>
          <w:rFonts w:ascii="Bookman Old Style" w:eastAsia="Bookman Old Style" w:hAnsi="Bookman Old Style" w:cs="Bookman Old Style"/>
          <w:color w:val="000000"/>
        </w:rPr>
        <w:t xml:space="preserve"> expedida por el Ministerio de Salud y Protección Social </w:t>
      </w:r>
      <w:r>
        <w:rPr>
          <w:rFonts w:ascii="Bookman Old Style" w:eastAsia="Bookman Old Style" w:hAnsi="Bookman Old Style" w:cs="Bookman Old Style"/>
          <w:i/>
          <w:color w:val="000000"/>
        </w:rPr>
        <w:t>“</w:t>
      </w:r>
      <w:r>
        <w:rPr>
          <w:rFonts w:ascii="Bookman Old Style" w:eastAsia="Bookman Old Style" w:hAnsi="Bookman Old Style" w:cs="Bookman Old Style"/>
          <w:i/>
        </w:rPr>
        <w:t>Por medio de la cual se establece el procedimiento de recepción, trámite y reporte de las solicitudes de eutanasia, así como las directrices para la organización y funcionamiento del Comité para hacer Efectivo el Derecho a Morir con Dignidad a través de la Eutanasia”</w:t>
      </w:r>
    </w:p>
    <w:p w14:paraId="71B39A4F"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i/>
        </w:rPr>
      </w:pPr>
    </w:p>
    <w:p w14:paraId="1233C562"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Este acto dio cumplimiento a las órdenes dadas por la Corte Constitucional en las sentencias T-970 de 2014 y T-423 de 2017 y actualizó el procedimiento previsto en la Resolución 1216 de 2015. </w:t>
      </w:r>
    </w:p>
    <w:p w14:paraId="6727FDAB"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p>
    <w:p w14:paraId="043B6463"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Estableció las condiciones y particularidades del procedimiento para ejercer el derecho a la muerte digna bajo la modalidad de eutanasia. Fijó, entre otros, como requisito ser ciudadano colombiano o siendo extranjero probar un año de residencia ininterrumpida en el país. </w:t>
      </w:r>
    </w:p>
    <w:p w14:paraId="7586E694"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p>
    <w:p w14:paraId="5348B9F2" w14:textId="77777777" w:rsidR="00335A1D" w:rsidRDefault="00335A1D" w:rsidP="00335A1D">
      <w:pPr>
        <w:pBdr>
          <w:top w:val="nil"/>
          <w:left w:val="nil"/>
          <w:bottom w:val="nil"/>
          <w:right w:val="nil"/>
          <w:between w:val="nil"/>
        </w:pBd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 es la norma más actualizada y completa para guiar las acciones del talento humano en salud y del personal médico, de las instituciones prestadoras de servicios de salud IPS, de las entidades administradoras de planes de beneficios EAPB y de los ciudadanos en lo que tiene que ver con el acceso y goce del derecho a la muerte digna por medio de la eutanasia. </w:t>
      </w:r>
    </w:p>
    <w:p w14:paraId="28124E42" w14:textId="67509239" w:rsidR="00335A1D" w:rsidRDefault="00335A1D" w:rsidP="00335A1D">
      <w:pPr>
        <w:pBdr>
          <w:top w:val="nil"/>
          <w:left w:val="nil"/>
          <w:bottom w:val="nil"/>
          <w:right w:val="nil"/>
          <w:between w:val="nil"/>
        </w:pBdr>
        <w:ind w:right="49"/>
        <w:jc w:val="both"/>
        <w:rPr>
          <w:color w:val="000000"/>
        </w:rPr>
      </w:pPr>
    </w:p>
    <w:p w14:paraId="19069583" w14:textId="77777777" w:rsidR="0006605A" w:rsidRDefault="0006605A" w:rsidP="00335A1D">
      <w:pPr>
        <w:pBdr>
          <w:top w:val="nil"/>
          <w:left w:val="nil"/>
          <w:bottom w:val="nil"/>
          <w:right w:val="nil"/>
          <w:between w:val="nil"/>
        </w:pBdr>
        <w:ind w:right="49"/>
        <w:jc w:val="both"/>
        <w:rPr>
          <w:color w:val="000000"/>
        </w:rPr>
      </w:pPr>
    </w:p>
    <w:p w14:paraId="61510F8B" w14:textId="77777777" w:rsidR="00335A1D" w:rsidRDefault="00335A1D" w:rsidP="00335A1D">
      <w:pPr>
        <w:jc w:val="both"/>
        <w:rPr>
          <w:rFonts w:ascii="Bookman Old Style" w:eastAsia="Bookman Old Style" w:hAnsi="Bookman Old Style" w:cs="Bookman Old Style"/>
        </w:rPr>
      </w:pPr>
    </w:p>
    <w:p w14:paraId="7DCE31F7" w14:textId="061D63F3" w:rsidR="00335A1D" w:rsidRPr="0006605A"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JURISPRUDENCIALES</w:t>
      </w:r>
    </w:p>
    <w:p w14:paraId="30900B77" w14:textId="211491D3" w:rsidR="0006605A" w:rsidRDefault="0006605A" w:rsidP="0006605A">
      <w:pPr>
        <w:pBdr>
          <w:top w:val="nil"/>
          <w:left w:val="nil"/>
          <w:bottom w:val="nil"/>
          <w:right w:val="nil"/>
          <w:between w:val="nil"/>
        </w:pBdr>
        <w:ind w:left="720"/>
        <w:jc w:val="both"/>
        <w:rPr>
          <w:rFonts w:ascii="Bookman Old Style" w:eastAsia="Bookman Old Style" w:hAnsi="Bookman Old Style" w:cs="Bookman Old Style"/>
          <w:b/>
          <w:color w:val="000000"/>
        </w:rPr>
      </w:pPr>
    </w:p>
    <w:p w14:paraId="2D2B0AF8" w14:textId="77777777" w:rsidR="0006605A" w:rsidRDefault="0006605A" w:rsidP="0006605A">
      <w:pPr>
        <w:pBdr>
          <w:top w:val="nil"/>
          <w:left w:val="nil"/>
          <w:bottom w:val="nil"/>
          <w:right w:val="nil"/>
          <w:between w:val="nil"/>
        </w:pBdr>
        <w:ind w:left="720"/>
        <w:jc w:val="both"/>
        <w:rPr>
          <w:rFonts w:ascii="Bookman Old Style" w:eastAsia="Bookman Old Style" w:hAnsi="Bookman Old Style" w:cs="Bookman Old Style"/>
          <w:color w:val="000000"/>
        </w:rPr>
      </w:pPr>
    </w:p>
    <w:p w14:paraId="6A5FD534" w14:textId="77777777" w:rsidR="00335A1D" w:rsidRDefault="00335A1D" w:rsidP="00335A1D">
      <w:pPr>
        <w:shd w:val="clear" w:color="auto" w:fill="FFFFFF"/>
        <w:ind w:right="150"/>
        <w:jc w:val="both"/>
        <w:rPr>
          <w:rFonts w:ascii="Bookman Old Style" w:eastAsia="Bookman Old Style" w:hAnsi="Bookman Old Style" w:cs="Bookman Old Style"/>
        </w:rPr>
      </w:pPr>
    </w:p>
    <w:p w14:paraId="79830B1F"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 xml:space="preserve">Ante la reiterada omisión legislativa por parte del Congreso de la República, los principales reconocimientos y desarrollos normativos en materia del derecho a la muerte digna han sido acotados por vía jurisprudencial. De manera preponderante por parte de la Corte Constitucional. </w:t>
      </w:r>
    </w:p>
    <w:p w14:paraId="334E9F4C" w14:textId="77777777" w:rsidR="00335A1D" w:rsidRDefault="00335A1D" w:rsidP="00335A1D">
      <w:pPr>
        <w:shd w:val="clear" w:color="auto" w:fill="FFFFFF"/>
        <w:ind w:right="150"/>
        <w:jc w:val="both"/>
        <w:rPr>
          <w:rFonts w:ascii="Bookman Old Style" w:eastAsia="Bookman Old Style" w:hAnsi="Bookman Old Style" w:cs="Bookman Old Style"/>
        </w:rPr>
      </w:pPr>
    </w:p>
    <w:p w14:paraId="6A41E3F9"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Esta línea se ha consolidado hasta la fecha a partir de 10 sentencias, entre las que se encuentran tanto fallos de constitucionalidad como de tutela. Providencias cuyas reglas y consideraciones más relevantes se referencian a continuación considerando que irradian y delimitan el margen de configuración normativa con el que cuenta el legislador para esta materia.</w:t>
      </w:r>
    </w:p>
    <w:p w14:paraId="7CD3BE97" w14:textId="77777777" w:rsidR="00335A1D" w:rsidRDefault="00335A1D" w:rsidP="00335A1D">
      <w:pPr>
        <w:shd w:val="clear" w:color="auto" w:fill="FFFFFF"/>
        <w:ind w:right="150"/>
        <w:jc w:val="both"/>
        <w:rPr>
          <w:rFonts w:ascii="Bookman Old Style" w:eastAsia="Bookman Old Style" w:hAnsi="Bookman Old Style" w:cs="Bookman Old Style"/>
        </w:rPr>
      </w:pPr>
    </w:p>
    <w:p w14:paraId="62439FB7"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En el año 1993, mediante la sentencia </w:t>
      </w:r>
      <w:r>
        <w:rPr>
          <w:rFonts w:ascii="Bookman Old Style" w:eastAsia="Bookman Old Style" w:hAnsi="Bookman Old Style" w:cs="Bookman Old Style"/>
          <w:b/>
        </w:rPr>
        <w:t xml:space="preserve">T-493 de 1993 </w:t>
      </w:r>
      <w:r>
        <w:rPr>
          <w:rFonts w:ascii="Bookman Old Style" w:eastAsia="Bookman Old Style" w:hAnsi="Bookman Old Style" w:cs="Bookman Old Style"/>
        </w:rPr>
        <w:t xml:space="preserve">la Honorable Corte Constitucional reconoció por primera vez la relación existente entre los derechos fundamentales a la intimidad personal y familiar, el libre desarrollo de la personalidad y la decisión autónoma e individual de no continuar con un tratamiento médico. </w:t>
      </w:r>
    </w:p>
    <w:p w14:paraId="575308DE" w14:textId="77777777" w:rsidR="00335A1D" w:rsidRDefault="00335A1D" w:rsidP="00335A1D">
      <w:pPr>
        <w:shd w:val="clear" w:color="auto" w:fill="FFFFFF"/>
        <w:ind w:right="150"/>
        <w:jc w:val="both"/>
        <w:rPr>
          <w:rFonts w:ascii="Bookman Old Style" w:eastAsia="Bookman Old Style" w:hAnsi="Bookman Old Style" w:cs="Bookman Old Style"/>
        </w:rPr>
      </w:pPr>
    </w:p>
    <w:p w14:paraId="2788213D"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Es importante notar que en aquel entonces la eutanasia estaba tipificada en el código penal como homicidio por piedad con fines altruistas. Si bien el caso que llevó a la decisión de la Corte no versaba sobre la aplicación de la eutanasia, ni con un caso de homicidio con piedad o con fines altruistas, esta decisión la decisión fue relevante toda vez que vinculó por vez primera el reconocimiento y ejercicio de ciertos derechos fundamentales a través del respeto de las decisiones personales relativas al uso o continuidad de tratamientos médicos.</w:t>
      </w:r>
    </w:p>
    <w:p w14:paraId="2C6FECEA" w14:textId="77777777" w:rsidR="00335A1D" w:rsidRDefault="00335A1D" w:rsidP="00335A1D">
      <w:pPr>
        <w:shd w:val="clear" w:color="auto" w:fill="FFFFFF"/>
        <w:ind w:right="150"/>
        <w:jc w:val="both"/>
        <w:rPr>
          <w:rFonts w:ascii="Bookman Old Style" w:eastAsia="Bookman Old Style" w:hAnsi="Bookman Old Style" w:cs="Bookman Old Style"/>
        </w:rPr>
      </w:pPr>
    </w:p>
    <w:p w14:paraId="5CE098FC"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Al respecto consideró la Corte que:</w:t>
      </w:r>
    </w:p>
    <w:p w14:paraId="2F59DC6E" w14:textId="77777777" w:rsidR="00335A1D" w:rsidRDefault="00335A1D" w:rsidP="00335A1D">
      <w:pPr>
        <w:shd w:val="clear" w:color="auto" w:fill="FFFFFF"/>
        <w:ind w:right="150"/>
        <w:jc w:val="both"/>
        <w:rPr>
          <w:rFonts w:ascii="Bookman Old Style" w:eastAsia="Bookman Old Style" w:hAnsi="Bookman Old Style" w:cs="Bookman Old Style"/>
        </w:rPr>
      </w:pPr>
    </w:p>
    <w:p w14:paraId="256A3C7B"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“desconocen el mandato constitucional del artículo 16, que reconoce el derecho  al libre desarrollo de la personalidad  "sin más limitaciones que las que imponen los derechos de los demás y el orden jurídico", en cuanto coartan la libertad  que posee María Libia Pérez Duque de decidir si se somete o no a un tratamiento médico y las modalidades del mismo, e interfieren indebidamente la potestad de autodeterminarse, conforme a su propio arbitrio dentro de los límites permitidos, en lo relativo a lo que a su juicio es más conveniente”</w:t>
      </w:r>
    </w:p>
    <w:p w14:paraId="779F1053" w14:textId="77777777" w:rsidR="00335A1D" w:rsidRDefault="00335A1D" w:rsidP="00335A1D">
      <w:pPr>
        <w:shd w:val="clear" w:color="auto" w:fill="FFFFFF"/>
        <w:ind w:left="709" w:right="1325"/>
        <w:jc w:val="both"/>
        <w:rPr>
          <w:rFonts w:ascii="Bookman Old Style" w:eastAsia="Bookman Old Style" w:hAnsi="Bookman Old Style" w:cs="Bookman Old Style"/>
          <w:i/>
        </w:rPr>
      </w:pPr>
    </w:p>
    <w:p w14:paraId="2C423198"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02756E5D" w14:textId="77777777" w:rsidR="00335A1D" w:rsidRDefault="00335A1D" w:rsidP="00335A1D">
      <w:pPr>
        <w:shd w:val="clear" w:color="auto" w:fill="FFFFFF"/>
        <w:ind w:left="709" w:right="1325"/>
        <w:jc w:val="both"/>
        <w:rPr>
          <w:rFonts w:ascii="Bookman Old Style" w:eastAsia="Bookman Old Style" w:hAnsi="Bookman Old Style" w:cs="Bookman Old Style"/>
          <w:i/>
        </w:rPr>
      </w:pPr>
    </w:p>
    <w:p w14:paraId="6E17869A"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no acudir a los servicios médicos (…) no vulnera ni amenaza los derechos de los demás, ni el orden jurídico; por consiguiente, merece ser respetada, dentro del ámbito del reconocimiento de su derecho al libre desarrollo de la personalidad.”</w:t>
      </w:r>
    </w:p>
    <w:p w14:paraId="1793B138" w14:textId="77777777" w:rsidR="00335A1D" w:rsidRDefault="00335A1D" w:rsidP="00335A1D">
      <w:pPr>
        <w:shd w:val="clear" w:color="auto" w:fill="FFFFFF"/>
        <w:ind w:right="150"/>
        <w:jc w:val="both"/>
        <w:rPr>
          <w:rFonts w:ascii="Bookman Old Style" w:eastAsia="Bookman Old Style" w:hAnsi="Bookman Old Style" w:cs="Bookman Old Style"/>
        </w:rPr>
      </w:pPr>
    </w:p>
    <w:p w14:paraId="180271B6" w14:textId="77777777" w:rsidR="00335A1D" w:rsidRDefault="00335A1D" w:rsidP="00335A1D">
      <w:pPr>
        <w:shd w:val="clear" w:color="auto" w:fill="FFFFFF"/>
        <w:ind w:right="150"/>
        <w:jc w:val="both"/>
        <w:rPr>
          <w:rFonts w:ascii="Bookman Old Style" w:eastAsia="Bookman Old Style" w:hAnsi="Bookman Old Style" w:cs="Bookman Old Style"/>
        </w:rPr>
      </w:pPr>
      <w:r>
        <w:rPr>
          <w:rFonts w:ascii="Bookman Old Style" w:eastAsia="Bookman Old Style" w:hAnsi="Bookman Old Style" w:cs="Bookman Old Style"/>
        </w:rPr>
        <w:t>Respecto de la relación entre el derecho a la intimidad y la libertad de elegir un tratamiento médico, incluyendo el no tratamiento absoluto de la enfermedad, la Corte regló:</w:t>
      </w:r>
    </w:p>
    <w:p w14:paraId="30D107B8" w14:textId="77777777" w:rsidR="00335A1D" w:rsidRDefault="00335A1D" w:rsidP="00335A1D">
      <w:pPr>
        <w:shd w:val="clear" w:color="auto" w:fill="FFFFFF"/>
        <w:ind w:right="150"/>
        <w:jc w:val="both"/>
        <w:rPr>
          <w:rFonts w:ascii="Bookman Old Style" w:eastAsia="Bookman Old Style" w:hAnsi="Bookman Old Style" w:cs="Bookman Old Style"/>
        </w:rPr>
      </w:pPr>
    </w:p>
    <w:p w14:paraId="5E21E4F3"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“la imposición a María Libia Pérez Duque de un determinado patrón de conducta respecto a la enfermedad que padece menoscaba su potencialidad como persona, su capacidad de autodeterminación, y desconoce el derecho a la intimidad personal y familiar (…) </w:t>
      </w:r>
      <w:r>
        <w:rPr>
          <w:rFonts w:ascii="Bookman Old Style" w:eastAsia="Bookman Old Style" w:hAnsi="Bookman Old Style" w:cs="Bookman Old Style"/>
          <w:i/>
          <w:color w:val="2D2D2D"/>
          <w:highlight w:val="white"/>
        </w:rPr>
        <w:t xml:space="preserve">en efecto, el derecho a la intimidad comprende la personalísima esfera de las personas que, por su </w:t>
      </w:r>
      <w:r>
        <w:rPr>
          <w:rFonts w:ascii="Bookman Old Style" w:eastAsia="Bookman Old Style" w:hAnsi="Bookman Old Style" w:cs="Bookman Old Style"/>
          <w:i/>
          <w:color w:val="2D2D2D"/>
          <w:highlight w:val="white"/>
        </w:rPr>
        <w:lastRenderedPageBreak/>
        <w:t xml:space="preserve">naturaleza, no </w:t>
      </w:r>
      <w:proofErr w:type="gramStart"/>
      <w:r>
        <w:rPr>
          <w:rFonts w:ascii="Bookman Old Style" w:eastAsia="Bookman Old Style" w:hAnsi="Bookman Old Style" w:cs="Bookman Old Style"/>
          <w:i/>
          <w:color w:val="2D2D2D"/>
          <w:highlight w:val="white"/>
        </w:rPr>
        <w:t>le</w:t>
      </w:r>
      <w:proofErr w:type="gramEnd"/>
      <w:r>
        <w:rPr>
          <w:rFonts w:ascii="Bookman Old Style" w:eastAsia="Bookman Old Style" w:hAnsi="Bookman Old Style" w:cs="Bookman Old Style"/>
          <w:i/>
          <w:color w:val="2D2D2D"/>
          <w:highlight w:val="white"/>
        </w:rPr>
        <w:t xml:space="preserve"> atañe a terceros, así estos sean el Estado o los consanguíneos próximos de éstas.</w:t>
      </w:r>
      <w:r>
        <w:rPr>
          <w:rFonts w:ascii="Bookman Old Style" w:eastAsia="Bookman Old Style" w:hAnsi="Bookman Old Style" w:cs="Bookman Old Style"/>
          <w:i/>
        </w:rPr>
        <w:t>”</w:t>
      </w:r>
    </w:p>
    <w:p w14:paraId="55592694" w14:textId="77777777" w:rsidR="00335A1D" w:rsidRDefault="00335A1D" w:rsidP="00335A1D">
      <w:pPr>
        <w:shd w:val="clear" w:color="auto" w:fill="FFFFFF"/>
        <w:ind w:right="1325"/>
        <w:jc w:val="both"/>
        <w:rPr>
          <w:rFonts w:ascii="Bookman Old Style" w:eastAsia="Bookman Old Style" w:hAnsi="Bookman Old Style" w:cs="Bookman Old Style"/>
          <w:i/>
        </w:rPr>
      </w:pPr>
    </w:p>
    <w:p w14:paraId="5829CF9C" w14:textId="77777777" w:rsidR="00335A1D" w:rsidRDefault="00335A1D" w:rsidP="00335A1D">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 decisión sentó las bases y abrió la puerta al debate que luego llevaría a reconocer la existencia del derecho a una muerte digna. </w:t>
      </w:r>
    </w:p>
    <w:p w14:paraId="570E7753" w14:textId="77777777" w:rsidR="00335A1D" w:rsidRDefault="00335A1D" w:rsidP="00335A1D">
      <w:pPr>
        <w:shd w:val="clear" w:color="auto" w:fill="FFFFFF"/>
        <w:ind w:right="49"/>
        <w:jc w:val="both"/>
        <w:rPr>
          <w:rFonts w:ascii="Bookman Old Style" w:eastAsia="Bookman Old Style" w:hAnsi="Bookman Old Style" w:cs="Bookman Old Style"/>
        </w:rPr>
      </w:pPr>
    </w:p>
    <w:p w14:paraId="61049B51" w14:textId="77777777" w:rsidR="00335A1D" w:rsidRDefault="00335A1D" w:rsidP="00335A1D">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Fue en 1997 que la Corte Constitucional por primera vez se pronunció sobre la constitucionalidad de la tipificación como delito del homicidio por piedad. Así, en la sentencia </w:t>
      </w:r>
      <w:r>
        <w:rPr>
          <w:rFonts w:ascii="Bookman Old Style" w:eastAsia="Bookman Old Style" w:hAnsi="Bookman Old Style" w:cs="Bookman Old Style"/>
          <w:b/>
        </w:rPr>
        <w:t>C-239 de 1997</w:t>
      </w:r>
      <w:r>
        <w:rPr>
          <w:rFonts w:ascii="Bookman Old Style" w:eastAsia="Bookman Old Style" w:hAnsi="Bookman Old Style" w:cs="Bookman Old Style"/>
        </w:rPr>
        <w:t xml:space="preserve">, con ponencia del Magistrado Carlos Gaviria Díaz, el Alto Tribunal reconoció que la vida digna guarda estrecha relación y se materializa con el acceso al derecho de una muerte digna. Ello, al considerar que una enfermedad puede hacer que la vida sea incompatible con el concepto de dignidad y calidad de vida que detente cada individuo. </w:t>
      </w:r>
    </w:p>
    <w:p w14:paraId="08C76F69" w14:textId="77777777" w:rsidR="00335A1D" w:rsidRDefault="00335A1D" w:rsidP="00335A1D">
      <w:pPr>
        <w:shd w:val="clear" w:color="auto" w:fill="FFFFFF"/>
        <w:ind w:right="49"/>
        <w:jc w:val="both"/>
        <w:rPr>
          <w:rFonts w:ascii="Bookman Old Style" w:eastAsia="Bookman Old Style" w:hAnsi="Bookman Old Style" w:cs="Bookman Old Style"/>
        </w:rPr>
      </w:pPr>
    </w:p>
    <w:p w14:paraId="6609C1B8" w14:textId="77777777" w:rsidR="00335A1D" w:rsidRDefault="00335A1D" w:rsidP="00335A1D">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Más aún, regló la Corte que impedir el acceso a la muerte digna supone un trato cruel e inhumano, una anulación de la dignidad y de la autonomía de la persona. Además, consideró que, en perspectiva constitucional, la protección a la vida debe darse con arreglo al goce efectivo de la autonomía, la dignidad humana, con el libre desarrollo de la personalidad y por ende con el acceso a la muerte digna.  </w:t>
      </w:r>
    </w:p>
    <w:p w14:paraId="1F59A0FD" w14:textId="77777777" w:rsidR="00335A1D" w:rsidRDefault="00335A1D" w:rsidP="00335A1D">
      <w:pPr>
        <w:shd w:val="clear" w:color="auto" w:fill="FFFFFF"/>
        <w:ind w:right="49"/>
        <w:jc w:val="both"/>
        <w:rPr>
          <w:rFonts w:ascii="Bookman Old Style" w:eastAsia="Bookman Old Style" w:hAnsi="Bookman Old Style" w:cs="Bookman Old Style"/>
        </w:rPr>
      </w:pPr>
    </w:p>
    <w:p w14:paraId="4C81C806"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“El deber del Estado de proteger la vida debe ser entonces compatible con el respeto a la dignidad humana y al libre desarrollo de la personalidad. Por ello la Corte considera que frente a los enfermos terminales que experimentan intensos sufrimientos, este deber estatal cede frente al consentimiento informado del paciente que desea morir en forma digna. En efecto, en este caso, el deber estatal se debilita considerablemente por cuanto, en virtud de los informes médicos, puede sostenerse que, más allá de toda duda razonable, la muerte es inevitable en un tiempo relativamente corto.  </w:t>
      </w:r>
    </w:p>
    <w:p w14:paraId="29E37E46" w14:textId="77777777" w:rsidR="00335A1D" w:rsidRDefault="00335A1D" w:rsidP="00335A1D">
      <w:pPr>
        <w:shd w:val="clear" w:color="auto" w:fill="FFFFFF"/>
        <w:ind w:left="709" w:right="1325"/>
        <w:jc w:val="both"/>
        <w:rPr>
          <w:rFonts w:ascii="Bookman Old Style" w:eastAsia="Bookman Old Style" w:hAnsi="Bookman Old Style" w:cs="Bookman Old Style"/>
          <w:i/>
        </w:rPr>
      </w:pPr>
    </w:p>
    <w:p w14:paraId="17701315" w14:textId="77777777" w:rsidR="00335A1D" w:rsidRDefault="00335A1D" w:rsidP="00335A1D">
      <w:pPr>
        <w:shd w:val="clear" w:color="auto" w:fill="FFFFFF"/>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En cambio, la decisión de cómo enfrentar la muerte adquiere una importancia decisiva para el enfermo terminal, que sabe que no puede ser curado, y que por ende no está optando entre la muerte y muchos años de vida plena, sino entre morir en condiciones que él escoge, o morir poco tiempo después en circunstancias dolorosas y que juzga indignas. El derecho fundamental a vivir en forma digna implica entonces el derecho a morir dignamente, pues condenar a una persona a prolongar por un tiempo escaso su existencia, cuando no lo desea y padece profundas aflicciones, equivale no sólo a un trato cruel e inhumano, prohibido por la Carta, sino a una anulación de su dignidad y de su autonomía como sujeto moral. La persona quedaría reducida a un </w:t>
      </w:r>
      <w:r>
        <w:rPr>
          <w:rFonts w:ascii="Bookman Old Style" w:eastAsia="Bookman Old Style" w:hAnsi="Bookman Old Style" w:cs="Bookman Old Style"/>
          <w:i/>
        </w:rPr>
        <w:lastRenderedPageBreak/>
        <w:t>instrumento para la preservación de la vida como valor abstracto.”</w:t>
      </w:r>
    </w:p>
    <w:p w14:paraId="4198C354" w14:textId="77777777" w:rsidR="00335A1D" w:rsidRDefault="00335A1D" w:rsidP="00335A1D">
      <w:pPr>
        <w:shd w:val="clear" w:color="auto" w:fill="FFFFFF"/>
        <w:ind w:right="49"/>
        <w:jc w:val="both"/>
        <w:rPr>
          <w:rFonts w:ascii="Bookman Old Style" w:eastAsia="Bookman Old Style" w:hAnsi="Bookman Old Style" w:cs="Bookman Old Style"/>
        </w:rPr>
      </w:pPr>
    </w:p>
    <w:p w14:paraId="1C8A37EC" w14:textId="77777777" w:rsidR="00335A1D" w:rsidRDefault="00335A1D" w:rsidP="00335A1D">
      <w:pPr>
        <w:shd w:val="clear" w:color="auto" w:fill="FFFFFF"/>
        <w:ind w:right="49"/>
        <w:jc w:val="both"/>
        <w:rPr>
          <w:rFonts w:ascii="Bookman Old Style" w:eastAsia="Bookman Old Style" w:hAnsi="Bookman Old Style" w:cs="Bookman Old Style"/>
        </w:rPr>
      </w:pPr>
      <w:r>
        <w:rPr>
          <w:rFonts w:ascii="Bookman Old Style" w:eastAsia="Bookman Old Style" w:hAnsi="Bookman Old Style" w:cs="Bookman Old Style"/>
        </w:rPr>
        <w:t>Así, reconoció la posibilidad individual de decidir poner fin a la propia vida, justamente ante situaciones en que el individuo considere que las condiciones de su existencia riñen con una vida que merezca la pena ser vivida y que sea digna. Esa decisión no puede ser imposibilitada ni objeto de castigo por parte del Estado.</w:t>
      </w:r>
    </w:p>
    <w:p w14:paraId="7D901A5E" w14:textId="77777777" w:rsidR="00335A1D" w:rsidRDefault="00335A1D" w:rsidP="00335A1D">
      <w:pPr>
        <w:shd w:val="clear" w:color="auto" w:fill="FFFFFF"/>
        <w:ind w:right="150"/>
        <w:jc w:val="both"/>
      </w:pPr>
      <w:bookmarkStart w:id="5" w:name="_heading=h.gjdgxs" w:colFirst="0" w:colLast="0"/>
      <w:bookmarkEnd w:id="5"/>
    </w:p>
    <w:p w14:paraId="1C508CD9" w14:textId="77777777" w:rsidR="00335A1D" w:rsidRDefault="00335A1D" w:rsidP="00335A1D">
      <w:pPr>
        <w:shd w:val="clear" w:color="auto" w:fill="FFFFFF"/>
        <w:ind w:left="709" w:right="1325"/>
        <w:jc w:val="both"/>
        <w:rPr>
          <w:rFonts w:ascii="Bookman Old Style" w:eastAsia="Bookman Old Style" w:hAnsi="Bookman Old Style" w:cs="Bookman Old Style"/>
          <w:i/>
        </w:rPr>
      </w:pPr>
    </w:p>
    <w:p w14:paraId="59382EAE"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Estado no puede oponerse a la decisión del individuo que no desea seguir viviendo y que solicita le ayuden a morir, cuando sufre una enfermedad terminal que le produce dolores insoportables, incompatibles con su idea de dignidad. Por consiguiente, si un enfermo terminal que se encuentra en las condiciones objetivas que plantea el Código Penal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No se trata de restarle importancia al deber del Estado de proteger la vida sino, de reconocer que esta obligación no se traduce en la preservación de la vida sólo como hecho biológico.”</w:t>
      </w:r>
    </w:p>
    <w:p w14:paraId="5B63BED9" w14:textId="77777777" w:rsidR="00335A1D" w:rsidRDefault="00335A1D" w:rsidP="00335A1D">
      <w:pPr>
        <w:ind w:right="49"/>
        <w:jc w:val="both"/>
        <w:rPr>
          <w:rFonts w:ascii="Bookman Old Style" w:eastAsia="Bookman Old Style" w:hAnsi="Bookman Old Style" w:cs="Bookman Old Style"/>
          <w:i/>
        </w:rPr>
      </w:pPr>
    </w:p>
    <w:p w14:paraId="1C9D6B6B"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Anticipando posibles preocupaciones respecto de la compatibilidad de garantizar el acceso a la muerte digna con concepciones morales y religiosas es preciso traer a cuento la resolución alcanzada por la Corte Constitucional respecto de esa tensión:</w:t>
      </w:r>
    </w:p>
    <w:p w14:paraId="5E2EA084" w14:textId="77777777" w:rsidR="00335A1D" w:rsidRDefault="00335A1D" w:rsidP="00335A1D">
      <w:pPr>
        <w:ind w:right="49"/>
        <w:jc w:val="both"/>
        <w:rPr>
          <w:rFonts w:ascii="Bookman Old Style" w:eastAsia="Bookman Old Style" w:hAnsi="Bookman Old Style" w:cs="Bookman Old Style"/>
        </w:rPr>
      </w:pPr>
    </w:p>
    <w:p w14:paraId="3DD0CE15"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“si la manera en que los individuos ven la muerte refleja sus propias convicciones, ellos no pueden ser forzados a continuar viviendo cuando, por las circunstancias extremas en que se encuentran, no lo estiman deseable ni compatible con su propia dignidad, con el argumento inadmisible de que una mayoría lo juzga un imperativo religioso o moral. De nadie puede el Estado demandar conductas heroicas, menos aún si el fundamento de ellas está adscrito a una creencia religiosa o a una actitud moral que, bajo un sistema pluralista, sólo puede revestir el carácter de una opción. Nada tan cruel como obligar a una persona a subsistir en medio de padecimientos oprobiosos, en nombre de creencias ajenas, así una inmensa mayoría de la población las estime intangibles.</w:t>
      </w:r>
    </w:p>
    <w:p w14:paraId="0E7EC536" w14:textId="77777777" w:rsidR="00335A1D" w:rsidRDefault="00335A1D" w:rsidP="00335A1D">
      <w:pPr>
        <w:ind w:left="709" w:right="1325"/>
        <w:jc w:val="both"/>
        <w:rPr>
          <w:rFonts w:ascii="Bookman Old Style" w:eastAsia="Bookman Old Style" w:hAnsi="Bookman Old Style" w:cs="Bookman Old Style"/>
          <w:i/>
        </w:rPr>
      </w:pPr>
    </w:p>
    <w:p w14:paraId="30606A55"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w:t>
      </w:r>
    </w:p>
    <w:p w14:paraId="7DDBFDD1" w14:textId="77777777" w:rsidR="00335A1D" w:rsidRDefault="00335A1D" w:rsidP="00335A1D">
      <w:pPr>
        <w:ind w:left="709" w:right="1325"/>
        <w:jc w:val="both"/>
        <w:rPr>
          <w:rFonts w:ascii="Bookman Old Style" w:eastAsia="Bookman Old Style" w:hAnsi="Bookman Old Style" w:cs="Bookman Old Style"/>
          <w:i/>
        </w:rPr>
      </w:pPr>
    </w:p>
    <w:p w14:paraId="7BA52AF1"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Desde una perspectiva pluralista no puede afirmarse el deber absoluto de vivir. Quien vive como obligatoria una conducta, en función de sus creencias religiosas o morales, no puede pretender que ella se haga coercitivamente exigible a todos; sólo que a él se le permita vivir su vida moral plena y actuar en función de ella sin interferencias.”</w:t>
      </w:r>
    </w:p>
    <w:p w14:paraId="0A6D4EAC" w14:textId="77777777" w:rsidR="00335A1D" w:rsidRDefault="00335A1D" w:rsidP="00335A1D">
      <w:pPr>
        <w:ind w:right="1325"/>
        <w:jc w:val="both"/>
        <w:rPr>
          <w:rFonts w:ascii="Bookman Old Style" w:eastAsia="Bookman Old Style" w:hAnsi="Bookman Old Style" w:cs="Bookman Old Style"/>
          <w:i/>
        </w:rPr>
      </w:pPr>
    </w:p>
    <w:p w14:paraId="1E6FDE59"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De conformidad con ello, el Alto Tribunal regló que siempre que exista consentimiento informado por parte de un paciente con enfermedad terminal que comporte intenso sufrimiento, y que el acceso a la muerte digna sea garantizado por un médico, la eutanasia no deberá ser objeto de la acción penal del Estado. </w:t>
      </w:r>
    </w:p>
    <w:p w14:paraId="44B1C935" w14:textId="77777777" w:rsidR="00335A1D" w:rsidRDefault="00335A1D" w:rsidP="00335A1D">
      <w:pPr>
        <w:ind w:right="1325"/>
        <w:jc w:val="both"/>
        <w:rPr>
          <w:rFonts w:ascii="Bookman Old Style" w:eastAsia="Bookman Old Style" w:hAnsi="Bookman Old Style" w:cs="Bookman Old Style"/>
          <w:i/>
        </w:rPr>
      </w:pPr>
    </w:p>
    <w:p w14:paraId="7380DE07"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la Corte Constitucional exhortó al Congreso de la República para que regulara el acceso al derecho a la muerte digna, de conformidad con los parámetros fijados en la sentencia. </w:t>
      </w:r>
    </w:p>
    <w:p w14:paraId="31D2A256" w14:textId="77777777" w:rsidR="00335A1D" w:rsidRDefault="00335A1D" w:rsidP="00335A1D">
      <w:pPr>
        <w:ind w:right="49"/>
        <w:jc w:val="both"/>
        <w:rPr>
          <w:rFonts w:ascii="Bookman Old Style" w:eastAsia="Bookman Old Style" w:hAnsi="Bookman Old Style" w:cs="Bookman Old Style"/>
        </w:rPr>
      </w:pPr>
    </w:p>
    <w:p w14:paraId="78AA9761"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“En aras de la seguridad jurídica, la Corte exhortará al Congreso para </w:t>
      </w:r>
      <w:proofErr w:type="gramStart"/>
      <w:r>
        <w:rPr>
          <w:rFonts w:ascii="Bookman Old Style" w:eastAsia="Bookman Old Style" w:hAnsi="Bookman Old Style" w:cs="Bookman Old Style"/>
          <w:i/>
        </w:rPr>
        <w:t>que</w:t>
      </w:r>
      <w:proofErr w:type="gramEnd"/>
      <w:r>
        <w:rPr>
          <w:rFonts w:ascii="Bookman Old Style" w:eastAsia="Bookman Old Style" w:hAnsi="Bookman Old Style" w:cs="Bookman Old Style"/>
          <w:i/>
        </w:rPr>
        <w:t xml:space="preserve"> en el tiempo más breve posible, y conforme a los principios constitucionales y a elementales consideraciones de humanidad, regule el tema de la muerte digna.”</w:t>
      </w:r>
    </w:p>
    <w:p w14:paraId="437E51C9" w14:textId="77777777" w:rsidR="00335A1D" w:rsidRDefault="00335A1D" w:rsidP="00335A1D">
      <w:pPr>
        <w:ind w:right="1325"/>
        <w:jc w:val="both"/>
        <w:rPr>
          <w:rFonts w:ascii="Bookman Old Style" w:eastAsia="Bookman Old Style" w:hAnsi="Bookman Old Style" w:cs="Bookman Old Style"/>
        </w:rPr>
      </w:pPr>
    </w:p>
    <w:p w14:paraId="60145513" w14:textId="77777777" w:rsidR="00335A1D" w:rsidRDefault="00335A1D" w:rsidP="00335A1D">
      <w:pPr>
        <w:ind w:right="1325"/>
        <w:jc w:val="both"/>
        <w:rPr>
          <w:rFonts w:ascii="Bookman Old Style" w:eastAsia="Bookman Old Style" w:hAnsi="Bookman Old Style" w:cs="Bookman Old Style"/>
        </w:rPr>
      </w:pPr>
      <w:r>
        <w:rPr>
          <w:rFonts w:ascii="Bookman Old Style" w:eastAsia="Bookman Old Style" w:hAnsi="Bookman Old Style" w:cs="Bookman Old Style"/>
        </w:rPr>
        <w:t>Para el cumplimiento de tal propósito, la Corte estableció que:</w:t>
      </w:r>
    </w:p>
    <w:p w14:paraId="07109791" w14:textId="77777777" w:rsidR="00335A1D" w:rsidRDefault="00335A1D" w:rsidP="00335A1D">
      <w:pPr>
        <w:ind w:right="1325"/>
        <w:jc w:val="both"/>
        <w:rPr>
          <w:rFonts w:ascii="Bookman Old Style" w:eastAsia="Bookman Old Style" w:hAnsi="Bookman Old Style" w:cs="Bookman Old Style"/>
        </w:rPr>
      </w:pPr>
    </w:p>
    <w:p w14:paraId="22934B1A"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“Los puntos esenciales de esa regulación serán sin duda: </w:t>
      </w:r>
    </w:p>
    <w:p w14:paraId="07B4EB7B"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1. Verificación rigurosa, por personas competentes, de la situación real del paciente, de la enfermedad que padece, de la madurez de su juicio y de la voluntad inequívoca de morir; </w:t>
      </w:r>
    </w:p>
    <w:p w14:paraId="42BA88A7"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2. Indicación clara de las personas (sujetos calificados) que deben intervenir en el proceso; </w:t>
      </w:r>
    </w:p>
    <w:p w14:paraId="091946A3"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3. Circunstancias bajo las cuales debe manifestar su consentimiento la persona que consiente en su muerte o solicita que se ponga término a su sufrimiento: forma como debe expresarlo, sujetos ante quienes debe expresarlo, verificación de su sano juicio por un profesional competente, </w:t>
      </w:r>
      <w:proofErr w:type="spellStart"/>
      <w:r>
        <w:rPr>
          <w:rFonts w:ascii="Bookman Old Style" w:eastAsia="Bookman Old Style" w:hAnsi="Bookman Old Style" w:cs="Bookman Old Style"/>
          <w:i/>
        </w:rPr>
        <w:t>etc</w:t>
      </w:r>
      <w:proofErr w:type="spellEnd"/>
      <w:r>
        <w:rPr>
          <w:rFonts w:ascii="Bookman Old Style" w:eastAsia="Bookman Old Style" w:hAnsi="Bookman Old Style" w:cs="Bookman Old Style"/>
          <w:i/>
        </w:rPr>
        <w:t xml:space="preserve">; </w:t>
      </w:r>
    </w:p>
    <w:p w14:paraId="29B7982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4. Medidas que deben ser usadas por el sujeto calificado para obtener el resultado filantrópico, y </w:t>
      </w:r>
    </w:p>
    <w:p w14:paraId="03541DAE"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5. 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w:t>
      </w:r>
    </w:p>
    <w:p w14:paraId="4D036112" w14:textId="77777777" w:rsidR="00335A1D" w:rsidRDefault="00335A1D" w:rsidP="00335A1D">
      <w:pPr>
        <w:ind w:right="1325"/>
        <w:jc w:val="both"/>
        <w:rPr>
          <w:rFonts w:ascii="Bookman Old Style" w:eastAsia="Bookman Old Style" w:hAnsi="Bookman Old Style" w:cs="Bookman Old Style"/>
          <w:i/>
        </w:rPr>
      </w:pPr>
    </w:p>
    <w:p w14:paraId="15AFC69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2014, y ante la omisión del Congreso frente a la regulación de este asunto, la Corte Constitucional volvió a pronunciarse sobre el particular. En sentencia </w:t>
      </w:r>
      <w:r>
        <w:rPr>
          <w:rFonts w:ascii="Bookman Old Style" w:eastAsia="Bookman Old Style" w:hAnsi="Bookman Old Style" w:cs="Bookman Old Style"/>
          <w:b/>
        </w:rPr>
        <w:t>T-970 de 2014</w:t>
      </w:r>
      <w:r>
        <w:rPr>
          <w:rFonts w:ascii="Bookman Old Style" w:eastAsia="Bookman Old Style" w:hAnsi="Bookman Old Style" w:cs="Bookman Old Style"/>
        </w:rPr>
        <w:t xml:space="preserve"> el Alto Tribunal volvió a exhortar al Legislativo y al Ministerio de Salud a regular el acceso a la muerte digna y en particular a la eutanasia, notando que el vacío normativo existente en la materia ponía en riesgo el acceso al derecho a la muerte digna y la efectividad de las órdenes impartidas por el alto tribunal en la referida providencia de 1997. </w:t>
      </w:r>
    </w:p>
    <w:p w14:paraId="13631BB4" w14:textId="77777777" w:rsidR="00335A1D" w:rsidRDefault="00335A1D" w:rsidP="00335A1D">
      <w:pPr>
        <w:ind w:right="49"/>
        <w:jc w:val="both"/>
        <w:rPr>
          <w:rFonts w:ascii="Bookman Old Style" w:eastAsia="Bookman Old Style" w:hAnsi="Bookman Old Style" w:cs="Bookman Old Style"/>
        </w:rPr>
      </w:pPr>
    </w:p>
    <w:p w14:paraId="5C2A7160"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Reiteró las tres condiciones fijadas desde 1997 que debe observar el legislador y que obran para que una persona pueda acceder a la eutanasia, a saber: </w:t>
      </w:r>
    </w:p>
    <w:p w14:paraId="634C576D" w14:textId="77777777" w:rsidR="00335A1D" w:rsidRDefault="00335A1D" w:rsidP="00335A1D">
      <w:pPr>
        <w:ind w:right="49"/>
        <w:jc w:val="both"/>
        <w:rPr>
          <w:rFonts w:ascii="Bookman Old Style" w:eastAsia="Bookman Old Style" w:hAnsi="Bookman Old Style" w:cs="Bookman Old Style"/>
          <w:i/>
        </w:rPr>
      </w:pPr>
    </w:p>
    <w:p w14:paraId="02C2CB7D"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“(i) medie el consentimiento libre e informado del paciente; (</w:t>
      </w:r>
      <w:proofErr w:type="spellStart"/>
      <w:r>
        <w:rPr>
          <w:rFonts w:ascii="Bookman Old Style" w:eastAsia="Bookman Old Style" w:hAnsi="Bookman Old Style" w:cs="Bookman Old Style"/>
          <w:i/>
        </w:rPr>
        <w:t>ii</w:t>
      </w:r>
      <w:proofErr w:type="spellEnd"/>
      <w:r>
        <w:rPr>
          <w:rFonts w:ascii="Bookman Old Style" w:eastAsia="Bookman Old Style" w:hAnsi="Bookman Old Style" w:cs="Bookman Old Style"/>
          <w:i/>
        </w:rPr>
        <w:t>) lo practique un médico; (</w:t>
      </w:r>
      <w:proofErr w:type="spellStart"/>
      <w:r>
        <w:rPr>
          <w:rFonts w:ascii="Bookman Old Style" w:eastAsia="Bookman Old Style" w:hAnsi="Bookman Old Style" w:cs="Bookman Old Style"/>
          <w:i/>
        </w:rPr>
        <w:t>iii</w:t>
      </w:r>
      <w:proofErr w:type="spellEnd"/>
      <w:r>
        <w:rPr>
          <w:rFonts w:ascii="Bookman Old Style" w:eastAsia="Bookman Old Style" w:hAnsi="Bookman Old Style" w:cs="Bookman Old Style"/>
          <w:i/>
        </w:rPr>
        <w:t>) el sujeto pasivo padezca una enfermedad terminal que le cause sufrimiento.”</w:t>
      </w:r>
    </w:p>
    <w:p w14:paraId="06053A8D" w14:textId="77777777" w:rsidR="00335A1D" w:rsidRDefault="00335A1D" w:rsidP="00335A1D">
      <w:pPr>
        <w:ind w:right="49"/>
        <w:jc w:val="both"/>
        <w:rPr>
          <w:rFonts w:ascii="Bookman Old Style" w:eastAsia="Bookman Old Style" w:hAnsi="Bookman Old Style" w:cs="Bookman Old Style"/>
          <w:i/>
        </w:rPr>
      </w:pPr>
    </w:p>
    <w:p w14:paraId="11A3F949"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 su vez, consolidó la comprensión de la muerte digna como un derecho fundamental, autónomo e independiente relacionado con otros como la vida, la autonomía y la dignidad humana:</w:t>
      </w:r>
    </w:p>
    <w:p w14:paraId="5A9F299E" w14:textId="77777777" w:rsidR="00335A1D" w:rsidRDefault="00335A1D" w:rsidP="00335A1D">
      <w:pPr>
        <w:ind w:right="49"/>
        <w:jc w:val="both"/>
        <w:rPr>
          <w:rFonts w:ascii="Bookman Old Style" w:eastAsia="Bookman Old Style" w:hAnsi="Bookman Old Style" w:cs="Bookman Old Style"/>
          <w:i/>
        </w:rPr>
      </w:pPr>
    </w:p>
    <w:p w14:paraId="270C87A0"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a morir dignamente, es un derecho fundamental. Esta garantía se compone de dos aspectos básicos: por un lado, la dignidad humana y por otro, la autonomía individual. En efecto, la dignidad humana es presupuesto esencial del ser humano que le permite razonar sobre lo que es correcto o no, pero también es indispensable para el goce del derecho a la vida. El derecho a morir dignamente es un derecho autónomo, independiente pero relacionado con la vida y otros derechos. No es posible considerar la muerte digna como un componente del derecho a la autonomía, así como tampoco es dable entenderlo como una parte del derecho a la vida. Sencillamente, se trata de un derecho fundamental complejo y autónomo que goza de todas las características y atributos de las demás garantías constitucionales de esa categoría.”</w:t>
      </w:r>
    </w:p>
    <w:p w14:paraId="26BBD29A" w14:textId="77777777" w:rsidR="00335A1D" w:rsidRDefault="00335A1D" w:rsidP="00335A1D">
      <w:pPr>
        <w:ind w:right="49"/>
        <w:jc w:val="both"/>
        <w:rPr>
          <w:rFonts w:ascii="Bookman Old Style" w:eastAsia="Bookman Old Style" w:hAnsi="Bookman Old Style" w:cs="Bookman Old Style"/>
          <w:i/>
        </w:rPr>
      </w:pPr>
    </w:p>
    <w:p w14:paraId="0E8B30BF"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Además, el Alto Tribunal precisó que dentro de los mecanismos para garantizar el acceso a la muerte digna existe la eutanasia, los cuidados paliativos cuando el paciente no desee provocar su muerte, y la adecuación de los tratamientos médicos, entre otros.</w:t>
      </w:r>
    </w:p>
    <w:p w14:paraId="0CD9B7DA" w14:textId="77777777" w:rsidR="00335A1D" w:rsidRDefault="00335A1D" w:rsidP="00335A1D">
      <w:pPr>
        <w:ind w:right="49"/>
        <w:jc w:val="both"/>
        <w:rPr>
          <w:rFonts w:ascii="Bookman Old Style" w:eastAsia="Bookman Old Style" w:hAnsi="Bookman Old Style" w:cs="Bookman Old Style"/>
        </w:rPr>
      </w:pPr>
    </w:p>
    <w:p w14:paraId="176EDCF8"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Esta providencia resulta relevante también en materia de objeción de conciencia, pues dispone que el profesional de la salud deberá ejercer ese derecho por escrito </w:t>
      </w:r>
      <w:r>
        <w:rPr>
          <w:rFonts w:ascii="Bookman Old Style" w:eastAsia="Bookman Old Style" w:hAnsi="Bookman Old Style" w:cs="Bookman Old Style"/>
        </w:rPr>
        <w:lastRenderedPageBreak/>
        <w:t>pero que la EPS responsable deberá, en menos de 24 horas, reasignar otro profesional de la salud para realizar el procedimiento.</w:t>
      </w:r>
    </w:p>
    <w:p w14:paraId="131FE778" w14:textId="77777777" w:rsidR="00335A1D" w:rsidRDefault="00335A1D" w:rsidP="00335A1D">
      <w:pPr>
        <w:ind w:right="49"/>
        <w:jc w:val="both"/>
        <w:rPr>
          <w:rFonts w:ascii="Bookman Old Style" w:eastAsia="Bookman Old Style" w:hAnsi="Bookman Old Style" w:cs="Bookman Old Style"/>
        </w:rPr>
      </w:pPr>
    </w:p>
    <w:p w14:paraId="49FFA41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La Corte Constitucional volvió a pronunciarse respecto del ejercicio del derecho a la muerte digna con relación a la muerte médicamente asistida en la sentencia </w:t>
      </w:r>
      <w:r>
        <w:rPr>
          <w:rFonts w:ascii="Bookman Old Style" w:eastAsia="Bookman Old Style" w:hAnsi="Bookman Old Style" w:cs="Bookman Old Style"/>
          <w:b/>
        </w:rPr>
        <w:t>T-132 de 2016</w:t>
      </w:r>
      <w:r>
        <w:rPr>
          <w:rFonts w:ascii="Bookman Old Style" w:eastAsia="Bookman Old Style" w:hAnsi="Bookman Old Style" w:cs="Bookman Old Style"/>
        </w:rPr>
        <w:t xml:space="preserve">. En aquella providencia reiteró como una condición entonces necesaria para acceder a la muerte digna bajo la modalidad de muerte médicamente asistida que la persona sufriera una enfermedad terminal. </w:t>
      </w:r>
    </w:p>
    <w:p w14:paraId="6F47A4E1" w14:textId="77777777" w:rsidR="00335A1D" w:rsidRDefault="00335A1D" w:rsidP="00335A1D">
      <w:pPr>
        <w:ind w:right="49"/>
        <w:jc w:val="both"/>
        <w:rPr>
          <w:rFonts w:ascii="Bookman Old Style" w:eastAsia="Bookman Old Style" w:hAnsi="Bookman Old Style" w:cs="Bookman Old Style"/>
        </w:rPr>
      </w:pPr>
    </w:p>
    <w:p w14:paraId="2A8D3C5B"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Luego, en la sentencia </w:t>
      </w:r>
      <w:r>
        <w:rPr>
          <w:rFonts w:ascii="Bookman Old Style" w:eastAsia="Bookman Old Style" w:hAnsi="Bookman Old Style" w:cs="Bookman Old Style"/>
          <w:b/>
        </w:rPr>
        <w:t>T-322 de 2017</w:t>
      </w:r>
      <w:r>
        <w:rPr>
          <w:rFonts w:ascii="Bookman Old Style" w:eastAsia="Bookman Old Style" w:hAnsi="Bookman Old Style" w:cs="Bookman Old Style"/>
        </w:rPr>
        <w:t xml:space="preserve"> la Corte Constitucional reiteró la importancia de que el consentimiento de acceder a la muerte médicamente asistida fuera reiterado. Así, regló el deber de constatación de la voluntad, especialmente cuando hay circunstancias concomitantes a la enfermedad como abandono o sensaciones de soledad. </w:t>
      </w:r>
    </w:p>
    <w:p w14:paraId="07514933" w14:textId="77777777" w:rsidR="00335A1D" w:rsidRDefault="00335A1D" w:rsidP="00335A1D">
      <w:pPr>
        <w:ind w:right="49"/>
        <w:jc w:val="both"/>
        <w:rPr>
          <w:rFonts w:ascii="Bookman Old Style" w:eastAsia="Bookman Old Style" w:hAnsi="Bookman Old Style" w:cs="Bookman Old Style"/>
        </w:rPr>
      </w:pPr>
    </w:p>
    <w:p w14:paraId="5471F0B5"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Como resultado de otra revisión de un trámite de tutela, la Corte Constitucional profirió la sentencia </w:t>
      </w:r>
      <w:r>
        <w:rPr>
          <w:rFonts w:ascii="Bookman Old Style" w:eastAsia="Bookman Old Style" w:hAnsi="Bookman Old Style" w:cs="Bookman Old Style"/>
          <w:b/>
        </w:rPr>
        <w:t xml:space="preserve">T-423 de 2017. </w:t>
      </w:r>
      <w:r>
        <w:rPr>
          <w:rFonts w:ascii="Bookman Old Style" w:eastAsia="Bookman Old Style" w:hAnsi="Bookman Old Style" w:cs="Bookman Old Style"/>
        </w:rPr>
        <w:t xml:space="preserve">En esa decisión ordenó a entidades públicas y privadas adoptar medidas para evitar que las barreras de acceso propias del sistema de salud y de los actores involucrados en la prestación de los servicios de salud impidieran el goce efectivo del derecho a la muerte digna. </w:t>
      </w:r>
    </w:p>
    <w:p w14:paraId="322C3F06" w14:textId="77777777" w:rsidR="00335A1D" w:rsidRDefault="00335A1D" w:rsidP="00335A1D">
      <w:pPr>
        <w:ind w:right="49"/>
        <w:jc w:val="both"/>
        <w:rPr>
          <w:rFonts w:ascii="Bookman Old Style" w:eastAsia="Bookman Old Style" w:hAnsi="Bookman Old Style" w:cs="Bookman Old Style"/>
        </w:rPr>
      </w:pPr>
    </w:p>
    <w:p w14:paraId="667A98E7"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El Alto Tribunal reiteraría esa comprensión a través de la sentencia </w:t>
      </w:r>
      <w:r>
        <w:rPr>
          <w:rFonts w:ascii="Bookman Old Style" w:eastAsia="Bookman Old Style" w:hAnsi="Bookman Old Style" w:cs="Bookman Old Style"/>
          <w:b/>
        </w:rPr>
        <w:t>T-721 de 2017</w:t>
      </w:r>
      <w:r>
        <w:rPr>
          <w:rFonts w:ascii="Bookman Old Style" w:eastAsia="Bookman Old Style" w:hAnsi="Bookman Old Style" w:cs="Bookman Old Style"/>
        </w:rPr>
        <w:t xml:space="preserve"> con ocasión de la cual expresó que: </w:t>
      </w:r>
    </w:p>
    <w:p w14:paraId="0848B9F3" w14:textId="77777777" w:rsidR="00335A1D" w:rsidRDefault="00335A1D" w:rsidP="00335A1D">
      <w:pPr>
        <w:ind w:left="709" w:right="1325"/>
        <w:jc w:val="both"/>
        <w:rPr>
          <w:rFonts w:ascii="Bookman Old Style" w:eastAsia="Bookman Old Style" w:hAnsi="Bookman Old Style" w:cs="Bookman Old Style"/>
          <w:i/>
        </w:rPr>
      </w:pPr>
    </w:p>
    <w:p w14:paraId="6912658F"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fundamental a morir con dignidad tiene múltiples dimensiones y no es unidimensional, como hasta ahora se ha concebido, haciendo énfasis en la muerte anticipada o el procedimiento denominado “eutanasia”, pues se trata de un conjunto de facultades que permiten a una persona ejercer su autonomía y tener control sobre el proceso de su muerte e imponer a terceros límites respecto a las decisiones que se tomen en el marco del cuidado de la salud.”</w:t>
      </w:r>
    </w:p>
    <w:p w14:paraId="01CF0754" w14:textId="77777777" w:rsidR="00335A1D" w:rsidRDefault="00335A1D" w:rsidP="00335A1D">
      <w:pPr>
        <w:ind w:right="49"/>
        <w:jc w:val="both"/>
        <w:rPr>
          <w:rFonts w:ascii="Bookman Old Style" w:eastAsia="Bookman Old Style" w:hAnsi="Bookman Old Style" w:cs="Bookman Old Style"/>
        </w:rPr>
      </w:pPr>
    </w:p>
    <w:p w14:paraId="7E58D5F6"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esa misma providencia se precisó que cuando la persona se encuentra en estado vegetativo o en situación que imposibilita la expresión de su voluntad, es dable conceder la muerte médicamente asistida obrando para ello el consentimiento sustituto. Así, no es admisible exigir un documento que acredite en consentimiento previo. Agregó que en esos casos era exigible a las entidades de la salud que agotaran los mecanismos para determinar el cumplimiento del resto de condiciones por parte del paciente para acceder a la muerte médicamente asistida. </w:t>
      </w:r>
    </w:p>
    <w:p w14:paraId="31154445" w14:textId="77777777" w:rsidR="00335A1D" w:rsidRDefault="00335A1D" w:rsidP="00335A1D">
      <w:pPr>
        <w:ind w:right="49"/>
        <w:jc w:val="both"/>
        <w:rPr>
          <w:rFonts w:ascii="Bookman Old Style" w:eastAsia="Bookman Old Style" w:hAnsi="Bookman Old Style" w:cs="Bookman Old Style"/>
        </w:rPr>
      </w:pPr>
    </w:p>
    <w:p w14:paraId="17E8C5E3"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La Corte Constitucional continuó acotando el alcance y los titulares del derecho a la muerte digna en la sentencia </w:t>
      </w:r>
      <w:r>
        <w:rPr>
          <w:rFonts w:ascii="Bookman Old Style" w:eastAsia="Bookman Old Style" w:hAnsi="Bookman Old Style" w:cs="Bookman Old Style"/>
          <w:b/>
        </w:rPr>
        <w:t xml:space="preserve">T-544 de 2017. </w:t>
      </w:r>
      <w:r>
        <w:rPr>
          <w:rFonts w:ascii="Bookman Old Style" w:eastAsia="Bookman Old Style" w:hAnsi="Bookman Old Style" w:cs="Bookman Old Style"/>
        </w:rPr>
        <w:t xml:space="preserve">En dicha providencia reconoció que la eutanasia no debía estar proscrita para niños, niñas y adolescentes pues al ser un derecho fundamental no puede estar restringido por un criterio de edad. Además, reconoció que tal prerrogativa desarrolla el principio del interés superior del menor. </w:t>
      </w:r>
    </w:p>
    <w:p w14:paraId="57FC5F7E" w14:textId="77777777" w:rsidR="00335A1D" w:rsidRDefault="00335A1D" w:rsidP="00335A1D">
      <w:pPr>
        <w:ind w:right="49"/>
        <w:jc w:val="both"/>
        <w:rPr>
          <w:rFonts w:ascii="Bookman Old Style" w:eastAsia="Bookman Old Style" w:hAnsi="Bookman Old Style" w:cs="Bookman Old Style"/>
        </w:rPr>
      </w:pPr>
    </w:p>
    <w:p w14:paraId="07E8504D"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“considerar que solo son titulares del derecho </w:t>
      </w:r>
      <w:proofErr w:type="gramStart"/>
      <w:r>
        <w:rPr>
          <w:rFonts w:ascii="Bookman Old Style" w:eastAsia="Bookman Old Style" w:hAnsi="Bookman Old Style" w:cs="Bookman Old Style"/>
          <w:i/>
        </w:rPr>
        <w:t>los mayores de edad implicaría</w:t>
      </w:r>
      <w:proofErr w:type="gramEnd"/>
      <w:r>
        <w:rPr>
          <w:rFonts w:ascii="Bookman Old Style" w:eastAsia="Bookman Old Style" w:hAnsi="Bookman Old Style" w:cs="Bookman Old Style"/>
          <w:i/>
        </w:rPr>
        <w:t xml:space="preserve"> el desconocimiento de la jurisprudencia de esta Corporación en la que no se ha efectuado una distinción fundada en esa circunstancia, la violación del principio de interés superior de los niños, niñas y adolescentes previsto en el artículo 44 Superior, y llevaría a admitir tratos crueles e inhumanos de los menores de edad, y la afectación de su dignidad.</w:t>
      </w:r>
    </w:p>
    <w:p w14:paraId="765D402F" w14:textId="77777777" w:rsidR="00335A1D" w:rsidRDefault="00335A1D" w:rsidP="00335A1D">
      <w:pPr>
        <w:ind w:left="709" w:right="1325"/>
        <w:jc w:val="both"/>
        <w:rPr>
          <w:rFonts w:ascii="Bookman Old Style" w:eastAsia="Bookman Old Style" w:hAnsi="Bookman Old Style" w:cs="Bookman Old Style"/>
          <w:i/>
        </w:rPr>
      </w:pPr>
    </w:p>
    <w:p w14:paraId="72743D56"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70620C97" w14:textId="77777777" w:rsidR="00335A1D" w:rsidRDefault="00335A1D" w:rsidP="00335A1D">
      <w:pPr>
        <w:ind w:left="709" w:right="1325"/>
        <w:jc w:val="both"/>
        <w:rPr>
          <w:rFonts w:ascii="Bookman Old Style" w:eastAsia="Bookman Old Style" w:hAnsi="Bookman Old Style" w:cs="Bookman Old Style"/>
          <w:i/>
        </w:rPr>
      </w:pPr>
    </w:p>
    <w:p w14:paraId="7C8A02E6"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la dignidad humana como principio fundante del ordenamiento jurídico colombiano y por tanto del Estado, reconocida como principio constitucional general y derecho fundamental autónomo obliga a reconocer la titularidad del derecho a la muerte digna de los niños, niñas y adolescentes</w:t>
      </w:r>
    </w:p>
    <w:p w14:paraId="559E301C" w14:textId="77777777" w:rsidR="00335A1D" w:rsidRDefault="00335A1D" w:rsidP="00335A1D">
      <w:pPr>
        <w:ind w:left="709" w:right="1325"/>
        <w:jc w:val="both"/>
        <w:rPr>
          <w:rFonts w:ascii="Bookman Old Style" w:eastAsia="Bookman Old Style" w:hAnsi="Bookman Old Style" w:cs="Bookman Old Style"/>
          <w:i/>
        </w:rPr>
      </w:pPr>
    </w:p>
    <w:p w14:paraId="30A8741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w:t>
      </w:r>
    </w:p>
    <w:p w14:paraId="49799E78" w14:textId="77777777" w:rsidR="00335A1D" w:rsidRDefault="00335A1D" w:rsidP="00335A1D">
      <w:pPr>
        <w:ind w:left="709" w:right="1325"/>
        <w:jc w:val="both"/>
        <w:rPr>
          <w:rFonts w:ascii="Bookman Old Style" w:eastAsia="Bookman Old Style" w:hAnsi="Bookman Old Style" w:cs="Bookman Old Style"/>
          <w:i/>
        </w:rPr>
      </w:pPr>
    </w:p>
    <w:p w14:paraId="59C149D1"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la Sala reconoce que la materialización del derecho presenta algunas diferencias y particularidades en relación con los NNA, principalmente en los aspectos relacionados con el consentimiento y la manifestación de la voluntad, las cuales no pueden llevar a desconocer que son titulares del derecho. Por el contrario, esas particularidades deben ser reconocidas, consideradas y afrontadas en aras de lograr una oportuna regulación de esos aspectos específicos”</w:t>
      </w:r>
    </w:p>
    <w:p w14:paraId="6739CA2A" w14:textId="77777777" w:rsidR="00335A1D" w:rsidRDefault="00335A1D" w:rsidP="00335A1D">
      <w:pPr>
        <w:ind w:right="49"/>
        <w:jc w:val="both"/>
        <w:rPr>
          <w:rFonts w:ascii="Bookman Old Style" w:eastAsia="Bookman Old Style" w:hAnsi="Bookman Old Style" w:cs="Bookman Old Style"/>
        </w:rPr>
      </w:pPr>
    </w:p>
    <w:p w14:paraId="2F0D9509"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Así, incluyó un exhorto adicional al Ministerio de Salud y Protección Social para que reglamentara las condiciones para que los niños, niñas y adolescentes vieran protegido su derecho de acceso a la muerte digna. Como se ilustró en el acápite anterior, en cumplimiento de dicha resolutiva, el Ministerio expidió la Resolución 825 del 2018.</w:t>
      </w:r>
    </w:p>
    <w:p w14:paraId="371B43B3" w14:textId="77777777" w:rsidR="00335A1D" w:rsidRDefault="00335A1D" w:rsidP="00335A1D">
      <w:pPr>
        <w:ind w:right="49"/>
        <w:jc w:val="both"/>
        <w:rPr>
          <w:rFonts w:ascii="Bookman Old Style" w:eastAsia="Bookman Old Style" w:hAnsi="Bookman Old Style" w:cs="Bookman Old Style"/>
        </w:rPr>
      </w:pPr>
    </w:p>
    <w:p w14:paraId="2C01042B"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De manera más reciente, como por ejemplo mediante la sentencia </w:t>
      </w:r>
      <w:r>
        <w:rPr>
          <w:rFonts w:ascii="Bookman Old Style" w:eastAsia="Bookman Old Style" w:hAnsi="Bookman Old Style" w:cs="Bookman Old Style"/>
          <w:b/>
        </w:rPr>
        <w:t>T-060 de 2020</w:t>
      </w:r>
      <w:r>
        <w:rPr>
          <w:rFonts w:ascii="Bookman Old Style" w:eastAsia="Bookman Old Style" w:hAnsi="Bookman Old Style" w:cs="Bookman Old Style"/>
        </w:rPr>
        <w:t xml:space="preserve"> el Alto Tribunal ha seguido insistiendo en la necesidad de que el Congreso expida una regulación legal de la materia. Lo anterior, al notar que el vacío normativo </w:t>
      </w:r>
      <w:r>
        <w:rPr>
          <w:rFonts w:ascii="Bookman Old Style" w:eastAsia="Bookman Old Style" w:hAnsi="Bookman Old Style" w:cs="Bookman Old Style"/>
        </w:rPr>
        <w:lastRenderedPageBreak/>
        <w:t xml:space="preserve">respecto del ejercicio del derecho a la muerte digna ponía en riesgo el ejercicio de ese derecho. Específicamente identificó ese riesgo en el caso de los pacientes que no están en capacidad de manifestar su voluntad y que no han dejado un documento de voluntad anticipada. </w:t>
      </w:r>
    </w:p>
    <w:p w14:paraId="3E09ACCE" w14:textId="77777777" w:rsidR="00335A1D" w:rsidRDefault="00335A1D" w:rsidP="00335A1D">
      <w:pPr>
        <w:ind w:right="49"/>
        <w:jc w:val="both"/>
        <w:rPr>
          <w:rFonts w:ascii="Bookman Old Style" w:eastAsia="Bookman Old Style" w:hAnsi="Bookman Old Style" w:cs="Bookman Old Style"/>
        </w:rPr>
      </w:pPr>
    </w:p>
    <w:p w14:paraId="143723BF"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 su vez, en esa decisión reiteró los precitados requisitos para acceder a la eutanasia entre los que hasta el momento se encontraba padecer una enfermedad terminal.  Al respecto, reiteró que es constitucionalmente admisible que para acceder a la muerte digna se haga uso de un consentimiento sustituto. Ello, en los casos en que el paciente que sufra una enfermedad terminal no pueda manifestar su consentimiento. Sin embargo, dispuso que en esos casos de debe valorar de manera más estricta el cumplimiento de los otros requisitos para acceder al procedimiento.</w:t>
      </w:r>
    </w:p>
    <w:p w14:paraId="2262FFC0" w14:textId="77777777" w:rsidR="00335A1D" w:rsidRDefault="00335A1D" w:rsidP="00335A1D">
      <w:pPr>
        <w:ind w:right="49"/>
        <w:jc w:val="both"/>
        <w:rPr>
          <w:rFonts w:ascii="Bookman Old Style" w:eastAsia="Bookman Old Style" w:hAnsi="Bookman Old Style" w:cs="Bookman Old Style"/>
        </w:rPr>
      </w:pPr>
    </w:p>
    <w:p w14:paraId="4AFA266A" w14:textId="77777777" w:rsidR="00335A1D" w:rsidRDefault="00335A1D" w:rsidP="00335A1D">
      <w:pPr>
        <w:ind w:right="49"/>
        <w:jc w:val="both"/>
        <w:rPr>
          <w:rFonts w:ascii="Bookman Old Style" w:eastAsia="Bookman Old Style" w:hAnsi="Bookman Old Style" w:cs="Bookman Old Style"/>
          <w:b/>
        </w:rPr>
      </w:pPr>
      <w:r>
        <w:rPr>
          <w:rFonts w:ascii="Bookman Old Style" w:eastAsia="Bookman Old Style" w:hAnsi="Bookman Old Style" w:cs="Bookman Old Style"/>
        </w:rPr>
        <w:t xml:space="preserve">El precedente más reciente por medio del cual la Corte Constitucional ha fijado el alcance del derecho a la muerte digna y las condiciones para ejercer ese derecho fue la sentencia </w:t>
      </w:r>
      <w:r>
        <w:rPr>
          <w:rFonts w:ascii="Bookman Old Style" w:eastAsia="Bookman Old Style" w:hAnsi="Bookman Old Style" w:cs="Bookman Old Style"/>
          <w:b/>
        </w:rPr>
        <w:t xml:space="preserve">C-233 de 2021. </w:t>
      </w:r>
    </w:p>
    <w:p w14:paraId="79A09D27" w14:textId="77777777" w:rsidR="00335A1D" w:rsidRDefault="00335A1D" w:rsidP="00335A1D">
      <w:pPr>
        <w:ind w:right="49"/>
        <w:jc w:val="both"/>
        <w:rPr>
          <w:rFonts w:ascii="Bookman Old Style" w:eastAsia="Bookman Old Style" w:hAnsi="Bookman Old Style" w:cs="Bookman Old Style"/>
          <w:b/>
        </w:rPr>
      </w:pPr>
    </w:p>
    <w:p w14:paraId="21B9C98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La novedad más relevante fue que por intermedio de esta providencia, el Alto Tribunal amplió las causales para acceder a la muerte médicamente asistida como medio para ejercer el derecho a la muerte digna.</w:t>
      </w:r>
    </w:p>
    <w:p w14:paraId="6F75B462" w14:textId="77777777" w:rsidR="00335A1D" w:rsidRDefault="00335A1D" w:rsidP="00335A1D">
      <w:pPr>
        <w:ind w:right="49"/>
        <w:jc w:val="both"/>
        <w:rPr>
          <w:rFonts w:ascii="Bookman Old Style" w:eastAsia="Bookman Old Style" w:hAnsi="Bookman Old Style" w:cs="Bookman Old Style"/>
        </w:rPr>
      </w:pPr>
    </w:p>
    <w:p w14:paraId="1195FA1B"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Así, dispuso que en adelante no sería constitucionalmente admisible exigir que el paciente tenga una enfermedad terminal como condición para concederle la muerte médicamente asistida. En cambio, regló que la condición que debe acreditarse es el padecimiento de un intenso sufrimiento físico o psíquico resultante de una lesión corporal o enfermedad grave e incurable. </w:t>
      </w:r>
    </w:p>
    <w:p w14:paraId="41A8A3DE" w14:textId="77777777" w:rsidR="00335A1D" w:rsidRDefault="00335A1D" w:rsidP="00335A1D">
      <w:pPr>
        <w:ind w:right="49"/>
        <w:jc w:val="both"/>
        <w:rPr>
          <w:rFonts w:ascii="Bookman Old Style" w:eastAsia="Bookman Old Style" w:hAnsi="Bookman Old Style" w:cs="Bookman Old Style"/>
          <w:i/>
        </w:rPr>
      </w:pPr>
    </w:p>
    <w:p w14:paraId="7DA34F1D"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condición de enfermedad terminal efectivamente puede llevar al desconocimiento de la prohibición de someter a una persona a tratos crueles, inhumanos o degradantes, puesto que: (i) imponer a una persona soportar el sufrimiento derivado de enfermedad o lesión grave e incurable implica someterla a tratos y penas inhumanas, crueles y degradantes; (</w:t>
      </w:r>
      <w:proofErr w:type="spellStart"/>
      <w:r>
        <w:rPr>
          <w:rFonts w:ascii="Bookman Old Style" w:eastAsia="Bookman Old Style" w:hAnsi="Bookman Old Style" w:cs="Bookman Old Style"/>
          <w:i/>
        </w:rPr>
        <w:t>ii</w:t>
      </w:r>
      <w:proofErr w:type="spellEnd"/>
      <w:r>
        <w:rPr>
          <w:rFonts w:ascii="Bookman Old Style" w:eastAsia="Bookman Old Style" w:hAnsi="Bookman Old Style" w:cs="Bookman Old Style"/>
          <w:i/>
        </w:rPr>
        <w:t>) no resulta justificable que una persona pueda elegir terminar su vida en esas condiciones cuando recibe el diagnóstico de enfermedad terminal, pero no cuando no lo tiene, pues en el primer caso, razonablemente, su sufrimiento se extenderá por un tiempo más corto que en el segundo; (</w:t>
      </w:r>
      <w:proofErr w:type="spellStart"/>
      <w:r>
        <w:rPr>
          <w:rFonts w:ascii="Bookman Old Style" w:eastAsia="Bookman Old Style" w:hAnsi="Bookman Old Style" w:cs="Bookman Old Style"/>
          <w:i/>
        </w:rPr>
        <w:t>iii</w:t>
      </w:r>
      <w:proofErr w:type="spellEnd"/>
      <w:r>
        <w:rPr>
          <w:rFonts w:ascii="Bookman Old Style" w:eastAsia="Bookman Old Style" w:hAnsi="Bookman Old Style" w:cs="Bookman Old Style"/>
          <w:i/>
        </w:rPr>
        <w:t>) estos padecimientos intensos no suponen en realidad un beneficio para el bien jurídico de la vida, dadas las condiciones ya exigidas por el tipo penal (enfermedad grave e incurable que provoca intensos sufrimientos); (</w:t>
      </w:r>
      <w:proofErr w:type="spellStart"/>
      <w:r>
        <w:rPr>
          <w:rFonts w:ascii="Bookman Old Style" w:eastAsia="Bookman Old Style" w:hAnsi="Bookman Old Style" w:cs="Bookman Old Style"/>
          <w:i/>
        </w:rPr>
        <w:t>iv</w:t>
      </w:r>
      <w:proofErr w:type="spellEnd"/>
      <w:r>
        <w:rPr>
          <w:rFonts w:ascii="Bookman Old Style" w:eastAsia="Bookman Old Style" w:hAnsi="Bookman Old Style" w:cs="Bookman Old Style"/>
          <w:i/>
        </w:rPr>
        <w:t xml:space="preserve">) en torno al sufrimiento y el dolor una vertiente considera que es posible identificar el dolor a partir </w:t>
      </w:r>
      <w:r>
        <w:rPr>
          <w:rFonts w:ascii="Bookman Old Style" w:eastAsia="Bookman Old Style" w:hAnsi="Bookman Old Style" w:cs="Bookman Old Style"/>
          <w:i/>
        </w:rPr>
        <w:lastRenderedPageBreak/>
        <w:t>de criterios objetivos, y otra lo describe como una experiencia esencialmente subjetiva; (v) la Sala respeta ambas corrientes, pero en el ámbito del ejercicio del derecho fundamental a morir dignamente, existe una subregla que privilegia la dimensión subjetiva.</w:t>
      </w:r>
    </w:p>
    <w:p w14:paraId="7D1F1912" w14:textId="77777777" w:rsidR="00335A1D" w:rsidRDefault="00335A1D" w:rsidP="00335A1D">
      <w:pPr>
        <w:ind w:left="709" w:right="1183"/>
        <w:jc w:val="both"/>
        <w:rPr>
          <w:rFonts w:ascii="Bookman Old Style" w:eastAsia="Bookman Old Style" w:hAnsi="Bookman Old Style" w:cs="Bookman Old Style"/>
          <w:i/>
        </w:rPr>
      </w:pPr>
    </w:p>
    <w:p w14:paraId="2D11CC63"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1EDACDC1" w14:textId="77777777" w:rsidR="00335A1D" w:rsidRDefault="00335A1D" w:rsidP="00335A1D">
      <w:pPr>
        <w:ind w:left="709" w:right="1183"/>
        <w:jc w:val="both"/>
        <w:rPr>
          <w:rFonts w:ascii="Bookman Old Style" w:eastAsia="Bookman Old Style" w:hAnsi="Bookman Old Style" w:cs="Bookman Old Style"/>
          <w:i/>
        </w:rPr>
      </w:pPr>
    </w:p>
    <w:p w14:paraId="4B142C25"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condición de enfermedad en fase terminal supone una restricción cierta y profunda a la autonomía, que no privilegia con igual intensidad el valor de la vida, pues, como se ha explicado, ya se exigen otras circunstancias de salud en el artículo 106 del Código Penal, que pueden considerarse extremas, y que constituyen fuente de sufrimiento intenso.</w:t>
      </w:r>
    </w:p>
    <w:p w14:paraId="5FEE68C6" w14:textId="77777777" w:rsidR="00335A1D" w:rsidRDefault="00335A1D" w:rsidP="00335A1D">
      <w:pPr>
        <w:ind w:left="709" w:right="1183"/>
        <w:jc w:val="both"/>
        <w:rPr>
          <w:rFonts w:ascii="Bookman Old Style" w:eastAsia="Bookman Old Style" w:hAnsi="Bookman Old Style" w:cs="Bookman Old Style"/>
          <w:i/>
        </w:rPr>
      </w:pPr>
    </w:p>
    <w:p w14:paraId="58364BE5"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360A7379" w14:textId="77777777" w:rsidR="00335A1D" w:rsidRDefault="00335A1D" w:rsidP="00335A1D">
      <w:pPr>
        <w:ind w:left="709" w:right="1183"/>
        <w:jc w:val="both"/>
        <w:rPr>
          <w:rFonts w:ascii="Bookman Old Style" w:eastAsia="Bookman Old Style" w:hAnsi="Bookman Old Style" w:cs="Bookman Old Style"/>
          <w:i/>
        </w:rPr>
      </w:pPr>
    </w:p>
    <w:p w14:paraId="49FCB648"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Sala observa que la condición de enfermedad en fase terminal se convierte en una barrera de acceso a servicios para la muerte digna, irrazonable y desproporcionada, que ocasiona un déficit de protección a personas que son sujetos de especial protección por las condiciones de salud extrema que padecen.</w:t>
      </w:r>
    </w:p>
    <w:p w14:paraId="7EE9D360" w14:textId="77777777" w:rsidR="00335A1D" w:rsidRDefault="00335A1D" w:rsidP="00335A1D">
      <w:pPr>
        <w:ind w:left="709" w:right="1183"/>
        <w:jc w:val="both"/>
        <w:rPr>
          <w:rFonts w:ascii="Bookman Old Style" w:eastAsia="Bookman Old Style" w:hAnsi="Bookman Old Style" w:cs="Bookman Old Style"/>
          <w:i/>
        </w:rPr>
      </w:pPr>
    </w:p>
    <w:p w14:paraId="6B5F074D"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w:t>
      </w:r>
    </w:p>
    <w:p w14:paraId="37A817E0" w14:textId="77777777" w:rsidR="00335A1D" w:rsidRDefault="00335A1D" w:rsidP="00335A1D">
      <w:pPr>
        <w:ind w:left="709" w:right="1183"/>
        <w:jc w:val="both"/>
        <w:rPr>
          <w:rFonts w:ascii="Bookman Old Style" w:eastAsia="Bookman Old Style" w:hAnsi="Bookman Old Style" w:cs="Bookman Old Style"/>
          <w:i/>
        </w:rPr>
      </w:pPr>
    </w:p>
    <w:p w14:paraId="46A8AC70" w14:textId="77777777" w:rsidR="00335A1D" w:rsidRDefault="00335A1D" w:rsidP="00335A1D">
      <w:pPr>
        <w:ind w:left="709" w:right="1183"/>
        <w:jc w:val="both"/>
        <w:rPr>
          <w:rFonts w:ascii="Bookman Old Style" w:eastAsia="Bookman Old Style" w:hAnsi="Bookman Old Style" w:cs="Bookman Old Style"/>
          <w:i/>
        </w:rPr>
      </w:pPr>
      <w:r>
        <w:rPr>
          <w:rFonts w:ascii="Bookman Old Style" w:eastAsia="Bookman Old Style" w:hAnsi="Bookman Old Style" w:cs="Bookman Old Style"/>
          <w:i/>
        </w:rPr>
        <w:t>la exigencia de que la persona, además de padecer una enfermedad grave e incurable, tenga un pronóstico de muerte próxima, resulta desproporcionada, pues impide a las personas afectadas por las enfermedades citadas ejercer su auto determinación y elegir el modo de finalizar su vida, y genera un efecto disuasorio sobre los profesionales de la salud para un ejercicio ético y altruista de su profesión.”</w:t>
      </w:r>
    </w:p>
    <w:p w14:paraId="4FEC2A24" w14:textId="77777777" w:rsidR="00335A1D" w:rsidRDefault="00335A1D" w:rsidP="00335A1D">
      <w:pPr>
        <w:ind w:right="49"/>
        <w:jc w:val="both"/>
        <w:rPr>
          <w:rFonts w:ascii="Bookman Old Style" w:eastAsia="Bookman Old Style" w:hAnsi="Bookman Old Style" w:cs="Bookman Old Style"/>
        </w:rPr>
      </w:pPr>
    </w:p>
    <w:p w14:paraId="32197EA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Al respecto agregó, que el fundamento de ese cambio responde a que los intensos sufrimientos por causa física o moral vinculada con una condición de salud comprometen la vida digna y por ende deben obrar como causa para proteger el derecho a la muerte digna y por esa vía a la dignidad humana, la autonomía y el libre desarrollo de la personalidad: </w:t>
      </w:r>
    </w:p>
    <w:p w14:paraId="171D4CED" w14:textId="77777777" w:rsidR="00335A1D" w:rsidRDefault="00335A1D" w:rsidP="00335A1D">
      <w:pPr>
        <w:ind w:right="49"/>
        <w:jc w:val="both"/>
        <w:rPr>
          <w:rFonts w:ascii="Bookman Old Style" w:eastAsia="Bookman Old Style" w:hAnsi="Bookman Old Style" w:cs="Bookman Old Style"/>
          <w:i/>
        </w:rPr>
      </w:pPr>
    </w:p>
    <w:p w14:paraId="5A1CDBAA"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“la Constitución Política no privilegia ningún modelo de vida y, en cambio, sí asume un serio compromiso con la autonomía y el libre desarrollo de la personalidad que implica contar con la opción autónoma de elegir un modo de muerte digna. En ese sentido, la </w:t>
      </w:r>
      <w:r>
        <w:rPr>
          <w:rFonts w:ascii="Bookman Old Style" w:eastAsia="Bookman Old Style" w:hAnsi="Bookman Old Style" w:cs="Bookman Old Style"/>
          <w:i/>
        </w:rPr>
        <w:lastRenderedPageBreak/>
        <w:t>dignidad humana protege al sujeto que se encuentra en circunstancias de salud que le producen intensos sufrimientos de la degradación física o moral, o de una exposición prolongada e indefinida a una condición de salud que considera cruel, dada la intensidad del dolor y el sufrimiento.”</w:t>
      </w:r>
    </w:p>
    <w:p w14:paraId="2023F21C" w14:textId="77777777" w:rsidR="00335A1D" w:rsidRDefault="00335A1D" w:rsidP="00335A1D">
      <w:pPr>
        <w:ind w:right="49"/>
        <w:jc w:val="both"/>
        <w:rPr>
          <w:rFonts w:ascii="Bookman Old Style" w:eastAsia="Bookman Old Style" w:hAnsi="Bookman Old Style" w:cs="Bookman Old Style"/>
          <w:i/>
        </w:rPr>
      </w:pPr>
    </w:p>
    <w:p w14:paraId="1E0BDE7C"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De manera complementaria, reconoció al derecho fundamental a la muerte digna como conexo con el derecho fundamental a la salud. Al respecto sostuvo que: </w:t>
      </w:r>
    </w:p>
    <w:p w14:paraId="48630B5F" w14:textId="77777777" w:rsidR="00335A1D" w:rsidRDefault="00335A1D" w:rsidP="00335A1D">
      <w:pPr>
        <w:ind w:right="49"/>
        <w:jc w:val="both"/>
        <w:rPr>
          <w:rFonts w:ascii="Bookman Old Style" w:eastAsia="Bookman Old Style" w:hAnsi="Bookman Old Style" w:cs="Bookman Old Style"/>
        </w:rPr>
      </w:pPr>
    </w:p>
    <w:p w14:paraId="1AB80A90"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a morir dignamente es un puente humanitario entre la vida y la muerte construido mediante servicios o prestación de salud, o, de ser el caso, mediante su omisión (en sus dimensiones de cuidados paliativos, adecuación del esfuerzo terapéutico o prestaciones específicas para morir). Mientras no exista la regulación de los elementos estructurales del derecho por vía estatutaria el puente se sostendrá en los fundamentos mínimos que puede establecer este Tribunal, los cuales tienen la fuerza normativa de la Constitución, pero serán siempre exiguos, pues se definen sin contar con la información suficiente, el concurso de expertos, el tiempo necesario para una deliberación profunda y la legitimidad democrática del Congreso de la República.”</w:t>
      </w:r>
    </w:p>
    <w:p w14:paraId="217A01FE" w14:textId="77777777" w:rsidR="00335A1D" w:rsidRDefault="00335A1D" w:rsidP="00335A1D">
      <w:pPr>
        <w:ind w:right="49"/>
        <w:jc w:val="both"/>
        <w:rPr>
          <w:rFonts w:ascii="Bookman Old Style" w:eastAsia="Bookman Old Style" w:hAnsi="Bookman Old Style" w:cs="Bookman Old Style"/>
          <w:i/>
        </w:rPr>
      </w:pPr>
    </w:p>
    <w:p w14:paraId="60AB3248"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Añadió que la comprensión del derecho a la salud debe irradiar y se erige como estándar para la regulación estatutaria que ahora se propone. Al respecto manifestó que:</w:t>
      </w:r>
    </w:p>
    <w:p w14:paraId="22B4D929" w14:textId="77777777" w:rsidR="00335A1D" w:rsidRDefault="00335A1D" w:rsidP="00335A1D">
      <w:pPr>
        <w:ind w:right="1325"/>
        <w:jc w:val="both"/>
        <w:rPr>
          <w:rFonts w:ascii="Bookman Old Style" w:eastAsia="Bookman Old Style" w:hAnsi="Bookman Old Style" w:cs="Bookman Old Style"/>
        </w:rPr>
      </w:pPr>
    </w:p>
    <w:p w14:paraId="0EFBCE0B"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“aunque la Corte mantiene su posición inicial sobre la necesidad de la intervención legislativa, admite que debe existir una articulación entre el juez constitucional y la administración para que los servicios se hagan efectivos, aún sin ausencia de esta regulación. La adecuación de esa regulación deberá asumirse a la luz de las cuatro dimensiones del derecho a la salud.”</w:t>
      </w:r>
    </w:p>
    <w:p w14:paraId="6D1C2ECC" w14:textId="77777777" w:rsidR="00335A1D" w:rsidRDefault="00335A1D" w:rsidP="00335A1D">
      <w:pPr>
        <w:ind w:right="1325"/>
        <w:jc w:val="both"/>
        <w:rPr>
          <w:rFonts w:ascii="Bookman Old Style" w:eastAsia="Bookman Old Style" w:hAnsi="Bookman Old Style" w:cs="Bookman Old Style"/>
          <w:i/>
        </w:rPr>
      </w:pPr>
    </w:p>
    <w:p w14:paraId="6D3C27CA" w14:textId="77777777" w:rsidR="00335A1D" w:rsidRDefault="00335A1D" w:rsidP="00335A1D">
      <w:pPr>
        <w:ind w:right="1325"/>
        <w:jc w:val="both"/>
        <w:rPr>
          <w:rFonts w:ascii="Bookman Old Style" w:eastAsia="Bookman Old Style" w:hAnsi="Bookman Old Style" w:cs="Bookman Old Style"/>
        </w:rPr>
      </w:pPr>
      <w:r>
        <w:rPr>
          <w:rFonts w:ascii="Bookman Old Style" w:eastAsia="Bookman Old Style" w:hAnsi="Bookman Old Style" w:cs="Bookman Old Style"/>
        </w:rPr>
        <w:t xml:space="preserve">Las cuatro dimensiones a las que se hace referencia son: </w:t>
      </w:r>
    </w:p>
    <w:p w14:paraId="37CF6EF0" w14:textId="77777777" w:rsidR="00335A1D" w:rsidRDefault="00335A1D" w:rsidP="00335A1D">
      <w:pPr>
        <w:ind w:left="709" w:right="1325"/>
        <w:jc w:val="both"/>
        <w:rPr>
          <w:rFonts w:ascii="Bookman Old Style" w:eastAsia="Bookman Old Style" w:hAnsi="Bookman Old Style" w:cs="Bookman Old Style"/>
          <w:i/>
        </w:rPr>
      </w:pPr>
    </w:p>
    <w:p w14:paraId="2BDFBF16"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“En armonía con el Derecho Internacional de los Derechos Humanos la Corporación ha considerado relevante para la comprensión del derecho su división esquemática en cuatro facetas: la disponibilidad que se refiere a la existencia de suficientes bienes, servicios, profesionales y centros de atención a la salud; la accesibilidad, que tiene una dimensión física, es decir, que los servicios estén en términos geográficos al alcance de toda la población y, en especial de la población vulnerable, </w:t>
      </w:r>
      <w:r>
        <w:rPr>
          <w:rFonts w:ascii="Bookman Old Style" w:eastAsia="Bookman Old Style" w:hAnsi="Bookman Old Style" w:cs="Bookman Old Style"/>
          <w:i/>
        </w:rPr>
        <w:lastRenderedPageBreak/>
        <w:t>una dimensión económica que se refiere a la asequibilidad del servicio, e incorpora el mandato de no discriminación; la aceptabilidad, que involucra estándares éticos, apropiación cultural de los servicios e inclusión de enfoques diferenciales, como el de género, el etario o el étnico; y la calidad, es decir, que los servicios sean apropiados desde el punto de vista científico y médico.”</w:t>
      </w:r>
    </w:p>
    <w:p w14:paraId="41B276EC" w14:textId="77777777" w:rsidR="00335A1D" w:rsidRDefault="00335A1D" w:rsidP="00335A1D">
      <w:pPr>
        <w:ind w:right="49"/>
        <w:jc w:val="both"/>
        <w:rPr>
          <w:rFonts w:ascii="Bookman Old Style" w:eastAsia="Bookman Old Style" w:hAnsi="Bookman Old Style" w:cs="Bookman Old Style"/>
        </w:rPr>
      </w:pPr>
    </w:p>
    <w:p w14:paraId="768923F5"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Finalmente, reiteró que el derecho a morir dignamente no se reduce a la muerte medicamente asistida (eutanasia) sino que comprende también los cuidados paliativos y la adecuación o suspensión del esfuerzo terapéutico.</w:t>
      </w:r>
    </w:p>
    <w:p w14:paraId="0635613F" w14:textId="77777777" w:rsidR="00335A1D" w:rsidRDefault="00335A1D" w:rsidP="00335A1D">
      <w:pPr>
        <w:ind w:right="49"/>
        <w:jc w:val="both"/>
        <w:rPr>
          <w:rFonts w:ascii="Bookman Old Style" w:eastAsia="Bookman Old Style" w:hAnsi="Bookman Old Style" w:cs="Bookman Old Style"/>
        </w:rPr>
      </w:pPr>
    </w:p>
    <w:p w14:paraId="48E06F73"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Así, precisó que las tres modalidades o facetas del derecho no son incompatibles entre sí ni tampoco puede el Estado imponer mediante el derecho positivo la obligación de recurrir o preferir una de las facetas por sobre las otras. </w:t>
      </w:r>
    </w:p>
    <w:p w14:paraId="65206624" w14:textId="77777777" w:rsidR="00335A1D" w:rsidRDefault="00335A1D" w:rsidP="00335A1D">
      <w:pPr>
        <w:ind w:right="49"/>
        <w:jc w:val="both"/>
        <w:rPr>
          <w:rFonts w:ascii="Bookman Old Style" w:eastAsia="Bookman Old Style" w:hAnsi="Bookman Old Style" w:cs="Bookman Old Style"/>
        </w:rPr>
      </w:pPr>
    </w:p>
    <w:p w14:paraId="26FB6B57"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“el derecho fundamental a morir dignamente tiene tres dimensiones, los cuidados paliativos, la adecuación o suspensión del esfuerzo terapéutico y las prestaciones específicas para la muerte digna o eutanásicas. Es un deber del estado avanzar progresivamente en cada una de estas facetas, como ocurre con todo derecho fundamental y, en especial, con sus facetas prestacionales. Por esa razón no existe incompatibilidad entre las tres facetas, sino que todas deben contribuir a aumentar la dignidad y la capacidad de auto determinarse de todas las personas en el umbral de la muerte. Por esa razón, no puede imponerse a la persona agotar una faceta antes que otra, ni tampoco aceptar un tratamiento que considera desproporcionado, sino que corresponde al paciente determinar cuál es el cauce que mejor se adecúa a su condición de salud, a sus intereses vitales, y a su concepto de vida digna.”</w:t>
      </w:r>
    </w:p>
    <w:p w14:paraId="1651B08A" w14:textId="77777777" w:rsidR="00335A1D" w:rsidRDefault="00335A1D" w:rsidP="00335A1D">
      <w:pPr>
        <w:ind w:right="49"/>
        <w:jc w:val="both"/>
        <w:rPr>
          <w:rFonts w:ascii="Bookman Old Style" w:eastAsia="Bookman Old Style" w:hAnsi="Bookman Old Style" w:cs="Bookman Old Style"/>
        </w:rPr>
      </w:pPr>
    </w:p>
    <w:p w14:paraId="5103DE23" w14:textId="2CA27F49" w:rsidR="00335A1D" w:rsidRDefault="00335A1D" w:rsidP="00A405EE">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Reconociendo que es deber del Estado avanzar en el reconocimiento y garantía de acceso a esas tres dimensiones del derecho fundamental, el alto tribunal reiteró el exhorto al Congreso de la República para que este legisle en la materia.  </w:t>
      </w:r>
    </w:p>
    <w:p w14:paraId="70F9CBF0" w14:textId="77777777" w:rsidR="0006605A" w:rsidRDefault="0006605A" w:rsidP="00A405EE">
      <w:pPr>
        <w:ind w:right="49"/>
        <w:jc w:val="both"/>
        <w:rPr>
          <w:rFonts w:ascii="Bookman Old Style" w:eastAsia="Bookman Old Style" w:hAnsi="Bookman Old Style" w:cs="Bookman Old Style"/>
        </w:rPr>
      </w:pPr>
    </w:p>
    <w:p w14:paraId="1C6DB471" w14:textId="005F03F8" w:rsidR="00335A1D" w:rsidRDefault="00335A1D"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5827E43C" w14:textId="0D6BB2E9"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77BB3FBA" w14:textId="6588AD6B"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4771BC9C" w14:textId="715D853C"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2BCD4376" w14:textId="7CA1D8A9"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6801C095" w14:textId="2645F144"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64458F13" w14:textId="77777777" w:rsidR="0006605A" w:rsidRDefault="0006605A" w:rsidP="00335A1D">
      <w:pPr>
        <w:pBdr>
          <w:top w:val="nil"/>
          <w:left w:val="nil"/>
          <w:bottom w:val="nil"/>
          <w:right w:val="nil"/>
          <w:between w:val="nil"/>
        </w:pBdr>
        <w:ind w:left="1440"/>
        <w:jc w:val="both"/>
        <w:rPr>
          <w:rFonts w:ascii="Bookman Old Style" w:eastAsia="Bookman Old Style" w:hAnsi="Bookman Old Style" w:cs="Bookman Old Style"/>
          <w:color w:val="000000"/>
        </w:rPr>
      </w:pPr>
    </w:p>
    <w:p w14:paraId="37B010B8" w14:textId="3A11ADC6" w:rsidR="00335A1D" w:rsidRDefault="00335A1D" w:rsidP="00335A1D">
      <w:pPr>
        <w:numPr>
          <w:ilvl w:val="0"/>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 xml:space="preserve">JUSTIFICACIÓN DEL PROYECTO </w:t>
      </w:r>
    </w:p>
    <w:p w14:paraId="53445ADF" w14:textId="77777777" w:rsidR="0006605A" w:rsidRDefault="0006605A" w:rsidP="0006605A">
      <w:pPr>
        <w:pBdr>
          <w:top w:val="nil"/>
          <w:left w:val="nil"/>
          <w:bottom w:val="nil"/>
          <w:right w:val="nil"/>
          <w:between w:val="nil"/>
        </w:pBdr>
        <w:spacing w:after="240"/>
        <w:ind w:left="480"/>
        <w:jc w:val="both"/>
        <w:rPr>
          <w:rFonts w:ascii="Bookman Old Style" w:eastAsia="Bookman Old Style" w:hAnsi="Bookman Old Style" w:cs="Bookman Old Style"/>
          <w:b/>
          <w:color w:val="000000"/>
        </w:rPr>
      </w:pPr>
    </w:p>
    <w:p w14:paraId="787E2920"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El derecho a morir dignamente es un derecho fundamental, estrechamente relacionado con la dignidad humana, con la autonomía individual, con la intimidad, con la salud y con el libre desarrollo de la personalidad. Pese a ello, es un derecho autónomo e independiente que le permite a la persona tener control y tomar todas las decisiones, libres e informadas, sobre el proceso de su muerte. Este derecho comprende tres dimensiones o modalidades relacionadas con el final de la vida, a saber:  los cuidados paliativos; la adecuación o abandono del esfuerzo terapéutico; y la muerte médicamente asistida, también conocida como eutanasia.</w:t>
      </w:r>
    </w:p>
    <w:p w14:paraId="1AFC9901" w14:textId="77777777" w:rsidR="00335A1D" w:rsidRDefault="00335A1D" w:rsidP="00335A1D">
      <w:pPr>
        <w:jc w:val="both"/>
        <w:rPr>
          <w:rFonts w:ascii="Bookman Old Style" w:eastAsia="Bookman Old Style" w:hAnsi="Bookman Old Style" w:cs="Bookman Old Style"/>
        </w:rPr>
      </w:pPr>
    </w:p>
    <w:p w14:paraId="67866FE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Desde 1993 por vía jurisprudencial se inició la construcción normativa de ese derecho. Entre 1997 y el 2021 la Corte Constitucional reconoció la muerte digna como derecho fundamental y fijó las subreglas jurisprudenciales que delimitan su núcleo esencial, su alcance y las condiciones mínimas que han de ser observadas para su garantía y goce efectivo. </w:t>
      </w:r>
    </w:p>
    <w:p w14:paraId="2B7F3DF8" w14:textId="77777777" w:rsidR="00335A1D" w:rsidRDefault="00335A1D" w:rsidP="00335A1D">
      <w:pPr>
        <w:jc w:val="both"/>
        <w:rPr>
          <w:rFonts w:ascii="Bookman Old Style" w:eastAsia="Bookman Old Style" w:hAnsi="Bookman Old Style" w:cs="Bookman Old Style"/>
        </w:rPr>
      </w:pPr>
    </w:p>
    <w:p w14:paraId="4B791927"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Pese a que durante los últimos 25 años se han sucedido 9 sentencias del Alto Tribunal el Congreso de la República no ha regulado la materia. Ello ha dado lugar a un considerable vacío normativo que ha sido llenado parcialmente por parte del Ministerio de Salud y Protección Social por vía reglamentaria mediante tres resoluciones que actualmente se encuentran vigentes. </w:t>
      </w:r>
    </w:p>
    <w:p w14:paraId="7FC6C0A2" w14:textId="77777777" w:rsidR="00335A1D" w:rsidRDefault="00335A1D" w:rsidP="00335A1D">
      <w:pPr>
        <w:jc w:val="both"/>
        <w:rPr>
          <w:rFonts w:ascii="Bookman Old Style" w:eastAsia="Bookman Old Style" w:hAnsi="Bookman Old Style" w:cs="Bookman Old Style"/>
        </w:rPr>
      </w:pPr>
    </w:p>
    <w:p w14:paraId="06D91465"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Sin embargo, las referidas normas han sido producto de ordenes de la Corte Constitucional en virtud de desarrollos casuísticos y desagregados. Por ende, las Resoluciones y las materias que abarcan responden a la conciencia paulatina del Estado sobre barreras que afectan a la población en su esfuerzo por acceder y gozar plenamente del derecho a la muerte digna. Así las cosas, pese a constituir desarrollos relevantes en los esfuerzos estatales por solucionar la problemática resultan insuficientes. </w:t>
      </w:r>
    </w:p>
    <w:p w14:paraId="50F01ED0" w14:textId="77777777" w:rsidR="00335A1D" w:rsidRDefault="00335A1D" w:rsidP="00335A1D">
      <w:pPr>
        <w:jc w:val="both"/>
        <w:rPr>
          <w:rFonts w:ascii="Bookman Old Style" w:eastAsia="Bookman Old Style" w:hAnsi="Bookman Old Style" w:cs="Bookman Old Style"/>
        </w:rPr>
      </w:pPr>
    </w:p>
    <w:p w14:paraId="26DAED47"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La inacción del Legislativo por regular la materia en un rango estatutario ha dado lugar a que no exista aún una regulación legal que le otorgue la debida seguridad jurídica y estabilidad a la ciudadanía en general en el acceso al derecho ni a los profesionales de la salud en la prestación de los servicios que garanticen el goce efectivo de la muerte digna. </w:t>
      </w:r>
    </w:p>
    <w:p w14:paraId="37CD7CDC" w14:textId="77777777" w:rsidR="00335A1D" w:rsidRDefault="00335A1D" w:rsidP="00335A1D">
      <w:pPr>
        <w:jc w:val="both"/>
        <w:rPr>
          <w:rFonts w:ascii="Bookman Old Style" w:eastAsia="Bookman Old Style" w:hAnsi="Bookman Old Style" w:cs="Bookman Old Style"/>
        </w:rPr>
      </w:pPr>
    </w:p>
    <w:p w14:paraId="613BC30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Tal y como lo ha reconocido la Corte Constitucional en la jurisprudencia arriba referenciada, ese vacío normativo supone un riesgo para la eficacia del derecho y para los intereses y la situación jurídica de ciudadanos y profesionales de la salud. Con todo, esa situación afecta el goce efectivo de un derecho fundamental que en </w:t>
      </w:r>
      <w:r>
        <w:rPr>
          <w:rFonts w:ascii="Bookman Old Style" w:eastAsia="Bookman Old Style" w:hAnsi="Bookman Old Style" w:cs="Bookman Old Style"/>
        </w:rPr>
        <w:lastRenderedPageBreak/>
        <w:t>el escenario constitucional que nos convoca tiende a ser medio para el ejercicio de otros derechos. Por ende, el Congreso está llamado a suplir ese vacío normativo como medio también para profundizar en la materialización del proyecto constitucional de 1991.</w:t>
      </w:r>
    </w:p>
    <w:p w14:paraId="4CB521AE" w14:textId="77777777" w:rsidR="00335A1D" w:rsidRDefault="00335A1D" w:rsidP="00335A1D">
      <w:pPr>
        <w:jc w:val="both"/>
        <w:rPr>
          <w:rFonts w:ascii="Bookman Old Style" w:eastAsia="Bookman Old Style" w:hAnsi="Bookman Old Style" w:cs="Bookman Old Style"/>
        </w:rPr>
      </w:pPr>
    </w:p>
    <w:p w14:paraId="5BD9F703"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RESPECTO DEL DERECHO A MORIR DIGNAMENTE Y LA MUERTE MÉDICAMENTE ASISTIDA. LA RELACIÓN ENTRE AMBOS CONCEPTOS Y LAS REGLAS JURISPRUDENCIALES QUE LOS GOBIERNAN:</w:t>
      </w:r>
    </w:p>
    <w:p w14:paraId="53E61005" w14:textId="77777777" w:rsidR="00335A1D" w:rsidRDefault="00335A1D" w:rsidP="00335A1D">
      <w:pPr>
        <w:jc w:val="both"/>
        <w:rPr>
          <w:rFonts w:ascii="Bookman Old Style" w:eastAsia="Bookman Old Style" w:hAnsi="Bookman Old Style" w:cs="Bookman Old Style"/>
          <w:b/>
        </w:rPr>
      </w:pPr>
    </w:p>
    <w:p w14:paraId="3C01792B" w14:textId="77777777" w:rsidR="00335A1D" w:rsidRDefault="00335A1D" w:rsidP="00335A1D">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El derecho a la muerte digna: </w:t>
      </w:r>
    </w:p>
    <w:p w14:paraId="1F9228EF"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Es un derecho fundamental, independiente y autónomo. Reconocido como tal por vía jurisprudencial desde 1997. Guarda conexidad y se convierte en medio para el ejercicio y goce efectivo de otros derechos fundamentales y principios constitucionales como la dignidad humana, la autonomía, la intimidad, el libre desarrollo de la personalidad, la salud y la vida. </w:t>
      </w:r>
    </w:p>
    <w:p w14:paraId="45392926" w14:textId="77777777" w:rsidR="00335A1D" w:rsidRDefault="00335A1D" w:rsidP="00335A1D">
      <w:pPr>
        <w:jc w:val="both"/>
        <w:rPr>
          <w:rFonts w:ascii="Bookman Old Style" w:eastAsia="Bookman Old Style" w:hAnsi="Bookman Old Style" w:cs="Bookman Old Style"/>
        </w:rPr>
      </w:pPr>
    </w:p>
    <w:p w14:paraId="3CEC65DB"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Para su ejercicio es requisito fundamental la manifestación del consentimiento y para ello se hace necesario el acceso a la información del paciente. A su vez, acceder a servicios de salud resulta necesario para gozar efectivamente de ese derecho. La muerte digna le permite a la persona tener control y tomar las decisiones que considere más adecuadas y compatibles con su concepción de vida digna respecto de todo el proceso de su muerte y del final de su vida. </w:t>
      </w:r>
    </w:p>
    <w:p w14:paraId="540C4E3C" w14:textId="77777777" w:rsidR="00335A1D" w:rsidRDefault="00335A1D" w:rsidP="00335A1D">
      <w:pPr>
        <w:jc w:val="both"/>
        <w:rPr>
          <w:rFonts w:ascii="Bookman Old Style" w:eastAsia="Bookman Old Style" w:hAnsi="Bookman Old Style" w:cs="Bookman Old Style"/>
        </w:rPr>
      </w:pPr>
    </w:p>
    <w:p w14:paraId="77223F2B"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La muerte digna es un derecho complejo integrado por tres dimensiones o modalidades, a saber: los cuidados paliativos, la adecuación o renuncia al esfuerzo terapéutico y la muerte médicamente asistida, también conocida como eutanasia. </w:t>
      </w:r>
    </w:p>
    <w:p w14:paraId="77DE399F" w14:textId="77777777" w:rsidR="00335A1D" w:rsidRDefault="00335A1D" w:rsidP="00335A1D">
      <w:pPr>
        <w:jc w:val="both"/>
        <w:rPr>
          <w:rFonts w:ascii="Bookman Old Style" w:eastAsia="Bookman Old Style" w:hAnsi="Bookman Old Style" w:cs="Bookman Old Style"/>
        </w:rPr>
      </w:pPr>
    </w:p>
    <w:p w14:paraId="23558346"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Esas dimensiones no son excluyentes por lo que para gozar del derecho a la muerte digna no es dable exigir que la persona use alguna en particular en desmedro de otra(s) ni tampoco es dable imponer un orden o secuencia temporal en su uso. Por el contrario, si en ejercicio de la autonomía de la voluntad la persona opta por acudir a las diferentes modalidades de manera concomitante puede hacerlo. </w:t>
      </w:r>
    </w:p>
    <w:p w14:paraId="2299C74F" w14:textId="77777777" w:rsidR="00335A1D" w:rsidRDefault="00335A1D" w:rsidP="00335A1D">
      <w:pPr>
        <w:jc w:val="both"/>
        <w:rPr>
          <w:rFonts w:ascii="Bookman Old Style" w:eastAsia="Bookman Old Style" w:hAnsi="Bookman Old Style" w:cs="Bookman Old Style"/>
          <w:b/>
        </w:rPr>
      </w:pPr>
    </w:p>
    <w:p w14:paraId="007FE1FE" w14:textId="77777777" w:rsidR="00335A1D" w:rsidRDefault="00335A1D" w:rsidP="00335A1D">
      <w:pPr>
        <w:jc w:val="both"/>
        <w:rPr>
          <w:rFonts w:ascii="Bookman Old Style" w:eastAsia="Bookman Old Style" w:hAnsi="Bookman Old Style" w:cs="Bookman Old Style"/>
          <w:b/>
        </w:rPr>
      </w:pPr>
      <w:r>
        <w:rPr>
          <w:rFonts w:ascii="Bookman Old Style" w:eastAsia="Bookman Old Style" w:hAnsi="Bookman Old Style" w:cs="Bookman Old Style"/>
          <w:b/>
        </w:rPr>
        <w:t>La muerte médicamente asistida:</w:t>
      </w:r>
    </w:p>
    <w:p w14:paraId="450D7AE8" w14:textId="77777777" w:rsidR="00335A1D" w:rsidRDefault="00335A1D" w:rsidP="00335A1D">
      <w:pPr>
        <w:jc w:val="both"/>
        <w:rPr>
          <w:rFonts w:ascii="Bookman Old Style" w:eastAsia="Bookman Old Style" w:hAnsi="Bookman Old Style" w:cs="Bookman Old Style"/>
          <w:b/>
        </w:rPr>
      </w:pPr>
    </w:p>
    <w:p w14:paraId="3130E18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También conocida como eutanasia es uno de los tres mecanismos o dimensiones mediante las cuales es posible ejercer el derecho fundamental a morir dignamente. Es entendida como el procedimiento médico por medio del cual un profesional de la salud induce la muerte de manera anticipada a una persona que así lo ha solicitado de manera libre, informada, inequívoca y reiterada como medio para detener el sufrimiento intolerable que padece. </w:t>
      </w:r>
    </w:p>
    <w:p w14:paraId="3B482B9E" w14:textId="77777777" w:rsidR="00335A1D" w:rsidRDefault="00335A1D" w:rsidP="00335A1D">
      <w:pPr>
        <w:jc w:val="both"/>
        <w:rPr>
          <w:rFonts w:ascii="Bookman Old Style" w:eastAsia="Bookman Old Style" w:hAnsi="Bookman Old Style" w:cs="Bookman Old Style"/>
        </w:rPr>
      </w:pPr>
    </w:p>
    <w:p w14:paraId="5ABE1BBF"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El concepto de eutanasia etimológicamente responde a la noción de </w:t>
      </w:r>
      <w:r>
        <w:rPr>
          <w:rFonts w:ascii="Bookman Old Style" w:eastAsia="Bookman Old Style" w:hAnsi="Bookman Old Style" w:cs="Bookman Old Style"/>
          <w:i/>
        </w:rPr>
        <w:t xml:space="preserve">“buena muerte o buen morir”. </w:t>
      </w:r>
      <w:r>
        <w:rPr>
          <w:rFonts w:ascii="Bookman Old Style" w:eastAsia="Bookman Old Style" w:hAnsi="Bookman Old Style" w:cs="Bookman Old Style"/>
        </w:rPr>
        <w:t>De esa forma, el término eutanasia se emplea popularmente para hacer referencia al procedimiento de la muerte médicamente asistida toda vez que permite que quien lo solicite descanse e interrumpa el sufrimiento insoportable, mediante la muerte. (Marín-Olalla, 2018).</w:t>
      </w:r>
      <w:r>
        <w:rPr>
          <w:rFonts w:ascii="Bookman Old Style" w:eastAsia="Bookman Old Style" w:hAnsi="Bookman Old Style" w:cs="Bookman Old Style"/>
          <w:vertAlign w:val="superscript"/>
        </w:rPr>
        <w:footnoteReference w:id="1"/>
      </w:r>
    </w:p>
    <w:p w14:paraId="4A3B55F0" w14:textId="77777777" w:rsidR="00335A1D" w:rsidRDefault="00335A1D" w:rsidP="00335A1D">
      <w:pPr>
        <w:jc w:val="both"/>
        <w:rPr>
          <w:rFonts w:ascii="Bookman Old Style" w:eastAsia="Bookman Old Style" w:hAnsi="Bookman Old Style" w:cs="Bookman Old Style"/>
        </w:rPr>
      </w:pPr>
    </w:p>
    <w:p w14:paraId="615CB313"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Es preciso advertir que un error común es considerar que la eutanasia o la muerte médicamente asistida equivale a los procesos eugenésicos que por ser discriminadores y atentar contra la dignidad humana son incompatibles con nuestra carta política. El tratadista Marín Olalla (2018) aclara la confusión al precisar que en realidad la eutanasia o la muerte médicamente asistida no puede comprenderse bajo los lentes del homicidio </w:t>
      </w:r>
    </w:p>
    <w:p w14:paraId="3C4EC668" w14:textId="77777777" w:rsidR="00335A1D" w:rsidRDefault="00335A1D" w:rsidP="00335A1D">
      <w:pPr>
        <w:ind w:right="1325"/>
        <w:jc w:val="both"/>
        <w:rPr>
          <w:rFonts w:ascii="Bookman Old Style" w:eastAsia="Bookman Old Style" w:hAnsi="Bookman Old Style" w:cs="Bookman Old Style"/>
        </w:rPr>
      </w:pPr>
    </w:p>
    <w:p w14:paraId="351E49D7" w14:textId="77777777" w:rsidR="00335A1D" w:rsidRDefault="00335A1D" w:rsidP="00335A1D">
      <w:pPr>
        <w:ind w:left="708" w:right="1325"/>
        <w:jc w:val="both"/>
        <w:rPr>
          <w:rFonts w:ascii="Bookman Old Style" w:eastAsia="Bookman Old Style" w:hAnsi="Bookman Old Style" w:cs="Bookman Old Style"/>
        </w:rPr>
      </w:pPr>
      <w:r>
        <w:rPr>
          <w:rFonts w:ascii="Bookman Old Style" w:eastAsia="Bookman Old Style" w:hAnsi="Bookman Old Style" w:cs="Bookman Old Style"/>
          <w:i/>
        </w:rPr>
        <w:t>“porque es imposible que una muerte sea, a la vez, voluntaria y contra la voluntad de una persona. Por esta razón, el concepto de eutanasia involuntaria es un oxímoron; si no es voluntaria, quizá sea un homicidio compasivo, pero no una eutanasia”</w:t>
      </w:r>
      <w:r>
        <w:rPr>
          <w:rFonts w:ascii="Bookman Old Style" w:eastAsia="Bookman Old Style" w:hAnsi="Bookman Old Style" w:cs="Bookman Old Style"/>
          <w:i/>
          <w:vertAlign w:val="superscript"/>
        </w:rPr>
        <w:footnoteReference w:id="2"/>
      </w:r>
    </w:p>
    <w:p w14:paraId="66039093" w14:textId="77777777" w:rsidR="00335A1D" w:rsidRDefault="00335A1D" w:rsidP="00335A1D">
      <w:pPr>
        <w:jc w:val="both"/>
        <w:rPr>
          <w:rFonts w:ascii="Bookman Old Style" w:eastAsia="Bookman Old Style" w:hAnsi="Bookman Old Style" w:cs="Bookman Old Style"/>
        </w:rPr>
      </w:pPr>
    </w:p>
    <w:p w14:paraId="31CE3E94"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Tal precisión ha ocupado a la Corte Constitucional desde los albores del estudio jurisprudencial de la materia. Así, en providencias axiales para la comprensión actual del alcance de la muerte médicamente asistida como la C-239 de 1997 y la C-233 de 2021 el Alto Tribunal ha advertido que bajo ninguna consideración la muerte médicamente asistida puede ser considerada como una práctica eugenésica. La distinción, entre otras, yace en que la primera es voluntaria, consentida y garantiza el principio de dignidad humana mientras la segunda no lo es y resulta nugatoria del referido principio. </w:t>
      </w:r>
    </w:p>
    <w:p w14:paraId="5043922D" w14:textId="77777777" w:rsidR="00335A1D" w:rsidRDefault="00335A1D" w:rsidP="00335A1D">
      <w:pPr>
        <w:jc w:val="both"/>
        <w:rPr>
          <w:rFonts w:ascii="Bookman Old Style" w:eastAsia="Bookman Old Style" w:hAnsi="Bookman Old Style" w:cs="Bookman Old Style"/>
        </w:rPr>
      </w:pPr>
    </w:p>
    <w:p w14:paraId="4B4B9D17"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Respecto de las condiciones para el ejercicio de la muerte médicamente asistida la Corte Constitucional ha notado que existe un vacío normativo que pone en riesgo el ejercicio del derecho fundamental a la muerte digna en relación con esta modalidad. En 9 sentencias entre 1997 y 2021 ha precisado el alcance de la muerte médicamente asistida y ha fijado subreglas para su regulación, que hasta la fecha es meramente reglamentaria. </w:t>
      </w:r>
    </w:p>
    <w:p w14:paraId="2ED665E8" w14:textId="77777777" w:rsidR="00335A1D" w:rsidRDefault="00335A1D" w:rsidP="00335A1D">
      <w:pPr>
        <w:jc w:val="both"/>
        <w:rPr>
          <w:i/>
        </w:rPr>
      </w:pPr>
    </w:p>
    <w:p w14:paraId="721033FE"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Así las cosas, el derecho a la muerte digna busca ser protegido y reglamentado por vía legal. Por su parte, la muerte médicamente asistida, también conocida como eutanasia, es uno de tres mecanismos o dimensiones que se orientan a garantizar el derecho fundamental a la muerte digna y al tiempo, lo constituyen. Además, es el mecanismo, faceta o dimensión del derecho en que la presente regulación </w:t>
      </w:r>
      <w:r>
        <w:rPr>
          <w:rFonts w:ascii="Bookman Old Style" w:eastAsia="Bookman Old Style" w:hAnsi="Bookman Old Style" w:cs="Bookman Old Style"/>
        </w:rPr>
        <w:lastRenderedPageBreak/>
        <w:t xml:space="preserve">ahondará como vía para avanzar en el goce efectivo del referido derecho fundamental. </w:t>
      </w:r>
    </w:p>
    <w:p w14:paraId="72A798BF" w14:textId="77777777" w:rsidR="00335A1D" w:rsidRDefault="00335A1D" w:rsidP="00335A1D">
      <w:pPr>
        <w:jc w:val="both"/>
        <w:rPr>
          <w:rFonts w:ascii="Bookman Old Style" w:eastAsia="Bookman Old Style" w:hAnsi="Bookman Old Style" w:cs="Bookman Old Style"/>
        </w:rPr>
      </w:pPr>
    </w:p>
    <w:p w14:paraId="229BD2CC"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Valga advertir que el presente proyecto de ley se enfoca en la modalidad de la muerte médicamente asistida toda vez que es el elemento del derecho fundamental a la muerte digna respecto del cual la Corte Constitucional ha echado de menos una regulación legal que lo ampare. No ocurre tal cosa con los cuidados paliativos que fueron legalmente reconocidos y regulados por la Ley 1733 de 2014 y que también tienen un amparo convencional adoptado por Colombia a través de la Ley 2055 de 2020. </w:t>
      </w:r>
    </w:p>
    <w:p w14:paraId="4EF295E1" w14:textId="77777777" w:rsidR="00335A1D" w:rsidRDefault="00335A1D" w:rsidP="00335A1D">
      <w:pPr>
        <w:jc w:val="both"/>
        <w:rPr>
          <w:rFonts w:ascii="Bookman Old Style" w:eastAsia="Bookman Old Style" w:hAnsi="Bookman Old Style" w:cs="Bookman Old Style"/>
        </w:rPr>
      </w:pPr>
    </w:p>
    <w:p w14:paraId="4B6CB44D"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Adicionalmente a lo antes expresado, la jurisprudencia constitucional ha fijado subreglas y estándares que deben ser tenidos en cuenta en el ejercicio de la actividad legislativa pues orientan y limitan el margen de configuración normativa con el que cuenta el legislador respecto de esta materia. </w:t>
      </w:r>
    </w:p>
    <w:p w14:paraId="244DC677" w14:textId="77777777" w:rsidR="00335A1D" w:rsidRDefault="00335A1D" w:rsidP="00335A1D">
      <w:pPr>
        <w:jc w:val="both"/>
        <w:rPr>
          <w:rFonts w:ascii="Bookman Old Style" w:eastAsia="Bookman Old Style" w:hAnsi="Bookman Old Style" w:cs="Bookman Old Style"/>
        </w:rPr>
      </w:pPr>
    </w:p>
    <w:p w14:paraId="56C38A90"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Así, las principales conclusiones normativas de la línea jurisprudencial respecto del goce efectivo de la muerte digna y en particular de la muerte médicamente asistida son:</w:t>
      </w:r>
    </w:p>
    <w:p w14:paraId="26A78D28" w14:textId="77777777" w:rsidR="00335A1D" w:rsidRDefault="00335A1D" w:rsidP="00335A1D">
      <w:pPr>
        <w:jc w:val="both"/>
        <w:rPr>
          <w:rFonts w:ascii="Bookman Old Style" w:eastAsia="Bookman Old Style" w:hAnsi="Bookman Old Style" w:cs="Bookman Old Style"/>
        </w:rPr>
      </w:pPr>
    </w:p>
    <w:p w14:paraId="04DEFF04"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muerte médicamente asistida es una de las múltiples dimensiones del derecho fundamental, complejo, autónomo e independiente a la muerte digna.</w:t>
      </w:r>
    </w:p>
    <w:p w14:paraId="79E9FADD" w14:textId="77777777" w:rsidR="00335A1D" w:rsidRDefault="00335A1D" w:rsidP="00335A1D">
      <w:pPr>
        <w:pBdr>
          <w:top w:val="nil"/>
          <w:left w:val="nil"/>
          <w:bottom w:val="nil"/>
          <w:right w:val="nil"/>
          <w:between w:val="nil"/>
        </w:pBdr>
        <w:ind w:left="720"/>
        <w:jc w:val="both"/>
        <w:rPr>
          <w:rFonts w:ascii="Bookman Old Style" w:eastAsia="Bookman Old Style" w:hAnsi="Bookman Old Style" w:cs="Bookman Old Style"/>
          <w:color w:val="000000"/>
        </w:rPr>
      </w:pPr>
    </w:p>
    <w:p w14:paraId="2049FC41"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la muerte médicamente asistida y el goce del derecho a la muerte digna permite a la persona ejercer su autonomía, el libre desarrollo de la personalidad y vivir con dignidad. Toda restricción arbitraria a ese derecho fundamental repercute negativamente en el goce de otros derechos como la salud, la intimidad personal y familiar e impone tratos crueles, inhumanos y degradantes. </w:t>
      </w:r>
    </w:p>
    <w:p w14:paraId="515F08C7" w14:textId="77777777" w:rsidR="00335A1D" w:rsidRDefault="00335A1D" w:rsidP="00335A1D">
      <w:pPr>
        <w:jc w:val="both"/>
        <w:rPr>
          <w:rFonts w:ascii="Bookman Old Style" w:eastAsia="Bookman Old Style" w:hAnsi="Bookman Old Style" w:cs="Bookman Old Style"/>
        </w:rPr>
      </w:pPr>
    </w:p>
    <w:p w14:paraId="45E098DA"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derecho fundamental a morir dignamente tiene tres dimensiones: cuidados paliativos, adecuación o suspensión del esfuerzo terapéutico y las prestaciones específicas para la muerte médicamente asistida o eutanásica. No existe incompatibilidad entre las tres facetas, pueden ser concomitantes y todas pueden contribuir a aumentar la dignidad y la capacidad de autodeterminación de la persona en el umbral de su muerte. No puede imponerse a la persona agotar una faceta antes que otra, ni tampoco aceptar un tratamiento que considera desproporcionado, sino que corresponde al paciente determinar cuál es el cauce que mejor se adecúa a su condición de salud, a sus intereses vitales, y a su concepto de vida digna. </w:t>
      </w:r>
    </w:p>
    <w:p w14:paraId="5454C5E0" w14:textId="77777777" w:rsidR="00335A1D" w:rsidRDefault="00335A1D" w:rsidP="00335A1D">
      <w:pPr>
        <w:jc w:val="both"/>
        <w:rPr>
          <w:rFonts w:ascii="Bookman Old Style" w:eastAsia="Bookman Old Style" w:hAnsi="Bookman Old Style" w:cs="Bookman Old Style"/>
        </w:rPr>
      </w:pPr>
    </w:p>
    <w:p w14:paraId="533804AE"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El Estado está en la obligación de garantizar y desarrollar los mecanismos normativos para regular la muerte médicamente asistida y para garantizar el derecho fundamental a la muerte digna. El vacío normativo existente en materia de muerte médicamente asistida supone una amenaza para el goce efectivo del referido derecho fundamental. </w:t>
      </w:r>
    </w:p>
    <w:p w14:paraId="27186D0A" w14:textId="77777777" w:rsidR="00335A1D" w:rsidRDefault="00335A1D" w:rsidP="00335A1D">
      <w:pPr>
        <w:jc w:val="both"/>
        <w:rPr>
          <w:rFonts w:ascii="Bookman Old Style" w:eastAsia="Bookman Old Style" w:hAnsi="Bookman Old Style" w:cs="Bookman Old Style"/>
        </w:rPr>
      </w:pPr>
    </w:p>
    <w:p w14:paraId="6F1BECB3"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la muerte médicamente asistida está orientado por los principios de prevalencia de la autonomía, celeridad, oportunidad e imparcialidad. El eje central, tanto para acceder como para desistir a los tratamientos es la voluntad del paciente. </w:t>
      </w:r>
    </w:p>
    <w:p w14:paraId="1D548797" w14:textId="77777777" w:rsidR="00335A1D" w:rsidRDefault="00335A1D" w:rsidP="00335A1D">
      <w:pPr>
        <w:jc w:val="both"/>
        <w:rPr>
          <w:rFonts w:ascii="Bookman Old Style" w:eastAsia="Bookman Old Style" w:hAnsi="Bookman Old Style" w:cs="Bookman Old Style"/>
        </w:rPr>
      </w:pPr>
    </w:p>
    <w:p w14:paraId="4EE2695F"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la muerte médicamente asistida está condicionado por tres requisitos: i) acreditar el consentimiento informado del paciente, </w:t>
      </w:r>
      <w:proofErr w:type="spellStart"/>
      <w:r>
        <w:rPr>
          <w:rFonts w:ascii="Bookman Old Style" w:eastAsia="Bookman Old Style" w:hAnsi="Bookman Old Style" w:cs="Bookman Old Style"/>
          <w:color w:val="000000"/>
        </w:rPr>
        <w:t>ii</w:t>
      </w:r>
      <w:proofErr w:type="spellEnd"/>
      <w:r>
        <w:rPr>
          <w:rFonts w:ascii="Bookman Old Style" w:eastAsia="Bookman Old Style" w:hAnsi="Bookman Old Style" w:cs="Bookman Old Style"/>
          <w:color w:val="000000"/>
        </w:rPr>
        <w:t xml:space="preserve">) el procedimiento sea practicado por un médico, </w:t>
      </w:r>
      <w:proofErr w:type="spellStart"/>
      <w:r>
        <w:rPr>
          <w:rFonts w:ascii="Bookman Old Style" w:eastAsia="Bookman Old Style" w:hAnsi="Bookman Old Style" w:cs="Bookman Old Style"/>
          <w:color w:val="000000"/>
        </w:rPr>
        <w:t>iii</w:t>
      </w:r>
      <w:proofErr w:type="spellEnd"/>
      <w:r>
        <w:rPr>
          <w:rFonts w:ascii="Bookman Old Style" w:eastAsia="Bookman Old Style" w:hAnsi="Bookman Old Style" w:cs="Bookman Old Style"/>
          <w:color w:val="000000"/>
        </w:rPr>
        <w:t>) la persona debe padecer de una enfermedad grave e incurable o lesión corporal que cause un intenso sufrimiento físico o psíquico. No es necesario acreditar la existencia de una enfermedad terminal ni el pronóstico médico de muerte próxima.</w:t>
      </w:r>
    </w:p>
    <w:p w14:paraId="5EF14038" w14:textId="77777777" w:rsidR="00335A1D" w:rsidRDefault="00335A1D" w:rsidP="00335A1D">
      <w:pPr>
        <w:jc w:val="both"/>
        <w:rPr>
          <w:rFonts w:ascii="Bookman Old Style" w:eastAsia="Bookman Old Style" w:hAnsi="Bookman Old Style" w:cs="Bookman Old Style"/>
        </w:rPr>
      </w:pPr>
    </w:p>
    <w:p w14:paraId="683994F5"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Para determinar el grado de intenso sufrimiento y/o dolor físico o psíquico hay dos concepciones. Una que considera que este es identificable a partir de criterios objetivos y otra que lo reconoce como una experiencia esencialmente subjetiva. Debe prevalecer y ser respetado el criterio subjetivo del paciente para determinar la presencia de un intenso sufrimiento físico o psíquico. </w:t>
      </w:r>
    </w:p>
    <w:p w14:paraId="04147B6F" w14:textId="77777777" w:rsidR="00335A1D" w:rsidRDefault="00335A1D" w:rsidP="00335A1D">
      <w:pPr>
        <w:jc w:val="both"/>
        <w:rPr>
          <w:rFonts w:ascii="Bookman Old Style" w:eastAsia="Bookman Old Style" w:hAnsi="Bookman Old Style" w:cs="Bookman Old Style"/>
        </w:rPr>
      </w:pPr>
    </w:p>
    <w:p w14:paraId="20D0118A"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Estado no puede castigar, mucho menos por vías penales, a quien garantice o participe en el acceso a la muerte médicamente asistida cuando esta ocurra con el lleno de los requisitos exigidos. </w:t>
      </w:r>
    </w:p>
    <w:p w14:paraId="693DA828" w14:textId="77777777" w:rsidR="00335A1D" w:rsidRDefault="00335A1D" w:rsidP="00335A1D">
      <w:pPr>
        <w:jc w:val="both"/>
        <w:rPr>
          <w:rFonts w:ascii="Bookman Old Style" w:eastAsia="Bookman Old Style" w:hAnsi="Bookman Old Style" w:cs="Bookman Old Style"/>
        </w:rPr>
      </w:pPr>
    </w:p>
    <w:p w14:paraId="7D68FC3D"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profesional de la salud podrá objetar conciencia por escrito para negarse a practicar el procedimiento de la muerte médicamente asistida por considerarlo incompatible con sus convicciones personales. En esos casos la EPS debe, en menos de 24 horas, reasignar a otro profesional de la salud para realizar el procedimiento. </w:t>
      </w:r>
    </w:p>
    <w:p w14:paraId="3FA1BE13" w14:textId="77777777" w:rsidR="00335A1D" w:rsidRDefault="00335A1D" w:rsidP="00335A1D">
      <w:pPr>
        <w:jc w:val="both"/>
        <w:rPr>
          <w:rFonts w:ascii="Bookman Old Style" w:eastAsia="Bookman Old Style" w:hAnsi="Bookman Old Style" w:cs="Bookman Old Style"/>
        </w:rPr>
      </w:pPr>
    </w:p>
    <w:p w14:paraId="3B05B9F1"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El consentimiento del paciente debe ser previo, libre, informado, inequívoco, reiterado y podrá ser expresado tanto de forma verbal como escrita. Que sea previo implica que el consentimiento podría ser previo a la ocurrencia del evento médico (enfermedad o lesión) y en todo caso anterior a la realización del procedimiento de muerte médicamente asistida. Que sea libre significa que debe estar exento de presiones por parte de terceros. Que sea informado implica que los especialistas deben brindar al paciente y su familia toda la información necesaria para adoptar decisiones en torno a la vida de un ser </w:t>
      </w:r>
      <w:r>
        <w:rPr>
          <w:rFonts w:ascii="Bookman Old Style" w:eastAsia="Bookman Old Style" w:hAnsi="Bookman Old Style" w:cs="Bookman Old Style"/>
          <w:color w:val="000000"/>
        </w:rPr>
        <w:lastRenderedPageBreak/>
        <w:t xml:space="preserve">humano; y por inequívoco se tiene que debe tratarse de una decisión consistente y sostenida. Así el consentimiento debe partir de la información adecuada y pertinente brindada por el médico tratante. </w:t>
      </w:r>
    </w:p>
    <w:p w14:paraId="65BB20A0" w14:textId="77777777" w:rsidR="00335A1D" w:rsidRDefault="00335A1D" w:rsidP="00335A1D">
      <w:pPr>
        <w:jc w:val="both"/>
        <w:rPr>
          <w:rFonts w:ascii="Bookman Old Style" w:eastAsia="Bookman Old Style" w:hAnsi="Bookman Old Style" w:cs="Bookman Old Style"/>
        </w:rPr>
      </w:pPr>
    </w:p>
    <w:p w14:paraId="56DF7E4E"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La confirmación del consentimiento deberá darse dentro de un término razonable para no hacer nugatorio el acceso al derecho fundamental. El término de la confirmación del consentimiento en ningún caso deberá ser superior a diez días calendario, para dar paso a la programación del procedimiento de muerte médicamente asistida en el menor tiempo posible y, en cualquier caso, en un máximo de quince días contados desde la reiteración de la decisión.</w:t>
      </w:r>
    </w:p>
    <w:p w14:paraId="56FD4A8E" w14:textId="77777777" w:rsidR="00335A1D" w:rsidRDefault="00335A1D" w:rsidP="00335A1D">
      <w:pPr>
        <w:jc w:val="both"/>
        <w:rPr>
          <w:rFonts w:ascii="Bookman Old Style" w:eastAsia="Bookman Old Style" w:hAnsi="Bookman Old Style" w:cs="Bookman Old Style"/>
        </w:rPr>
      </w:pPr>
    </w:p>
    <w:p w14:paraId="4E2209B8"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El paciente puede desistir en todo momento de su solicitud de acceso a la muerte médicamente asistida.</w:t>
      </w:r>
    </w:p>
    <w:p w14:paraId="0ADBB369" w14:textId="77777777" w:rsidR="00335A1D" w:rsidRDefault="00335A1D" w:rsidP="00335A1D">
      <w:pPr>
        <w:jc w:val="both"/>
        <w:rPr>
          <w:rFonts w:ascii="Bookman Old Style" w:eastAsia="Bookman Old Style" w:hAnsi="Bookman Old Style" w:cs="Bookman Old Style"/>
        </w:rPr>
      </w:pPr>
    </w:p>
    <w:p w14:paraId="297E7546"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Cuando el paciente se encuentre en estado vegetativo o esté imposibilitado para expresar su voluntad podrá hacerse valer un documento de voluntad anticipada o el consentimiento sustituto por parte de un familiar o representante legal del paciente para que este último acceda a la muerte médicamente asistida. En el proceso de consecución del consentimiento sustituto se debe inferir que persigue la mejor condición para el paciente e indagar por la posición que expresaría la persona en caso de estar consciente o habilitada para hacerlo. No se podrá exigir ambos requisitos (consentimiento sustituto y documento de voluntad anticipada) pues con uno de </w:t>
      </w:r>
      <w:proofErr w:type="gramStart"/>
      <w:r>
        <w:rPr>
          <w:rFonts w:ascii="Bookman Old Style" w:eastAsia="Bookman Old Style" w:hAnsi="Bookman Old Style" w:cs="Bookman Old Style"/>
          <w:color w:val="000000"/>
        </w:rPr>
        <w:t>los dos basta</w:t>
      </w:r>
      <w:proofErr w:type="gramEnd"/>
      <w:r>
        <w:rPr>
          <w:rFonts w:ascii="Bookman Old Style" w:eastAsia="Bookman Old Style" w:hAnsi="Bookman Old Style" w:cs="Bookman Old Style"/>
          <w:color w:val="000000"/>
        </w:rPr>
        <w:t xml:space="preserve">. </w:t>
      </w:r>
    </w:p>
    <w:p w14:paraId="7365C5C2" w14:textId="77777777" w:rsidR="00335A1D" w:rsidRDefault="00335A1D" w:rsidP="00335A1D">
      <w:pPr>
        <w:jc w:val="both"/>
        <w:rPr>
          <w:rFonts w:ascii="Bookman Old Style" w:eastAsia="Bookman Old Style" w:hAnsi="Bookman Old Style" w:cs="Bookman Old Style"/>
        </w:rPr>
      </w:pPr>
    </w:p>
    <w:p w14:paraId="2260A0AF"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En los casos en que se pretenda hacer valer el consentimiento sustituto como medio para acceder a la muerte médicamente asistida, se deberá realizar un examen más estricto del cumplimiento de las otras dos condiciones para acceder a esta modalidad de muerte digna.</w:t>
      </w:r>
    </w:p>
    <w:p w14:paraId="70012121" w14:textId="77777777" w:rsidR="00335A1D" w:rsidRDefault="00335A1D" w:rsidP="00335A1D">
      <w:pPr>
        <w:jc w:val="both"/>
        <w:rPr>
          <w:rFonts w:ascii="Bookman Old Style" w:eastAsia="Bookman Old Style" w:hAnsi="Bookman Old Style" w:cs="Bookman Old Style"/>
        </w:rPr>
      </w:pPr>
    </w:p>
    <w:p w14:paraId="7660DABB"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Los diferentes actores del sistema de salud, incluyendo a las entidades públicas con competencia en la materia, están obligadas a desmontar las barreras de acceso al sistema de salud que impiden el goce efectivo de la muerte digna y en particular que obstan para el acceso a la muerte médicamente asistida. Deberán ajustar sus protocolos para facilitar en cumplimiento de la normativa que regule el acceso a la muerte médicamente asistida y a la muerte digna. </w:t>
      </w:r>
    </w:p>
    <w:p w14:paraId="7CB43FED" w14:textId="77777777" w:rsidR="00335A1D" w:rsidRDefault="00335A1D" w:rsidP="00335A1D">
      <w:pPr>
        <w:jc w:val="both"/>
        <w:rPr>
          <w:rFonts w:ascii="Bookman Old Style" w:eastAsia="Bookman Old Style" w:hAnsi="Bookman Old Style" w:cs="Bookman Old Style"/>
        </w:rPr>
      </w:pPr>
    </w:p>
    <w:p w14:paraId="2A055B03"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Los niños, niñas y adolescentes son titulares del derecho a la muerte digna y por ende también pueden acceder a la muerte médicamente asistida.</w:t>
      </w:r>
    </w:p>
    <w:p w14:paraId="2A815BEE" w14:textId="77777777" w:rsidR="00335A1D" w:rsidRDefault="00335A1D" w:rsidP="00335A1D">
      <w:pPr>
        <w:jc w:val="both"/>
        <w:rPr>
          <w:rFonts w:ascii="Bookman Old Style" w:eastAsia="Bookman Old Style" w:hAnsi="Bookman Old Style" w:cs="Bookman Old Style"/>
        </w:rPr>
      </w:pPr>
    </w:p>
    <w:p w14:paraId="3FB08B22"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 Prohibir la aplicación de la muerte médicamente asistida a los niños, niñas y adolescentes implica una violación al principio del interés superior de estos individuos y llevaría a admitir tratos crueles, inhumanos y degradantes en su contra que por lo demás afectan su dignidad.</w:t>
      </w:r>
    </w:p>
    <w:p w14:paraId="72D670BD" w14:textId="77777777" w:rsidR="00335A1D" w:rsidRDefault="00335A1D" w:rsidP="00335A1D">
      <w:pPr>
        <w:jc w:val="both"/>
        <w:rPr>
          <w:rFonts w:ascii="Bookman Old Style" w:eastAsia="Bookman Old Style" w:hAnsi="Bookman Old Style" w:cs="Bookman Old Style"/>
        </w:rPr>
      </w:pPr>
    </w:p>
    <w:p w14:paraId="27AFF740"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Las condiciones de acceso a la muerte digna y a la modalidad de muerte médicamente asistida en niños, niñas y adolescentes deben ser diferenciales respecto del resto de la población. Se deben adoptar medidas diferenciales, especialmente en lo relacionado con el consentimiento y la manifestación de voluntad.</w:t>
      </w:r>
    </w:p>
    <w:p w14:paraId="24AD1E01" w14:textId="77777777" w:rsidR="00335A1D" w:rsidRDefault="00335A1D" w:rsidP="00335A1D">
      <w:pPr>
        <w:jc w:val="both"/>
        <w:rPr>
          <w:rFonts w:ascii="Bookman Old Style" w:eastAsia="Bookman Old Style" w:hAnsi="Bookman Old Style" w:cs="Bookman Old Style"/>
        </w:rPr>
      </w:pPr>
    </w:p>
    <w:p w14:paraId="2064D858"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Aunque por regla general los niños, niñas y adolescentes expresan el consentimiento a través de sus representantes es necesario que en estos casos se consulte, de forma prevalente, su voluntad siempre que el desarrollo psicológico, emocional y cognitivo del niños, niñas y adolescentes lo permitan. De forma subsidiaria deberá analizarse el consentimiento sustituto por imposibilidad fáctica para manifestar la voluntad derivada de una condición de salud o del desarrollo cognitivo del niño, niña o adolescente. En estos eventos, los padres, personas o entidades que se encuentren legalmente a cargo pueden sustituir el consentimiento y se llevará a cabo el mismo procedimiento, pero el comité interdisciplinario deberá ser más riguroso en el cumplimiento de los requisitos y en el análisis de la situación.</w:t>
      </w:r>
    </w:p>
    <w:p w14:paraId="57CC627D" w14:textId="77777777" w:rsidR="00335A1D" w:rsidRDefault="00335A1D" w:rsidP="00335A1D">
      <w:pPr>
        <w:jc w:val="both"/>
        <w:rPr>
          <w:rFonts w:ascii="Bookman Old Style" w:eastAsia="Bookman Old Style" w:hAnsi="Bookman Old Style" w:cs="Bookman Old Style"/>
        </w:rPr>
      </w:pPr>
    </w:p>
    <w:p w14:paraId="56EB29EE"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La regulación de la muerte médicamente asistida y del derecho fundamental a morir dignamente debe darse a la luz de las cuatro dimensiones del derecho a la salud, a saber: la disponibilidad, la accesibilidad, la aceptabilidad y la calidad. </w:t>
      </w:r>
    </w:p>
    <w:p w14:paraId="16B4651B" w14:textId="77777777" w:rsidR="00335A1D" w:rsidRDefault="00335A1D" w:rsidP="00335A1D">
      <w:pPr>
        <w:jc w:val="both"/>
        <w:rPr>
          <w:rFonts w:ascii="Bookman Old Style" w:eastAsia="Bookman Old Style" w:hAnsi="Bookman Old Style" w:cs="Bookman Old Style"/>
        </w:rPr>
      </w:pPr>
    </w:p>
    <w:p w14:paraId="219787E4" w14:textId="77777777" w:rsidR="00335A1D" w:rsidRDefault="00335A1D" w:rsidP="00335A1D">
      <w:pPr>
        <w:numPr>
          <w:ilvl w:val="0"/>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Se deben garantizar ciertos derechos a los familiares del paciente como apoyo médico, social, espiritual y psicológico. </w:t>
      </w:r>
    </w:p>
    <w:p w14:paraId="4D44E974" w14:textId="77777777" w:rsidR="00335A1D" w:rsidRDefault="00335A1D" w:rsidP="00335A1D">
      <w:pPr>
        <w:jc w:val="both"/>
        <w:rPr>
          <w:rFonts w:ascii="Bookman Old Style" w:eastAsia="Bookman Old Style" w:hAnsi="Bookman Old Style" w:cs="Bookman Old Style"/>
        </w:rPr>
      </w:pPr>
    </w:p>
    <w:p w14:paraId="67BCE6BF" w14:textId="77777777" w:rsidR="00335A1D" w:rsidRDefault="00335A1D" w:rsidP="00335A1D">
      <w:pPr>
        <w:jc w:val="both"/>
        <w:rPr>
          <w:rFonts w:ascii="Bookman Old Style" w:eastAsia="Bookman Old Style" w:hAnsi="Bookman Old Style" w:cs="Bookman Old Style"/>
        </w:rPr>
      </w:pPr>
      <w:r>
        <w:rPr>
          <w:rFonts w:ascii="Bookman Old Style" w:eastAsia="Bookman Old Style" w:hAnsi="Bookman Old Style" w:cs="Bookman Old Style"/>
        </w:rPr>
        <w:t xml:space="preserve">Se desprende también de la jurisprudencia constitucional que la regulación legal de la muerte médicamente asistida debe considerar, cuando menos, los siguientes elementos: </w:t>
      </w:r>
    </w:p>
    <w:p w14:paraId="54ED24E5" w14:textId="77777777" w:rsidR="00335A1D" w:rsidRDefault="00335A1D" w:rsidP="00335A1D">
      <w:pPr>
        <w:jc w:val="both"/>
        <w:rPr>
          <w:rFonts w:ascii="Bookman Old Style" w:eastAsia="Bookman Old Style" w:hAnsi="Bookman Old Style" w:cs="Bookman Old Style"/>
        </w:rPr>
      </w:pPr>
    </w:p>
    <w:p w14:paraId="28AD5A88"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Verificación rigurosa, por personas competentes, de la situación real del paciente, de la enfermedad o lesión que padece, de la madurez de su juicio y de la voluntad inequívoca de morir; </w:t>
      </w:r>
    </w:p>
    <w:p w14:paraId="1D76D81E"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Indicación clara de las personas (sujetos calificados) que deben intervenir en el proceso. Esto incluye:</w:t>
      </w:r>
    </w:p>
    <w:p w14:paraId="734DC007" w14:textId="77777777" w:rsidR="00335A1D" w:rsidRDefault="00335A1D" w:rsidP="00335A1D">
      <w:pPr>
        <w:pBdr>
          <w:top w:val="nil"/>
          <w:left w:val="nil"/>
          <w:bottom w:val="nil"/>
          <w:right w:val="nil"/>
          <w:between w:val="nil"/>
        </w:pBdr>
        <w:ind w:left="1800"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Al médico y comités científicos interdisciplinarios en las EPS, con las funciones de (i) acompañar al paciente y su familia durante el </w:t>
      </w:r>
      <w:r>
        <w:rPr>
          <w:rFonts w:ascii="Bookman Old Style" w:eastAsia="Bookman Old Style" w:hAnsi="Bookman Old Style" w:cs="Bookman Old Style"/>
          <w:color w:val="000000"/>
        </w:rPr>
        <w:lastRenderedPageBreak/>
        <w:t>proceso; (</w:t>
      </w:r>
      <w:proofErr w:type="spellStart"/>
      <w:r>
        <w:rPr>
          <w:rFonts w:ascii="Bookman Old Style" w:eastAsia="Bookman Old Style" w:hAnsi="Bookman Old Style" w:cs="Bookman Old Style"/>
          <w:color w:val="000000"/>
        </w:rPr>
        <w:t>ii</w:t>
      </w:r>
      <w:proofErr w:type="spellEnd"/>
      <w:r>
        <w:rPr>
          <w:rFonts w:ascii="Bookman Old Style" w:eastAsia="Bookman Old Style" w:hAnsi="Bookman Old Style" w:cs="Bookman Old Style"/>
          <w:color w:val="000000"/>
        </w:rPr>
        <w:t>) garantizar asesoría a la familia en los momentos posteriores a lo muerte, a nivel psicológico, médico y social, para contener o manejar los efectos o consecuencias negativas que podrían derivarse tanto de la decisión de solicitar el procedimiento de acceso a la muerte digna, como del propio deceso del paciente. Este servicio de atención y ayuda debería darse durante las fases de decisión y durante el procedimiento, y garantizar la imparcialidad de quienes intervienen en el proceso. Los comités deberían también (</w:t>
      </w:r>
      <w:proofErr w:type="spellStart"/>
      <w:r>
        <w:rPr>
          <w:rFonts w:ascii="Bookman Old Style" w:eastAsia="Bookman Old Style" w:hAnsi="Bookman Old Style" w:cs="Bookman Old Style"/>
          <w:color w:val="000000"/>
        </w:rPr>
        <w:t>iii</w:t>
      </w:r>
      <w:proofErr w:type="spellEnd"/>
      <w:r>
        <w:rPr>
          <w:rFonts w:ascii="Bookman Old Style" w:eastAsia="Bookman Old Style" w:hAnsi="Bookman Old Style" w:cs="Bookman Old Style"/>
          <w:color w:val="000000"/>
        </w:rPr>
        <w:t>) poner en conocimiento de las autoridades cualquier posible irregularidad, falta o delito.</w:t>
      </w:r>
    </w:p>
    <w:p w14:paraId="08CCB12D" w14:textId="77777777" w:rsidR="00335A1D" w:rsidRDefault="00335A1D" w:rsidP="00335A1D">
      <w:pPr>
        <w:ind w:right="-93"/>
        <w:jc w:val="both"/>
        <w:rPr>
          <w:rFonts w:ascii="Bookman Old Style" w:eastAsia="Bookman Old Style" w:hAnsi="Bookman Old Style" w:cs="Bookman Old Style"/>
        </w:rPr>
      </w:pPr>
    </w:p>
    <w:p w14:paraId="2FB5BCBA"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Circunstancias bajo las cuales debe manifestar su consentimiento la persona que consiente en su muerte o solicita que se ponga término a su sufrimiento: forma como debe expresarlo, sujetos ante quienes debe expresarlo, verificación de su sano juicio por un profesional competente, etc. Esto incluye la modalidad de documento de voluntad anticipada y de consentimiento sustituto.</w:t>
      </w:r>
    </w:p>
    <w:p w14:paraId="6A15F9F1" w14:textId="77777777" w:rsidR="00335A1D" w:rsidRDefault="00335A1D" w:rsidP="00335A1D">
      <w:pPr>
        <w:pBdr>
          <w:top w:val="nil"/>
          <w:left w:val="nil"/>
          <w:bottom w:val="nil"/>
          <w:right w:val="nil"/>
          <w:between w:val="nil"/>
        </w:pBdr>
        <w:ind w:left="720" w:right="-93"/>
        <w:jc w:val="both"/>
        <w:rPr>
          <w:rFonts w:ascii="Bookman Old Style" w:eastAsia="Bookman Old Style" w:hAnsi="Bookman Old Style" w:cs="Bookman Old Style"/>
          <w:color w:val="000000"/>
        </w:rPr>
      </w:pPr>
    </w:p>
    <w:p w14:paraId="6822929A"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Medidas que deben ser usadas por el sujeto calificado para obtener el resultado filantrópico.</w:t>
      </w:r>
    </w:p>
    <w:p w14:paraId="115F080C" w14:textId="77777777" w:rsidR="00335A1D" w:rsidRDefault="00335A1D" w:rsidP="00335A1D">
      <w:pPr>
        <w:ind w:right="-93"/>
        <w:jc w:val="both"/>
        <w:rPr>
          <w:rFonts w:ascii="Bookman Old Style" w:eastAsia="Bookman Old Style" w:hAnsi="Bookman Old Style" w:cs="Bookman Old Style"/>
        </w:rPr>
      </w:pPr>
    </w:p>
    <w:p w14:paraId="05C46FA2"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 Esto incluye capacitaciones a los actores del sistema de salud sobre el alcance, contenido e importancia del derecho fundamental a la muerte digna. </w:t>
      </w:r>
    </w:p>
    <w:p w14:paraId="5BFB40F6" w14:textId="77777777" w:rsidR="00335A1D" w:rsidRDefault="00335A1D" w:rsidP="00335A1D">
      <w:pPr>
        <w:ind w:right="-93"/>
        <w:jc w:val="both"/>
        <w:rPr>
          <w:rFonts w:ascii="Bookman Old Style" w:eastAsia="Bookman Old Style" w:hAnsi="Bookman Old Style" w:cs="Bookman Old Style"/>
        </w:rPr>
      </w:pPr>
    </w:p>
    <w:p w14:paraId="50F81687"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Incorporación de las cuatro dimensiones del derecho a la salud, a saber: i) la disponibilidad que se refiere a la existencia de suficientes bienes, servicios, profesionales y centros de atención a la salud; </w:t>
      </w:r>
      <w:proofErr w:type="spellStart"/>
      <w:r>
        <w:rPr>
          <w:rFonts w:ascii="Bookman Old Style" w:eastAsia="Bookman Old Style" w:hAnsi="Bookman Old Style" w:cs="Bookman Old Style"/>
          <w:color w:val="000000"/>
        </w:rPr>
        <w:t>ii</w:t>
      </w:r>
      <w:proofErr w:type="spellEnd"/>
      <w:r>
        <w:rPr>
          <w:rFonts w:ascii="Bookman Old Style" w:eastAsia="Bookman Old Style" w:hAnsi="Bookman Old Style" w:cs="Bookman Old Style"/>
          <w:color w:val="000000"/>
        </w:rPr>
        <w:t xml:space="preserve">) la accesibilidad, que tiene una dimensión física, es decir, que los servicios estén en términos geográficos al alcance de toda la población y, en especial de la población vulnerable, una dimensión económica que se refiere a la asequibilidad del servicio, e incorpora el mandato de no discriminación; </w:t>
      </w:r>
      <w:proofErr w:type="spellStart"/>
      <w:r>
        <w:rPr>
          <w:rFonts w:ascii="Bookman Old Style" w:eastAsia="Bookman Old Style" w:hAnsi="Bookman Old Style" w:cs="Bookman Old Style"/>
          <w:color w:val="000000"/>
        </w:rPr>
        <w:t>iii</w:t>
      </w:r>
      <w:proofErr w:type="spellEnd"/>
      <w:r>
        <w:rPr>
          <w:rFonts w:ascii="Bookman Old Style" w:eastAsia="Bookman Old Style" w:hAnsi="Bookman Old Style" w:cs="Bookman Old Style"/>
          <w:color w:val="000000"/>
        </w:rPr>
        <w:t xml:space="preserve">) la aceptabilidad, que involucra estándares éticos, apropiación cultural de los servicios e inclusión de enfoques diferenciales, como el de género, el etario o el étnico; y </w:t>
      </w:r>
      <w:proofErr w:type="spellStart"/>
      <w:r>
        <w:rPr>
          <w:rFonts w:ascii="Bookman Old Style" w:eastAsia="Bookman Old Style" w:hAnsi="Bookman Old Style" w:cs="Bookman Old Style"/>
          <w:color w:val="000000"/>
        </w:rPr>
        <w:t>iv</w:t>
      </w:r>
      <w:proofErr w:type="spellEnd"/>
      <w:r>
        <w:rPr>
          <w:rFonts w:ascii="Bookman Old Style" w:eastAsia="Bookman Old Style" w:hAnsi="Bookman Old Style" w:cs="Bookman Old Style"/>
          <w:color w:val="000000"/>
        </w:rPr>
        <w:t>) la calidad, es decir, que los servicios sean apropiados desde el punto de vista científico y médico.</w:t>
      </w:r>
    </w:p>
    <w:p w14:paraId="588507DE" w14:textId="77777777" w:rsidR="00335A1D" w:rsidRDefault="00335A1D" w:rsidP="00335A1D">
      <w:pPr>
        <w:ind w:right="-93"/>
        <w:jc w:val="both"/>
        <w:rPr>
          <w:rFonts w:ascii="Bookman Old Style" w:eastAsia="Bookman Old Style" w:hAnsi="Bookman Old Style" w:cs="Bookman Old Style"/>
        </w:rPr>
      </w:pPr>
    </w:p>
    <w:p w14:paraId="028BACCA" w14:textId="77777777" w:rsidR="00335A1D" w:rsidRDefault="00335A1D" w:rsidP="00335A1D">
      <w:pPr>
        <w:numPr>
          <w:ilvl w:val="0"/>
          <w:numId w:val="2"/>
        </w:numPr>
        <w:pBdr>
          <w:top w:val="nil"/>
          <w:left w:val="nil"/>
          <w:bottom w:val="nil"/>
          <w:right w:val="nil"/>
          <w:between w:val="nil"/>
        </w:pBdr>
        <w:ind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el caso del procedimiento para que los niños, niñas y adolescentes ejerzan el derecho a morir dignamente en la modalidad de muerte médicamente asistida las etapas generales serán las siguientes: </w:t>
      </w:r>
    </w:p>
    <w:p w14:paraId="43706C64" w14:textId="77777777" w:rsidR="00335A1D" w:rsidRDefault="00335A1D" w:rsidP="00335A1D">
      <w:pPr>
        <w:ind w:right="-93"/>
        <w:jc w:val="both"/>
        <w:rPr>
          <w:rFonts w:ascii="Bookman Old Style" w:eastAsia="Bookman Old Style" w:hAnsi="Bookman Old Style" w:cs="Bookman Old Style"/>
        </w:rPr>
      </w:pPr>
    </w:p>
    <w:p w14:paraId="4AFB1C36" w14:textId="77777777" w:rsidR="00335A1D" w:rsidRDefault="00335A1D" w:rsidP="00335A1D">
      <w:pPr>
        <w:pBdr>
          <w:top w:val="nil"/>
          <w:left w:val="nil"/>
          <w:bottom w:val="nil"/>
          <w:right w:val="nil"/>
          <w:between w:val="nil"/>
        </w:pBdr>
        <w:ind w:left="720" w:right="-9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 la manifestación libre del niño, niña o adolescente -NNA, de sus padres, o de sus representantes legales, de que padece una enfermedad terminal y sufre dolores intensos que lo llevan a querer ejercer el derecho a la muerte digna; (</w:t>
      </w:r>
      <w:proofErr w:type="spellStart"/>
      <w:r>
        <w:rPr>
          <w:rFonts w:ascii="Bookman Old Style" w:eastAsia="Bookman Old Style" w:hAnsi="Bookman Old Style" w:cs="Bookman Old Style"/>
          <w:color w:val="000000"/>
        </w:rPr>
        <w:t>ii</w:t>
      </w:r>
      <w:proofErr w:type="spellEnd"/>
      <w:r>
        <w:rPr>
          <w:rFonts w:ascii="Bookman Old Style" w:eastAsia="Bookman Old Style" w:hAnsi="Bookman Old Style" w:cs="Bookman Old Style"/>
          <w:color w:val="000000"/>
        </w:rPr>
        <w:t>) tal manifestación deberá hacerse ante el médico tratante; (</w:t>
      </w:r>
      <w:proofErr w:type="spellStart"/>
      <w:r>
        <w:rPr>
          <w:rFonts w:ascii="Bookman Old Style" w:eastAsia="Bookman Old Style" w:hAnsi="Bookman Old Style" w:cs="Bookman Old Style"/>
          <w:color w:val="000000"/>
        </w:rPr>
        <w:t>iii</w:t>
      </w:r>
      <w:proofErr w:type="spellEnd"/>
      <w:r>
        <w:rPr>
          <w:rFonts w:ascii="Bookman Old Style" w:eastAsia="Bookman Old Style" w:hAnsi="Bookman Old Style" w:cs="Bookman Old Style"/>
          <w:color w:val="000000"/>
        </w:rPr>
        <w:t>) la convocatoria del comité científico interdisciplinario por parte del médico tratante; (</w:t>
      </w:r>
      <w:proofErr w:type="spellStart"/>
      <w:r>
        <w:rPr>
          <w:rFonts w:ascii="Bookman Old Style" w:eastAsia="Bookman Old Style" w:hAnsi="Bookman Old Style" w:cs="Bookman Old Style"/>
          <w:color w:val="000000"/>
        </w:rPr>
        <w:t>iv</w:t>
      </w:r>
      <w:proofErr w:type="spellEnd"/>
      <w:r>
        <w:rPr>
          <w:rFonts w:ascii="Bookman Old Style" w:eastAsia="Bookman Old Style" w:hAnsi="Bookman Old Style" w:cs="Bookman Old Style"/>
          <w:color w:val="000000"/>
        </w:rPr>
        <w:t>) la reiteración de la intención inequívoca de morir. Establecido el cumplimiento de los requisitos, en un plazo no superior a diez días calendario se le preguntará al paciente si se mantiene en su decisión; (v) en caso de que la respuesta sea afirmativa, el comité determinará el cumplimiento de los requisitos y programará el procedimiento para el momento que indique el paciente o máximo en el término de quince días después de reiterada su decisión. En cualquier momento los niños, niñas o adolescentes, o sus representantes podrán desistir de su decisión; (vi) el estudio de las solicitudes en cada etapa deberá considerar la madurez emocional de cada niño, niña o adolescente y, cuando sea aplicable, diseñar mecanismos para la manifestación del consentimiento sustituto por los dos padres del menor de edad o quienes tengan su representación legal.</w:t>
      </w:r>
    </w:p>
    <w:p w14:paraId="1E7612F8" w14:textId="77777777" w:rsidR="00335A1D" w:rsidRDefault="00335A1D" w:rsidP="00335A1D">
      <w:pPr>
        <w:ind w:right="-93"/>
        <w:jc w:val="both"/>
        <w:rPr>
          <w:rFonts w:ascii="Bookman Old Style" w:eastAsia="Bookman Old Style" w:hAnsi="Bookman Old Style" w:cs="Bookman Old Style"/>
        </w:rPr>
      </w:pPr>
    </w:p>
    <w:p w14:paraId="32C27548" w14:textId="77777777" w:rsidR="00335A1D" w:rsidRDefault="00335A1D" w:rsidP="00335A1D">
      <w:pPr>
        <w:numPr>
          <w:ilvl w:val="1"/>
          <w:numId w:val="5"/>
        </w:numPr>
        <w:pBdr>
          <w:top w:val="nil"/>
          <w:left w:val="nil"/>
          <w:bottom w:val="nil"/>
          <w:right w:val="nil"/>
          <w:between w:val="nil"/>
        </w:pBdr>
        <w:ind w:right="-93"/>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SITUACIÓN ACTUAL. BARRERAS, PROBLEMAS Y CIFRAS DE ACCESO A LA MUERTE MÉDICAMENTE ASISTIDA EN COLOMBIA.</w:t>
      </w:r>
    </w:p>
    <w:p w14:paraId="691A260B" w14:textId="77777777" w:rsidR="00335A1D" w:rsidRDefault="00335A1D" w:rsidP="00335A1D">
      <w:pPr>
        <w:ind w:right="-93"/>
        <w:jc w:val="both"/>
        <w:rPr>
          <w:rFonts w:ascii="Bookman Old Style" w:eastAsia="Bookman Old Style" w:hAnsi="Bookman Old Style" w:cs="Bookman Old Style"/>
          <w:b/>
        </w:rPr>
      </w:pPr>
    </w:p>
    <w:p w14:paraId="2B325A80"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información provista por el Ministerio de Salud y Protección Social desde el 2015 y a corte del 30 de marzo de 2020, se habían realizado y reportado en Colombia 92 procedimientos de muerte médicamente asistida. De acuerdo con los datos de la referida cartera, para junio de 2021 la cifra había aumentado a 149 procedimientos. </w:t>
      </w:r>
    </w:p>
    <w:p w14:paraId="45C6A68F" w14:textId="77777777" w:rsidR="00335A1D" w:rsidRDefault="00335A1D" w:rsidP="00335A1D">
      <w:pPr>
        <w:ind w:right="-93"/>
        <w:jc w:val="both"/>
        <w:rPr>
          <w:rFonts w:ascii="Bookman Old Style" w:eastAsia="Bookman Old Style" w:hAnsi="Bookman Old Style" w:cs="Bookman Old Style"/>
        </w:rPr>
      </w:pPr>
    </w:p>
    <w:p w14:paraId="70F08F6B"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Es dable considerar que existe un subregistro toda vez que solo se registran las solicitudes que culminan con la realización del procedimiento de muerte médicamente asistida. Por ende, queda claro que el Ministerio de Salud y Protección Social no lleva recuento de las solicitudes que por voluntad del paciente o por barreras de acceso no alcanzan a garantizar el derecho a morir dignamente. </w:t>
      </w:r>
    </w:p>
    <w:p w14:paraId="57BAE30C" w14:textId="77777777" w:rsidR="00335A1D" w:rsidRDefault="00335A1D" w:rsidP="00335A1D">
      <w:pPr>
        <w:ind w:right="-93"/>
        <w:jc w:val="both"/>
        <w:rPr>
          <w:rFonts w:ascii="Bookman Old Style" w:eastAsia="Bookman Old Style" w:hAnsi="Bookman Old Style" w:cs="Bookman Old Style"/>
        </w:rPr>
      </w:pPr>
    </w:p>
    <w:p w14:paraId="37A521D8"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La única información disponible respecto del número de peticiones, también provista por el propio Ministerio, con respaldo de los Comités Interdisciplinarios encargados de verificar el cumplimiento de los requisitos para el acceso a servicios de muerte digna, sugiere que, en instituciones de cuarto nivel, se realizan en promedio seis (6) de cada quince (15) solicitudes. Esto corresponde a cerca del 40% del total de solicitudes.  </w:t>
      </w:r>
    </w:p>
    <w:p w14:paraId="5510372E" w14:textId="77777777" w:rsidR="00335A1D" w:rsidRDefault="00335A1D" w:rsidP="00335A1D">
      <w:pPr>
        <w:ind w:right="-93"/>
        <w:jc w:val="both"/>
        <w:rPr>
          <w:rFonts w:ascii="Bookman Old Style" w:eastAsia="Bookman Old Style" w:hAnsi="Bookman Old Style" w:cs="Bookman Old Style"/>
        </w:rPr>
      </w:pPr>
    </w:p>
    <w:p w14:paraId="6A21C623"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El año en que más procedimientos se realizó fue el 2019, seguido del 2018. La inmensa mayoría de los procedimientos que se habían realizado a corte de marzo </w:t>
      </w:r>
      <w:r>
        <w:rPr>
          <w:rFonts w:ascii="Bookman Old Style" w:eastAsia="Bookman Old Style" w:hAnsi="Bookman Old Style" w:cs="Bookman Old Style"/>
        </w:rPr>
        <w:lastRenderedPageBreak/>
        <w:t>de 2020 respondieron a pacientes de cáncer (82 de los 92).</w:t>
      </w:r>
      <w:r>
        <w:rPr>
          <w:rFonts w:ascii="Bookman Old Style" w:eastAsia="Bookman Old Style" w:hAnsi="Bookman Old Style" w:cs="Bookman Old Style"/>
          <w:vertAlign w:val="superscript"/>
        </w:rPr>
        <w:footnoteReference w:id="3"/>
      </w:r>
      <w:r>
        <w:rPr>
          <w:rFonts w:ascii="Bookman Old Style" w:eastAsia="Bookman Old Style" w:hAnsi="Bookman Old Style" w:cs="Bookman Old Style"/>
        </w:rPr>
        <w:t xml:space="preserve"> De acuerdo con información de la Corte Constitucional, solo uno de esos 92 procedimientos, en 2018, se realizó empleando para ello la figura del consentimiento sustituto.</w:t>
      </w:r>
      <w:r>
        <w:rPr>
          <w:rFonts w:ascii="Bookman Old Style" w:eastAsia="Bookman Old Style" w:hAnsi="Bookman Old Style" w:cs="Bookman Old Style"/>
          <w:vertAlign w:val="superscript"/>
        </w:rPr>
        <w:footnoteReference w:id="4"/>
      </w:r>
      <w:r>
        <w:rPr>
          <w:rFonts w:ascii="Bookman Old Style" w:eastAsia="Bookman Old Style" w:hAnsi="Bookman Old Style" w:cs="Bookman Old Style"/>
        </w:rPr>
        <w:t xml:space="preserve"> </w:t>
      </w:r>
    </w:p>
    <w:p w14:paraId="2CBB122B" w14:textId="77777777" w:rsidR="00335A1D" w:rsidRDefault="00335A1D" w:rsidP="00335A1D">
      <w:pPr>
        <w:ind w:right="-93"/>
        <w:jc w:val="both"/>
        <w:rPr>
          <w:rFonts w:ascii="Bookman Old Style" w:eastAsia="Bookman Old Style" w:hAnsi="Bookman Old Style" w:cs="Bookman Old Style"/>
        </w:rPr>
      </w:pPr>
    </w:p>
    <w:p w14:paraId="1FB4D337" w14:textId="77777777" w:rsidR="00335A1D" w:rsidRDefault="00335A1D" w:rsidP="00335A1D">
      <w:pPr>
        <w:ind w:right="-93"/>
        <w:jc w:val="both"/>
        <w:rPr>
          <w:rFonts w:ascii="Bookman Old Style" w:eastAsia="Bookman Old Style" w:hAnsi="Bookman Old Style" w:cs="Bookman Old Style"/>
        </w:rPr>
      </w:pPr>
      <w:r>
        <w:rPr>
          <w:rFonts w:ascii="Bookman Old Style" w:eastAsia="Bookman Old Style" w:hAnsi="Bookman Old Style" w:cs="Bookman Old Style"/>
        </w:rPr>
        <w:t xml:space="preserve">Conforme con el Protocolo para la aplicación del procedimiento de eutanasia del Ministerio de Salud y Protección Social y de la información provista por ese Ministerio, desde el 2015 la recomendación técnico-científica para que el procedimiento sea efectivo y rápido es aplicar alguno de los siguientes cinco medicamentos: Lidocaína sin epinefrina, Midazolam, </w:t>
      </w:r>
      <w:proofErr w:type="spellStart"/>
      <w:r>
        <w:rPr>
          <w:rFonts w:ascii="Bookman Old Style" w:eastAsia="Bookman Old Style" w:hAnsi="Bookman Old Style" w:cs="Bookman Old Style"/>
        </w:rPr>
        <w:t>Fentanyl</w:t>
      </w:r>
      <w:proofErr w:type="spellEnd"/>
      <w:r>
        <w:rPr>
          <w:rFonts w:ascii="Bookman Old Style" w:eastAsia="Bookman Old Style" w:hAnsi="Bookman Old Style" w:cs="Bookman Old Style"/>
        </w:rPr>
        <w:t>, Propofol o Tiopental Sódico o Vecuronio. Esto en dosis que van respectivamente entre los 2mg/kg, 1mg/kg, 25mg/kg, 20 o 30mg/km y 1mg/kg. A su vez, el tiempo de latencia reportado para los referidos fármacos es respectivamente de 10, 30, 30-45, 30-45, 30-45 o 90 segundos.</w:t>
      </w:r>
      <w:r>
        <w:rPr>
          <w:rFonts w:ascii="Bookman Old Style" w:eastAsia="Bookman Old Style" w:hAnsi="Bookman Old Style" w:cs="Bookman Old Style"/>
          <w:vertAlign w:val="superscript"/>
        </w:rPr>
        <w:footnoteReference w:id="5"/>
      </w:r>
      <w:r>
        <w:rPr>
          <w:rFonts w:ascii="Bookman Old Style" w:eastAsia="Bookman Old Style" w:hAnsi="Bookman Old Style" w:cs="Bookman Old Style"/>
        </w:rPr>
        <w:t xml:space="preserve"> </w:t>
      </w:r>
    </w:p>
    <w:p w14:paraId="7717A56A" w14:textId="77777777" w:rsidR="00335A1D" w:rsidRDefault="00335A1D" w:rsidP="00335A1D">
      <w:pPr>
        <w:widowControl w:val="0"/>
        <w:pBdr>
          <w:top w:val="nil"/>
          <w:left w:val="nil"/>
          <w:bottom w:val="nil"/>
          <w:right w:val="nil"/>
          <w:between w:val="nil"/>
        </w:pBdr>
        <w:ind w:right="474"/>
        <w:rPr>
          <w:color w:val="0D0D0D"/>
        </w:rPr>
      </w:pPr>
    </w:p>
    <w:p w14:paraId="6131DBCD"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 su turno, la Superintendencia de Salud, en la intervención que realizó ante la Corte Constitucional en el proceso que dio lugar a la sentencia C-233 de 2021, reportó que había recibido 38 quejas, reclamos o solicitudes relacionades con la aplicación de diferentes mecanismos para acceder a la muerte digna. De acuerdo con la Superintendencia son siete los asuntos centrales sobre los que versan esas peticiones, quejas y sugerencias, a saber: </w:t>
      </w:r>
    </w:p>
    <w:p w14:paraId="50CA30E5"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77C2B0D5"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demora para la autorización de los procedimientos.</w:t>
      </w:r>
    </w:p>
    <w:p w14:paraId="0306CDF3"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falta de oportunidad para la asignación especializada.</w:t>
      </w:r>
    </w:p>
    <w:p w14:paraId="37178C6A"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tardanza en la autorización de los procedimientos y medicamentos no incluidos en los planes básicos de salud.</w:t>
      </w:r>
    </w:p>
    <w:p w14:paraId="1D728DA3"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las quejas originadas en el seguimiento a derechos de petición.</w:t>
      </w:r>
    </w:p>
    <w:p w14:paraId="4EB06980"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no aplicación de normas, guías o protocolos de atención.</w:t>
      </w:r>
    </w:p>
    <w:p w14:paraId="60CC31AF"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la demora o ausencia de autorización de cirugías o de entrega de medicamentos excluidos de los planes básicos de salud. </w:t>
      </w:r>
    </w:p>
    <w:p w14:paraId="149AECC8" w14:textId="77777777" w:rsidR="00335A1D" w:rsidRDefault="00335A1D" w:rsidP="00335A1D">
      <w:pPr>
        <w:widowControl w:val="0"/>
        <w:numPr>
          <w:ilvl w:val="0"/>
          <w:numId w:val="6"/>
        </w:numPr>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la existencia de un conjunto de quejas asociadas a problemas de información sobre los servicios, los derechos, deberes y trámites para el acceso a la muerte digna.</w:t>
      </w:r>
    </w:p>
    <w:p w14:paraId="167A5ED8"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6F95420F"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Así, las principales barreras para acceder a la muerte médicamente asistida, y por esa vía para ver garantizado el derecho a la muerte digna, versan sobre dificultades para autorizar el procedimiento, la falta de información para acceder, y las demoras en la prestación del servicio.</w:t>
      </w:r>
    </w:p>
    <w:p w14:paraId="4C141F20"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3AFAFB32" w14:textId="77777777" w:rsidR="00335A1D" w:rsidRDefault="00335A1D" w:rsidP="00335A1D">
      <w:pPr>
        <w:widowControl w:val="0"/>
        <w:numPr>
          <w:ilvl w:val="1"/>
          <w:numId w:val="5"/>
        </w:numPr>
        <w:pBdr>
          <w:top w:val="nil"/>
          <w:left w:val="nil"/>
          <w:bottom w:val="nil"/>
          <w:right w:val="nil"/>
          <w:between w:val="nil"/>
        </w:pBdr>
        <w:ind w:right="-93"/>
        <w:jc w:val="both"/>
        <w:rPr>
          <w:rFonts w:ascii="Bookman Old Style" w:eastAsia="Bookman Old Style" w:hAnsi="Bookman Old Style" w:cs="Bookman Old Style"/>
          <w:b/>
          <w:color w:val="0D0D0D"/>
        </w:rPr>
      </w:pPr>
      <w:r>
        <w:rPr>
          <w:rFonts w:ascii="Bookman Old Style" w:eastAsia="Bookman Old Style" w:hAnsi="Bookman Old Style" w:cs="Bookman Old Style"/>
          <w:b/>
          <w:color w:val="0D0D0D"/>
        </w:rPr>
        <w:lastRenderedPageBreak/>
        <w:t>PERSPECTIVA COMPARADA DE LA REGULACIÓN DEL DERECHO A MORIR DIGNAMENTE Y EN PARTICULAR DE LA MUERTE MÉDICAMENTE ASISTIDA.</w:t>
      </w:r>
    </w:p>
    <w:p w14:paraId="49838E92"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b/>
          <w:color w:val="0D0D0D"/>
        </w:rPr>
      </w:pPr>
    </w:p>
    <w:p w14:paraId="570155F9"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 nivel global, el derecho a morir dignamente y en particular el mecanismo de muerte médicamente asistida no ha estado exento de debate. El reconocimiento del referido derecho y de la mencionada modalidad para ejercerlo ha llegado tanto como resultado de procesos de discusión democrático en los congresos y parlamentos de diversos estados como por acción del poder judicial o incluso mediante mecanismos de participación directa como los referendos. </w:t>
      </w:r>
    </w:p>
    <w:p w14:paraId="694C109D"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26264B1A"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Así las cosas, en el mundo este ha sido un derecho que se encuentre o bien positivizado por textos legales o que ha sido desarrollado y reconocido por vía jurisprudencial. Estados como Canadá, Holanda, Bélgica, Estados Unidos y Luxemburgo fueron pioneros en alcanzar textos legales que regulan el ejercicio de la potestad de poner fin a la vida con asistencia médica. </w:t>
      </w:r>
    </w:p>
    <w:p w14:paraId="261BE5C9"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p>
    <w:p w14:paraId="174B127C" w14:textId="77777777" w:rsidR="00335A1D" w:rsidRDefault="00335A1D" w:rsidP="00335A1D">
      <w:pPr>
        <w:widowControl w:val="0"/>
        <w:pBdr>
          <w:top w:val="nil"/>
          <w:left w:val="nil"/>
          <w:bottom w:val="nil"/>
          <w:right w:val="nil"/>
          <w:between w:val="nil"/>
        </w:pBdr>
        <w:ind w:right="-93"/>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Autores como Marín-Olalla (2018) señalan que en todo caso la denominación legal del derecho a la muerte digna y de la muerte médicamente asistida varía en cada locación. </w:t>
      </w:r>
    </w:p>
    <w:p w14:paraId="3610D6F2" w14:textId="77777777" w:rsidR="00335A1D" w:rsidRDefault="00335A1D" w:rsidP="00335A1D">
      <w:pPr>
        <w:jc w:val="both"/>
        <w:rPr>
          <w:rFonts w:ascii="Bookman Old Style" w:eastAsia="Bookman Old Style" w:hAnsi="Bookman Old Style" w:cs="Bookman Old Style"/>
          <w:i/>
        </w:rPr>
      </w:pPr>
    </w:p>
    <w:p w14:paraId="3F12C8B9"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“En los Países Bajos, país pionero en su regulación, la ley de eutanasia (2002) se llama «de terminación de la vida» a petición propia, mientras que en Bélgica se llama «ley de eutanasia» (2002). En Oregón, el suicidio asistido se regula en la «ley de muerte con dignidad» (</w:t>
      </w:r>
      <w:proofErr w:type="spellStart"/>
      <w:r>
        <w:rPr>
          <w:rFonts w:ascii="Bookman Old Style" w:eastAsia="Bookman Old Style" w:hAnsi="Bookman Old Style" w:cs="Bookman Old Style"/>
          <w:i/>
        </w:rPr>
        <w:t>Death</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with</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Dignity</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Act</w:t>
      </w:r>
      <w:proofErr w:type="spellEnd"/>
      <w:r>
        <w:rPr>
          <w:rFonts w:ascii="Bookman Old Style" w:eastAsia="Bookman Old Style" w:hAnsi="Bookman Old Style" w:cs="Bookman Old Style"/>
          <w:i/>
        </w:rPr>
        <w:t>, 1998), y en California, en la «ley de opción al final de la vida» (</w:t>
      </w:r>
      <w:proofErr w:type="spellStart"/>
      <w:r>
        <w:rPr>
          <w:rFonts w:ascii="Bookman Old Style" w:eastAsia="Bookman Old Style" w:hAnsi="Bookman Old Style" w:cs="Bookman Old Style"/>
          <w:i/>
        </w:rPr>
        <w:t>End</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of</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Life</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Option</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Act</w:t>
      </w:r>
      <w:proofErr w:type="spellEnd"/>
      <w:r>
        <w:rPr>
          <w:rFonts w:ascii="Bookman Old Style" w:eastAsia="Bookman Old Style" w:hAnsi="Bookman Old Style" w:cs="Bookman Old Style"/>
          <w:i/>
        </w:rPr>
        <w:t xml:space="preserve">, 2015). En Canadá, es la «ley de ayuda médica para morir» (Medical </w:t>
      </w:r>
      <w:proofErr w:type="spellStart"/>
      <w:r>
        <w:rPr>
          <w:rFonts w:ascii="Bookman Old Style" w:eastAsia="Bookman Old Style" w:hAnsi="Bookman Old Style" w:cs="Bookman Old Style"/>
          <w:i/>
        </w:rPr>
        <w:t>Assistance</w:t>
      </w:r>
      <w:proofErr w:type="spellEnd"/>
      <w:r>
        <w:rPr>
          <w:rFonts w:ascii="Bookman Old Style" w:eastAsia="Bookman Old Style" w:hAnsi="Bookman Old Style" w:cs="Bookman Old Style"/>
          <w:i/>
        </w:rPr>
        <w:t xml:space="preserve"> in </w:t>
      </w:r>
      <w:proofErr w:type="spellStart"/>
      <w:r>
        <w:rPr>
          <w:rFonts w:ascii="Bookman Old Style" w:eastAsia="Bookman Old Style" w:hAnsi="Bookman Old Style" w:cs="Bookman Old Style"/>
          <w:i/>
        </w:rPr>
        <w:t>Dying</w:t>
      </w:r>
      <w:proofErr w:type="spellEnd"/>
      <w:r>
        <w:rPr>
          <w:rFonts w:ascii="Bookman Old Style" w:eastAsia="Bookman Old Style" w:hAnsi="Bookman Old Style" w:cs="Bookman Old Style"/>
          <w:i/>
        </w:rPr>
        <w:t>, 2016), y en Victoria Australia) es la «ley de muerte voluntaria asistida» (</w:t>
      </w:r>
      <w:proofErr w:type="spellStart"/>
      <w:r>
        <w:rPr>
          <w:rFonts w:ascii="Bookman Old Style" w:eastAsia="Bookman Old Style" w:hAnsi="Bookman Old Style" w:cs="Bookman Old Style"/>
          <w:i/>
        </w:rPr>
        <w:t>Voluntary</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Assisted</w:t>
      </w:r>
      <w:proofErr w:type="spellEnd"/>
      <w:r>
        <w:rPr>
          <w:rFonts w:ascii="Bookman Old Style" w:eastAsia="Bookman Old Style" w:hAnsi="Bookman Old Style" w:cs="Bookman Old Style"/>
          <w:i/>
        </w:rPr>
        <w:t xml:space="preserve"> </w:t>
      </w:r>
      <w:proofErr w:type="spellStart"/>
      <w:r>
        <w:rPr>
          <w:rFonts w:ascii="Bookman Old Style" w:eastAsia="Bookman Old Style" w:hAnsi="Bookman Old Style" w:cs="Bookman Old Style"/>
          <w:i/>
        </w:rPr>
        <w:t>Dying</w:t>
      </w:r>
      <w:proofErr w:type="spellEnd"/>
      <w:r>
        <w:rPr>
          <w:rFonts w:ascii="Bookman Old Style" w:eastAsia="Bookman Old Style" w:hAnsi="Bookman Old Style" w:cs="Bookman Old Style"/>
          <w:i/>
        </w:rPr>
        <w:t xml:space="preserve"> Bill, 2017)”.</w:t>
      </w:r>
      <w:r>
        <w:rPr>
          <w:rFonts w:ascii="Bookman Old Style" w:eastAsia="Bookman Old Style" w:hAnsi="Bookman Old Style" w:cs="Bookman Old Style"/>
          <w:i/>
          <w:vertAlign w:val="superscript"/>
        </w:rPr>
        <w:footnoteReference w:id="6"/>
      </w:r>
    </w:p>
    <w:p w14:paraId="4EAB2DA2" w14:textId="77777777" w:rsidR="00335A1D" w:rsidRDefault="00335A1D" w:rsidP="00335A1D">
      <w:pPr>
        <w:ind w:right="1325"/>
        <w:jc w:val="both"/>
        <w:rPr>
          <w:rFonts w:ascii="Bookman Old Style" w:eastAsia="Bookman Old Style" w:hAnsi="Bookman Old Style" w:cs="Bookman Old Style"/>
          <w:i/>
        </w:rPr>
      </w:pPr>
    </w:p>
    <w:p w14:paraId="1802842F" w14:textId="77777777"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t xml:space="preserve">En la actualidad varios Estados entre los que figura Alemania, Austria, Portugal, Irlanda, Francia y Chile en el caso latinoamericano detentan desarrollos jurisprudenciales y/o discuten la eventual aprobación de leyes que regulen la materia, lo que les permitiría sumarse a la precitada lista de Estados donde esta posibilidad ya está legalmente reconocida. </w:t>
      </w:r>
    </w:p>
    <w:p w14:paraId="3395BADE" w14:textId="77777777" w:rsidR="00335A1D" w:rsidRDefault="00335A1D" w:rsidP="00335A1D">
      <w:pPr>
        <w:ind w:right="49"/>
        <w:jc w:val="both"/>
        <w:rPr>
          <w:rFonts w:ascii="Bookman Old Style" w:eastAsia="Bookman Old Style" w:hAnsi="Bookman Old Style" w:cs="Bookman Old Style"/>
        </w:rPr>
      </w:pPr>
    </w:p>
    <w:p w14:paraId="122EAE8B" w14:textId="33004465" w:rsidR="00335A1D" w:rsidRDefault="00335A1D" w:rsidP="00335A1D">
      <w:pPr>
        <w:ind w:right="49"/>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A continuación, se condensa en una tabla el estado actual y la naturaleza y alcance de esos desarrollos jurisprudenciales o de los proyectos de ley que hacen su tránsito legislativo en los mencionados países. </w:t>
      </w:r>
    </w:p>
    <w:p w14:paraId="2C4CB747" w14:textId="161FD771" w:rsidR="00A01559" w:rsidRDefault="00A01559" w:rsidP="00335A1D">
      <w:pPr>
        <w:ind w:right="49"/>
        <w:jc w:val="both"/>
        <w:rPr>
          <w:rFonts w:ascii="Bookman Old Style" w:eastAsia="Bookman Old Style" w:hAnsi="Bookman Old Style" w:cs="Bookman Old Style"/>
        </w:rPr>
      </w:pPr>
    </w:p>
    <w:p w14:paraId="5E98C9D0" w14:textId="26832082" w:rsidR="00A01559" w:rsidRDefault="00A01559" w:rsidP="00335A1D">
      <w:pPr>
        <w:ind w:right="49"/>
        <w:jc w:val="both"/>
        <w:rPr>
          <w:rFonts w:ascii="Bookman Old Style" w:eastAsia="Bookman Old Style" w:hAnsi="Bookman Old Style" w:cs="Bookman Old Style"/>
        </w:rPr>
      </w:pPr>
    </w:p>
    <w:p w14:paraId="0F82DCF1" w14:textId="2A62C87E" w:rsidR="00A01559" w:rsidRDefault="00A01559" w:rsidP="00335A1D">
      <w:pPr>
        <w:ind w:right="49"/>
        <w:jc w:val="both"/>
        <w:rPr>
          <w:rFonts w:ascii="Bookman Old Style" w:eastAsia="Bookman Old Style" w:hAnsi="Bookman Old Style" w:cs="Bookman Old Style"/>
        </w:rPr>
      </w:pPr>
    </w:p>
    <w:p w14:paraId="2AB2536E" w14:textId="16376BA5" w:rsidR="00A01559" w:rsidRDefault="00A01559" w:rsidP="00335A1D">
      <w:pPr>
        <w:ind w:right="49"/>
        <w:jc w:val="both"/>
        <w:rPr>
          <w:rFonts w:ascii="Bookman Old Style" w:eastAsia="Bookman Old Style" w:hAnsi="Bookman Old Style" w:cs="Bookman Old Style"/>
        </w:rPr>
      </w:pPr>
    </w:p>
    <w:p w14:paraId="672953C2" w14:textId="377F29DF" w:rsidR="00A01559" w:rsidRDefault="00A01559" w:rsidP="00335A1D">
      <w:pPr>
        <w:ind w:right="49"/>
        <w:jc w:val="both"/>
        <w:rPr>
          <w:rFonts w:ascii="Bookman Old Style" w:eastAsia="Bookman Old Style" w:hAnsi="Bookman Old Style" w:cs="Bookman Old Style"/>
        </w:rPr>
      </w:pPr>
    </w:p>
    <w:p w14:paraId="2476152C" w14:textId="6117058F" w:rsidR="00A01559" w:rsidRDefault="00A01559" w:rsidP="00335A1D">
      <w:pPr>
        <w:ind w:right="49"/>
        <w:jc w:val="both"/>
        <w:rPr>
          <w:rFonts w:ascii="Bookman Old Style" w:eastAsia="Bookman Old Style" w:hAnsi="Bookman Old Style" w:cs="Bookman Old Style"/>
        </w:rPr>
      </w:pPr>
    </w:p>
    <w:p w14:paraId="4B3D3137" w14:textId="0595E4E6" w:rsidR="00A01559" w:rsidRDefault="00A01559" w:rsidP="00335A1D">
      <w:pPr>
        <w:ind w:right="49"/>
        <w:jc w:val="both"/>
        <w:rPr>
          <w:rFonts w:ascii="Bookman Old Style" w:eastAsia="Bookman Old Style" w:hAnsi="Bookman Old Style" w:cs="Bookman Old Style"/>
        </w:rPr>
      </w:pPr>
    </w:p>
    <w:p w14:paraId="627AFDD4" w14:textId="2368A9A6" w:rsidR="00A01559" w:rsidRDefault="00A01559" w:rsidP="00335A1D">
      <w:pPr>
        <w:ind w:right="49"/>
        <w:jc w:val="both"/>
        <w:rPr>
          <w:rFonts w:ascii="Bookman Old Style" w:eastAsia="Bookman Old Style" w:hAnsi="Bookman Old Style" w:cs="Bookman Old Style"/>
        </w:rPr>
      </w:pPr>
    </w:p>
    <w:p w14:paraId="014113E9" w14:textId="38A57383" w:rsidR="00A01559" w:rsidRDefault="00A01559" w:rsidP="00335A1D">
      <w:pPr>
        <w:ind w:right="49"/>
        <w:jc w:val="both"/>
        <w:rPr>
          <w:rFonts w:ascii="Bookman Old Style" w:eastAsia="Bookman Old Style" w:hAnsi="Bookman Old Style" w:cs="Bookman Old Style"/>
        </w:rPr>
      </w:pPr>
    </w:p>
    <w:p w14:paraId="3E4D4654" w14:textId="77777777" w:rsidR="00A01559" w:rsidRDefault="00A01559" w:rsidP="00335A1D">
      <w:pPr>
        <w:ind w:right="49"/>
        <w:jc w:val="both"/>
        <w:rPr>
          <w:rFonts w:ascii="Bookman Old Style" w:eastAsia="Bookman Old Style" w:hAnsi="Bookman Old Style" w:cs="Bookman Old Style"/>
        </w:rPr>
      </w:pPr>
    </w:p>
    <w:p w14:paraId="23EAC072" w14:textId="77777777" w:rsidR="00335A1D" w:rsidRDefault="00335A1D" w:rsidP="00335A1D">
      <w:pPr>
        <w:ind w:left="709" w:right="1325"/>
        <w:jc w:val="both"/>
        <w:rPr>
          <w:rFonts w:ascii="Bookman Old Style" w:eastAsia="Bookman Old Style" w:hAnsi="Bookman Old Style" w:cs="Bookman Old Style"/>
          <w:i/>
        </w:rPr>
      </w:pPr>
    </w:p>
    <w:p w14:paraId="7FE5A6DC" w14:textId="77777777" w:rsidR="00335A1D" w:rsidRDefault="00335A1D" w:rsidP="00335A1D">
      <w:pPr>
        <w:pBdr>
          <w:top w:val="nil"/>
          <w:left w:val="nil"/>
          <w:bottom w:val="nil"/>
          <w:right w:val="nil"/>
          <w:between w:val="nil"/>
        </w:pBdr>
        <w:spacing w:after="160"/>
        <w:jc w:val="both"/>
        <w:rPr>
          <w:b/>
          <w:color w:val="000000"/>
        </w:rPr>
      </w:pPr>
      <w:r>
        <w:rPr>
          <w:rFonts w:ascii="Bookman Old Style" w:eastAsia="Bookman Old Style" w:hAnsi="Bookman Old Style" w:cs="Bookman Old Style"/>
          <w:b/>
          <w:color w:val="000000"/>
        </w:rPr>
        <w:t>Tabla. Discusiones, avances e iniciativas regulatorias de la muerte médicamente asistida en el mundo. Experiencias legislativas y jurisprudenciales:</w:t>
      </w:r>
      <w:r>
        <w:rPr>
          <w:vertAlign w:val="superscript"/>
        </w:rPr>
        <w:t xml:space="preserve">  </w:t>
      </w:r>
      <w:r>
        <w:rPr>
          <w:b/>
          <w:color w:val="000000"/>
          <w:vertAlign w:val="superscript"/>
        </w:rPr>
        <w:footnoteReference w:id="7"/>
      </w:r>
    </w:p>
    <w:tbl>
      <w:tblPr>
        <w:tblStyle w:val="a1"/>
        <w:tblW w:w="9776"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271"/>
        <w:gridCol w:w="1276"/>
        <w:gridCol w:w="1276"/>
        <w:gridCol w:w="1417"/>
        <w:gridCol w:w="1843"/>
        <w:gridCol w:w="1417"/>
        <w:gridCol w:w="1276"/>
      </w:tblGrid>
      <w:tr w:rsidR="00335A1D" w14:paraId="437ACB41" w14:textId="77777777" w:rsidTr="00624B14">
        <w:trPr>
          <w:trHeight w:val="610"/>
          <w:tblHeader/>
        </w:trPr>
        <w:tc>
          <w:tcPr>
            <w:tcW w:w="1271" w:type="dxa"/>
            <w:shd w:val="clear" w:color="auto" w:fill="FFD965"/>
          </w:tcPr>
          <w:p w14:paraId="283F30C5"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País</w:t>
            </w:r>
          </w:p>
        </w:tc>
        <w:tc>
          <w:tcPr>
            <w:tcW w:w="1276" w:type="dxa"/>
            <w:shd w:val="clear" w:color="auto" w:fill="FFD965"/>
          </w:tcPr>
          <w:p w14:paraId="1B3ED04F"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Edad requerida y otras condiciones</w:t>
            </w:r>
          </w:p>
        </w:tc>
        <w:tc>
          <w:tcPr>
            <w:tcW w:w="1276" w:type="dxa"/>
            <w:shd w:val="clear" w:color="auto" w:fill="FFD965"/>
          </w:tcPr>
          <w:p w14:paraId="53CA18E6"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Norma previa objeto de discusión</w:t>
            </w:r>
          </w:p>
        </w:tc>
        <w:tc>
          <w:tcPr>
            <w:tcW w:w="1417" w:type="dxa"/>
            <w:shd w:val="clear" w:color="auto" w:fill="FFD965"/>
          </w:tcPr>
          <w:p w14:paraId="0B2A2439"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Condiciones o padecimiento requerido</w:t>
            </w:r>
          </w:p>
        </w:tc>
        <w:tc>
          <w:tcPr>
            <w:tcW w:w="1843" w:type="dxa"/>
            <w:shd w:val="clear" w:color="auto" w:fill="FFD965"/>
          </w:tcPr>
          <w:p w14:paraId="6ABC4B10"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Sentido y alcance del reconocimiento</w:t>
            </w:r>
          </w:p>
        </w:tc>
        <w:tc>
          <w:tcPr>
            <w:tcW w:w="1417" w:type="dxa"/>
            <w:shd w:val="clear" w:color="auto" w:fill="FFD965"/>
          </w:tcPr>
          <w:p w14:paraId="54989308"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Medio en que se ha dado la discusión y actor relevante</w:t>
            </w:r>
          </w:p>
        </w:tc>
        <w:tc>
          <w:tcPr>
            <w:tcW w:w="1276" w:type="dxa"/>
            <w:shd w:val="clear" w:color="auto" w:fill="FFD965"/>
          </w:tcPr>
          <w:p w14:paraId="7C4D7B29" w14:textId="77777777" w:rsidR="00335A1D" w:rsidRDefault="00335A1D" w:rsidP="00624B14">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Año de discusión</w:t>
            </w:r>
          </w:p>
        </w:tc>
      </w:tr>
      <w:tr w:rsidR="00335A1D" w14:paraId="4BCE5FCF" w14:textId="77777777" w:rsidTr="00624B14">
        <w:trPr>
          <w:trHeight w:val="1024"/>
        </w:trPr>
        <w:tc>
          <w:tcPr>
            <w:tcW w:w="1271" w:type="dxa"/>
            <w:shd w:val="clear" w:color="auto" w:fill="FFFFFF"/>
          </w:tcPr>
          <w:p w14:paraId="58D46417"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Alemania</w:t>
            </w:r>
            <w:r>
              <w:rPr>
                <w:rFonts w:ascii="Bookman Old Style" w:eastAsia="Bookman Old Style" w:hAnsi="Bookman Old Style" w:cs="Bookman Old Style"/>
                <w:b/>
                <w:sz w:val="20"/>
                <w:szCs w:val="20"/>
                <w:vertAlign w:val="superscript"/>
              </w:rPr>
              <w:footnoteReference w:id="8"/>
            </w:r>
          </w:p>
        </w:tc>
        <w:tc>
          <w:tcPr>
            <w:tcW w:w="1276" w:type="dxa"/>
            <w:shd w:val="clear" w:color="auto" w:fill="FFFFFF"/>
          </w:tcPr>
          <w:p w14:paraId="67109A46"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Garantizado en todas las etapas de la vida de la persona </w:t>
            </w:r>
          </w:p>
        </w:tc>
        <w:tc>
          <w:tcPr>
            <w:tcW w:w="1276" w:type="dxa"/>
            <w:shd w:val="clear" w:color="auto" w:fill="FFFFFF"/>
          </w:tcPr>
          <w:p w14:paraId="02FB5A0F"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Artículo 217 del Código Penal. Ayuda al Suicidio.</w:t>
            </w:r>
          </w:p>
        </w:tc>
        <w:tc>
          <w:tcPr>
            <w:tcW w:w="1417" w:type="dxa"/>
            <w:shd w:val="clear" w:color="auto" w:fill="FFFFFF"/>
          </w:tcPr>
          <w:p w14:paraId="7FBA90C4"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limita únicamente a enfermedades graves o incurables. </w:t>
            </w:r>
          </w:p>
        </w:tc>
        <w:tc>
          <w:tcPr>
            <w:tcW w:w="1843" w:type="dxa"/>
            <w:shd w:val="clear" w:color="auto" w:fill="FFFFFF"/>
          </w:tcPr>
          <w:p w14:paraId="3350AC9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máximo tribunal alemán determinó que es inconstitucional el artículo de código penal que </w:t>
            </w:r>
            <w:r>
              <w:rPr>
                <w:rFonts w:ascii="Bookman Old Style" w:eastAsia="Bookman Old Style" w:hAnsi="Bookman Old Style" w:cs="Bookman Old Style"/>
                <w:sz w:val="20"/>
                <w:szCs w:val="20"/>
              </w:rPr>
              <w:lastRenderedPageBreak/>
              <w:t xml:space="preserve">prohibía el suicidio asistido. Reconoció que esa práctica es manifestación del derecho a una muerte autodeterminada que comprende la libertad de quitarse la </w:t>
            </w:r>
            <w:proofErr w:type="spellStart"/>
            <w:proofErr w:type="gramStart"/>
            <w:r>
              <w:rPr>
                <w:rFonts w:ascii="Bookman Old Style" w:eastAsia="Bookman Old Style" w:hAnsi="Bookman Old Style" w:cs="Bookman Old Style"/>
                <w:sz w:val="20"/>
                <w:szCs w:val="20"/>
              </w:rPr>
              <w:t>vida.y</w:t>
            </w:r>
            <w:proofErr w:type="spellEnd"/>
            <w:proofErr w:type="gramEnd"/>
            <w:r>
              <w:rPr>
                <w:rFonts w:ascii="Bookman Old Style" w:eastAsia="Bookman Old Style" w:hAnsi="Bookman Old Style" w:cs="Bookman Old Style"/>
                <w:sz w:val="20"/>
                <w:szCs w:val="20"/>
              </w:rPr>
              <w:t xml:space="preserve"> la libertad de buscar la asistencia de terceros para hacerlo. </w:t>
            </w:r>
          </w:p>
        </w:tc>
        <w:tc>
          <w:tcPr>
            <w:tcW w:w="1417" w:type="dxa"/>
            <w:shd w:val="clear" w:color="auto" w:fill="FFFFFF"/>
          </w:tcPr>
          <w:p w14:paraId="38F8D65F"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 Poder judicial.</w:t>
            </w:r>
          </w:p>
          <w:p w14:paraId="3D44CDFB"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Sentencia del Tribunal Federal Alemán.</w:t>
            </w:r>
            <w:r>
              <w:rPr>
                <w:rFonts w:ascii="Bookman Old Style" w:eastAsia="Bookman Old Style" w:hAnsi="Bookman Old Style" w:cs="Bookman Old Style"/>
                <w:sz w:val="20"/>
                <w:szCs w:val="20"/>
                <w:vertAlign w:val="superscript"/>
              </w:rPr>
              <w:footnoteReference w:id="9"/>
            </w:r>
            <w:r>
              <w:rPr>
                <w:rFonts w:ascii="Bookman Old Style" w:eastAsia="Bookman Old Style" w:hAnsi="Bookman Old Style" w:cs="Bookman Old Style"/>
                <w:sz w:val="20"/>
                <w:szCs w:val="20"/>
              </w:rPr>
              <w:t xml:space="preserve"> </w:t>
            </w:r>
          </w:p>
          <w:p w14:paraId="139EFD5D"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556A90D5"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Reconoció la competencia del legislador para regular la actividad garantizando un margen suficiente para que las persona puedan ejercer su derecho a la muerte autodeterminada.</w:t>
            </w:r>
          </w:p>
        </w:tc>
        <w:tc>
          <w:tcPr>
            <w:tcW w:w="1276" w:type="dxa"/>
            <w:shd w:val="clear" w:color="auto" w:fill="FFFFFF"/>
          </w:tcPr>
          <w:p w14:paraId="7443101F"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2020</w:t>
            </w:r>
          </w:p>
        </w:tc>
      </w:tr>
      <w:tr w:rsidR="00335A1D" w14:paraId="51276505" w14:textId="77777777" w:rsidTr="00624B14">
        <w:trPr>
          <w:trHeight w:val="1024"/>
        </w:trPr>
        <w:tc>
          <w:tcPr>
            <w:tcW w:w="1271" w:type="dxa"/>
            <w:shd w:val="clear" w:color="auto" w:fill="FFFFFF"/>
          </w:tcPr>
          <w:p w14:paraId="473E6D6D"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Austria</w:t>
            </w:r>
          </w:p>
        </w:tc>
        <w:tc>
          <w:tcPr>
            <w:tcW w:w="1276" w:type="dxa"/>
            <w:shd w:val="clear" w:color="auto" w:fill="FFFFFF"/>
          </w:tcPr>
          <w:p w14:paraId="40F8D7A6"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se especifica</w:t>
            </w:r>
          </w:p>
        </w:tc>
        <w:tc>
          <w:tcPr>
            <w:tcW w:w="1276" w:type="dxa"/>
            <w:shd w:val="clear" w:color="auto" w:fill="FFFFFF"/>
          </w:tcPr>
          <w:p w14:paraId="2575C81C"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Artículo 78 del Código Penal. Asistencia o ayuda al suicidio.</w:t>
            </w:r>
          </w:p>
          <w:p w14:paraId="328A949E" w14:textId="77777777" w:rsidR="00335A1D" w:rsidRDefault="00335A1D" w:rsidP="00624B14">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Mantuvo la tipificación de la inducción </w:t>
            </w:r>
            <w:r>
              <w:rPr>
                <w:rFonts w:ascii="Bookman Old Style" w:eastAsia="Bookman Old Style" w:hAnsi="Bookman Old Style" w:cs="Bookman Old Style"/>
                <w:sz w:val="20"/>
                <w:szCs w:val="20"/>
              </w:rPr>
              <w:lastRenderedPageBreak/>
              <w:t xml:space="preserve">al suicidio. </w:t>
            </w:r>
          </w:p>
        </w:tc>
        <w:tc>
          <w:tcPr>
            <w:tcW w:w="1417" w:type="dxa"/>
            <w:shd w:val="clear" w:color="auto" w:fill="FFFFFF"/>
          </w:tcPr>
          <w:p w14:paraId="09743EF4" w14:textId="77777777" w:rsidR="00335A1D" w:rsidRDefault="00335A1D" w:rsidP="00624B14">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No se especifica</w:t>
            </w:r>
          </w:p>
        </w:tc>
        <w:tc>
          <w:tcPr>
            <w:tcW w:w="1843" w:type="dxa"/>
            <w:shd w:val="clear" w:color="auto" w:fill="FFFFFF"/>
          </w:tcPr>
          <w:p w14:paraId="4B9FCA0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máximo tribunal austriaco determinó que es inconstitucional el artículo del código penal que prohibía la asistencia o ayuda al suicidio. </w:t>
            </w:r>
          </w:p>
          <w:p w14:paraId="4C16D2B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Reconoció que esa práctica se da en ejercicio legítimo de la libre autodeterminación y guarda relación con la vida, la vida privada y la igualdad. Reconoció el derecho a la muerte digna y a organizar la vida propia. </w:t>
            </w:r>
          </w:p>
        </w:tc>
        <w:tc>
          <w:tcPr>
            <w:tcW w:w="1417" w:type="dxa"/>
            <w:shd w:val="clear" w:color="auto" w:fill="FFFFFF"/>
          </w:tcPr>
          <w:p w14:paraId="229DFA8A"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Poder judicial.</w:t>
            </w:r>
          </w:p>
          <w:p w14:paraId="21A14DFC"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Sentencia del Tribunal Constitucional.</w:t>
            </w:r>
            <w:r>
              <w:rPr>
                <w:rFonts w:ascii="Bookman Old Style" w:eastAsia="Bookman Old Style" w:hAnsi="Bookman Old Style" w:cs="Bookman Old Style"/>
                <w:sz w:val="20"/>
                <w:szCs w:val="20"/>
                <w:vertAlign w:val="superscript"/>
              </w:rPr>
              <w:footnoteReference w:id="10"/>
            </w:r>
          </w:p>
          <w:p w14:paraId="44398BD2"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Reconoció la competencia del legislador para </w:t>
            </w:r>
            <w:r>
              <w:rPr>
                <w:rFonts w:ascii="Bookman Old Style" w:eastAsia="Bookman Old Style" w:hAnsi="Bookman Old Style" w:cs="Bookman Old Style"/>
                <w:sz w:val="20"/>
                <w:szCs w:val="20"/>
              </w:rPr>
              <w:lastRenderedPageBreak/>
              <w:t xml:space="preserve">regular la actividad garantizando que se prevengan abusos y que la decisión de suicidarse sea libre y no bajo la presión de terceros. </w:t>
            </w:r>
          </w:p>
        </w:tc>
        <w:tc>
          <w:tcPr>
            <w:tcW w:w="1276" w:type="dxa"/>
            <w:shd w:val="clear" w:color="auto" w:fill="FFFFFF"/>
          </w:tcPr>
          <w:p w14:paraId="6EB5D7DE"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2020</w:t>
            </w:r>
            <w:r>
              <w:rPr>
                <w:rFonts w:ascii="Bookman Old Style" w:eastAsia="Bookman Old Style" w:hAnsi="Bookman Old Style" w:cs="Bookman Old Style"/>
                <w:sz w:val="20"/>
                <w:szCs w:val="20"/>
                <w:vertAlign w:val="superscript"/>
              </w:rPr>
              <w:footnoteReference w:id="11"/>
            </w:r>
          </w:p>
        </w:tc>
      </w:tr>
      <w:tr w:rsidR="00335A1D" w14:paraId="757CE9BD" w14:textId="77777777" w:rsidTr="00624B14">
        <w:trPr>
          <w:trHeight w:val="1024"/>
        </w:trPr>
        <w:tc>
          <w:tcPr>
            <w:tcW w:w="1271" w:type="dxa"/>
            <w:shd w:val="clear" w:color="auto" w:fill="FFFFFF"/>
          </w:tcPr>
          <w:p w14:paraId="6F5B56F1"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Chile</w:t>
            </w:r>
            <w:r>
              <w:rPr>
                <w:rFonts w:ascii="Bookman Old Style" w:eastAsia="Bookman Old Style" w:hAnsi="Bookman Old Style" w:cs="Bookman Old Style"/>
                <w:b/>
                <w:sz w:val="20"/>
                <w:szCs w:val="20"/>
                <w:vertAlign w:val="superscript"/>
              </w:rPr>
              <w:footnoteReference w:id="12"/>
            </w:r>
          </w:p>
        </w:tc>
        <w:tc>
          <w:tcPr>
            <w:tcW w:w="1276" w:type="dxa"/>
            <w:shd w:val="clear" w:color="auto" w:fill="FFFFFF"/>
          </w:tcPr>
          <w:p w14:paraId="1E234B7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mayor de 18 años.</w:t>
            </w:r>
          </w:p>
          <w:p w14:paraId="4B140900" w14:textId="77777777" w:rsidR="00335A1D" w:rsidRDefault="00335A1D" w:rsidP="00624B14">
            <w:pPr>
              <w:jc w:val="both"/>
              <w:rPr>
                <w:rFonts w:ascii="Bookman Old Style" w:eastAsia="Bookman Old Style" w:hAnsi="Bookman Old Style" w:cs="Bookman Old Style"/>
                <w:sz w:val="20"/>
                <w:szCs w:val="20"/>
              </w:rPr>
            </w:pPr>
          </w:p>
          <w:p w14:paraId="5AAA11E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Ciudadano chileno o persona residente en el país al menos 12 meses antes de la solicitud. </w:t>
            </w:r>
          </w:p>
        </w:tc>
        <w:tc>
          <w:tcPr>
            <w:tcW w:w="1276" w:type="dxa"/>
            <w:shd w:val="clear" w:color="auto" w:fill="FFFFFF"/>
          </w:tcPr>
          <w:p w14:paraId="497CA62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Proceso de aprobación de la ley</w:t>
            </w:r>
          </w:p>
        </w:tc>
        <w:tc>
          <w:tcPr>
            <w:tcW w:w="1417" w:type="dxa"/>
            <w:shd w:val="clear" w:color="auto" w:fill="FFFFFF"/>
          </w:tcPr>
          <w:p w14:paraId="4DFEEF9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Problema de salud grave e irremediable. Debe ser enfermedad terminal, que cause dolencia seria e incurable, una disminución de las capacidades causando dolores y sufrimientos </w:t>
            </w:r>
            <w:r>
              <w:rPr>
                <w:rFonts w:ascii="Bookman Old Style" w:eastAsia="Bookman Old Style" w:hAnsi="Bookman Old Style" w:cs="Bookman Old Style"/>
                <w:sz w:val="20"/>
                <w:szCs w:val="20"/>
              </w:rPr>
              <w:lastRenderedPageBreak/>
              <w:t xml:space="preserve">intolerables que no se puede aliviar. </w:t>
            </w:r>
          </w:p>
          <w:p w14:paraId="483A9AB8"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0B4E726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Asistencia médica para morir y cuidados paliativos. Implica que médico suministre o entregue a la persona para su autoadministración una sustancia que cause su muerte. </w:t>
            </w:r>
          </w:p>
          <w:p w14:paraId="5B872F3B" w14:textId="77777777" w:rsidR="00335A1D" w:rsidRDefault="00335A1D" w:rsidP="00624B14">
            <w:pPr>
              <w:jc w:val="both"/>
              <w:rPr>
                <w:rFonts w:ascii="Bookman Old Style" w:eastAsia="Bookman Old Style" w:hAnsi="Bookman Old Style" w:cs="Bookman Old Style"/>
                <w:sz w:val="20"/>
                <w:szCs w:val="20"/>
              </w:rPr>
            </w:pPr>
          </w:p>
          <w:p w14:paraId="6C2BE08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requiere certificado de </w:t>
            </w:r>
            <w:proofErr w:type="spellStart"/>
            <w:r>
              <w:rPr>
                <w:rFonts w:ascii="Bookman Old Style" w:eastAsia="Bookman Old Style" w:hAnsi="Bookman Old Style" w:cs="Bookman Old Style"/>
                <w:sz w:val="20"/>
                <w:szCs w:val="20"/>
              </w:rPr>
              <w:t>medico</w:t>
            </w:r>
            <w:proofErr w:type="spellEnd"/>
            <w:r>
              <w:rPr>
                <w:rFonts w:ascii="Bookman Old Style" w:eastAsia="Bookman Old Style" w:hAnsi="Bookman Old Style" w:cs="Bookman Old Style"/>
                <w:sz w:val="20"/>
                <w:szCs w:val="20"/>
              </w:rPr>
              <w:t xml:space="preserve"> </w:t>
            </w:r>
            <w:r>
              <w:rPr>
                <w:rFonts w:ascii="Bookman Old Style" w:eastAsia="Bookman Old Style" w:hAnsi="Bookman Old Style" w:cs="Bookman Old Style"/>
                <w:sz w:val="20"/>
                <w:szCs w:val="20"/>
              </w:rPr>
              <w:lastRenderedPageBreak/>
              <w:t xml:space="preserve">psiquiatra y manifestación de voluntad expresa, razonada, reiterada, inequívoca y libre. </w:t>
            </w:r>
          </w:p>
          <w:p w14:paraId="6A513258" w14:textId="77777777" w:rsidR="00335A1D" w:rsidRDefault="00335A1D" w:rsidP="00624B14">
            <w:pPr>
              <w:jc w:val="both"/>
              <w:rPr>
                <w:rFonts w:ascii="Bookman Old Style" w:eastAsia="Bookman Old Style" w:hAnsi="Bookman Old Style" w:cs="Bookman Old Style"/>
                <w:sz w:val="20"/>
                <w:szCs w:val="20"/>
              </w:rPr>
            </w:pPr>
          </w:p>
          <w:p w14:paraId="480546B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Protección contra acción penal del Estado para los médicos que estén involucrados en la prestación de la asistencia médica para morir. </w:t>
            </w:r>
          </w:p>
        </w:tc>
        <w:tc>
          <w:tcPr>
            <w:tcW w:w="1417" w:type="dxa"/>
            <w:shd w:val="clear" w:color="auto" w:fill="FFFFFF"/>
          </w:tcPr>
          <w:p w14:paraId="0D75BD49"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Cámara de Diputados</w:t>
            </w:r>
          </w:p>
        </w:tc>
        <w:tc>
          <w:tcPr>
            <w:tcW w:w="1276" w:type="dxa"/>
            <w:shd w:val="clear" w:color="auto" w:fill="FFFFFF"/>
          </w:tcPr>
          <w:p w14:paraId="78EB49D8"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 aprobada en la Cámara de Diputados</w:t>
            </w:r>
            <w:r>
              <w:rPr>
                <w:rFonts w:ascii="Bookman Old Style" w:eastAsia="Bookman Old Style" w:hAnsi="Bookman Old Style" w:cs="Bookman Old Style"/>
                <w:sz w:val="20"/>
                <w:szCs w:val="20"/>
                <w:vertAlign w:val="superscript"/>
              </w:rPr>
              <w:footnoteReference w:id="13"/>
            </w:r>
          </w:p>
        </w:tc>
      </w:tr>
      <w:tr w:rsidR="00335A1D" w14:paraId="345224A0" w14:textId="77777777" w:rsidTr="00624B14">
        <w:trPr>
          <w:trHeight w:val="1220"/>
        </w:trPr>
        <w:tc>
          <w:tcPr>
            <w:tcW w:w="1271" w:type="dxa"/>
            <w:shd w:val="clear" w:color="auto" w:fill="FFFFFF"/>
          </w:tcPr>
          <w:p w14:paraId="541FE4AE"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Francia</w:t>
            </w:r>
          </w:p>
          <w:p w14:paraId="6694CC23" w14:textId="77777777" w:rsidR="00335A1D" w:rsidRDefault="00335A1D" w:rsidP="00624B14">
            <w:pPr>
              <w:jc w:val="both"/>
              <w:rPr>
                <w:rFonts w:ascii="Bookman Old Style" w:eastAsia="Bookman Old Style" w:hAnsi="Bookman Old Style" w:cs="Bookman Old Style"/>
                <w:b/>
                <w:sz w:val="20"/>
                <w:szCs w:val="20"/>
              </w:rPr>
            </w:pPr>
          </w:p>
          <w:p w14:paraId="75684E40" w14:textId="77777777" w:rsidR="00335A1D" w:rsidRDefault="00335A1D" w:rsidP="00624B14">
            <w:pPr>
              <w:jc w:val="both"/>
              <w:rPr>
                <w:rFonts w:ascii="Bookman Old Style" w:eastAsia="Bookman Old Style" w:hAnsi="Bookman Old Style" w:cs="Bookman Old Style"/>
                <w:b/>
                <w:sz w:val="20"/>
                <w:szCs w:val="20"/>
              </w:rPr>
            </w:pPr>
          </w:p>
          <w:p w14:paraId="3D8EF0E6" w14:textId="77777777" w:rsidR="00335A1D" w:rsidRDefault="00335A1D" w:rsidP="00624B14">
            <w:pPr>
              <w:jc w:val="both"/>
              <w:rPr>
                <w:rFonts w:ascii="Bookman Old Style" w:eastAsia="Bookman Old Style" w:hAnsi="Bookman Old Style" w:cs="Bookman Old Style"/>
                <w:b/>
                <w:sz w:val="20"/>
                <w:szCs w:val="20"/>
              </w:rPr>
            </w:pPr>
          </w:p>
          <w:p w14:paraId="2FBC86F1" w14:textId="77777777" w:rsidR="00335A1D" w:rsidRDefault="00335A1D" w:rsidP="00624B14">
            <w:pPr>
              <w:jc w:val="both"/>
              <w:rPr>
                <w:rFonts w:ascii="Bookman Old Style" w:eastAsia="Bookman Old Style" w:hAnsi="Bookman Old Style" w:cs="Bookman Old Style"/>
                <w:b/>
                <w:sz w:val="20"/>
                <w:szCs w:val="20"/>
              </w:rPr>
            </w:pPr>
          </w:p>
          <w:p w14:paraId="6E9187CA" w14:textId="77777777" w:rsidR="00335A1D" w:rsidRDefault="00335A1D" w:rsidP="00624B14">
            <w:pPr>
              <w:jc w:val="both"/>
              <w:rPr>
                <w:rFonts w:ascii="Bookman Old Style" w:eastAsia="Bookman Old Style" w:hAnsi="Bookman Old Style" w:cs="Bookman Old Style"/>
                <w:b/>
                <w:sz w:val="20"/>
                <w:szCs w:val="20"/>
              </w:rPr>
            </w:pPr>
          </w:p>
          <w:p w14:paraId="60135215" w14:textId="77777777" w:rsidR="00335A1D" w:rsidRDefault="00335A1D" w:rsidP="00624B14">
            <w:pPr>
              <w:jc w:val="both"/>
              <w:rPr>
                <w:rFonts w:ascii="Bookman Old Style" w:eastAsia="Bookman Old Style" w:hAnsi="Bookman Old Style" w:cs="Bookman Old Style"/>
                <w:b/>
                <w:sz w:val="20"/>
                <w:szCs w:val="20"/>
              </w:rPr>
            </w:pPr>
          </w:p>
          <w:p w14:paraId="6040D9A7" w14:textId="77777777" w:rsidR="00335A1D" w:rsidRDefault="00335A1D" w:rsidP="00624B14">
            <w:pPr>
              <w:jc w:val="both"/>
              <w:rPr>
                <w:rFonts w:ascii="Bookman Old Style" w:eastAsia="Bookman Old Style" w:hAnsi="Bookman Old Style" w:cs="Bookman Old Style"/>
                <w:b/>
                <w:sz w:val="20"/>
                <w:szCs w:val="20"/>
              </w:rPr>
            </w:pPr>
          </w:p>
          <w:p w14:paraId="32EAB655" w14:textId="715C8A0F" w:rsidR="00335A1D" w:rsidRDefault="00335A1D" w:rsidP="00624B14">
            <w:pPr>
              <w:jc w:val="both"/>
              <w:rPr>
                <w:rFonts w:ascii="Bookman Old Style" w:eastAsia="Bookman Old Style" w:hAnsi="Bookman Old Style" w:cs="Bookman Old Style"/>
                <w:b/>
                <w:sz w:val="20"/>
                <w:szCs w:val="20"/>
              </w:rPr>
            </w:pPr>
          </w:p>
          <w:p w14:paraId="06296268" w14:textId="77777777" w:rsidR="00A01559" w:rsidRDefault="00A01559" w:rsidP="00624B14">
            <w:pPr>
              <w:jc w:val="both"/>
              <w:rPr>
                <w:rFonts w:ascii="Bookman Old Style" w:eastAsia="Bookman Old Style" w:hAnsi="Bookman Old Style" w:cs="Bookman Old Style"/>
                <w:b/>
                <w:sz w:val="20"/>
                <w:szCs w:val="20"/>
              </w:rPr>
            </w:pPr>
          </w:p>
          <w:p w14:paraId="7161AC79" w14:textId="77777777" w:rsidR="00335A1D" w:rsidRDefault="00335A1D" w:rsidP="00624B14">
            <w:pPr>
              <w:jc w:val="both"/>
              <w:rPr>
                <w:rFonts w:ascii="Bookman Old Style" w:eastAsia="Bookman Old Style" w:hAnsi="Bookman Old Style" w:cs="Bookman Old Style"/>
                <w:b/>
                <w:sz w:val="20"/>
                <w:szCs w:val="20"/>
              </w:rPr>
            </w:pPr>
          </w:p>
          <w:p w14:paraId="4B2296BE" w14:textId="77777777" w:rsidR="00335A1D" w:rsidRDefault="00335A1D" w:rsidP="00624B14">
            <w:pPr>
              <w:jc w:val="both"/>
              <w:rPr>
                <w:rFonts w:ascii="Bookman Old Style" w:eastAsia="Bookman Old Style" w:hAnsi="Bookman Old Style" w:cs="Bookman Old Style"/>
                <w:b/>
                <w:sz w:val="20"/>
                <w:szCs w:val="20"/>
              </w:rPr>
            </w:pPr>
          </w:p>
          <w:p w14:paraId="08FDC960"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________</w:t>
            </w:r>
          </w:p>
        </w:tc>
        <w:tc>
          <w:tcPr>
            <w:tcW w:w="1276" w:type="dxa"/>
            <w:shd w:val="clear" w:color="auto" w:fill="FFFFFF"/>
          </w:tcPr>
          <w:p w14:paraId="0B230CE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5AB25653" w14:textId="77777777" w:rsidR="00335A1D" w:rsidRDefault="00335A1D" w:rsidP="00624B14">
            <w:pPr>
              <w:jc w:val="both"/>
              <w:rPr>
                <w:rFonts w:ascii="Bookman Old Style" w:eastAsia="Bookman Old Style" w:hAnsi="Bookman Old Style" w:cs="Bookman Old Style"/>
                <w:sz w:val="20"/>
                <w:szCs w:val="20"/>
              </w:rPr>
            </w:pPr>
          </w:p>
          <w:p w14:paraId="06A6A3A5" w14:textId="77777777" w:rsidR="00335A1D" w:rsidRDefault="00335A1D" w:rsidP="00624B14">
            <w:pPr>
              <w:jc w:val="both"/>
              <w:rPr>
                <w:rFonts w:ascii="Bookman Old Style" w:eastAsia="Bookman Old Style" w:hAnsi="Bookman Old Style" w:cs="Bookman Old Style"/>
                <w:sz w:val="20"/>
                <w:szCs w:val="20"/>
              </w:rPr>
            </w:pPr>
          </w:p>
          <w:p w14:paraId="41E09D39" w14:textId="77777777" w:rsidR="00335A1D" w:rsidRDefault="00335A1D" w:rsidP="00624B14">
            <w:pPr>
              <w:jc w:val="both"/>
              <w:rPr>
                <w:rFonts w:ascii="Bookman Old Style" w:eastAsia="Bookman Old Style" w:hAnsi="Bookman Old Style" w:cs="Bookman Old Style"/>
                <w:sz w:val="20"/>
                <w:szCs w:val="20"/>
              </w:rPr>
            </w:pPr>
          </w:p>
          <w:p w14:paraId="60FC7AF5" w14:textId="77777777" w:rsidR="00335A1D" w:rsidRDefault="00335A1D" w:rsidP="00624B14">
            <w:pPr>
              <w:jc w:val="both"/>
              <w:rPr>
                <w:rFonts w:ascii="Bookman Old Style" w:eastAsia="Bookman Old Style" w:hAnsi="Bookman Old Style" w:cs="Bookman Old Style"/>
                <w:sz w:val="20"/>
                <w:szCs w:val="20"/>
              </w:rPr>
            </w:pPr>
          </w:p>
          <w:p w14:paraId="5105EE62" w14:textId="77777777" w:rsidR="00335A1D" w:rsidRDefault="00335A1D" w:rsidP="00624B14">
            <w:pPr>
              <w:jc w:val="both"/>
              <w:rPr>
                <w:rFonts w:ascii="Bookman Old Style" w:eastAsia="Bookman Old Style" w:hAnsi="Bookman Old Style" w:cs="Bookman Old Style"/>
                <w:sz w:val="20"/>
                <w:szCs w:val="20"/>
              </w:rPr>
            </w:pPr>
          </w:p>
          <w:p w14:paraId="6B96F639" w14:textId="77777777" w:rsidR="00335A1D" w:rsidRDefault="00335A1D" w:rsidP="00624B14">
            <w:pPr>
              <w:jc w:val="both"/>
              <w:rPr>
                <w:rFonts w:ascii="Bookman Old Style" w:eastAsia="Bookman Old Style" w:hAnsi="Bookman Old Style" w:cs="Bookman Old Style"/>
                <w:sz w:val="20"/>
                <w:szCs w:val="20"/>
              </w:rPr>
            </w:pPr>
          </w:p>
          <w:p w14:paraId="1970D3A2" w14:textId="07558B70" w:rsidR="00335A1D" w:rsidRDefault="00335A1D" w:rsidP="00624B14">
            <w:pPr>
              <w:jc w:val="both"/>
              <w:rPr>
                <w:rFonts w:ascii="Bookman Old Style" w:eastAsia="Bookman Old Style" w:hAnsi="Bookman Old Style" w:cs="Bookman Old Style"/>
                <w:sz w:val="20"/>
                <w:szCs w:val="20"/>
              </w:rPr>
            </w:pPr>
          </w:p>
          <w:p w14:paraId="77D2E9B4" w14:textId="77777777" w:rsidR="00A01559" w:rsidRDefault="00A01559" w:rsidP="00624B14">
            <w:pPr>
              <w:jc w:val="both"/>
              <w:rPr>
                <w:rFonts w:ascii="Bookman Old Style" w:eastAsia="Bookman Old Style" w:hAnsi="Bookman Old Style" w:cs="Bookman Old Style"/>
                <w:sz w:val="20"/>
                <w:szCs w:val="20"/>
              </w:rPr>
            </w:pPr>
          </w:p>
          <w:p w14:paraId="1873A91F" w14:textId="77777777" w:rsidR="00335A1D" w:rsidRDefault="00335A1D" w:rsidP="00624B14">
            <w:pPr>
              <w:jc w:val="both"/>
              <w:rPr>
                <w:rFonts w:ascii="Bookman Old Style" w:eastAsia="Bookman Old Style" w:hAnsi="Bookman Old Style" w:cs="Bookman Old Style"/>
                <w:sz w:val="20"/>
                <w:szCs w:val="20"/>
              </w:rPr>
            </w:pPr>
          </w:p>
          <w:p w14:paraId="282BD7BD" w14:textId="77777777" w:rsidR="00335A1D" w:rsidRDefault="00335A1D" w:rsidP="00624B14">
            <w:pPr>
              <w:jc w:val="both"/>
              <w:rPr>
                <w:rFonts w:ascii="Bookman Old Style" w:eastAsia="Bookman Old Style" w:hAnsi="Bookman Old Style" w:cs="Bookman Old Style"/>
                <w:sz w:val="20"/>
                <w:szCs w:val="20"/>
              </w:rPr>
            </w:pPr>
          </w:p>
          <w:p w14:paraId="3500407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w:t>
            </w:r>
          </w:p>
          <w:p w14:paraId="65B59754" w14:textId="77777777" w:rsidR="00335A1D" w:rsidRDefault="00335A1D" w:rsidP="00624B14">
            <w:pPr>
              <w:jc w:val="both"/>
              <w:rPr>
                <w:rFonts w:ascii="Bookman Old Style" w:eastAsia="Bookman Old Style" w:hAnsi="Bookman Old Style" w:cs="Bookman Old Style"/>
                <w:sz w:val="20"/>
                <w:szCs w:val="20"/>
              </w:rPr>
            </w:pPr>
          </w:p>
          <w:p w14:paraId="027B4EA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Personas mayores de edad </w:t>
            </w:r>
          </w:p>
          <w:p w14:paraId="4F852E0A" w14:textId="77777777" w:rsidR="00335A1D" w:rsidRDefault="00335A1D" w:rsidP="00624B14">
            <w:pPr>
              <w:jc w:val="both"/>
              <w:rPr>
                <w:rFonts w:ascii="Bookman Old Style" w:eastAsia="Bookman Old Style" w:hAnsi="Bookman Old Style" w:cs="Bookman Old Style"/>
                <w:sz w:val="20"/>
                <w:szCs w:val="20"/>
              </w:rPr>
            </w:pPr>
          </w:p>
        </w:tc>
        <w:tc>
          <w:tcPr>
            <w:tcW w:w="1276" w:type="dxa"/>
            <w:shd w:val="clear" w:color="auto" w:fill="FFFFFF"/>
          </w:tcPr>
          <w:p w14:paraId="4344198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2693AC4E" w14:textId="77777777" w:rsidR="00335A1D" w:rsidRDefault="00335A1D" w:rsidP="00624B14">
            <w:pPr>
              <w:jc w:val="both"/>
              <w:rPr>
                <w:rFonts w:ascii="Bookman Old Style" w:eastAsia="Bookman Old Style" w:hAnsi="Bookman Old Style" w:cs="Bookman Old Style"/>
                <w:sz w:val="20"/>
                <w:szCs w:val="20"/>
              </w:rPr>
            </w:pPr>
          </w:p>
          <w:p w14:paraId="0A45ED87" w14:textId="77777777" w:rsidR="00335A1D" w:rsidRDefault="00335A1D" w:rsidP="00624B14">
            <w:pPr>
              <w:jc w:val="both"/>
              <w:rPr>
                <w:rFonts w:ascii="Bookman Old Style" w:eastAsia="Bookman Old Style" w:hAnsi="Bookman Old Style" w:cs="Bookman Old Style"/>
                <w:sz w:val="20"/>
                <w:szCs w:val="20"/>
              </w:rPr>
            </w:pPr>
          </w:p>
          <w:p w14:paraId="37B60892" w14:textId="77777777" w:rsidR="00335A1D" w:rsidRDefault="00335A1D" w:rsidP="00624B14">
            <w:pPr>
              <w:jc w:val="both"/>
              <w:rPr>
                <w:rFonts w:ascii="Bookman Old Style" w:eastAsia="Bookman Old Style" w:hAnsi="Bookman Old Style" w:cs="Bookman Old Style"/>
                <w:sz w:val="20"/>
                <w:szCs w:val="20"/>
              </w:rPr>
            </w:pPr>
          </w:p>
          <w:p w14:paraId="5D73892D" w14:textId="77777777" w:rsidR="00335A1D" w:rsidRDefault="00335A1D" w:rsidP="00624B14">
            <w:pPr>
              <w:jc w:val="both"/>
              <w:rPr>
                <w:rFonts w:ascii="Bookman Old Style" w:eastAsia="Bookman Old Style" w:hAnsi="Bookman Old Style" w:cs="Bookman Old Style"/>
                <w:sz w:val="20"/>
                <w:szCs w:val="20"/>
              </w:rPr>
            </w:pPr>
          </w:p>
          <w:p w14:paraId="34626FC5" w14:textId="77777777" w:rsidR="00335A1D" w:rsidRDefault="00335A1D" w:rsidP="00624B14">
            <w:pPr>
              <w:jc w:val="both"/>
              <w:rPr>
                <w:rFonts w:ascii="Bookman Old Style" w:eastAsia="Bookman Old Style" w:hAnsi="Bookman Old Style" w:cs="Bookman Old Style"/>
                <w:sz w:val="20"/>
                <w:szCs w:val="20"/>
              </w:rPr>
            </w:pPr>
          </w:p>
          <w:p w14:paraId="3F66AC09" w14:textId="77777777" w:rsidR="00335A1D" w:rsidRDefault="00335A1D" w:rsidP="00624B14">
            <w:pPr>
              <w:jc w:val="both"/>
              <w:rPr>
                <w:rFonts w:ascii="Bookman Old Style" w:eastAsia="Bookman Old Style" w:hAnsi="Bookman Old Style" w:cs="Bookman Old Style"/>
                <w:sz w:val="20"/>
                <w:szCs w:val="20"/>
              </w:rPr>
            </w:pPr>
          </w:p>
          <w:p w14:paraId="60E2BC72" w14:textId="77777777" w:rsidR="00335A1D" w:rsidRDefault="00335A1D" w:rsidP="00624B14">
            <w:pPr>
              <w:jc w:val="both"/>
              <w:rPr>
                <w:rFonts w:ascii="Bookman Old Style" w:eastAsia="Bookman Old Style" w:hAnsi="Bookman Old Style" w:cs="Bookman Old Style"/>
                <w:sz w:val="20"/>
                <w:szCs w:val="20"/>
              </w:rPr>
            </w:pPr>
          </w:p>
          <w:p w14:paraId="75643FD2" w14:textId="65D50B90" w:rsidR="00335A1D" w:rsidRDefault="00335A1D" w:rsidP="00624B14">
            <w:pPr>
              <w:jc w:val="both"/>
              <w:rPr>
                <w:rFonts w:ascii="Bookman Old Style" w:eastAsia="Bookman Old Style" w:hAnsi="Bookman Old Style" w:cs="Bookman Old Style"/>
                <w:sz w:val="20"/>
                <w:szCs w:val="20"/>
              </w:rPr>
            </w:pPr>
          </w:p>
          <w:p w14:paraId="39297AB7" w14:textId="77777777" w:rsidR="00A01559" w:rsidRDefault="00A01559" w:rsidP="00624B14">
            <w:pPr>
              <w:jc w:val="both"/>
              <w:rPr>
                <w:rFonts w:ascii="Bookman Old Style" w:eastAsia="Bookman Old Style" w:hAnsi="Bookman Old Style" w:cs="Bookman Old Style"/>
                <w:sz w:val="20"/>
                <w:szCs w:val="20"/>
              </w:rPr>
            </w:pPr>
          </w:p>
          <w:p w14:paraId="21F15666" w14:textId="77777777" w:rsidR="00335A1D" w:rsidRDefault="00335A1D" w:rsidP="00624B14">
            <w:pPr>
              <w:jc w:val="both"/>
              <w:rPr>
                <w:rFonts w:ascii="Bookman Old Style" w:eastAsia="Bookman Old Style" w:hAnsi="Bookman Old Style" w:cs="Bookman Old Style"/>
                <w:sz w:val="20"/>
                <w:szCs w:val="20"/>
              </w:rPr>
            </w:pPr>
          </w:p>
          <w:p w14:paraId="428C4B5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w:t>
            </w:r>
          </w:p>
          <w:p w14:paraId="1B32281D" w14:textId="77777777" w:rsidR="00335A1D" w:rsidRDefault="00335A1D" w:rsidP="00624B14">
            <w:pPr>
              <w:jc w:val="both"/>
              <w:rPr>
                <w:rFonts w:ascii="Bookman Old Style" w:eastAsia="Bookman Old Style" w:hAnsi="Bookman Old Style" w:cs="Bookman Old Style"/>
                <w:sz w:val="20"/>
                <w:szCs w:val="20"/>
              </w:rPr>
            </w:pPr>
          </w:p>
          <w:p w14:paraId="6E39912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3182CDAD" w14:textId="77777777" w:rsidR="00335A1D" w:rsidRDefault="00335A1D" w:rsidP="00624B14">
            <w:pPr>
              <w:jc w:val="both"/>
              <w:rPr>
                <w:rFonts w:ascii="Bookman Old Style" w:eastAsia="Bookman Old Style" w:hAnsi="Bookman Old Style" w:cs="Bookman Old Style"/>
                <w:sz w:val="20"/>
                <w:szCs w:val="20"/>
              </w:rPr>
            </w:pPr>
          </w:p>
        </w:tc>
        <w:tc>
          <w:tcPr>
            <w:tcW w:w="1417" w:type="dxa"/>
            <w:shd w:val="clear" w:color="auto" w:fill="FFFFFF"/>
          </w:tcPr>
          <w:p w14:paraId="0219426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especifica</w:t>
            </w:r>
          </w:p>
          <w:p w14:paraId="1E148FF5" w14:textId="77777777" w:rsidR="00335A1D" w:rsidRDefault="00335A1D" w:rsidP="00624B14">
            <w:pPr>
              <w:jc w:val="both"/>
              <w:rPr>
                <w:rFonts w:ascii="Bookman Old Style" w:eastAsia="Bookman Old Style" w:hAnsi="Bookman Old Style" w:cs="Bookman Old Style"/>
                <w:sz w:val="20"/>
                <w:szCs w:val="20"/>
              </w:rPr>
            </w:pPr>
          </w:p>
          <w:p w14:paraId="15E36221" w14:textId="77777777" w:rsidR="00335A1D" w:rsidRDefault="00335A1D" w:rsidP="00624B14">
            <w:pPr>
              <w:jc w:val="both"/>
              <w:rPr>
                <w:rFonts w:ascii="Bookman Old Style" w:eastAsia="Bookman Old Style" w:hAnsi="Bookman Old Style" w:cs="Bookman Old Style"/>
                <w:sz w:val="20"/>
                <w:szCs w:val="20"/>
              </w:rPr>
            </w:pPr>
          </w:p>
          <w:p w14:paraId="4F385857" w14:textId="77777777" w:rsidR="00335A1D" w:rsidRDefault="00335A1D" w:rsidP="00624B14">
            <w:pPr>
              <w:jc w:val="both"/>
              <w:rPr>
                <w:rFonts w:ascii="Bookman Old Style" w:eastAsia="Bookman Old Style" w:hAnsi="Bookman Old Style" w:cs="Bookman Old Style"/>
                <w:sz w:val="20"/>
                <w:szCs w:val="20"/>
              </w:rPr>
            </w:pPr>
          </w:p>
          <w:p w14:paraId="3FA1DEF7" w14:textId="77777777" w:rsidR="00335A1D" w:rsidRDefault="00335A1D" w:rsidP="00624B14">
            <w:pPr>
              <w:jc w:val="both"/>
              <w:rPr>
                <w:rFonts w:ascii="Bookman Old Style" w:eastAsia="Bookman Old Style" w:hAnsi="Bookman Old Style" w:cs="Bookman Old Style"/>
                <w:sz w:val="20"/>
                <w:szCs w:val="20"/>
              </w:rPr>
            </w:pPr>
          </w:p>
          <w:p w14:paraId="3FF39002" w14:textId="77777777" w:rsidR="00335A1D" w:rsidRDefault="00335A1D" w:rsidP="00624B14">
            <w:pPr>
              <w:jc w:val="both"/>
              <w:rPr>
                <w:rFonts w:ascii="Bookman Old Style" w:eastAsia="Bookman Old Style" w:hAnsi="Bookman Old Style" w:cs="Bookman Old Style"/>
                <w:sz w:val="20"/>
                <w:szCs w:val="20"/>
              </w:rPr>
            </w:pPr>
          </w:p>
          <w:p w14:paraId="7DE8743D" w14:textId="358FCC5F" w:rsidR="00335A1D" w:rsidRDefault="00335A1D" w:rsidP="00624B14">
            <w:pPr>
              <w:jc w:val="both"/>
              <w:rPr>
                <w:rFonts w:ascii="Bookman Old Style" w:eastAsia="Bookman Old Style" w:hAnsi="Bookman Old Style" w:cs="Bookman Old Style"/>
                <w:sz w:val="20"/>
                <w:szCs w:val="20"/>
              </w:rPr>
            </w:pPr>
          </w:p>
          <w:p w14:paraId="68A039C4" w14:textId="77777777" w:rsidR="00A01559" w:rsidRDefault="00A01559" w:rsidP="00624B14">
            <w:pPr>
              <w:jc w:val="both"/>
              <w:rPr>
                <w:rFonts w:ascii="Bookman Old Style" w:eastAsia="Bookman Old Style" w:hAnsi="Bookman Old Style" w:cs="Bookman Old Style"/>
                <w:sz w:val="20"/>
                <w:szCs w:val="20"/>
              </w:rPr>
            </w:pPr>
          </w:p>
          <w:p w14:paraId="59C04E5B" w14:textId="77777777" w:rsidR="00335A1D" w:rsidRDefault="00335A1D" w:rsidP="00624B14">
            <w:pPr>
              <w:jc w:val="both"/>
              <w:rPr>
                <w:rFonts w:ascii="Bookman Old Style" w:eastAsia="Bookman Old Style" w:hAnsi="Bookman Old Style" w:cs="Bookman Old Style"/>
                <w:sz w:val="20"/>
                <w:szCs w:val="20"/>
              </w:rPr>
            </w:pPr>
          </w:p>
          <w:p w14:paraId="418ADF30" w14:textId="77777777" w:rsidR="00335A1D" w:rsidRDefault="00335A1D" w:rsidP="00624B14">
            <w:pPr>
              <w:jc w:val="both"/>
              <w:rPr>
                <w:rFonts w:ascii="Bookman Old Style" w:eastAsia="Bookman Old Style" w:hAnsi="Bookman Old Style" w:cs="Bookman Old Style"/>
                <w:sz w:val="20"/>
                <w:szCs w:val="20"/>
              </w:rPr>
            </w:pPr>
          </w:p>
          <w:p w14:paraId="07A0FE05" w14:textId="77777777" w:rsidR="00335A1D" w:rsidRDefault="00335A1D" w:rsidP="00624B14">
            <w:pPr>
              <w:jc w:val="both"/>
              <w:rPr>
                <w:rFonts w:ascii="Bookman Old Style" w:eastAsia="Bookman Old Style" w:hAnsi="Bookman Old Style" w:cs="Bookman Old Style"/>
                <w:sz w:val="20"/>
                <w:szCs w:val="20"/>
              </w:rPr>
            </w:pPr>
          </w:p>
          <w:p w14:paraId="463DC78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___________</w:t>
            </w:r>
          </w:p>
          <w:p w14:paraId="4B1C6B58" w14:textId="77777777" w:rsidR="00335A1D" w:rsidRDefault="00335A1D" w:rsidP="00624B14">
            <w:pPr>
              <w:jc w:val="both"/>
              <w:rPr>
                <w:rFonts w:ascii="Bookman Old Style" w:eastAsia="Bookman Old Style" w:hAnsi="Bookman Old Style" w:cs="Bookman Old Style"/>
                <w:sz w:val="20"/>
                <w:szCs w:val="20"/>
              </w:rPr>
            </w:pPr>
          </w:p>
          <w:p w14:paraId="1C4EFEF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persona sea capaz para decidir</w:t>
            </w:r>
          </w:p>
          <w:p w14:paraId="1D98F89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Que se encuentre en fase avanzada o </w:t>
            </w:r>
            <w:r>
              <w:rPr>
                <w:rFonts w:ascii="Bookman Old Style" w:eastAsia="Bookman Old Style" w:hAnsi="Bookman Old Style" w:cs="Bookman Old Style"/>
                <w:sz w:val="20"/>
                <w:szCs w:val="20"/>
              </w:rPr>
              <w:lastRenderedPageBreak/>
              <w:t>terminal de enfermedad grave, incurable que le cause sufrimiento insoportable o la tenga en estado de dependencia</w:t>
            </w:r>
          </w:p>
        </w:tc>
        <w:tc>
          <w:tcPr>
            <w:tcW w:w="1843" w:type="dxa"/>
            <w:shd w:val="clear" w:color="auto" w:fill="FFFFFF"/>
          </w:tcPr>
          <w:p w14:paraId="10859A0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El Tribunal Supremo reabrió la vía para desconectar a Vincent Lambert, hombre de 42 años tetrapléjico desde 2008 producto de un accidente.</w:t>
            </w:r>
          </w:p>
          <w:p w14:paraId="70733BA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_______________</w:t>
            </w:r>
          </w:p>
          <w:p w14:paraId="0FC4ADEB" w14:textId="77777777" w:rsidR="00335A1D" w:rsidRDefault="00335A1D" w:rsidP="00624B14">
            <w:pPr>
              <w:jc w:val="both"/>
              <w:rPr>
                <w:rFonts w:ascii="Bookman Old Style" w:eastAsia="Bookman Old Style" w:hAnsi="Bookman Old Style" w:cs="Bookman Old Style"/>
                <w:sz w:val="20"/>
                <w:szCs w:val="20"/>
              </w:rPr>
            </w:pPr>
          </w:p>
          <w:p w14:paraId="0750DD0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Permitir la muerte médicamente asistido o el suicidio asistido</w:t>
            </w:r>
          </w:p>
        </w:tc>
        <w:tc>
          <w:tcPr>
            <w:tcW w:w="1417" w:type="dxa"/>
            <w:shd w:val="clear" w:color="auto" w:fill="FFFFFF"/>
          </w:tcPr>
          <w:p w14:paraId="443C020D"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Judicial</w:t>
            </w:r>
          </w:p>
          <w:p w14:paraId="4D278284"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7FC6DAF7"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0ACB2DD8"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2FAA718A" w14:textId="7CB0D41E"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38D28C35" w14:textId="1683750C"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4C2E0601" w14:textId="77777777" w:rsidR="00A01559" w:rsidRDefault="00A01559"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00599544"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p>
          <w:p w14:paraId="07BFF42D"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___________</w:t>
            </w:r>
          </w:p>
          <w:p w14:paraId="6A0704BD"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Cursa un proyecto de ley en el legislativo </w:t>
            </w:r>
            <w:r>
              <w:rPr>
                <w:rFonts w:ascii="Bookman Old Style" w:eastAsia="Bookman Old Style" w:hAnsi="Bookman Old Style" w:cs="Bookman Old Style"/>
                <w:sz w:val="20"/>
                <w:szCs w:val="20"/>
              </w:rPr>
              <w:lastRenderedPageBreak/>
              <w:t xml:space="preserve">de Francia. </w:t>
            </w:r>
            <w:r>
              <w:rPr>
                <w:rFonts w:ascii="Bookman Old Style" w:eastAsia="Bookman Old Style" w:hAnsi="Bookman Old Style" w:cs="Bookman Old Style"/>
                <w:sz w:val="20"/>
                <w:szCs w:val="20"/>
                <w:vertAlign w:val="superscript"/>
              </w:rPr>
              <w:footnoteReference w:id="14"/>
            </w:r>
          </w:p>
        </w:tc>
        <w:tc>
          <w:tcPr>
            <w:tcW w:w="1276" w:type="dxa"/>
            <w:shd w:val="clear" w:color="auto" w:fill="FFFFFF"/>
          </w:tcPr>
          <w:p w14:paraId="2A4DBD30"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2019</w:t>
            </w:r>
          </w:p>
          <w:p w14:paraId="035FB2A2" w14:textId="77777777" w:rsidR="00335A1D" w:rsidRDefault="00335A1D" w:rsidP="00624B14">
            <w:pPr>
              <w:jc w:val="center"/>
              <w:rPr>
                <w:rFonts w:ascii="Bookman Old Style" w:eastAsia="Bookman Old Style" w:hAnsi="Bookman Old Style" w:cs="Bookman Old Style"/>
                <w:sz w:val="20"/>
                <w:szCs w:val="20"/>
              </w:rPr>
            </w:pPr>
          </w:p>
          <w:p w14:paraId="09549C50" w14:textId="77777777" w:rsidR="00335A1D" w:rsidRDefault="00335A1D" w:rsidP="00624B14">
            <w:pPr>
              <w:jc w:val="center"/>
              <w:rPr>
                <w:rFonts w:ascii="Bookman Old Style" w:eastAsia="Bookman Old Style" w:hAnsi="Bookman Old Style" w:cs="Bookman Old Style"/>
                <w:sz w:val="20"/>
                <w:szCs w:val="20"/>
              </w:rPr>
            </w:pPr>
          </w:p>
          <w:p w14:paraId="0DFD6A07" w14:textId="77777777" w:rsidR="00335A1D" w:rsidRDefault="00335A1D" w:rsidP="00624B14">
            <w:pPr>
              <w:jc w:val="center"/>
              <w:rPr>
                <w:rFonts w:ascii="Bookman Old Style" w:eastAsia="Bookman Old Style" w:hAnsi="Bookman Old Style" w:cs="Bookman Old Style"/>
                <w:sz w:val="20"/>
                <w:szCs w:val="20"/>
              </w:rPr>
            </w:pPr>
          </w:p>
          <w:p w14:paraId="4DD95487" w14:textId="77777777" w:rsidR="00335A1D" w:rsidRDefault="00335A1D" w:rsidP="00624B14">
            <w:pPr>
              <w:jc w:val="center"/>
              <w:rPr>
                <w:rFonts w:ascii="Bookman Old Style" w:eastAsia="Bookman Old Style" w:hAnsi="Bookman Old Style" w:cs="Bookman Old Style"/>
                <w:sz w:val="20"/>
                <w:szCs w:val="20"/>
              </w:rPr>
            </w:pPr>
          </w:p>
          <w:p w14:paraId="258C8B8C" w14:textId="77777777" w:rsidR="00335A1D" w:rsidRDefault="00335A1D" w:rsidP="00624B14">
            <w:pPr>
              <w:jc w:val="center"/>
              <w:rPr>
                <w:rFonts w:ascii="Bookman Old Style" w:eastAsia="Bookman Old Style" w:hAnsi="Bookman Old Style" w:cs="Bookman Old Style"/>
                <w:sz w:val="20"/>
                <w:szCs w:val="20"/>
              </w:rPr>
            </w:pPr>
          </w:p>
          <w:p w14:paraId="1BD23ECC" w14:textId="77777777" w:rsidR="00335A1D" w:rsidRDefault="00335A1D" w:rsidP="00624B14">
            <w:pPr>
              <w:jc w:val="center"/>
              <w:rPr>
                <w:rFonts w:ascii="Bookman Old Style" w:eastAsia="Bookman Old Style" w:hAnsi="Bookman Old Style" w:cs="Bookman Old Style"/>
                <w:sz w:val="20"/>
                <w:szCs w:val="20"/>
              </w:rPr>
            </w:pPr>
          </w:p>
          <w:p w14:paraId="6BBFCFC7" w14:textId="292D27C8" w:rsidR="00335A1D" w:rsidRDefault="00335A1D" w:rsidP="00624B14">
            <w:pPr>
              <w:jc w:val="center"/>
              <w:rPr>
                <w:rFonts w:ascii="Bookman Old Style" w:eastAsia="Bookman Old Style" w:hAnsi="Bookman Old Style" w:cs="Bookman Old Style"/>
                <w:sz w:val="20"/>
                <w:szCs w:val="20"/>
              </w:rPr>
            </w:pPr>
          </w:p>
          <w:p w14:paraId="445BF2EE" w14:textId="77777777" w:rsidR="00A01559" w:rsidRDefault="00A01559" w:rsidP="00624B14">
            <w:pPr>
              <w:jc w:val="center"/>
              <w:rPr>
                <w:rFonts w:ascii="Bookman Old Style" w:eastAsia="Bookman Old Style" w:hAnsi="Bookman Old Style" w:cs="Bookman Old Style"/>
                <w:sz w:val="20"/>
                <w:szCs w:val="20"/>
              </w:rPr>
            </w:pPr>
          </w:p>
          <w:p w14:paraId="389303EC" w14:textId="77777777" w:rsidR="00335A1D" w:rsidRDefault="00335A1D" w:rsidP="00624B14">
            <w:pPr>
              <w:jc w:val="center"/>
              <w:rPr>
                <w:rFonts w:ascii="Bookman Old Style" w:eastAsia="Bookman Old Style" w:hAnsi="Bookman Old Style" w:cs="Bookman Old Style"/>
                <w:sz w:val="20"/>
                <w:szCs w:val="20"/>
              </w:rPr>
            </w:pPr>
          </w:p>
          <w:p w14:paraId="7B0A4DAC" w14:textId="77777777" w:rsidR="00335A1D" w:rsidRDefault="00335A1D" w:rsidP="00624B14">
            <w:pPr>
              <w:jc w:val="center"/>
              <w:rPr>
                <w:rFonts w:ascii="Bookman Old Style" w:eastAsia="Bookman Old Style" w:hAnsi="Bookman Old Style" w:cs="Bookman Old Style"/>
                <w:sz w:val="20"/>
                <w:szCs w:val="20"/>
              </w:rPr>
            </w:pPr>
          </w:p>
          <w:p w14:paraId="5552B0A0" w14:textId="77777777" w:rsidR="00335A1D" w:rsidRDefault="00335A1D" w:rsidP="00624B14">
            <w:pPr>
              <w:jc w:val="center"/>
              <w:rPr>
                <w:rFonts w:ascii="Bookman Old Style" w:eastAsia="Bookman Old Style" w:hAnsi="Bookman Old Style" w:cs="Bookman Old Style"/>
                <w:sz w:val="20"/>
                <w:szCs w:val="20"/>
              </w:rPr>
            </w:pPr>
          </w:p>
          <w:p w14:paraId="604ECEC1"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__________</w:t>
            </w:r>
          </w:p>
          <w:p w14:paraId="4A5E99C7" w14:textId="77777777" w:rsidR="00335A1D" w:rsidRDefault="00335A1D" w:rsidP="00624B14">
            <w:pPr>
              <w:jc w:val="center"/>
              <w:rPr>
                <w:rFonts w:ascii="Bookman Old Style" w:eastAsia="Bookman Old Style" w:hAnsi="Bookman Old Style" w:cs="Bookman Old Style"/>
                <w:sz w:val="20"/>
                <w:szCs w:val="20"/>
              </w:rPr>
            </w:pPr>
          </w:p>
          <w:p w14:paraId="2A3E5511"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2022</w:t>
            </w:r>
          </w:p>
        </w:tc>
      </w:tr>
      <w:tr w:rsidR="00335A1D" w14:paraId="64C10205" w14:textId="77777777" w:rsidTr="00624B14">
        <w:trPr>
          <w:trHeight w:val="1220"/>
        </w:trPr>
        <w:tc>
          <w:tcPr>
            <w:tcW w:w="1271" w:type="dxa"/>
            <w:shd w:val="clear" w:color="auto" w:fill="FFFFFF"/>
          </w:tcPr>
          <w:p w14:paraId="4E53D17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Irlanda</w:t>
            </w:r>
          </w:p>
        </w:tc>
        <w:tc>
          <w:tcPr>
            <w:tcW w:w="1276" w:type="dxa"/>
            <w:shd w:val="clear" w:color="auto" w:fill="FFFFFF"/>
          </w:tcPr>
          <w:p w14:paraId="0098673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 de 18 años</w:t>
            </w:r>
          </w:p>
        </w:tc>
        <w:tc>
          <w:tcPr>
            <w:tcW w:w="1276" w:type="dxa"/>
            <w:shd w:val="clear" w:color="auto" w:fill="FFFFFF"/>
          </w:tcPr>
          <w:p w14:paraId="71BBF19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Irlanda al menos desde un año antes de la solicitud.</w:t>
            </w:r>
          </w:p>
        </w:tc>
        <w:tc>
          <w:tcPr>
            <w:tcW w:w="1417" w:type="dxa"/>
            <w:shd w:val="clear" w:color="auto" w:fill="FFFFFF"/>
          </w:tcPr>
          <w:p w14:paraId="5230BE9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persona manifieste con claridad su voluntad.</w:t>
            </w:r>
          </w:p>
          <w:p w14:paraId="330CB93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Tener una enfermedad terminal, incurable y progresiva que no puede revertirse con tratamiento. </w:t>
            </w:r>
          </w:p>
          <w:p w14:paraId="0A295CD4" w14:textId="77777777" w:rsidR="00335A1D" w:rsidRDefault="00335A1D" w:rsidP="00624B14">
            <w:pPr>
              <w:jc w:val="both"/>
              <w:rPr>
                <w:rFonts w:ascii="Bookman Old Style" w:eastAsia="Bookman Old Style" w:hAnsi="Bookman Old Style" w:cs="Bookman Old Style"/>
                <w:sz w:val="20"/>
                <w:szCs w:val="20"/>
              </w:rPr>
            </w:pPr>
          </w:p>
          <w:p w14:paraId="6FDAE43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Incluye protección contra acciones penales a los </w:t>
            </w:r>
            <w:r>
              <w:rPr>
                <w:rFonts w:ascii="Bookman Old Style" w:eastAsia="Bookman Old Style" w:hAnsi="Bookman Old Style" w:cs="Bookman Old Style"/>
                <w:sz w:val="20"/>
                <w:szCs w:val="20"/>
              </w:rPr>
              <w:lastRenderedPageBreak/>
              <w:t xml:space="preserve">involucrados en prestar los servicios de muerte médicamente asistida. </w:t>
            </w:r>
          </w:p>
        </w:tc>
        <w:tc>
          <w:tcPr>
            <w:tcW w:w="1843" w:type="dxa"/>
            <w:shd w:val="clear" w:color="auto" w:fill="FFFFFF"/>
          </w:tcPr>
          <w:p w14:paraId="3B7107F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Muerte médicamente asistida.</w:t>
            </w:r>
          </w:p>
        </w:tc>
        <w:tc>
          <w:tcPr>
            <w:tcW w:w="1417" w:type="dxa"/>
            <w:shd w:val="clear" w:color="auto" w:fill="FFFFFF"/>
          </w:tcPr>
          <w:p w14:paraId="7A4B5263" w14:textId="77777777" w:rsidR="00335A1D" w:rsidRPr="00076C5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lang w:val="en-US"/>
              </w:rPr>
            </w:pPr>
            <w:proofErr w:type="spellStart"/>
            <w:r w:rsidRPr="00076C5D">
              <w:rPr>
                <w:rFonts w:ascii="Bookman Old Style" w:eastAsia="Bookman Old Style" w:hAnsi="Bookman Old Style" w:cs="Bookman Old Style"/>
                <w:sz w:val="20"/>
                <w:szCs w:val="20"/>
                <w:lang w:val="en-US"/>
              </w:rPr>
              <w:t>Poder</w:t>
            </w:r>
            <w:proofErr w:type="spellEnd"/>
            <w:r w:rsidRPr="00076C5D">
              <w:rPr>
                <w:rFonts w:ascii="Bookman Old Style" w:eastAsia="Bookman Old Style" w:hAnsi="Bookman Old Style" w:cs="Bookman Old Style"/>
                <w:sz w:val="20"/>
                <w:szCs w:val="20"/>
                <w:lang w:val="en-US"/>
              </w:rPr>
              <w:t xml:space="preserve"> </w:t>
            </w:r>
            <w:proofErr w:type="spellStart"/>
            <w:r w:rsidRPr="00076C5D">
              <w:rPr>
                <w:rFonts w:ascii="Bookman Old Style" w:eastAsia="Bookman Old Style" w:hAnsi="Bookman Old Style" w:cs="Bookman Old Style"/>
                <w:sz w:val="20"/>
                <w:szCs w:val="20"/>
                <w:lang w:val="en-US"/>
              </w:rPr>
              <w:t>legislativo</w:t>
            </w:r>
            <w:proofErr w:type="spellEnd"/>
            <w:r w:rsidRPr="00076C5D">
              <w:rPr>
                <w:rFonts w:ascii="Bookman Old Style" w:eastAsia="Bookman Old Style" w:hAnsi="Bookman Old Style" w:cs="Bookman Old Style"/>
                <w:sz w:val="20"/>
                <w:szCs w:val="20"/>
                <w:lang w:val="en-US"/>
              </w:rPr>
              <w:t>.  Dying with Dignity Bill.</w:t>
            </w:r>
            <w:r>
              <w:rPr>
                <w:rFonts w:ascii="Bookman Old Style" w:eastAsia="Bookman Old Style" w:hAnsi="Bookman Old Style" w:cs="Bookman Old Style"/>
                <w:sz w:val="20"/>
                <w:szCs w:val="20"/>
                <w:vertAlign w:val="superscript"/>
              </w:rPr>
              <w:footnoteReference w:id="15"/>
            </w:r>
            <w:r w:rsidRPr="00076C5D">
              <w:rPr>
                <w:rFonts w:ascii="Bookman Old Style" w:eastAsia="Bookman Old Style" w:hAnsi="Bookman Old Style" w:cs="Bookman Old Style"/>
                <w:sz w:val="20"/>
                <w:szCs w:val="20"/>
                <w:lang w:val="en-US"/>
              </w:rPr>
              <w:t xml:space="preserve"> </w:t>
            </w:r>
          </w:p>
        </w:tc>
        <w:tc>
          <w:tcPr>
            <w:tcW w:w="1276" w:type="dxa"/>
            <w:shd w:val="clear" w:color="auto" w:fill="FFFFFF"/>
          </w:tcPr>
          <w:p w14:paraId="36A4A0FE"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335A1D" w14:paraId="233EB010" w14:textId="77777777" w:rsidTr="00624B14">
        <w:trPr>
          <w:trHeight w:val="1562"/>
        </w:trPr>
        <w:tc>
          <w:tcPr>
            <w:tcW w:w="1271" w:type="dxa"/>
            <w:shd w:val="clear" w:color="auto" w:fill="FFFFFF"/>
          </w:tcPr>
          <w:p w14:paraId="5B775A2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Portugal </w:t>
            </w:r>
          </w:p>
        </w:tc>
        <w:tc>
          <w:tcPr>
            <w:tcW w:w="1276" w:type="dxa"/>
            <w:shd w:val="clear" w:color="auto" w:fill="FFFFFF"/>
          </w:tcPr>
          <w:p w14:paraId="0CCB3A7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1276" w:type="dxa"/>
            <w:shd w:val="clear" w:color="auto" w:fill="FFFFFF"/>
          </w:tcPr>
          <w:p w14:paraId="6B8E404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Código Penal. Artículos 134, 135 y 139. Homicidio a solicitud de víctima, incitación o ayuda al suicidio y propaganda del suicidio. </w:t>
            </w:r>
          </w:p>
        </w:tc>
        <w:tc>
          <w:tcPr>
            <w:tcW w:w="1417" w:type="dxa"/>
            <w:shd w:val="clear" w:color="auto" w:fill="FFFFFF"/>
          </w:tcPr>
          <w:p w14:paraId="4B445F8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interesada debe solicitar el procedimiento de muerte médicamente asistida. </w:t>
            </w:r>
          </w:p>
          <w:p w14:paraId="19116409" w14:textId="77777777" w:rsidR="00335A1D" w:rsidRDefault="00335A1D" w:rsidP="00624B14">
            <w:pPr>
              <w:jc w:val="both"/>
              <w:rPr>
                <w:rFonts w:ascii="Bookman Old Style" w:eastAsia="Bookman Old Style" w:hAnsi="Bookman Old Style" w:cs="Bookman Old Style"/>
                <w:sz w:val="20"/>
                <w:szCs w:val="20"/>
              </w:rPr>
            </w:pPr>
          </w:p>
          <w:p w14:paraId="4B37644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consentimiento debe ser actual, reiterado, libre e ilustrado.</w:t>
            </w:r>
          </w:p>
          <w:p w14:paraId="270E6AFB" w14:textId="77777777" w:rsidR="00335A1D" w:rsidRDefault="00335A1D" w:rsidP="00624B14">
            <w:pPr>
              <w:jc w:val="both"/>
              <w:rPr>
                <w:rFonts w:ascii="Bookman Old Style" w:eastAsia="Bookman Old Style" w:hAnsi="Bookman Old Style" w:cs="Bookman Old Style"/>
                <w:sz w:val="20"/>
                <w:szCs w:val="20"/>
              </w:rPr>
            </w:pPr>
          </w:p>
          <w:p w14:paraId="6F2AF6B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tener sufrimientos intolerables con gravedad y daño definitivo por cuenta de </w:t>
            </w:r>
            <w:r>
              <w:rPr>
                <w:rFonts w:ascii="Bookman Old Style" w:eastAsia="Bookman Old Style" w:hAnsi="Bookman Old Style" w:cs="Bookman Old Style"/>
                <w:sz w:val="20"/>
                <w:szCs w:val="20"/>
              </w:rPr>
              <w:lastRenderedPageBreak/>
              <w:t xml:space="preserve">enfermedad incurable </w:t>
            </w:r>
            <w:proofErr w:type="gramStart"/>
            <w:r>
              <w:rPr>
                <w:rFonts w:ascii="Bookman Old Style" w:eastAsia="Bookman Old Style" w:hAnsi="Bookman Old Style" w:cs="Bookman Old Style"/>
                <w:sz w:val="20"/>
                <w:szCs w:val="20"/>
              </w:rPr>
              <w:t>o  terminal</w:t>
            </w:r>
            <w:proofErr w:type="gramEnd"/>
            <w:r>
              <w:rPr>
                <w:rFonts w:ascii="Bookman Old Style" w:eastAsia="Bookman Old Style" w:hAnsi="Bookman Old Style" w:cs="Bookman Old Style"/>
                <w:sz w:val="20"/>
                <w:szCs w:val="20"/>
              </w:rPr>
              <w:t>.</w:t>
            </w:r>
          </w:p>
          <w:p w14:paraId="5E4710DC" w14:textId="77777777" w:rsidR="00335A1D" w:rsidRDefault="00335A1D" w:rsidP="00624B14">
            <w:pPr>
              <w:jc w:val="both"/>
              <w:rPr>
                <w:rFonts w:ascii="Bookman Old Style" w:eastAsia="Bookman Old Style" w:hAnsi="Bookman Old Style" w:cs="Bookman Old Style"/>
                <w:sz w:val="20"/>
                <w:szCs w:val="20"/>
              </w:rPr>
            </w:pPr>
          </w:p>
          <w:p w14:paraId="675EAE0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Debe ser ciudadano nacional de Portugal o haber recibido la residencia. </w:t>
            </w:r>
          </w:p>
        </w:tc>
        <w:tc>
          <w:tcPr>
            <w:tcW w:w="1843" w:type="dxa"/>
            <w:shd w:val="clear" w:color="auto" w:fill="FFFFFF"/>
          </w:tcPr>
          <w:p w14:paraId="3647F24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Eutanasia, muerte médicamente asistida.</w:t>
            </w:r>
          </w:p>
          <w:p w14:paraId="01275C0D" w14:textId="77777777" w:rsidR="00335A1D" w:rsidRDefault="00335A1D" w:rsidP="00624B14">
            <w:pPr>
              <w:jc w:val="both"/>
              <w:rPr>
                <w:rFonts w:ascii="Bookman Old Style" w:eastAsia="Bookman Old Style" w:hAnsi="Bookman Old Style" w:cs="Bookman Old Style"/>
                <w:sz w:val="20"/>
                <w:szCs w:val="20"/>
              </w:rPr>
            </w:pPr>
          </w:p>
          <w:p w14:paraId="5E031DA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Puede darse con la administración de fármacos por parte de un médico o por la auto administración de medicamentos que pongan fin a la vida.  </w:t>
            </w:r>
          </w:p>
        </w:tc>
        <w:tc>
          <w:tcPr>
            <w:tcW w:w="1417" w:type="dxa"/>
            <w:shd w:val="clear" w:color="auto" w:fill="FFFFFF"/>
          </w:tcPr>
          <w:p w14:paraId="3895CC6A"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Asamblea de la República de Portugal. La ley fue aprobada en 2021</w:t>
            </w:r>
            <w:r>
              <w:rPr>
                <w:rFonts w:ascii="Bookman Old Style" w:eastAsia="Bookman Old Style" w:hAnsi="Bookman Old Style" w:cs="Bookman Old Style"/>
                <w:sz w:val="20"/>
                <w:szCs w:val="20"/>
                <w:vertAlign w:val="superscript"/>
              </w:rPr>
              <w:footnoteReference w:id="16"/>
            </w:r>
            <w:r>
              <w:rPr>
                <w:rFonts w:ascii="Bookman Old Style" w:eastAsia="Bookman Old Style" w:hAnsi="Bookman Old Style" w:cs="Bookman Old Style"/>
                <w:sz w:val="20"/>
                <w:szCs w:val="20"/>
              </w:rPr>
              <w:t>, objetada por inconstitucionalidad por el presidente y fue revocada por el Tribunal Constitucional.</w:t>
            </w:r>
          </w:p>
          <w:p w14:paraId="65CFD2A6" w14:textId="77777777" w:rsidR="00335A1D" w:rsidRDefault="00335A1D" w:rsidP="00624B14">
            <w:pPr>
              <w:pBdr>
                <w:top w:val="nil"/>
                <w:left w:val="nil"/>
                <w:bottom w:val="nil"/>
                <w:right w:val="nil"/>
                <w:between w:val="nil"/>
              </w:pBdr>
              <w:spacing w:after="160"/>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Corresponde a la Asamblea de la República decidir si corrigen las inconstitucionales aducidas </w:t>
            </w:r>
            <w:r>
              <w:rPr>
                <w:rFonts w:ascii="Bookman Old Style" w:eastAsia="Bookman Old Style" w:hAnsi="Bookman Old Style" w:cs="Bookman Old Style"/>
                <w:sz w:val="20"/>
                <w:szCs w:val="20"/>
              </w:rPr>
              <w:lastRenderedPageBreak/>
              <w:t xml:space="preserve">por el Tribunal o si archivan el proyecto. </w:t>
            </w:r>
            <w:r>
              <w:rPr>
                <w:rFonts w:ascii="Bookman Old Style" w:eastAsia="Bookman Old Style" w:hAnsi="Bookman Old Style" w:cs="Bookman Old Style"/>
                <w:sz w:val="20"/>
                <w:szCs w:val="20"/>
                <w:vertAlign w:val="superscript"/>
              </w:rPr>
              <w:footnoteReference w:id="17"/>
            </w:r>
            <w:r>
              <w:rPr>
                <w:rFonts w:ascii="Bookman Old Style" w:eastAsia="Bookman Old Style" w:hAnsi="Bookman Old Style" w:cs="Bookman Old Style"/>
                <w:sz w:val="20"/>
                <w:szCs w:val="20"/>
              </w:rPr>
              <w:t xml:space="preserve"> </w:t>
            </w:r>
          </w:p>
        </w:tc>
        <w:tc>
          <w:tcPr>
            <w:tcW w:w="1276" w:type="dxa"/>
            <w:shd w:val="clear" w:color="auto" w:fill="FFFFFF"/>
          </w:tcPr>
          <w:p w14:paraId="70D129D4"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2021</w:t>
            </w:r>
          </w:p>
        </w:tc>
      </w:tr>
    </w:tbl>
    <w:p w14:paraId="36F52E01" w14:textId="77777777" w:rsidR="00335A1D" w:rsidRDefault="00335A1D" w:rsidP="00335A1D">
      <w:pPr>
        <w:pBdr>
          <w:top w:val="nil"/>
          <w:left w:val="nil"/>
          <w:bottom w:val="nil"/>
          <w:right w:val="nil"/>
          <w:between w:val="nil"/>
        </w:pBdr>
        <w:spacing w:after="160"/>
        <w:rPr>
          <w:b/>
        </w:rPr>
      </w:pPr>
    </w:p>
    <w:p w14:paraId="76F2AE2F"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De lo observado es dable concluir que Chile y Portugal están muy próximos a lograr que los esfuerzos legislativos en curso lleguen a convertirse en derecho positivo. Si bien Alemania y Austria ya permiten el acceso a la muerte medicamente asistida, esa potestad se encuentra en grado de reconocimiento jurisprudencial y carece de regulación legal en la materia. </w:t>
      </w:r>
    </w:p>
    <w:p w14:paraId="57112866"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Situación similar a la de Francia en dónde existe un precedente judicial tendiente al reconocimiento de la muerte digna pero aún no se aprueba una ley que subsane los posibles vacíos que la actuación judicial puede dejar. Por ende, si bien podría afirmarse que hay normas en Austria y Alemania que reconocen la posibilidad de acceder a la muerte médicamente asistida se incluyen en la tabla anterior atendiendo a que como lo ha planteado la Corte Constitucional, el desarrollo normativo por vía legal es fundamental para el acceso y goce efectivo del derecho a morir dignamente. </w:t>
      </w:r>
    </w:p>
    <w:p w14:paraId="4847BD7A"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Además, dado que el objetivo de esta iniciativa es subsanar ese vacío legislativo en Colombia, conviene observar de manera independiente aquellas regulaciones legales de los reconocimientos meramente jurisprudenciales. </w:t>
      </w:r>
    </w:p>
    <w:p w14:paraId="033CC4CB"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la BBC (2020) y La Voz (2019) en el tiempo reciente han surgido nuevos activismos que propenden por insertar este tema en el debate público en países de la región como Argentina y Perú. Curiosamente, esas iniciativas han </w:t>
      </w:r>
      <w:r>
        <w:rPr>
          <w:rFonts w:ascii="Bookman Old Style" w:eastAsia="Bookman Old Style" w:hAnsi="Bookman Old Style" w:cs="Bookman Old Style"/>
        </w:rPr>
        <w:lastRenderedPageBreak/>
        <w:t xml:space="preserve">respondido a experiencias individuales de personas que en esos países encuentran en el derecho una barrera que les impide morir dignamente. </w:t>
      </w:r>
    </w:p>
    <w:p w14:paraId="4D56608F"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En américa latina Colombia, en virtud de la sentencia C-239 de 1997 de la Corte Constitucional se convirtió en el primer país es reconocer rango de fundamental al derecho a morir dignamente y en despenalizar la muerte médicamente asistida. Sin embargo, como se ha expresado de forma reiterada, persiste un grave vacío normativo que dificulta el acceso a la eutanasia y el goce efectivo del derecho a la muerte digna.</w:t>
      </w:r>
    </w:p>
    <w:p w14:paraId="05C32C5D"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En la actualidad, son 9 los Estados en los que existen normas de carácter legal que permiten el ejercicio de la muerte digna por vía de prácticas que podrían ajustarse a lo que la Corte Constitucional colombiana ha denominado muerte médicamente asistida. Esos Estados son: Suiza, Nueva Zelanda, Luxemburgo, Holanda, Estados Unidos, España, Canadá, Bélgica y Australia. A ellos, como se expresó se deberían sumar Colombia, Austria y Alemania para un total de 12 países donde bien por medio legal o jurisprudencial los ciudadanos gozan de esa posibilidad. </w:t>
      </w:r>
    </w:p>
    <w:p w14:paraId="2B89B12C"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Conviene resaltar que en Canadá existe una regulación legal de rango nacional y otra específica para Quebec. En Australia son tres los estados que lo permiten: Western Australia, Victoria y Tasmania. En Estados Unidos, son once los estados que permiten la muerte médicamente asistida. Diez de ellos por vía legal y uno por intermedio de una sentencia judicial. A esos se suman diecinueve estados en los que cursan iniciativas regulatorias similares.</w:t>
      </w:r>
    </w:p>
    <w:p w14:paraId="5C5EA01A"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Como se verá, en su inmensa mayoría las regulaciones existentes abordan la muerte médicamente asistida o variantes de prácticas eutanásicas. Sin embargo, algunas regulaciones incluyen disposiciones sobre las otras dimensiones de lo que en Colombia se ha reconocido como el derecho fundamental a morir dignamente, a saber: la adecuación o suspensión de los esfuerzos terapéuticos y los cuidados paliativos.</w:t>
      </w:r>
    </w:p>
    <w:p w14:paraId="3530EB59" w14:textId="5B8EAFC8"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rPr>
      </w:pPr>
      <w:r>
        <w:rPr>
          <w:rFonts w:ascii="Bookman Old Style" w:eastAsia="Bookman Old Style" w:hAnsi="Bookman Old Style" w:cs="Bookman Old Style"/>
        </w:rPr>
        <w:t xml:space="preserve">La siguiente tabla ilustra y resumen a grandes rasgos las características más relevantes de esas regulaciones. </w:t>
      </w:r>
    </w:p>
    <w:p w14:paraId="0BFA6A5E" w14:textId="20CF6268" w:rsidR="0006605A" w:rsidRDefault="0006605A" w:rsidP="00335A1D">
      <w:pPr>
        <w:pBdr>
          <w:top w:val="nil"/>
          <w:left w:val="nil"/>
          <w:bottom w:val="nil"/>
          <w:right w:val="nil"/>
          <w:between w:val="nil"/>
        </w:pBdr>
        <w:spacing w:after="160"/>
        <w:ind w:right="-234"/>
        <w:jc w:val="both"/>
        <w:rPr>
          <w:rFonts w:ascii="Bookman Old Style" w:eastAsia="Bookman Old Style" w:hAnsi="Bookman Old Style" w:cs="Bookman Old Style"/>
        </w:rPr>
      </w:pPr>
    </w:p>
    <w:p w14:paraId="4EFEE37B" w14:textId="2369CC43" w:rsidR="0006605A" w:rsidRDefault="0006605A" w:rsidP="00335A1D">
      <w:pPr>
        <w:pBdr>
          <w:top w:val="nil"/>
          <w:left w:val="nil"/>
          <w:bottom w:val="nil"/>
          <w:right w:val="nil"/>
          <w:between w:val="nil"/>
        </w:pBdr>
        <w:spacing w:after="160"/>
        <w:ind w:right="-234"/>
        <w:jc w:val="both"/>
        <w:rPr>
          <w:rFonts w:ascii="Bookman Old Style" w:eastAsia="Bookman Old Style" w:hAnsi="Bookman Old Style" w:cs="Bookman Old Style"/>
        </w:rPr>
      </w:pPr>
    </w:p>
    <w:p w14:paraId="2CCDF35E" w14:textId="73FE2C7F" w:rsidR="0006605A" w:rsidRDefault="0006605A" w:rsidP="00335A1D">
      <w:pPr>
        <w:pBdr>
          <w:top w:val="nil"/>
          <w:left w:val="nil"/>
          <w:bottom w:val="nil"/>
          <w:right w:val="nil"/>
          <w:between w:val="nil"/>
        </w:pBdr>
        <w:spacing w:after="160"/>
        <w:ind w:right="-234"/>
        <w:jc w:val="both"/>
        <w:rPr>
          <w:rFonts w:ascii="Bookman Old Style" w:eastAsia="Bookman Old Style" w:hAnsi="Bookman Old Style" w:cs="Bookman Old Style"/>
        </w:rPr>
      </w:pPr>
    </w:p>
    <w:p w14:paraId="78FDEBAF" w14:textId="404799FA" w:rsidR="0006605A" w:rsidRDefault="0006605A" w:rsidP="00335A1D">
      <w:pPr>
        <w:pBdr>
          <w:top w:val="nil"/>
          <w:left w:val="nil"/>
          <w:bottom w:val="nil"/>
          <w:right w:val="nil"/>
          <w:between w:val="nil"/>
        </w:pBdr>
        <w:spacing w:after="160"/>
        <w:ind w:right="-234"/>
        <w:jc w:val="both"/>
        <w:rPr>
          <w:rFonts w:ascii="Bookman Old Style" w:eastAsia="Bookman Old Style" w:hAnsi="Bookman Old Style" w:cs="Bookman Old Style"/>
        </w:rPr>
      </w:pPr>
    </w:p>
    <w:p w14:paraId="15EAD9F9" w14:textId="77777777" w:rsidR="0006605A" w:rsidRDefault="0006605A" w:rsidP="00335A1D">
      <w:pPr>
        <w:pBdr>
          <w:top w:val="nil"/>
          <w:left w:val="nil"/>
          <w:bottom w:val="nil"/>
          <w:right w:val="nil"/>
          <w:between w:val="nil"/>
        </w:pBdr>
        <w:spacing w:after="160"/>
        <w:ind w:right="-234"/>
        <w:jc w:val="both"/>
        <w:rPr>
          <w:color w:val="000000"/>
        </w:rPr>
      </w:pPr>
    </w:p>
    <w:p w14:paraId="30C1905F" w14:textId="77777777" w:rsidR="00335A1D" w:rsidRDefault="00335A1D" w:rsidP="00335A1D">
      <w:pPr>
        <w:pBdr>
          <w:top w:val="nil"/>
          <w:left w:val="nil"/>
          <w:bottom w:val="nil"/>
          <w:right w:val="nil"/>
          <w:between w:val="nil"/>
        </w:pBdr>
        <w:spacing w:after="160"/>
        <w:ind w:right="-234"/>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Tabla. Regulaciones de la muerte médicamente asistida actualmente vigentes en el mundo.</w:t>
      </w:r>
      <w:r>
        <w:rPr>
          <w:rFonts w:ascii="Bookman Old Style" w:eastAsia="Bookman Old Style" w:hAnsi="Bookman Old Style" w:cs="Bookman Old Style"/>
          <w:b/>
          <w:color w:val="000000"/>
          <w:vertAlign w:val="superscript"/>
        </w:rPr>
        <w:footnoteReference w:id="18"/>
      </w:r>
    </w:p>
    <w:tbl>
      <w:tblPr>
        <w:tblStyle w:val="a2"/>
        <w:tblW w:w="114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276"/>
        <w:gridCol w:w="3685"/>
        <w:gridCol w:w="1843"/>
        <w:gridCol w:w="987"/>
        <w:gridCol w:w="1281"/>
        <w:gridCol w:w="850"/>
      </w:tblGrid>
      <w:tr w:rsidR="00335A1D" w14:paraId="08AD4BDD" w14:textId="77777777" w:rsidTr="00624B14">
        <w:trPr>
          <w:tblHeader/>
          <w:jc w:val="center"/>
        </w:trPr>
        <w:tc>
          <w:tcPr>
            <w:tcW w:w="1560" w:type="dxa"/>
            <w:shd w:val="clear" w:color="auto" w:fill="A8D08D"/>
          </w:tcPr>
          <w:p w14:paraId="0CCC5A97"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País</w:t>
            </w:r>
          </w:p>
        </w:tc>
        <w:tc>
          <w:tcPr>
            <w:tcW w:w="1276" w:type="dxa"/>
            <w:shd w:val="clear" w:color="auto" w:fill="A8D08D"/>
          </w:tcPr>
          <w:p w14:paraId="16BC10AD"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Edad requerida</w:t>
            </w:r>
          </w:p>
        </w:tc>
        <w:tc>
          <w:tcPr>
            <w:tcW w:w="3685" w:type="dxa"/>
            <w:shd w:val="clear" w:color="auto" w:fill="A8D08D"/>
          </w:tcPr>
          <w:p w14:paraId="47D86AB4"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Condición o padecimiento requerido</w:t>
            </w:r>
          </w:p>
        </w:tc>
        <w:tc>
          <w:tcPr>
            <w:tcW w:w="1843" w:type="dxa"/>
            <w:shd w:val="clear" w:color="auto" w:fill="A8D08D"/>
          </w:tcPr>
          <w:p w14:paraId="54825B86"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Modalidad y Procedimiento de acceso. </w:t>
            </w:r>
          </w:p>
        </w:tc>
        <w:tc>
          <w:tcPr>
            <w:tcW w:w="987" w:type="dxa"/>
            <w:shd w:val="clear" w:color="auto" w:fill="A8D08D"/>
          </w:tcPr>
          <w:p w14:paraId="27FDFF3E"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Vía para la regulación</w:t>
            </w:r>
          </w:p>
        </w:tc>
        <w:tc>
          <w:tcPr>
            <w:tcW w:w="1281" w:type="dxa"/>
            <w:shd w:val="clear" w:color="auto" w:fill="A8D08D"/>
          </w:tcPr>
          <w:p w14:paraId="5635C603"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Actor responsable</w:t>
            </w:r>
          </w:p>
        </w:tc>
        <w:tc>
          <w:tcPr>
            <w:tcW w:w="850" w:type="dxa"/>
            <w:shd w:val="clear" w:color="auto" w:fill="A8D08D"/>
          </w:tcPr>
          <w:p w14:paraId="67FA4EC8" w14:textId="77777777" w:rsidR="00335A1D" w:rsidRDefault="00335A1D" w:rsidP="00624B14">
            <w:pPr>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 xml:space="preserve">Año </w:t>
            </w:r>
          </w:p>
        </w:tc>
      </w:tr>
      <w:tr w:rsidR="00335A1D" w14:paraId="44B05514" w14:textId="77777777" w:rsidTr="00624B14">
        <w:trPr>
          <w:trHeight w:val="1857"/>
          <w:jc w:val="center"/>
        </w:trPr>
        <w:tc>
          <w:tcPr>
            <w:tcW w:w="1560" w:type="dxa"/>
            <w:shd w:val="clear" w:color="auto" w:fill="FFFFFF"/>
          </w:tcPr>
          <w:p w14:paraId="7B4424C3"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Australia</w:t>
            </w:r>
          </w:p>
          <w:p w14:paraId="004357F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 de Victoria.</w:t>
            </w:r>
            <w:r>
              <w:rPr>
                <w:rFonts w:ascii="Bookman Old Style" w:eastAsia="Bookman Old Style" w:hAnsi="Bookman Old Style" w:cs="Bookman Old Style"/>
                <w:b/>
                <w:sz w:val="20"/>
                <w:szCs w:val="20"/>
                <w:vertAlign w:val="superscript"/>
              </w:rPr>
              <w:footnoteReference w:id="19"/>
            </w:r>
          </w:p>
        </w:tc>
        <w:tc>
          <w:tcPr>
            <w:tcW w:w="1276" w:type="dxa"/>
            <w:shd w:val="clear" w:color="auto" w:fill="FFFFFF"/>
          </w:tcPr>
          <w:p w14:paraId="32931DD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mayores de 18 años.</w:t>
            </w:r>
          </w:p>
          <w:p w14:paraId="50ED6D6B" w14:textId="77777777" w:rsidR="00335A1D" w:rsidRDefault="00335A1D" w:rsidP="00624B14">
            <w:pPr>
              <w:jc w:val="both"/>
              <w:rPr>
                <w:rFonts w:ascii="Bookman Old Style" w:eastAsia="Bookman Old Style" w:hAnsi="Bookman Old Style" w:cs="Bookman Old Style"/>
                <w:sz w:val="20"/>
                <w:szCs w:val="20"/>
              </w:rPr>
            </w:pPr>
          </w:p>
          <w:p w14:paraId="3F8B8AB2" w14:textId="77777777" w:rsidR="00335A1D" w:rsidRDefault="00335A1D" w:rsidP="00624B14">
            <w:pPr>
              <w:jc w:val="both"/>
              <w:rPr>
                <w:rFonts w:ascii="Bookman Old Style" w:eastAsia="Bookman Old Style" w:hAnsi="Bookman Old Style" w:cs="Bookman Old Style"/>
                <w:sz w:val="20"/>
                <w:szCs w:val="20"/>
              </w:rPr>
            </w:pPr>
          </w:p>
        </w:tc>
        <w:tc>
          <w:tcPr>
            <w:tcW w:w="3685" w:type="dxa"/>
            <w:shd w:val="clear" w:color="auto" w:fill="FFFFFF"/>
          </w:tcPr>
          <w:p w14:paraId="6754ACE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Ciudadanos australianos.</w:t>
            </w:r>
          </w:p>
          <w:p w14:paraId="367AC6E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Demostrar al menos 12 meses de residencia en el estado para el momento en que se hace la solicitud del procedimiento.</w:t>
            </w:r>
          </w:p>
          <w:p w14:paraId="1F2D7EB6" w14:textId="77777777" w:rsidR="00335A1D" w:rsidRDefault="00335A1D" w:rsidP="00624B14">
            <w:pPr>
              <w:jc w:val="both"/>
              <w:rPr>
                <w:rFonts w:ascii="Bookman Old Style" w:eastAsia="Bookman Old Style" w:hAnsi="Bookman Old Style" w:cs="Bookman Old Style"/>
                <w:sz w:val="20"/>
                <w:szCs w:val="20"/>
              </w:rPr>
            </w:pPr>
          </w:p>
          <w:p w14:paraId="2F62CA1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Estar en capacidad de tomar decisiones y comprender la información necesaria para decidir en esta materia. </w:t>
            </w:r>
          </w:p>
          <w:p w14:paraId="7BEF69C8" w14:textId="77777777" w:rsidR="00335A1D" w:rsidRDefault="00335A1D" w:rsidP="00624B14">
            <w:pPr>
              <w:jc w:val="both"/>
              <w:rPr>
                <w:rFonts w:ascii="Bookman Old Style" w:eastAsia="Bookman Old Style" w:hAnsi="Bookman Old Style" w:cs="Bookman Old Style"/>
                <w:sz w:val="20"/>
                <w:szCs w:val="20"/>
              </w:rPr>
            </w:pPr>
          </w:p>
          <w:p w14:paraId="2ABA1BE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una enfermedad, dolencia o condición médica incurable, avanzada, progresiva, terminal y que cause sufrimiento intolerable.</w:t>
            </w:r>
            <w:r>
              <w:rPr>
                <w:rFonts w:ascii="Bookman Old Style" w:eastAsia="Bookman Old Style" w:hAnsi="Bookman Old Style" w:cs="Bookman Old Style"/>
                <w:sz w:val="20"/>
                <w:szCs w:val="20"/>
                <w:vertAlign w:val="superscript"/>
              </w:rPr>
              <w:footnoteReference w:id="20"/>
            </w:r>
            <w:r>
              <w:rPr>
                <w:rFonts w:ascii="Bookman Old Style" w:eastAsia="Bookman Old Style" w:hAnsi="Bookman Old Style" w:cs="Bookman Old Style"/>
                <w:sz w:val="20"/>
                <w:szCs w:val="20"/>
              </w:rPr>
              <w:t xml:space="preserve"> </w:t>
            </w:r>
          </w:p>
          <w:p w14:paraId="40CD960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que la muerte ocurrirá dentro los siguientes 6 a 12 meses para enfermedades neurodegenerativas.</w:t>
            </w:r>
          </w:p>
          <w:p w14:paraId="2A018953"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17FDF585"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Suicido asistido y muerte médicamente asistida.</w:t>
            </w:r>
          </w:p>
          <w:p w14:paraId="04C0A3EC"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6D5D357A"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El médico debe autorizar la solicitud para administrar el medicamento o para recetarlo en caso de que la persona se lo quiera administrar directamente. </w:t>
            </w:r>
          </w:p>
          <w:p w14:paraId="2BD9719F"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4FE8B49B"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solicitud puede ser revisaba por el Tribunal Civil y Administrativo de Victoria. </w:t>
            </w:r>
          </w:p>
          <w:p w14:paraId="2D6581F7"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2A37AA89"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muerte médicamente </w:t>
            </w:r>
            <w:r>
              <w:rPr>
                <w:rFonts w:ascii="Bookman Old Style" w:eastAsia="Bookman Old Style" w:hAnsi="Bookman Old Style" w:cs="Bookman Old Style"/>
                <w:sz w:val="20"/>
                <w:szCs w:val="20"/>
              </w:rPr>
              <w:lastRenderedPageBreak/>
              <w:t xml:space="preserve">asistida están legalmente protegidos para no enfrentarse a procesos penales ni disciplinarios por esas conductas.  </w:t>
            </w:r>
          </w:p>
        </w:tc>
        <w:tc>
          <w:tcPr>
            <w:tcW w:w="987" w:type="dxa"/>
            <w:shd w:val="clear" w:color="auto" w:fill="FFFFFF"/>
          </w:tcPr>
          <w:p w14:paraId="34962063"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lastRenderedPageBreak/>
              <w:t>Ley (Voluntary Assisted Dying Act)</w:t>
            </w:r>
          </w:p>
        </w:tc>
        <w:tc>
          <w:tcPr>
            <w:tcW w:w="1281" w:type="dxa"/>
            <w:shd w:val="clear" w:color="auto" w:fill="FFFFFF"/>
          </w:tcPr>
          <w:p w14:paraId="7E654EE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Parlamento del Estado de Victoria</w:t>
            </w:r>
          </w:p>
        </w:tc>
        <w:tc>
          <w:tcPr>
            <w:tcW w:w="850" w:type="dxa"/>
            <w:shd w:val="clear" w:color="auto" w:fill="FFFFFF"/>
          </w:tcPr>
          <w:p w14:paraId="0F90E51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2017</w:t>
            </w:r>
            <w:r>
              <w:rPr>
                <w:rFonts w:ascii="Bookman Old Style" w:eastAsia="Bookman Old Style" w:hAnsi="Bookman Old Style" w:cs="Bookman Old Style"/>
                <w:sz w:val="20"/>
                <w:szCs w:val="20"/>
                <w:vertAlign w:val="superscript"/>
              </w:rPr>
              <w:footnoteReference w:id="21"/>
            </w:r>
          </w:p>
        </w:tc>
      </w:tr>
      <w:tr w:rsidR="00335A1D" w14:paraId="459A2A77" w14:textId="77777777" w:rsidTr="00624B14">
        <w:trPr>
          <w:trHeight w:val="2360"/>
          <w:jc w:val="center"/>
        </w:trPr>
        <w:tc>
          <w:tcPr>
            <w:tcW w:w="1560" w:type="dxa"/>
            <w:shd w:val="clear" w:color="auto" w:fill="FFFFFF"/>
          </w:tcPr>
          <w:p w14:paraId="3BBCB7EF"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Australia Estado de Western Australia</w:t>
            </w:r>
            <w:r>
              <w:rPr>
                <w:rFonts w:ascii="Bookman Old Style" w:eastAsia="Bookman Old Style" w:hAnsi="Bookman Old Style" w:cs="Bookman Old Style"/>
                <w:b/>
                <w:sz w:val="20"/>
                <w:szCs w:val="20"/>
                <w:vertAlign w:val="superscript"/>
              </w:rPr>
              <w:footnoteReference w:id="22"/>
            </w:r>
          </w:p>
        </w:tc>
        <w:tc>
          <w:tcPr>
            <w:tcW w:w="1276" w:type="dxa"/>
            <w:shd w:val="clear" w:color="auto" w:fill="FFFFFF"/>
          </w:tcPr>
          <w:p w14:paraId="51E9133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mayores de 18 años.</w:t>
            </w:r>
          </w:p>
        </w:tc>
        <w:tc>
          <w:tcPr>
            <w:tcW w:w="3685" w:type="dxa"/>
            <w:shd w:val="clear" w:color="auto" w:fill="FFFFFF"/>
          </w:tcPr>
          <w:p w14:paraId="75939C3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Ciudadanos australianos.</w:t>
            </w:r>
          </w:p>
          <w:p w14:paraId="3ADDE03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Demostrar al menos 12 meses de residencia en el estado para el momento en que se hace la solicitud del procedimiento.</w:t>
            </w:r>
          </w:p>
          <w:p w14:paraId="6CF0B61D" w14:textId="77777777" w:rsidR="00335A1D" w:rsidRDefault="00335A1D" w:rsidP="00624B14">
            <w:pPr>
              <w:jc w:val="both"/>
              <w:rPr>
                <w:rFonts w:ascii="Bookman Old Style" w:eastAsia="Bookman Old Style" w:hAnsi="Bookman Old Style" w:cs="Bookman Old Style"/>
                <w:sz w:val="20"/>
                <w:szCs w:val="20"/>
              </w:rPr>
            </w:pPr>
          </w:p>
          <w:p w14:paraId="69875F9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Estar en capacidad de tomar decisiones y comprender la información necesaria para decidir en esta materia. </w:t>
            </w:r>
          </w:p>
          <w:p w14:paraId="096ACA72" w14:textId="77777777" w:rsidR="00335A1D" w:rsidRDefault="00335A1D" w:rsidP="00624B14">
            <w:pPr>
              <w:jc w:val="both"/>
              <w:rPr>
                <w:rFonts w:ascii="Bookman Old Style" w:eastAsia="Bookman Old Style" w:hAnsi="Bookman Old Style" w:cs="Bookman Old Style"/>
                <w:sz w:val="20"/>
                <w:szCs w:val="20"/>
              </w:rPr>
            </w:pPr>
          </w:p>
          <w:p w14:paraId="60E53FC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una enfermedad, dolencia o condición médica incurable, avanzada, progresiva, terminal y que cause sufrimiento intolerable.</w:t>
            </w:r>
            <w:r>
              <w:rPr>
                <w:rFonts w:ascii="Bookman Old Style" w:eastAsia="Bookman Old Style" w:hAnsi="Bookman Old Style" w:cs="Bookman Old Style"/>
                <w:sz w:val="20"/>
                <w:szCs w:val="20"/>
                <w:vertAlign w:val="superscript"/>
              </w:rPr>
              <w:footnoteReference w:id="23"/>
            </w:r>
            <w:r>
              <w:rPr>
                <w:rFonts w:ascii="Bookman Old Style" w:eastAsia="Bookman Old Style" w:hAnsi="Bookman Old Style" w:cs="Bookman Old Style"/>
                <w:sz w:val="20"/>
                <w:szCs w:val="20"/>
              </w:rPr>
              <w:t xml:space="preserve"> </w:t>
            </w:r>
          </w:p>
          <w:p w14:paraId="55CD3A6B" w14:textId="77777777" w:rsidR="00335A1D" w:rsidRDefault="00335A1D" w:rsidP="00624B14">
            <w:pPr>
              <w:jc w:val="both"/>
              <w:rPr>
                <w:rFonts w:ascii="Bookman Old Style" w:eastAsia="Bookman Old Style" w:hAnsi="Bookman Old Style" w:cs="Bookman Old Style"/>
                <w:sz w:val="20"/>
                <w:szCs w:val="20"/>
              </w:rPr>
            </w:pPr>
          </w:p>
          <w:p w14:paraId="3D46F56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que la muerte ocurrirá dentro los siguientes 6 a 12 meses para enfermedades neurodegenerativas.</w:t>
            </w:r>
          </w:p>
          <w:p w14:paraId="66409AA0" w14:textId="77777777" w:rsidR="00335A1D" w:rsidRDefault="00335A1D" w:rsidP="00624B14">
            <w:pPr>
              <w:jc w:val="both"/>
              <w:rPr>
                <w:rFonts w:ascii="Bookman Old Style" w:eastAsia="Bookman Old Style" w:hAnsi="Bookman Old Style" w:cs="Bookman Old Style"/>
                <w:sz w:val="20"/>
                <w:szCs w:val="20"/>
              </w:rPr>
            </w:pPr>
          </w:p>
          <w:p w14:paraId="5778C6CA" w14:textId="77777777" w:rsidR="00335A1D" w:rsidRDefault="00335A1D" w:rsidP="00624B14">
            <w:pPr>
              <w:jc w:val="both"/>
              <w:rPr>
                <w:rFonts w:ascii="Bookman Old Style" w:eastAsia="Bookman Old Style" w:hAnsi="Bookman Old Style" w:cs="Bookman Old Style"/>
                <w:sz w:val="20"/>
                <w:szCs w:val="20"/>
              </w:rPr>
            </w:pPr>
          </w:p>
          <w:p w14:paraId="4F6F04FB"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711EE39A"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Suicido asistido y muerte médicamente asistida.</w:t>
            </w:r>
          </w:p>
          <w:p w14:paraId="490E83A8"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4CDD8F7C"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El médico debe autorizar la solicitud para administrar el medicamento o para recetarlo en caso de que la persona se lo quiera administrar directamente. </w:t>
            </w:r>
          </w:p>
          <w:p w14:paraId="6AD65E83"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3CF4B8F5"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ese segundo supuesto el médico debe valorar las capacidades de la persona para autoadministrárselo. </w:t>
            </w:r>
          </w:p>
          <w:p w14:paraId="1368621A"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268843C8"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549D1C4F"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Quienes asisten, faciliten la muerte médicamente asistida están legalmente protegidos para no enfrentarse a procesos penales ni disciplinarios por esas conductas.  </w:t>
            </w:r>
          </w:p>
          <w:p w14:paraId="2A53D592"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6D3517D4"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tc>
        <w:tc>
          <w:tcPr>
            <w:tcW w:w="987" w:type="dxa"/>
            <w:shd w:val="clear" w:color="auto" w:fill="FFFFFF"/>
          </w:tcPr>
          <w:p w14:paraId="28E01F65"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lastRenderedPageBreak/>
              <w:t>Ley (Voluntary Assisted Dying Act)</w:t>
            </w:r>
          </w:p>
        </w:tc>
        <w:tc>
          <w:tcPr>
            <w:tcW w:w="1281" w:type="dxa"/>
            <w:shd w:val="clear" w:color="auto" w:fill="FFFFFF"/>
          </w:tcPr>
          <w:p w14:paraId="3921377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Parlamento del Estado de Western Australia</w:t>
            </w:r>
          </w:p>
        </w:tc>
        <w:tc>
          <w:tcPr>
            <w:tcW w:w="850" w:type="dxa"/>
            <w:shd w:val="clear" w:color="auto" w:fill="FFFFFF"/>
          </w:tcPr>
          <w:p w14:paraId="4A58A40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r>
              <w:rPr>
                <w:rFonts w:ascii="Bookman Old Style" w:eastAsia="Bookman Old Style" w:hAnsi="Bookman Old Style" w:cs="Bookman Old Style"/>
                <w:sz w:val="20"/>
                <w:szCs w:val="20"/>
                <w:vertAlign w:val="superscript"/>
              </w:rPr>
              <w:footnoteReference w:id="24"/>
            </w:r>
            <w:r>
              <w:rPr>
                <w:rFonts w:ascii="Bookman Old Style" w:eastAsia="Bookman Old Style" w:hAnsi="Bookman Old Style" w:cs="Bookman Old Style"/>
                <w:sz w:val="20"/>
                <w:szCs w:val="20"/>
              </w:rPr>
              <w:t>.</w:t>
            </w:r>
          </w:p>
        </w:tc>
      </w:tr>
      <w:tr w:rsidR="00335A1D" w14:paraId="642439E0" w14:textId="77777777" w:rsidTr="00624B14">
        <w:trPr>
          <w:trHeight w:val="2360"/>
          <w:jc w:val="center"/>
        </w:trPr>
        <w:tc>
          <w:tcPr>
            <w:tcW w:w="1560" w:type="dxa"/>
            <w:shd w:val="clear" w:color="auto" w:fill="FFFFFF"/>
          </w:tcPr>
          <w:p w14:paraId="465BE35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Australia Estado de Tasmania</w:t>
            </w:r>
            <w:r>
              <w:rPr>
                <w:rFonts w:ascii="Bookman Old Style" w:eastAsia="Bookman Old Style" w:hAnsi="Bookman Old Style" w:cs="Bookman Old Style"/>
                <w:b/>
                <w:sz w:val="20"/>
                <w:szCs w:val="20"/>
                <w:vertAlign w:val="superscript"/>
              </w:rPr>
              <w:footnoteReference w:id="25"/>
            </w:r>
          </w:p>
        </w:tc>
        <w:tc>
          <w:tcPr>
            <w:tcW w:w="1276" w:type="dxa"/>
            <w:shd w:val="clear" w:color="auto" w:fill="FFFFFF"/>
          </w:tcPr>
          <w:p w14:paraId="4E2E08E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mayores de 18 años.</w:t>
            </w:r>
          </w:p>
        </w:tc>
        <w:tc>
          <w:tcPr>
            <w:tcW w:w="3685" w:type="dxa"/>
            <w:shd w:val="clear" w:color="auto" w:fill="FFFFFF"/>
          </w:tcPr>
          <w:p w14:paraId="57176C0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Ciudadanos australianos.</w:t>
            </w:r>
          </w:p>
          <w:p w14:paraId="3897ABD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Demostrar al menos 12 meses de residencia en el estado para el momento en que se hace la solicitud del procedimiento.</w:t>
            </w:r>
          </w:p>
          <w:p w14:paraId="2DA867DE" w14:textId="77777777" w:rsidR="00335A1D" w:rsidRDefault="00335A1D" w:rsidP="00624B14">
            <w:pPr>
              <w:jc w:val="both"/>
              <w:rPr>
                <w:rFonts w:ascii="Bookman Old Style" w:eastAsia="Bookman Old Style" w:hAnsi="Bookman Old Style" w:cs="Bookman Old Style"/>
                <w:sz w:val="20"/>
                <w:szCs w:val="20"/>
              </w:rPr>
            </w:pPr>
          </w:p>
          <w:p w14:paraId="30A586C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Estar en capacidad de tomar decisiones y comprender la información necesaria para decidir en esta materia. </w:t>
            </w:r>
          </w:p>
          <w:p w14:paraId="5930D6BD" w14:textId="77777777" w:rsidR="00335A1D" w:rsidRDefault="00335A1D" w:rsidP="00624B14">
            <w:pPr>
              <w:jc w:val="both"/>
              <w:rPr>
                <w:rFonts w:ascii="Bookman Old Style" w:eastAsia="Bookman Old Style" w:hAnsi="Bookman Old Style" w:cs="Bookman Old Style"/>
                <w:sz w:val="20"/>
                <w:szCs w:val="20"/>
              </w:rPr>
            </w:pPr>
          </w:p>
          <w:p w14:paraId="41AAE4F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una enfermedad, dolencia o condición médica incurable, avanzada, progresiva, terminal y que cause sufrimiento intolerable.</w:t>
            </w:r>
            <w:r>
              <w:rPr>
                <w:rFonts w:ascii="Bookman Old Style" w:eastAsia="Bookman Old Style" w:hAnsi="Bookman Old Style" w:cs="Bookman Old Style"/>
                <w:sz w:val="20"/>
                <w:szCs w:val="20"/>
                <w:vertAlign w:val="superscript"/>
              </w:rPr>
              <w:footnoteReference w:id="26"/>
            </w:r>
            <w:r>
              <w:rPr>
                <w:rFonts w:ascii="Bookman Old Style" w:eastAsia="Bookman Old Style" w:hAnsi="Bookman Old Style" w:cs="Bookman Old Style"/>
                <w:sz w:val="20"/>
                <w:szCs w:val="20"/>
              </w:rPr>
              <w:t xml:space="preserve"> </w:t>
            </w:r>
          </w:p>
          <w:p w14:paraId="541E4BBE" w14:textId="77777777" w:rsidR="00335A1D" w:rsidRDefault="00335A1D" w:rsidP="00624B14">
            <w:pPr>
              <w:jc w:val="both"/>
              <w:rPr>
                <w:rFonts w:ascii="Bookman Old Style" w:eastAsia="Bookman Old Style" w:hAnsi="Bookman Old Style" w:cs="Bookman Old Style"/>
                <w:sz w:val="20"/>
                <w:szCs w:val="20"/>
              </w:rPr>
            </w:pPr>
          </w:p>
          <w:p w14:paraId="294C8F7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Acreditar que la muerte ocurrirá dentro los siguientes 6 a 12 meses para enfermedades neurodegenerativas.</w:t>
            </w:r>
          </w:p>
          <w:p w14:paraId="7928A118"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26B8FFE5"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Suicido asistido y muerte médicamente asistida.</w:t>
            </w:r>
          </w:p>
          <w:p w14:paraId="223DB681"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348F4330"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El médico debe autorizar la solicitud para administrar el medicamento o para recetarlo en caso de que la persona se lo quiera administrar directamente. </w:t>
            </w:r>
          </w:p>
          <w:p w14:paraId="7711577C"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p>
          <w:p w14:paraId="6F562216"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ese segundo supuesto el médico debe valorar las capacidades de la persona para </w:t>
            </w:r>
            <w:r>
              <w:rPr>
                <w:rFonts w:ascii="Bookman Old Style" w:eastAsia="Bookman Old Style" w:hAnsi="Bookman Old Style" w:cs="Bookman Old Style"/>
                <w:sz w:val="20"/>
                <w:szCs w:val="20"/>
              </w:rPr>
              <w:lastRenderedPageBreak/>
              <w:t xml:space="preserve">autoadministrárselo. </w:t>
            </w:r>
          </w:p>
          <w:p w14:paraId="56669183"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muerte médicamente asistida están legalmente protegidos para no enfrentarse a procesos penales ni disciplinarios por esas conductas.  </w:t>
            </w:r>
          </w:p>
        </w:tc>
        <w:tc>
          <w:tcPr>
            <w:tcW w:w="987" w:type="dxa"/>
            <w:shd w:val="clear" w:color="auto" w:fill="FFFFFF"/>
          </w:tcPr>
          <w:p w14:paraId="37E9419B"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lastRenderedPageBreak/>
              <w:t>Ley. End-of-Life Choices -Voluntary Assisted Dying Act</w:t>
            </w:r>
          </w:p>
        </w:tc>
        <w:tc>
          <w:tcPr>
            <w:tcW w:w="1281" w:type="dxa"/>
            <w:shd w:val="clear" w:color="auto" w:fill="FFFFFF"/>
          </w:tcPr>
          <w:p w14:paraId="0A86AA2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Parlamento de Tasmania</w:t>
            </w:r>
          </w:p>
        </w:tc>
        <w:tc>
          <w:tcPr>
            <w:tcW w:w="850" w:type="dxa"/>
            <w:shd w:val="clear" w:color="auto" w:fill="FFFFFF"/>
          </w:tcPr>
          <w:p w14:paraId="6B3B7C8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335A1D" w14:paraId="28F07E0B" w14:textId="77777777" w:rsidTr="00624B14">
        <w:trPr>
          <w:trHeight w:val="2670"/>
          <w:jc w:val="center"/>
        </w:trPr>
        <w:tc>
          <w:tcPr>
            <w:tcW w:w="1560" w:type="dxa"/>
            <w:shd w:val="clear" w:color="auto" w:fill="FFFFFF"/>
          </w:tcPr>
          <w:p w14:paraId="5CCD3E7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Bélgica</w:t>
            </w:r>
          </w:p>
        </w:tc>
        <w:tc>
          <w:tcPr>
            <w:tcW w:w="1276" w:type="dxa"/>
            <w:shd w:val="clear" w:color="auto" w:fill="FFFFFF"/>
          </w:tcPr>
          <w:p w14:paraId="48E2FB6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Disponible para todas las personas sin distinción de edad. </w:t>
            </w:r>
          </w:p>
        </w:tc>
        <w:tc>
          <w:tcPr>
            <w:tcW w:w="3685" w:type="dxa"/>
            <w:shd w:val="clear" w:color="auto" w:fill="FFFFFF"/>
          </w:tcPr>
          <w:p w14:paraId="46D38EE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una persona emancipada y capaz o siendo menor de edad, tener capacidad de toma de decisiones.</w:t>
            </w:r>
          </w:p>
          <w:p w14:paraId="3D1D6698" w14:textId="77777777" w:rsidR="00335A1D" w:rsidRDefault="00335A1D" w:rsidP="00624B14">
            <w:pPr>
              <w:jc w:val="both"/>
              <w:rPr>
                <w:rFonts w:ascii="Bookman Old Style" w:eastAsia="Bookman Old Style" w:hAnsi="Bookman Old Style" w:cs="Bookman Old Style"/>
                <w:sz w:val="20"/>
                <w:szCs w:val="20"/>
              </w:rPr>
            </w:pPr>
          </w:p>
          <w:p w14:paraId="2BF59DA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Consentimiento voluntario, reflexivo y reiterado</w:t>
            </w:r>
          </w:p>
          <w:p w14:paraId="08AEC221" w14:textId="77777777" w:rsidR="00335A1D" w:rsidRDefault="00335A1D" w:rsidP="00624B14">
            <w:pPr>
              <w:jc w:val="both"/>
              <w:rPr>
                <w:rFonts w:ascii="Bookman Old Style" w:eastAsia="Bookman Old Style" w:hAnsi="Bookman Old Style" w:cs="Bookman Old Style"/>
                <w:sz w:val="20"/>
                <w:szCs w:val="20"/>
              </w:rPr>
            </w:pPr>
          </w:p>
          <w:p w14:paraId="335A1C0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Situación médica terminal, que reporta sufrimiento físico o psíquico constante e insoportable que no puede ser controlado.</w:t>
            </w:r>
          </w:p>
          <w:p w14:paraId="22F1AFDA" w14:textId="77777777" w:rsidR="00335A1D" w:rsidRDefault="00335A1D" w:rsidP="00624B14">
            <w:pPr>
              <w:jc w:val="both"/>
              <w:rPr>
                <w:rFonts w:ascii="Bookman Old Style" w:eastAsia="Bookman Old Style" w:hAnsi="Bookman Old Style" w:cs="Bookman Old Style"/>
                <w:sz w:val="20"/>
                <w:szCs w:val="20"/>
              </w:rPr>
            </w:pPr>
          </w:p>
          <w:p w14:paraId="2CF4155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muerte sea a corto plazo</w:t>
            </w:r>
          </w:p>
        </w:tc>
        <w:tc>
          <w:tcPr>
            <w:tcW w:w="1843" w:type="dxa"/>
            <w:shd w:val="clear" w:color="auto" w:fill="FFFFFF"/>
          </w:tcPr>
          <w:p w14:paraId="2AE36799" w14:textId="77777777" w:rsidR="00335A1D" w:rsidRDefault="00335A1D" w:rsidP="00624B14">
            <w:pPr>
              <w:pBdr>
                <w:top w:val="nil"/>
                <w:left w:val="nil"/>
                <w:bottom w:val="nil"/>
                <w:right w:val="nil"/>
                <w:between w:val="nil"/>
              </w:pBdr>
              <w:spacing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Está regulada la eutanasia. </w:t>
            </w:r>
          </w:p>
          <w:p w14:paraId="710A2CE0" w14:textId="77777777" w:rsidR="00335A1D" w:rsidRDefault="00335A1D" w:rsidP="00624B14">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p>
          <w:p w14:paraId="2E68747A" w14:textId="77777777" w:rsidR="00335A1D" w:rsidRDefault="00335A1D" w:rsidP="00624B14">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suicidio asistido no está regulado, pero se practica en los mismos términos y condiciones que la eutanasia.</w:t>
            </w:r>
          </w:p>
          <w:p w14:paraId="784943C2" w14:textId="77777777" w:rsidR="00335A1D" w:rsidRDefault="00335A1D" w:rsidP="00624B14">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Un médico constata los requisitos. Si considera que la muerte no será en el corto plazo debe consultar con un segundo médico. </w:t>
            </w:r>
          </w:p>
          <w:p w14:paraId="2DB968B5" w14:textId="77777777" w:rsidR="00335A1D" w:rsidRDefault="00335A1D" w:rsidP="00624B14">
            <w:pPr>
              <w:pBdr>
                <w:top w:val="nil"/>
                <w:left w:val="nil"/>
                <w:bottom w:val="nil"/>
                <w:right w:val="nil"/>
                <w:between w:val="nil"/>
              </w:pBdr>
              <w:spacing w:after="160"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espera al menos un mes desde la solicitud para practica la muerte </w:t>
            </w:r>
            <w:r>
              <w:rPr>
                <w:rFonts w:ascii="Bookman Old Style" w:eastAsia="Bookman Old Style" w:hAnsi="Bookman Old Style" w:cs="Bookman Old Style"/>
                <w:sz w:val="20"/>
                <w:szCs w:val="20"/>
              </w:rPr>
              <w:lastRenderedPageBreak/>
              <w:t xml:space="preserve">médicamente asistida. </w:t>
            </w:r>
          </w:p>
        </w:tc>
        <w:tc>
          <w:tcPr>
            <w:tcW w:w="987" w:type="dxa"/>
            <w:shd w:val="clear" w:color="auto" w:fill="FFFFFF"/>
          </w:tcPr>
          <w:p w14:paraId="3CF2ABB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Ley del 28 de mayo de 2022, modificada el 28 de febrero de 2014.</w:t>
            </w:r>
          </w:p>
          <w:p w14:paraId="44B25BA7" w14:textId="77777777" w:rsidR="00335A1D" w:rsidRDefault="00335A1D" w:rsidP="00624B14">
            <w:pPr>
              <w:jc w:val="both"/>
              <w:rPr>
                <w:rFonts w:ascii="Bookman Old Style" w:eastAsia="Bookman Old Style" w:hAnsi="Bookman Old Style" w:cs="Bookman Old Style"/>
                <w:sz w:val="20"/>
                <w:szCs w:val="20"/>
              </w:rPr>
            </w:pPr>
          </w:p>
          <w:p w14:paraId="0972FD26" w14:textId="77777777" w:rsidR="00335A1D" w:rsidRDefault="00335A1D" w:rsidP="00624B14">
            <w:pPr>
              <w:jc w:val="both"/>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Loi</w:t>
            </w:r>
            <w:proofErr w:type="spellEnd"/>
            <w:r>
              <w:rPr>
                <w:rFonts w:ascii="Bookman Old Style" w:eastAsia="Bookman Old Style" w:hAnsi="Bookman Old Style" w:cs="Bookman Old Style"/>
                <w:sz w:val="20"/>
                <w:szCs w:val="20"/>
              </w:rPr>
              <w:t xml:space="preserve"> relative à </w:t>
            </w:r>
            <w:proofErr w:type="spellStart"/>
            <w:r>
              <w:rPr>
                <w:rFonts w:ascii="Bookman Old Style" w:eastAsia="Bookman Old Style" w:hAnsi="Bookman Old Style" w:cs="Bookman Old Style"/>
                <w:sz w:val="20"/>
                <w:szCs w:val="20"/>
              </w:rPr>
              <w:t>l'euthanasie</w:t>
            </w:r>
            <w:proofErr w:type="spellEnd"/>
            <w:r>
              <w:rPr>
                <w:rFonts w:ascii="Bookman Old Style" w:eastAsia="Bookman Old Style" w:hAnsi="Bookman Old Style" w:cs="Bookman Old Style"/>
                <w:sz w:val="20"/>
                <w:szCs w:val="20"/>
                <w:vertAlign w:val="superscript"/>
              </w:rPr>
              <w:footnoteReference w:id="27"/>
            </w:r>
          </w:p>
        </w:tc>
        <w:tc>
          <w:tcPr>
            <w:tcW w:w="1281" w:type="dxa"/>
            <w:shd w:val="clear" w:color="auto" w:fill="FFFFFF"/>
          </w:tcPr>
          <w:p w14:paraId="1B66485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legislativo de Bélgica. </w:t>
            </w:r>
          </w:p>
        </w:tc>
        <w:tc>
          <w:tcPr>
            <w:tcW w:w="850" w:type="dxa"/>
            <w:shd w:val="clear" w:color="auto" w:fill="FFFFFF"/>
          </w:tcPr>
          <w:p w14:paraId="3DF2DC0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2002 y 2014</w:t>
            </w:r>
          </w:p>
        </w:tc>
      </w:tr>
      <w:tr w:rsidR="00335A1D" w14:paraId="4FE637B9" w14:textId="77777777" w:rsidTr="00624B14">
        <w:trPr>
          <w:jc w:val="center"/>
        </w:trPr>
        <w:tc>
          <w:tcPr>
            <w:tcW w:w="1560" w:type="dxa"/>
            <w:shd w:val="clear" w:color="auto" w:fill="FFFFFF"/>
          </w:tcPr>
          <w:p w14:paraId="2D2042FD"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Canadá-Quebec</w:t>
            </w:r>
          </w:p>
        </w:tc>
        <w:tc>
          <w:tcPr>
            <w:tcW w:w="1276" w:type="dxa"/>
            <w:shd w:val="clear" w:color="auto" w:fill="FFFFFF"/>
          </w:tcPr>
          <w:p w14:paraId="49B6B95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shd w:val="clear" w:color="auto" w:fill="FFFFFF"/>
          </w:tcPr>
          <w:p w14:paraId="01F0A80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seguro médico</w:t>
            </w:r>
          </w:p>
          <w:p w14:paraId="086BE11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el procedimiento sea autorizado por un médico</w:t>
            </w:r>
          </w:p>
          <w:p w14:paraId="2DA6746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de expresar el consentimiento</w:t>
            </w:r>
          </w:p>
          <w:p w14:paraId="65CBECA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Que la enfermedad sea terminal, grave e incurable</w:t>
            </w:r>
          </w:p>
          <w:p w14:paraId="5B43509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Estar en avanzado estado de deterioro que sea irreversible</w:t>
            </w:r>
          </w:p>
          <w:p w14:paraId="4077D21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Sufrimiento físico o psicológico insoportable que no se pueda aliviar</w:t>
            </w:r>
          </w:p>
          <w:p w14:paraId="4FC40516" w14:textId="77777777" w:rsidR="00335A1D" w:rsidRDefault="00335A1D" w:rsidP="00624B14">
            <w:pPr>
              <w:jc w:val="both"/>
              <w:rPr>
                <w:rFonts w:ascii="Bookman Old Style" w:eastAsia="Bookman Old Style" w:hAnsi="Bookman Old Style" w:cs="Bookman Old Style"/>
                <w:sz w:val="20"/>
                <w:szCs w:val="20"/>
              </w:rPr>
            </w:pPr>
          </w:p>
        </w:tc>
        <w:tc>
          <w:tcPr>
            <w:tcW w:w="1843" w:type="dxa"/>
            <w:shd w:val="clear" w:color="auto" w:fill="FFFFFF"/>
          </w:tcPr>
          <w:p w14:paraId="2E040E6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Eutanasia y cuidados paliativos, incluyendo la posibilidad de dejar a la persona inconsciente hasta el momento de la muerte.</w:t>
            </w:r>
          </w:p>
        </w:tc>
        <w:tc>
          <w:tcPr>
            <w:tcW w:w="987" w:type="dxa"/>
            <w:shd w:val="clear" w:color="auto" w:fill="FFFFFF"/>
          </w:tcPr>
          <w:p w14:paraId="6CAA925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Ley. </w:t>
            </w:r>
            <w:r>
              <w:rPr>
                <w:rFonts w:ascii="Bookman Old Style" w:eastAsia="Bookman Old Style" w:hAnsi="Bookman Old Style" w:cs="Bookman Old Style"/>
                <w:sz w:val="20"/>
                <w:szCs w:val="20"/>
                <w:vertAlign w:val="superscript"/>
              </w:rPr>
              <w:footnoteReference w:id="28"/>
            </w:r>
          </w:p>
          <w:p w14:paraId="66BBE6AB" w14:textId="77777777" w:rsidR="00335A1D" w:rsidRDefault="00335A1D" w:rsidP="00624B14">
            <w:pPr>
              <w:jc w:val="both"/>
              <w:rPr>
                <w:rFonts w:ascii="Bookman Old Style" w:eastAsia="Bookman Old Style" w:hAnsi="Bookman Old Style" w:cs="Bookman Old Style"/>
                <w:sz w:val="20"/>
                <w:szCs w:val="20"/>
              </w:rPr>
            </w:pPr>
            <w:proofErr w:type="spellStart"/>
            <w:r>
              <w:rPr>
                <w:rFonts w:ascii="Bookman Old Style" w:eastAsia="Bookman Old Style" w:hAnsi="Bookman Old Style" w:cs="Bookman Old Style"/>
                <w:sz w:val="20"/>
                <w:szCs w:val="20"/>
              </w:rPr>
              <w:t>Loi</w:t>
            </w:r>
            <w:proofErr w:type="spellEnd"/>
            <w:r>
              <w:rPr>
                <w:rFonts w:ascii="Bookman Old Style" w:eastAsia="Bookman Old Style" w:hAnsi="Bookman Old Style" w:cs="Bookman Old Style"/>
                <w:sz w:val="20"/>
                <w:szCs w:val="20"/>
              </w:rPr>
              <w:t xml:space="preserve"> </w:t>
            </w:r>
            <w:proofErr w:type="spellStart"/>
            <w:r>
              <w:rPr>
                <w:rFonts w:ascii="Bookman Old Style" w:eastAsia="Bookman Old Style" w:hAnsi="Bookman Old Style" w:cs="Bookman Old Style"/>
                <w:sz w:val="20"/>
                <w:szCs w:val="20"/>
              </w:rPr>
              <w:t>concernant</w:t>
            </w:r>
            <w:proofErr w:type="spellEnd"/>
            <w:r>
              <w:rPr>
                <w:rFonts w:ascii="Bookman Old Style" w:eastAsia="Bookman Old Style" w:hAnsi="Bookman Old Style" w:cs="Bookman Old Style"/>
                <w:sz w:val="20"/>
                <w:szCs w:val="20"/>
              </w:rPr>
              <w:t xml:space="preserve"> les </w:t>
            </w:r>
            <w:proofErr w:type="spellStart"/>
            <w:r>
              <w:rPr>
                <w:rFonts w:ascii="Bookman Old Style" w:eastAsia="Bookman Old Style" w:hAnsi="Bookman Old Style" w:cs="Bookman Old Style"/>
                <w:sz w:val="20"/>
                <w:szCs w:val="20"/>
              </w:rPr>
              <w:t>soins</w:t>
            </w:r>
            <w:proofErr w:type="spellEnd"/>
            <w:r>
              <w:rPr>
                <w:rFonts w:ascii="Bookman Old Style" w:eastAsia="Bookman Old Style" w:hAnsi="Bookman Old Style" w:cs="Bookman Old Style"/>
                <w:sz w:val="20"/>
                <w:szCs w:val="20"/>
              </w:rPr>
              <w:t xml:space="preserve"> de fin de vie</w:t>
            </w:r>
          </w:p>
        </w:tc>
        <w:tc>
          <w:tcPr>
            <w:tcW w:w="1281" w:type="dxa"/>
            <w:shd w:val="clear" w:color="auto" w:fill="FFFFFF"/>
          </w:tcPr>
          <w:p w14:paraId="518D25A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Legislativo de Quebec. </w:t>
            </w:r>
          </w:p>
        </w:tc>
        <w:tc>
          <w:tcPr>
            <w:tcW w:w="850" w:type="dxa"/>
            <w:shd w:val="clear" w:color="auto" w:fill="FFFFFF"/>
          </w:tcPr>
          <w:p w14:paraId="2EE986D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2014</w:t>
            </w:r>
            <w:r>
              <w:rPr>
                <w:rFonts w:ascii="Bookman Old Style" w:eastAsia="Bookman Old Style" w:hAnsi="Bookman Old Style" w:cs="Bookman Old Style"/>
                <w:sz w:val="20"/>
                <w:szCs w:val="20"/>
                <w:vertAlign w:val="superscript"/>
              </w:rPr>
              <w:footnoteReference w:id="29"/>
            </w:r>
          </w:p>
        </w:tc>
      </w:tr>
      <w:tr w:rsidR="00335A1D" w14:paraId="02F69E25" w14:textId="77777777" w:rsidTr="00624B14">
        <w:trPr>
          <w:jc w:val="center"/>
        </w:trPr>
        <w:tc>
          <w:tcPr>
            <w:tcW w:w="1560" w:type="dxa"/>
            <w:shd w:val="clear" w:color="auto" w:fill="FFFFFF"/>
          </w:tcPr>
          <w:p w14:paraId="4DF4A3B3"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Canadá</w:t>
            </w:r>
          </w:p>
        </w:tc>
        <w:tc>
          <w:tcPr>
            <w:tcW w:w="1276" w:type="dxa"/>
            <w:shd w:val="clear" w:color="auto" w:fill="FFFFFF"/>
          </w:tcPr>
          <w:p w14:paraId="3D38EEA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18 años</w:t>
            </w:r>
          </w:p>
        </w:tc>
        <w:tc>
          <w:tcPr>
            <w:tcW w:w="3685" w:type="dxa"/>
            <w:shd w:val="clear" w:color="auto" w:fill="FFFFFF"/>
          </w:tcPr>
          <w:p w14:paraId="4C287AB2"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Tener acceso a los servicios de atención médica</w:t>
            </w:r>
          </w:p>
          <w:p w14:paraId="47F7EC6F"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Tener capacidad para tomar decisiones autónomas respecto de su salud</w:t>
            </w:r>
          </w:p>
          <w:p w14:paraId="0D363C23"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Tener condición médica grave e irremediable que se encuentre en estado avanzado y genere pérdida de la capacidad </w:t>
            </w:r>
            <w:r>
              <w:rPr>
                <w:rFonts w:ascii="Bookman Old Style" w:eastAsia="Bookman Old Style" w:hAnsi="Bookman Old Style" w:cs="Bookman Old Style"/>
                <w:color w:val="000000"/>
                <w:sz w:val="20"/>
                <w:szCs w:val="20"/>
                <w:vertAlign w:val="superscript"/>
              </w:rPr>
              <w:footnoteReference w:id="30"/>
            </w:r>
            <w:r>
              <w:rPr>
                <w:rFonts w:ascii="Bookman Old Style" w:eastAsia="Bookman Old Style" w:hAnsi="Bookman Old Style" w:cs="Bookman Old Style"/>
                <w:color w:val="000000"/>
                <w:sz w:val="20"/>
                <w:szCs w:val="20"/>
              </w:rPr>
              <w:t>y dolor o sufrimiento físico o psicológico intolerable y que no se pueda aliviar</w:t>
            </w:r>
            <w:r>
              <w:rPr>
                <w:rFonts w:ascii="Bookman Old Style" w:eastAsia="Bookman Old Style" w:hAnsi="Bookman Old Style" w:cs="Bookman Old Style"/>
                <w:sz w:val="20"/>
                <w:szCs w:val="20"/>
                <w:vertAlign w:val="superscript"/>
              </w:rPr>
              <w:footnoteReference w:id="31"/>
            </w:r>
          </w:p>
          <w:p w14:paraId="74ADCE13"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color w:val="000000"/>
                <w:sz w:val="20"/>
                <w:szCs w:val="20"/>
              </w:rPr>
            </w:pPr>
          </w:p>
        </w:tc>
        <w:tc>
          <w:tcPr>
            <w:tcW w:w="1843" w:type="dxa"/>
            <w:shd w:val="clear" w:color="auto" w:fill="FFFFFF"/>
          </w:tcPr>
          <w:p w14:paraId="4AC7940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Eutanasia y suicidio asistido.</w:t>
            </w:r>
          </w:p>
          <w:p w14:paraId="6587BF51" w14:textId="77777777" w:rsidR="00335A1D" w:rsidRDefault="00335A1D" w:rsidP="00624B14">
            <w:pPr>
              <w:jc w:val="both"/>
              <w:rPr>
                <w:rFonts w:ascii="Bookman Old Style" w:eastAsia="Bookman Old Style" w:hAnsi="Bookman Old Style" w:cs="Bookman Old Style"/>
                <w:sz w:val="20"/>
                <w:szCs w:val="20"/>
              </w:rPr>
            </w:pPr>
          </w:p>
          <w:p w14:paraId="23C3654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(Asistencia médica para morir).</w:t>
            </w:r>
          </w:p>
          <w:p w14:paraId="1A1179B6" w14:textId="77777777" w:rsidR="00335A1D" w:rsidRDefault="00335A1D" w:rsidP="00624B14">
            <w:pPr>
              <w:jc w:val="both"/>
              <w:rPr>
                <w:rFonts w:ascii="Bookman Old Style" w:eastAsia="Bookman Old Style" w:hAnsi="Bookman Old Style" w:cs="Bookman Old Style"/>
                <w:sz w:val="20"/>
                <w:szCs w:val="20"/>
              </w:rPr>
            </w:pPr>
          </w:p>
          <w:p w14:paraId="2B770CF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asistencia la puede prestar un médico o un enfermero. </w:t>
            </w:r>
          </w:p>
          <w:p w14:paraId="11383A84" w14:textId="77777777" w:rsidR="00335A1D" w:rsidRDefault="00335A1D" w:rsidP="00624B14">
            <w:pPr>
              <w:jc w:val="both"/>
              <w:rPr>
                <w:rFonts w:ascii="Bookman Old Style" w:eastAsia="Bookman Old Style" w:hAnsi="Bookman Old Style" w:cs="Bookman Old Style"/>
                <w:sz w:val="20"/>
                <w:szCs w:val="20"/>
              </w:rPr>
            </w:pPr>
          </w:p>
          <w:p w14:paraId="35299FF0"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Como requisito para acceder a la asistencia para la muerte, la persona debe expresar su decisión</w:t>
            </w:r>
            <w:r>
              <w:rPr>
                <w:rFonts w:ascii="Bookman Old Style" w:eastAsia="Bookman Old Style" w:hAnsi="Bookman Old Style" w:cs="Bookman Old Style"/>
                <w:color w:val="000000"/>
                <w:sz w:val="20"/>
                <w:szCs w:val="20"/>
              </w:rPr>
              <w:t xml:space="preserve"> voluntaria mediante un consentimiento informado tras tener acceso a información sobre otras formas de aliviar el dolor.</w:t>
            </w:r>
          </w:p>
        </w:tc>
        <w:tc>
          <w:tcPr>
            <w:tcW w:w="987" w:type="dxa"/>
            <w:shd w:val="clear" w:color="auto" w:fill="FFFFFF"/>
          </w:tcPr>
          <w:p w14:paraId="18E986B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Ley</w:t>
            </w:r>
            <w:r>
              <w:rPr>
                <w:rFonts w:ascii="Bookman Old Style" w:eastAsia="Bookman Old Style" w:hAnsi="Bookman Old Style" w:cs="Bookman Old Style"/>
                <w:sz w:val="20"/>
                <w:szCs w:val="20"/>
                <w:vertAlign w:val="superscript"/>
              </w:rPr>
              <w:footnoteReference w:id="32"/>
            </w:r>
          </w:p>
        </w:tc>
        <w:tc>
          <w:tcPr>
            <w:tcW w:w="1281" w:type="dxa"/>
            <w:shd w:val="clear" w:color="auto" w:fill="FFFFFF"/>
          </w:tcPr>
          <w:p w14:paraId="51E0F93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Legislativo de Canadá en cumplimiento de sentencia de la Corte Suprema de Justicia en el caso </w:t>
            </w:r>
            <w:r>
              <w:rPr>
                <w:rFonts w:ascii="Bookman Old Style" w:eastAsia="Bookman Old Style" w:hAnsi="Bookman Old Style" w:cs="Bookman Old Style"/>
                <w:sz w:val="20"/>
                <w:szCs w:val="20"/>
              </w:rPr>
              <w:lastRenderedPageBreak/>
              <w:t>Carter vs. Canadá.</w:t>
            </w:r>
          </w:p>
          <w:p w14:paraId="3EC650D5" w14:textId="77777777" w:rsidR="00335A1D" w:rsidRDefault="00335A1D" w:rsidP="00624B14">
            <w:pPr>
              <w:jc w:val="both"/>
              <w:rPr>
                <w:rFonts w:ascii="Bookman Old Style" w:eastAsia="Bookman Old Style" w:hAnsi="Bookman Old Style" w:cs="Bookman Old Style"/>
                <w:sz w:val="20"/>
                <w:szCs w:val="20"/>
              </w:rPr>
            </w:pPr>
          </w:p>
          <w:p w14:paraId="5917D3A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Corte determinó que impedir la asistencia a morir vulneraba el derecho a la vida, la libertad y la seguridad personal.</w:t>
            </w:r>
            <w:r>
              <w:rPr>
                <w:rFonts w:ascii="Bookman Old Style" w:eastAsia="Bookman Old Style" w:hAnsi="Bookman Old Style" w:cs="Bookman Old Style"/>
                <w:sz w:val="20"/>
                <w:szCs w:val="20"/>
                <w:vertAlign w:val="superscript"/>
              </w:rPr>
              <w:footnoteReference w:id="33"/>
            </w:r>
            <w:r>
              <w:rPr>
                <w:rFonts w:ascii="Bookman Old Style" w:eastAsia="Bookman Old Style" w:hAnsi="Bookman Old Style" w:cs="Bookman Old Style"/>
                <w:sz w:val="20"/>
                <w:szCs w:val="20"/>
              </w:rPr>
              <w:t xml:space="preserve"> </w:t>
            </w:r>
          </w:p>
        </w:tc>
        <w:tc>
          <w:tcPr>
            <w:tcW w:w="850" w:type="dxa"/>
            <w:shd w:val="clear" w:color="auto" w:fill="FFFFFF"/>
          </w:tcPr>
          <w:p w14:paraId="021F39B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2016 y 2021</w:t>
            </w:r>
          </w:p>
        </w:tc>
      </w:tr>
      <w:tr w:rsidR="00335A1D" w14:paraId="4FCE258E" w14:textId="77777777" w:rsidTr="00624B14">
        <w:trPr>
          <w:jc w:val="center"/>
        </w:trPr>
        <w:tc>
          <w:tcPr>
            <w:tcW w:w="1560" w:type="dxa"/>
            <w:shd w:val="clear" w:color="auto" w:fill="FFFFFF"/>
          </w:tcPr>
          <w:p w14:paraId="4A1D9170"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España </w:t>
            </w:r>
          </w:p>
        </w:tc>
        <w:tc>
          <w:tcPr>
            <w:tcW w:w="1276" w:type="dxa"/>
            <w:shd w:val="clear" w:color="auto" w:fill="FFFFFF"/>
          </w:tcPr>
          <w:p w14:paraId="6B6155AA" w14:textId="77777777" w:rsidR="00335A1D" w:rsidRDefault="00335A1D" w:rsidP="00624B14">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shd w:val="clear" w:color="auto" w:fill="FFFFFF"/>
          </w:tcPr>
          <w:p w14:paraId="1020471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Padecer enfermedad grave e incurable, crónica e incapacitante.</w:t>
            </w:r>
            <w:r>
              <w:rPr>
                <w:rFonts w:ascii="Bookman Old Style" w:eastAsia="Bookman Old Style" w:hAnsi="Bookman Old Style" w:cs="Bookman Old Style"/>
                <w:sz w:val="20"/>
                <w:szCs w:val="20"/>
                <w:vertAlign w:val="superscript"/>
              </w:rPr>
              <w:footnoteReference w:id="34"/>
            </w:r>
          </w:p>
          <w:p w14:paraId="4154A376" w14:textId="77777777" w:rsidR="00335A1D" w:rsidRDefault="00335A1D" w:rsidP="00624B14">
            <w:pPr>
              <w:jc w:val="both"/>
              <w:rPr>
                <w:rFonts w:ascii="Bookman Old Style" w:eastAsia="Bookman Old Style" w:hAnsi="Bookman Old Style" w:cs="Bookman Old Style"/>
                <w:sz w:val="20"/>
                <w:szCs w:val="20"/>
              </w:rPr>
            </w:pPr>
          </w:p>
          <w:p w14:paraId="670FB8B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Nacionalidad española o residir al menos 12 meses antes de la solicitud en España. </w:t>
            </w:r>
          </w:p>
          <w:p w14:paraId="612F0074" w14:textId="77777777" w:rsidR="00335A1D" w:rsidRDefault="00335A1D" w:rsidP="00624B14">
            <w:pPr>
              <w:jc w:val="both"/>
              <w:rPr>
                <w:rFonts w:ascii="Bookman Old Style" w:eastAsia="Bookman Old Style" w:hAnsi="Bookman Old Style" w:cs="Bookman Old Style"/>
                <w:sz w:val="20"/>
                <w:szCs w:val="20"/>
              </w:rPr>
            </w:pPr>
          </w:p>
          <w:p w14:paraId="63313B2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consciente en el momento de la solicitud</w:t>
            </w:r>
          </w:p>
          <w:p w14:paraId="72B73F46" w14:textId="77777777" w:rsidR="00335A1D" w:rsidRDefault="00335A1D" w:rsidP="00624B14">
            <w:pPr>
              <w:jc w:val="both"/>
              <w:rPr>
                <w:rFonts w:ascii="Bookman Old Style" w:eastAsia="Bookman Old Style" w:hAnsi="Bookman Old Style" w:cs="Bookman Old Style"/>
                <w:sz w:val="20"/>
                <w:szCs w:val="20"/>
              </w:rPr>
            </w:pPr>
          </w:p>
          <w:p w14:paraId="7B03672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tc>
        <w:tc>
          <w:tcPr>
            <w:tcW w:w="1843" w:type="dxa"/>
            <w:shd w:val="clear" w:color="auto" w:fill="FFFFFF"/>
          </w:tcPr>
          <w:p w14:paraId="4C990D6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Eutanasia, muerte médicamente asistida.</w:t>
            </w:r>
          </w:p>
          <w:p w14:paraId="26A4C260" w14:textId="77777777" w:rsidR="00335A1D" w:rsidRDefault="00335A1D" w:rsidP="00624B14">
            <w:pPr>
              <w:jc w:val="both"/>
              <w:rPr>
                <w:rFonts w:ascii="Bookman Old Style" w:eastAsia="Bookman Old Style" w:hAnsi="Bookman Old Style" w:cs="Bookman Old Style"/>
                <w:sz w:val="20"/>
                <w:szCs w:val="20"/>
              </w:rPr>
            </w:pPr>
          </w:p>
          <w:p w14:paraId="19C1A40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Por dos modalidades: la administración directa del medicamento al paciente o la receta médica </w:t>
            </w:r>
            <w:r>
              <w:rPr>
                <w:rFonts w:ascii="Bookman Old Style" w:eastAsia="Bookman Old Style" w:hAnsi="Bookman Old Style" w:cs="Bookman Old Style"/>
                <w:sz w:val="20"/>
                <w:szCs w:val="20"/>
              </w:rPr>
              <w:lastRenderedPageBreak/>
              <w:t xml:space="preserve">para que este lo adquiera y se lo auto administre, causando su propia muerte. </w:t>
            </w:r>
          </w:p>
          <w:p w14:paraId="34BF9C5B" w14:textId="77777777" w:rsidR="00335A1D" w:rsidRDefault="00335A1D" w:rsidP="00624B14">
            <w:pPr>
              <w:jc w:val="both"/>
              <w:rPr>
                <w:rFonts w:ascii="Bookman Old Style" w:eastAsia="Bookman Old Style" w:hAnsi="Bookman Old Style" w:cs="Bookman Old Style"/>
                <w:sz w:val="20"/>
                <w:szCs w:val="20"/>
              </w:rPr>
            </w:pPr>
          </w:p>
          <w:p w14:paraId="35DE1EC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acceder a la información por escrito sobre el proceso médico y las alternativas para aliviar el dolor. </w:t>
            </w:r>
          </w:p>
          <w:p w14:paraId="254FC2B0" w14:textId="77777777" w:rsidR="00335A1D" w:rsidRDefault="00335A1D" w:rsidP="00624B14">
            <w:pPr>
              <w:jc w:val="both"/>
              <w:rPr>
                <w:rFonts w:ascii="Bookman Old Style" w:eastAsia="Bookman Old Style" w:hAnsi="Bookman Old Style" w:cs="Bookman Old Style"/>
                <w:sz w:val="20"/>
                <w:szCs w:val="20"/>
              </w:rPr>
            </w:pPr>
          </w:p>
          <w:p w14:paraId="7FECA03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Solicitar voluntariamente el procedimiento al menos dos veces.</w:t>
            </w:r>
          </w:p>
          <w:p w14:paraId="33CB6CB8" w14:textId="77777777" w:rsidR="00335A1D" w:rsidRDefault="00335A1D" w:rsidP="00624B14">
            <w:pPr>
              <w:jc w:val="both"/>
              <w:rPr>
                <w:rFonts w:ascii="Bookman Old Style" w:eastAsia="Bookman Old Style" w:hAnsi="Bookman Old Style" w:cs="Bookman Old Style"/>
                <w:sz w:val="20"/>
                <w:szCs w:val="20"/>
              </w:rPr>
            </w:pPr>
          </w:p>
          <w:p w14:paraId="1E16A9B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Debe manifestar su voluntad mediante consentimiento informado.</w:t>
            </w:r>
          </w:p>
          <w:p w14:paraId="667A516F" w14:textId="77777777" w:rsidR="00335A1D" w:rsidRDefault="00335A1D" w:rsidP="00624B14">
            <w:pPr>
              <w:jc w:val="both"/>
              <w:rPr>
                <w:rFonts w:ascii="Bookman Old Style" w:eastAsia="Bookman Old Style" w:hAnsi="Bookman Old Style" w:cs="Bookman Old Style"/>
                <w:sz w:val="20"/>
                <w:szCs w:val="20"/>
              </w:rPr>
            </w:pPr>
          </w:p>
          <w:p w14:paraId="7D92FBBE" w14:textId="77777777" w:rsidR="00335A1D" w:rsidRDefault="00335A1D" w:rsidP="00624B14">
            <w:pPr>
              <w:pBdr>
                <w:top w:val="nil"/>
                <w:left w:val="nil"/>
                <w:bottom w:val="nil"/>
                <w:right w:val="nil"/>
                <w:between w:val="nil"/>
              </w:pBd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Quienes asisten, faciliten la muerte médicamente asistida están legalmente protegidos para no enfrentarse a procesos penales ni disciplinarios por esas conductas.  </w:t>
            </w:r>
          </w:p>
          <w:p w14:paraId="0AD0A1DC" w14:textId="77777777" w:rsidR="00335A1D" w:rsidRDefault="00335A1D" w:rsidP="00624B14">
            <w:pPr>
              <w:jc w:val="both"/>
              <w:rPr>
                <w:rFonts w:ascii="Bookman Old Style" w:eastAsia="Bookman Old Style" w:hAnsi="Bookman Old Style" w:cs="Bookman Old Style"/>
                <w:sz w:val="20"/>
                <w:szCs w:val="20"/>
              </w:rPr>
            </w:pPr>
          </w:p>
        </w:tc>
        <w:tc>
          <w:tcPr>
            <w:tcW w:w="987" w:type="dxa"/>
            <w:shd w:val="clear" w:color="auto" w:fill="FFFFFF"/>
          </w:tcPr>
          <w:p w14:paraId="00DE35E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Ley. Ley orgánica de regulación de la eutanasia.</w:t>
            </w:r>
            <w:r>
              <w:rPr>
                <w:rFonts w:ascii="Bookman Old Style" w:eastAsia="Bookman Old Style" w:hAnsi="Bookman Old Style" w:cs="Bookman Old Style"/>
                <w:sz w:val="20"/>
                <w:szCs w:val="20"/>
                <w:vertAlign w:val="superscript"/>
              </w:rPr>
              <w:footnoteReference w:id="35"/>
            </w:r>
          </w:p>
        </w:tc>
        <w:tc>
          <w:tcPr>
            <w:tcW w:w="1281" w:type="dxa"/>
            <w:shd w:val="clear" w:color="auto" w:fill="FFFFFF"/>
          </w:tcPr>
          <w:p w14:paraId="67C60B7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legislativo español. </w:t>
            </w:r>
          </w:p>
        </w:tc>
        <w:tc>
          <w:tcPr>
            <w:tcW w:w="850" w:type="dxa"/>
            <w:shd w:val="clear" w:color="auto" w:fill="FFFFFF"/>
          </w:tcPr>
          <w:p w14:paraId="33B2074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335A1D" w14:paraId="2A1F2FD5" w14:textId="77777777" w:rsidTr="00624B14">
        <w:trPr>
          <w:jc w:val="center"/>
        </w:trPr>
        <w:tc>
          <w:tcPr>
            <w:tcW w:w="1560" w:type="dxa"/>
          </w:tcPr>
          <w:p w14:paraId="32838E9B"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Estados Unidos -California</w:t>
            </w:r>
          </w:p>
        </w:tc>
        <w:tc>
          <w:tcPr>
            <w:tcW w:w="1276" w:type="dxa"/>
          </w:tcPr>
          <w:p w14:paraId="7C0297DD" w14:textId="77777777" w:rsidR="00335A1D" w:rsidRDefault="00335A1D" w:rsidP="00624B14">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0A88E50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40C7458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37C38C9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63F60F7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71BC3D6A"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 xml:space="preserve">Ley. The </w:t>
            </w:r>
            <w:proofErr w:type="gramStart"/>
            <w:r w:rsidRPr="00076C5D">
              <w:rPr>
                <w:rFonts w:ascii="Bookman Old Style" w:eastAsia="Bookman Old Style" w:hAnsi="Bookman Old Style" w:cs="Bookman Old Style"/>
                <w:sz w:val="20"/>
                <w:szCs w:val="20"/>
                <w:lang w:val="en-US"/>
              </w:rPr>
              <w:t>End of Life</w:t>
            </w:r>
            <w:proofErr w:type="gramEnd"/>
            <w:r w:rsidRPr="00076C5D">
              <w:rPr>
                <w:rFonts w:ascii="Bookman Old Style" w:eastAsia="Bookman Old Style" w:hAnsi="Bookman Old Style" w:cs="Bookman Old Style"/>
                <w:sz w:val="20"/>
                <w:szCs w:val="20"/>
                <w:lang w:val="en-US"/>
              </w:rPr>
              <w:t xml:space="preserve"> Option Act</w:t>
            </w:r>
            <w:r>
              <w:rPr>
                <w:rFonts w:ascii="Bookman Old Style" w:eastAsia="Bookman Old Style" w:hAnsi="Bookman Old Style" w:cs="Bookman Old Style"/>
                <w:sz w:val="20"/>
                <w:szCs w:val="20"/>
                <w:vertAlign w:val="superscript"/>
              </w:rPr>
              <w:footnoteReference w:id="36"/>
            </w:r>
          </w:p>
        </w:tc>
        <w:tc>
          <w:tcPr>
            <w:tcW w:w="1281" w:type="dxa"/>
          </w:tcPr>
          <w:p w14:paraId="5D8D0F0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0785912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2015</w:t>
            </w:r>
          </w:p>
        </w:tc>
      </w:tr>
      <w:tr w:rsidR="00335A1D" w14:paraId="1C664C6C" w14:textId="77777777" w:rsidTr="00624B14">
        <w:trPr>
          <w:jc w:val="center"/>
        </w:trPr>
        <w:tc>
          <w:tcPr>
            <w:tcW w:w="1560" w:type="dxa"/>
          </w:tcPr>
          <w:p w14:paraId="097AD8F9"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Distrito de Columbia o Washington D.C..</w:t>
            </w:r>
          </w:p>
        </w:tc>
        <w:tc>
          <w:tcPr>
            <w:tcW w:w="1276" w:type="dxa"/>
          </w:tcPr>
          <w:p w14:paraId="48E26CB9" w14:textId="77777777" w:rsidR="00335A1D" w:rsidRDefault="00335A1D" w:rsidP="00624B14">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Mayores de edad </w:t>
            </w:r>
          </w:p>
        </w:tc>
        <w:tc>
          <w:tcPr>
            <w:tcW w:w="3685" w:type="dxa"/>
          </w:tcPr>
          <w:p w14:paraId="3171CBC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75A256B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6FE5C61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5CEDDDF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2C6A0735"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Death with Dignity Act.</w:t>
            </w:r>
            <w:r>
              <w:rPr>
                <w:rFonts w:ascii="Bookman Old Style" w:eastAsia="Bookman Old Style" w:hAnsi="Bookman Old Style" w:cs="Bookman Old Style"/>
                <w:sz w:val="20"/>
                <w:szCs w:val="20"/>
                <w:vertAlign w:val="superscript"/>
              </w:rPr>
              <w:footnoteReference w:id="37"/>
            </w:r>
          </w:p>
        </w:tc>
        <w:tc>
          <w:tcPr>
            <w:tcW w:w="1281" w:type="dxa"/>
          </w:tcPr>
          <w:p w14:paraId="7AA33CF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6367B3B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2017</w:t>
            </w:r>
          </w:p>
        </w:tc>
      </w:tr>
      <w:tr w:rsidR="00335A1D" w14:paraId="61CD2665" w14:textId="77777777" w:rsidTr="00624B14">
        <w:trPr>
          <w:jc w:val="center"/>
        </w:trPr>
        <w:tc>
          <w:tcPr>
            <w:tcW w:w="1560" w:type="dxa"/>
          </w:tcPr>
          <w:p w14:paraId="1B8E9604"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Colorado</w:t>
            </w:r>
          </w:p>
        </w:tc>
        <w:tc>
          <w:tcPr>
            <w:tcW w:w="1276" w:type="dxa"/>
          </w:tcPr>
          <w:p w14:paraId="481DD59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p w14:paraId="3B970BC5" w14:textId="77777777" w:rsidR="00335A1D" w:rsidRDefault="00335A1D" w:rsidP="00624B14">
            <w:pPr>
              <w:jc w:val="both"/>
              <w:rPr>
                <w:rFonts w:ascii="Bookman Old Style" w:eastAsia="Bookman Old Style" w:hAnsi="Bookman Old Style" w:cs="Bookman Old Style"/>
                <w:sz w:val="20"/>
                <w:szCs w:val="20"/>
              </w:rPr>
            </w:pPr>
          </w:p>
        </w:tc>
        <w:tc>
          <w:tcPr>
            <w:tcW w:w="3685" w:type="dxa"/>
          </w:tcPr>
          <w:p w14:paraId="2CAB543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43CA9F0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4F44336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0674B80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Suicidio asistido mediante administración de medicamentos letales. Se permite auto administración. </w:t>
            </w:r>
          </w:p>
        </w:tc>
        <w:tc>
          <w:tcPr>
            <w:tcW w:w="987" w:type="dxa"/>
          </w:tcPr>
          <w:p w14:paraId="46C5CF6C"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End-Of-Life Options Act</w:t>
            </w:r>
            <w:r>
              <w:rPr>
                <w:rFonts w:ascii="Bookman Old Style" w:eastAsia="Bookman Old Style" w:hAnsi="Bookman Old Style" w:cs="Bookman Old Style"/>
                <w:sz w:val="20"/>
                <w:szCs w:val="20"/>
                <w:vertAlign w:val="superscript"/>
              </w:rPr>
              <w:footnoteReference w:id="38"/>
            </w:r>
          </w:p>
        </w:tc>
        <w:tc>
          <w:tcPr>
            <w:tcW w:w="1281" w:type="dxa"/>
          </w:tcPr>
          <w:p w14:paraId="2DB3300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4E45AB6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2016</w:t>
            </w:r>
          </w:p>
        </w:tc>
      </w:tr>
      <w:tr w:rsidR="00335A1D" w14:paraId="7781B502" w14:textId="77777777" w:rsidTr="00624B14">
        <w:trPr>
          <w:jc w:val="center"/>
        </w:trPr>
        <w:tc>
          <w:tcPr>
            <w:tcW w:w="1560" w:type="dxa"/>
          </w:tcPr>
          <w:p w14:paraId="1646CF54"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Hawái</w:t>
            </w:r>
          </w:p>
        </w:tc>
        <w:tc>
          <w:tcPr>
            <w:tcW w:w="1276" w:type="dxa"/>
          </w:tcPr>
          <w:p w14:paraId="358C8CCD" w14:textId="77777777" w:rsidR="00335A1D" w:rsidRDefault="00335A1D" w:rsidP="00624B14">
            <w:pPr>
              <w:ind w:right="-112"/>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p w14:paraId="6C0272A8" w14:textId="77777777" w:rsidR="00335A1D" w:rsidRDefault="00335A1D" w:rsidP="00624B14">
            <w:pPr>
              <w:jc w:val="both"/>
              <w:rPr>
                <w:rFonts w:ascii="Bookman Old Style" w:eastAsia="Bookman Old Style" w:hAnsi="Bookman Old Style" w:cs="Bookman Old Style"/>
                <w:sz w:val="20"/>
                <w:szCs w:val="20"/>
              </w:rPr>
            </w:pPr>
          </w:p>
        </w:tc>
        <w:tc>
          <w:tcPr>
            <w:tcW w:w="3685" w:type="dxa"/>
          </w:tcPr>
          <w:p w14:paraId="34F57D3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48D2375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43A20EE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3B23596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Suicidio asistido mediante administración de medicamentos letales. Se permite auto administración. </w:t>
            </w:r>
          </w:p>
        </w:tc>
        <w:tc>
          <w:tcPr>
            <w:tcW w:w="987" w:type="dxa"/>
          </w:tcPr>
          <w:p w14:paraId="5629FDA4"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Our Care, Our Choice Act.</w:t>
            </w:r>
            <w:r>
              <w:rPr>
                <w:rFonts w:ascii="Bookman Old Style" w:eastAsia="Bookman Old Style" w:hAnsi="Bookman Old Style" w:cs="Bookman Old Style"/>
                <w:sz w:val="20"/>
                <w:szCs w:val="20"/>
                <w:vertAlign w:val="superscript"/>
              </w:rPr>
              <w:footnoteReference w:id="39"/>
            </w:r>
          </w:p>
        </w:tc>
        <w:tc>
          <w:tcPr>
            <w:tcW w:w="1281" w:type="dxa"/>
          </w:tcPr>
          <w:p w14:paraId="23F4570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6FBB178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tc>
      </w:tr>
      <w:tr w:rsidR="00335A1D" w14:paraId="3EEAECC0" w14:textId="77777777" w:rsidTr="00624B14">
        <w:trPr>
          <w:jc w:val="center"/>
        </w:trPr>
        <w:tc>
          <w:tcPr>
            <w:tcW w:w="1560" w:type="dxa"/>
          </w:tcPr>
          <w:p w14:paraId="460A0563"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Estados Unidos – Maine</w:t>
            </w:r>
          </w:p>
          <w:p w14:paraId="097D83F4" w14:textId="77777777" w:rsidR="00335A1D" w:rsidRDefault="00335A1D" w:rsidP="00624B14">
            <w:pPr>
              <w:jc w:val="both"/>
              <w:rPr>
                <w:rFonts w:ascii="Bookman Old Style" w:eastAsia="Bookman Old Style" w:hAnsi="Bookman Old Style" w:cs="Bookman Old Style"/>
                <w:b/>
                <w:sz w:val="20"/>
                <w:szCs w:val="20"/>
              </w:rPr>
            </w:pPr>
          </w:p>
        </w:tc>
        <w:tc>
          <w:tcPr>
            <w:tcW w:w="1276" w:type="dxa"/>
          </w:tcPr>
          <w:p w14:paraId="2F3BEB1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28B6240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6E90D82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45C0AE6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0BEE75D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Suicido asistido mediante administración de medicamentos letales. Se permite auto administración. </w:t>
            </w:r>
          </w:p>
        </w:tc>
        <w:tc>
          <w:tcPr>
            <w:tcW w:w="987" w:type="dxa"/>
          </w:tcPr>
          <w:p w14:paraId="562C62B8"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 xml:space="preserve">Ley. An Act </w:t>
            </w:r>
            <w:proofErr w:type="gramStart"/>
            <w:r w:rsidRPr="00076C5D">
              <w:rPr>
                <w:rFonts w:ascii="Bookman Old Style" w:eastAsia="Bookman Old Style" w:hAnsi="Bookman Old Style" w:cs="Bookman Old Style"/>
                <w:sz w:val="20"/>
                <w:szCs w:val="20"/>
                <w:lang w:val="en-US"/>
              </w:rPr>
              <w:t>To</w:t>
            </w:r>
            <w:proofErr w:type="gramEnd"/>
            <w:r w:rsidRPr="00076C5D">
              <w:rPr>
                <w:rFonts w:ascii="Bookman Old Style" w:eastAsia="Bookman Old Style" w:hAnsi="Bookman Old Style" w:cs="Bookman Old Style"/>
                <w:sz w:val="20"/>
                <w:szCs w:val="20"/>
                <w:lang w:val="en-US"/>
              </w:rPr>
              <w:t xml:space="preserve"> Enact the Maine Death with Dignity.</w:t>
            </w:r>
            <w:r>
              <w:rPr>
                <w:rFonts w:ascii="Bookman Old Style" w:eastAsia="Bookman Old Style" w:hAnsi="Bookman Old Style" w:cs="Bookman Old Style"/>
                <w:sz w:val="20"/>
                <w:szCs w:val="20"/>
                <w:vertAlign w:val="superscript"/>
              </w:rPr>
              <w:footnoteReference w:id="40"/>
            </w:r>
          </w:p>
        </w:tc>
        <w:tc>
          <w:tcPr>
            <w:tcW w:w="1281" w:type="dxa"/>
          </w:tcPr>
          <w:p w14:paraId="7FD418F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06CE99B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tc>
      </w:tr>
      <w:tr w:rsidR="00335A1D" w14:paraId="39CABAAD" w14:textId="77777777" w:rsidTr="00624B14">
        <w:trPr>
          <w:jc w:val="center"/>
        </w:trPr>
        <w:tc>
          <w:tcPr>
            <w:tcW w:w="1560" w:type="dxa"/>
          </w:tcPr>
          <w:p w14:paraId="5589463C"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Montana</w:t>
            </w:r>
          </w:p>
        </w:tc>
        <w:tc>
          <w:tcPr>
            <w:tcW w:w="1276" w:type="dxa"/>
          </w:tcPr>
          <w:p w14:paraId="0E58466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6B910E9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36E9B3C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3EA211E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6A95075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p w14:paraId="724727DC" w14:textId="77777777" w:rsidR="00335A1D" w:rsidRDefault="00335A1D" w:rsidP="00624B14">
            <w:pPr>
              <w:jc w:val="both"/>
              <w:rPr>
                <w:rFonts w:ascii="Bookman Old Style" w:eastAsia="Bookman Old Style" w:hAnsi="Bookman Old Style" w:cs="Bookman Old Style"/>
                <w:sz w:val="20"/>
                <w:szCs w:val="20"/>
              </w:rPr>
            </w:pPr>
          </w:p>
          <w:p w14:paraId="2ED116E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establece protección penal al médico encargado de realizar el procedimiento de asistencia al suicidio. </w:t>
            </w:r>
          </w:p>
        </w:tc>
        <w:tc>
          <w:tcPr>
            <w:tcW w:w="987" w:type="dxa"/>
          </w:tcPr>
          <w:p w14:paraId="2668C96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Judicial-Caso Robert Baxter</w:t>
            </w:r>
            <w:r>
              <w:rPr>
                <w:rFonts w:ascii="Bookman Old Style" w:eastAsia="Bookman Old Style" w:hAnsi="Bookman Old Style" w:cs="Bookman Old Style"/>
                <w:sz w:val="20"/>
                <w:szCs w:val="20"/>
                <w:vertAlign w:val="superscript"/>
              </w:rPr>
              <w:footnoteReference w:id="41"/>
            </w:r>
          </w:p>
        </w:tc>
        <w:tc>
          <w:tcPr>
            <w:tcW w:w="1281" w:type="dxa"/>
          </w:tcPr>
          <w:p w14:paraId="1D0254D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Poder judicial </w:t>
            </w:r>
          </w:p>
        </w:tc>
        <w:tc>
          <w:tcPr>
            <w:tcW w:w="850" w:type="dxa"/>
          </w:tcPr>
          <w:p w14:paraId="7D7CDA2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2009</w:t>
            </w:r>
          </w:p>
        </w:tc>
      </w:tr>
      <w:tr w:rsidR="00335A1D" w14:paraId="38B6D041" w14:textId="77777777" w:rsidTr="00624B14">
        <w:trPr>
          <w:jc w:val="center"/>
        </w:trPr>
        <w:tc>
          <w:tcPr>
            <w:tcW w:w="1560" w:type="dxa"/>
          </w:tcPr>
          <w:p w14:paraId="31685FE2"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 Nueva Jersey</w:t>
            </w:r>
          </w:p>
        </w:tc>
        <w:tc>
          <w:tcPr>
            <w:tcW w:w="1276" w:type="dxa"/>
          </w:tcPr>
          <w:p w14:paraId="0C331D3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1FF3D49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682E8A8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5C8449C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5A1066F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424AC043"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Medical Aid in Dying for the Termin</w:t>
            </w:r>
            <w:r w:rsidRPr="00076C5D">
              <w:rPr>
                <w:rFonts w:ascii="Bookman Old Style" w:eastAsia="Bookman Old Style" w:hAnsi="Bookman Old Style" w:cs="Bookman Old Style"/>
                <w:sz w:val="20"/>
                <w:szCs w:val="20"/>
                <w:lang w:val="en-US"/>
              </w:rPr>
              <w:lastRenderedPageBreak/>
              <w:t>ally Ill Act.</w:t>
            </w:r>
            <w:r>
              <w:rPr>
                <w:rFonts w:ascii="Bookman Old Style" w:eastAsia="Bookman Old Style" w:hAnsi="Bookman Old Style" w:cs="Bookman Old Style"/>
                <w:sz w:val="20"/>
                <w:szCs w:val="20"/>
                <w:vertAlign w:val="superscript"/>
              </w:rPr>
              <w:footnoteReference w:id="42"/>
            </w:r>
          </w:p>
        </w:tc>
        <w:tc>
          <w:tcPr>
            <w:tcW w:w="1281" w:type="dxa"/>
          </w:tcPr>
          <w:p w14:paraId="48BE9C7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Poder legislativo del estado</w:t>
            </w:r>
          </w:p>
        </w:tc>
        <w:tc>
          <w:tcPr>
            <w:tcW w:w="850" w:type="dxa"/>
          </w:tcPr>
          <w:p w14:paraId="538537B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w:t>
            </w:r>
          </w:p>
        </w:tc>
      </w:tr>
      <w:tr w:rsidR="00335A1D" w14:paraId="62E7055B" w14:textId="77777777" w:rsidTr="00624B14">
        <w:trPr>
          <w:jc w:val="center"/>
        </w:trPr>
        <w:tc>
          <w:tcPr>
            <w:tcW w:w="1560" w:type="dxa"/>
          </w:tcPr>
          <w:p w14:paraId="58601B9D"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Estados Unidos – Nuevo México </w:t>
            </w:r>
          </w:p>
        </w:tc>
        <w:tc>
          <w:tcPr>
            <w:tcW w:w="1276" w:type="dxa"/>
          </w:tcPr>
          <w:p w14:paraId="7A10333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Mayores de edad. </w:t>
            </w:r>
          </w:p>
        </w:tc>
        <w:tc>
          <w:tcPr>
            <w:tcW w:w="3685" w:type="dxa"/>
          </w:tcPr>
          <w:p w14:paraId="5A8AD03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1A6320E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67F223F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4F5ACA1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6906DA5F"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 xml:space="preserve">Ley. </w:t>
            </w:r>
            <w:r w:rsidRPr="00076C5D">
              <w:rPr>
                <w:rFonts w:ascii="Bookman Old Style" w:eastAsia="Bookman Old Style" w:hAnsi="Bookman Old Style" w:cs="Bookman Old Style"/>
                <w:color w:val="2D2D2D"/>
                <w:sz w:val="20"/>
                <w:szCs w:val="20"/>
                <w:highlight w:val="white"/>
                <w:lang w:val="en-US"/>
              </w:rPr>
              <w:t>The Elizabeth Whitefield End-of-life Options Act.</w:t>
            </w:r>
            <w:r>
              <w:rPr>
                <w:rFonts w:ascii="Bookman Old Style" w:eastAsia="Bookman Old Style" w:hAnsi="Bookman Old Style" w:cs="Bookman Old Style"/>
                <w:color w:val="2D2D2D"/>
                <w:sz w:val="20"/>
                <w:szCs w:val="20"/>
                <w:highlight w:val="white"/>
                <w:vertAlign w:val="superscript"/>
              </w:rPr>
              <w:footnoteReference w:id="43"/>
            </w:r>
          </w:p>
        </w:tc>
        <w:tc>
          <w:tcPr>
            <w:tcW w:w="1281" w:type="dxa"/>
          </w:tcPr>
          <w:p w14:paraId="46F4537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2631E33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2021</w:t>
            </w:r>
          </w:p>
        </w:tc>
      </w:tr>
      <w:tr w:rsidR="00335A1D" w14:paraId="70C553B0" w14:textId="77777777" w:rsidTr="00624B14">
        <w:trPr>
          <w:jc w:val="center"/>
        </w:trPr>
        <w:tc>
          <w:tcPr>
            <w:tcW w:w="1560" w:type="dxa"/>
          </w:tcPr>
          <w:p w14:paraId="53C5535E"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Oregón</w:t>
            </w:r>
          </w:p>
        </w:tc>
        <w:tc>
          <w:tcPr>
            <w:tcW w:w="1276" w:type="dxa"/>
          </w:tcPr>
          <w:p w14:paraId="541C18C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54EFB67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0B384FE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0A5DDB6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4DB70F1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02CB4EFC"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Ley. The Death with Dignity Act.</w:t>
            </w:r>
            <w:r>
              <w:rPr>
                <w:rFonts w:ascii="Bookman Old Style" w:eastAsia="Bookman Old Style" w:hAnsi="Bookman Old Style" w:cs="Bookman Old Style"/>
                <w:sz w:val="20"/>
                <w:szCs w:val="20"/>
                <w:vertAlign w:val="superscript"/>
              </w:rPr>
              <w:footnoteReference w:id="44"/>
            </w:r>
          </w:p>
        </w:tc>
        <w:tc>
          <w:tcPr>
            <w:tcW w:w="1281" w:type="dxa"/>
          </w:tcPr>
          <w:p w14:paraId="4CA1DAA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784E595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1997</w:t>
            </w:r>
          </w:p>
        </w:tc>
      </w:tr>
      <w:tr w:rsidR="00335A1D" w14:paraId="1E162EE7" w14:textId="77777777" w:rsidTr="00624B14">
        <w:trPr>
          <w:jc w:val="center"/>
        </w:trPr>
        <w:tc>
          <w:tcPr>
            <w:tcW w:w="1560" w:type="dxa"/>
          </w:tcPr>
          <w:p w14:paraId="5D286A11"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Estados Unidos- Vermont</w:t>
            </w:r>
          </w:p>
        </w:tc>
        <w:tc>
          <w:tcPr>
            <w:tcW w:w="1276" w:type="dxa"/>
          </w:tcPr>
          <w:p w14:paraId="7279F40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4B929E6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52D4DAA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4AD5C3D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capacidad física y mental para decidir</w:t>
            </w:r>
          </w:p>
        </w:tc>
        <w:tc>
          <w:tcPr>
            <w:tcW w:w="1843" w:type="dxa"/>
          </w:tcPr>
          <w:p w14:paraId="05C7C4C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Suicidio asistido mediante administración de medicamentos letales. Se permite auto administración.</w:t>
            </w:r>
          </w:p>
        </w:tc>
        <w:tc>
          <w:tcPr>
            <w:tcW w:w="987" w:type="dxa"/>
          </w:tcPr>
          <w:p w14:paraId="5BD52224"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t xml:space="preserve">Ley. The Patient Choice and Control at </w:t>
            </w:r>
            <w:proofErr w:type="gramStart"/>
            <w:r w:rsidRPr="00076C5D">
              <w:rPr>
                <w:rFonts w:ascii="Bookman Old Style" w:eastAsia="Bookman Old Style" w:hAnsi="Bookman Old Style" w:cs="Bookman Old Style"/>
                <w:sz w:val="20"/>
                <w:szCs w:val="20"/>
                <w:lang w:val="en-US"/>
              </w:rPr>
              <w:t>End of Life</w:t>
            </w:r>
            <w:proofErr w:type="gramEnd"/>
            <w:r w:rsidRPr="00076C5D">
              <w:rPr>
                <w:rFonts w:ascii="Bookman Old Style" w:eastAsia="Bookman Old Style" w:hAnsi="Bookman Old Style" w:cs="Bookman Old Style"/>
                <w:sz w:val="20"/>
                <w:szCs w:val="20"/>
                <w:lang w:val="en-US"/>
              </w:rPr>
              <w:t xml:space="preserve"> Act. </w:t>
            </w:r>
            <w:r>
              <w:rPr>
                <w:rFonts w:ascii="Bookman Old Style" w:eastAsia="Bookman Old Style" w:hAnsi="Bookman Old Style" w:cs="Bookman Old Style"/>
                <w:sz w:val="20"/>
                <w:szCs w:val="20"/>
                <w:vertAlign w:val="superscript"/>
              </w:rPr>
              <w:footnoteReference w:id="45"/>
            </w:r>
          </w:p>
        </w:tc>
        <w:tc>
          <w:tcPr>
            <w:tcW w:w="1281" w:type="dxa"/>
          </w:tcPr>
          <w:p w14:paraId="1A8BB81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 del estado</w:t>
            </w:r>
          </w:p>
        </w:tc>
        <w:tc>
          <w:tcPr>
            <w:tcW w:w="850" w:type="dxa"/>
          </w:tcPr>
          <w:p w14:paraId="7D220B3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2013</w:t>
            </w:r>
          </w:p>
        </w:tc>
      </w:tr>
      <w:tr w:rsidR="00335A1D" w14:paraId="70E141EB" w14:textId="77777777" w:rsidTr="00624B14">
        <w:trPr>
          <w:jc w:val="center"/>
        </w:trPr>
        <w:tc>
          <w:tcPr>
            <w:tcW w:w="1560" w:type="dxa"/>
          </w:tcPr>
          <w:p w14:paraId="5412249D"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Estados Unidos- Washington </w:t>
            </w:r>
          </w:p>
        </w:tc>
        <w:tc>
          <w:tcPr>
            <w:tcW w:w="1276" w:type="dxa"/>
          </w:tcPr>
          <w:p w14:paraId="57138CE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tcPr>
          <w:p w14:paraId="24123D8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Ser residente en el Estado</w:t>
            </w:r>
          </w:p>
          <w:p w14:paraId="6ACF77A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terminal con pronóstico de seis meses de vida o menos</w:t>
            </w:r>
          </w:p>
          <w:p w14:paraId="342E151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Tener capacidad física y mental para decidir</w:t>
            </w:r>
          </w:p>
        </w:tc>
        <w:tc>
          <w:tcPr>
            <w:tcW w:w="1843" w:type="dxa"/>
          </w:tcPr>
          <w:p w14:paraId="66EAE718"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Suicidio asistido mediante administración de medicamentos </w:t>
            </w:r>
            <w:r>
              <w:rPr>
                <w:rFonts w:ascii="Bookman Old Style" w:eastAsia="Bookman Old Style" w:hAnsi="Bookman Old Style" w:cs="Bookman Old Style"/>
                <w:sz w:val="20"/>
                <w:szCs w:val="20"/>
              </w:rPr>
              <w:lastRenderedPageBreak/>
              <w:t>letales. Se permite auto administración.</w:t>
            </w:r>
          </w:p>
        </w:tc>
        <w:tc>
          <w:tcPr>
            <w:tcW w:w="987" w:type="dxa"/>
          </w:tcPr>
          <w:p w14:paraId="5CB06D37" w14:textId="77777777" w:rsidR="00335A1D" w:rsidRPr="00076C5D" w:rsidRDefault="00335A1D" w:rsidP="00624B14">
            <w:pPr>
              <w:jc w:val="both"/>
              <w:rPr>
                <w:rFonts w:ascii="Bookman Old Style" w:eastAsia="Bookman Old Style" w:hAnsi="Bookman Old Style" w:cs="Bookman Old Style"/>
                <w:sz w:val="20"/>
                <w:szCs w:val="20"/>
                <w:lang w:val="en-US"/>
              </w:rPr>
            </w:pPr>
            <w:r w:rsidRPr="00076C5D">
              <w:rPr>
                <w:rFonts w:ascii="Bookman Old Style" w:eastAsia="Bookman Old Style" w:hAnsi="Bookman Old Style" w:cs="Bookman Old Style"/>
                <w:sz w:val="20"/>
                <w:szCs w:val="20"/>
                <w:lang w:val="en-US"/>
              </w:rPr>
              <w:lastRenderedPageBreak/>
              <w:t xml:space="preserve">Ley. The Washington Death </w:t>
            </w:r>
            <w:r w:rsidRPr="00076C5D">
              <w:rPr>
                <w:rFonts w:ascii="Bookman Old Style" w:eastAsia="Bookman Old Style" w:hAnsi="Bookman Old Style" w:cs="Bookman Old Style"/>
                <w:sz w:val="20"/>
                <w:szCs w:val="20"/>
                <w:lang w:val="en-US"/>
              </w:rPr>
              <w:lastRenderedPageBreak/>
              <w:t>with Dignity Act.</w:t>
            </w:r>
            <w:r>
              <w:rPr>
                <w:rFonts w:ascii="Bookman Old Style" w:eastAsia="Bookman Old Style" w:hAnsi="Bookman Old Style" w:cs="Bookman Old Style"/>
                <w:sz w:val="20"/>
                <w:szCs w:val="20"/>
                <w:vertAlign w:val="superscript"/>
              </w:rPr>
              <w:footnoteReference w:id="46"/>
            </w:r>
            <w:r w:rsidRPr="00076C5D">
              <w:rPr>
                <w:rFonts w:ascii="Bookman Old Style" w:eastAsia="Bookman Old Style" w:hAnsi="Bookman Old Style" w:cs="Bookman Old Style"/>
                <w:sz w:val="20"/>
                <w:szCs w:val="20"/>
                <w:lang w:val="en-US"/>
              </w:rPr>
              <w:t xml:space="preserve"> </w:t>
            </w:r>
          </w:p>
        </w:tc>
        <w:tc>
          <w:tcPr>
            <w:tcW w:w="1281" w:type="dxa"/>
          </w:tcPr>
          <w:p w14:paraId="775ACD9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Poder legislativo del estado</w:t>
            </w:r>
          </w:p>
        </w:tc>
        <w:tc>
          <w:tcPr>
            <w:tcW w:w="850" w:type="dxa"/>
          </w:tcPr>
          <w:p w14:paraId="718E084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2009</w:t>
            </w:r>
          </w:p>
        </w:tc>
      </w:tr>
      <w:tr w:rsidR="00335A1D" w14:paraId="4B6A0B6D" w14:textId="77777777" w:rsidTr="00624B14">
        <w:trPr>
          <w:jc w:val="center"/>
        </w:trPr>
        <w:tc>
          <w:tcPr>
            <w:tcW w:w="1560" w:type="dxa"/>
            <w:shd w:val="clear" w:color="auto" w:fill="FFFFFF"/>
          </w:tcPr>
          <w:p w14:paraId="0CAACD62"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Holanda</w:t>
            </w:r>
          </w:p>
        </w:tc>
        <w:tc>
          <w:tcPr>
            <w:tcW w:w="1276" w:type="dxa"/>
            <w:shd w:val="clear" w:color="auto" w:fill="FFFFFF"/>
          </w:tcPr>
          <w:p w14:paraId="0F95E991"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Personas desde los 12 años en adelante. Excepcionalmente se permite en recién nacidos</w:t>
            </w:r>
            <w:r>
              <w:rPr>
                <w:rFonts w:ascii="Bookman Old Style" w:eastAsia="Bookman Old Style" w:hAnsi="Bookman Old Style" w:cs="Bookman Old Style"/>
                <w:sz w:val="20"/>
                <w:szCs w:val="20"/>
                <w:vertAlign w:val="superscript"/>
              </w:rPr>
              <w:footnoteReference w:id="47"/>
            </w:r>
          </w:p>
        </w:tc>
        <w:tc>
          <w:tcPr>
            <w:tcW w:w="3685" w:type="dxa"/>
            <w:shd w:val="clear" w:color="auto" w:fill="FFFFFF"/>
          </w:tcPr>
          <w:p w14:paraId="052E25AA"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Padecer de sufrimiento físico o psíquico sin posibilidades de mejorar ni alivio. No es requisito que enfermedad sea terminal ni una determinada expectativa de vida. </w:t>
            </w:r>
          </w:p>
          <w:p w14:paraId="566790E5" w14:textId="77777777" w:rsidR="00335A1D" w:rsidRDefault="00335A1D" w:rsidP="00624B14">
            <w:pPr>
              <w:jc w:val="both"/>
              <w:rPr>
                <w:rFonts w:ascii="Bookman Old Style" w:eastAsia="Bookman Old Style" w:hAnsi="Bookman Old Style" w:cs="Bookman Old Style"/>
                <w:sz w:val="20"/>
                <w:szCs w:val="20"/>
              </w:rPr>
            </w:pPr>
          </w:p>
          <w:p w14:paraId="5E2E8C7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permite si el paciente está en coma y no es consciente de su sufrimiento. En esos casos solo se permite por manifestación expresa en documento de voluntad anticipada.  </w:t>
            </w:r>
          </w:p>
        </w:tc>
        <w:tc>
          <w:tcPr>
            <w:tcW w:w="1843" w:type="dxa"/>
            <w:shd w:val="clear" w:color="auto" w:fill="FFFFFF"/>
          </w:tcPr>
          <w:p w14:paraId="3AD0757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Eutanasia, suicidio asistido y cuidados paliativos. </w:t>
            </w:r>
          </w:p>
          <w:p w14:paraId="6A366EAD" w14:textId="77777777" w:rsidR="00335A1D" w:rsidRDefault="00335A1D" w:rsidP="00624B14">
            <w:pPr>
              <w:jc w:val="both"/>
              <w:rPr>
                <w:rFonts w:ascii="Bookman Old Style" w:eastAsia="Bookman Old Style" w:hAnsi="Bookman Old Style" w:cs="Bookman Old Style"/>
                <w:sz w:val="20"/>
                <w:szCs w:val="20"/>
              </w:rPr>
            </w:pPr>
          </w:p>
          <w:p w14:paraId="4540E20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manifestar su voluntad de manera fundamentada. Se permite voluntad anticipada. No debe ser escrita pero sí expresa. </w:t>
            </w:r>
          </w:p>
          <w:p w14:paraId="652AFD3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médico a cargo debe consultar la segunda opinión de otro médico sobre el cumplimiento de los requisitos. </w:t>
            </w:r>
          </w:p>
        </w:tc>
        <w:tc>
          <w:tcPr>
            <w:tcW w:w="987" w:type="dxa"/>
            <w:shd w:val="clear" w:color="auto" w:fill="FFFFFF"/>
          </w:tcPr>
          <w:p w14:paraId="3D40A09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Ley. Ley de terminación de la vida a petición propia y suicidio asistido.</w:t>
            </w:r>
            <w:r>
              <w:rPr>
                <w:rFonts w:ascii="Bookman Old Style" w:eastAsia="Bookman Old Style" w:hAnsi="Bookman Old Style" w:cs="Bookman Old Style"/>
                <w:sz w:val="20"/>
                <w:szCs w:val="20"/>
                <w:vertAlign w:val="superscript"/>
              </w:rPr>
              <w:footnoteReference w:id="48"/>
            </w:r>
            <w:r>
              <w:rPr>
                <w:rFonts w:ascii="Bookman Old Style" w:eastAsia="Bookman Old Style" w:hAnsi="Bookman Old Style" w:cs="Bookman Old Style"/>
                <w:sz w:val="20"/>
                <w:szCs w:val="20"/>
              </w:rPr>
              <w:t xml:space="preserve"> </w:t>
            </w:r>
          </w:p>
        </w:tc>
        <w:tc>
          <w:tcPr>
            <w:tcW w:w="1281" w:type="dxa"/>
            <w:shd w:val="clear" w:color="auto" w:fill="FFFFFF"/>
          </w:tcPr>
          <w:p w14:paraId="735E700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w:t>
            </w:r>
          </w:p>
        </w:tc>
        <w:tc>
          <w:tcPr>
            <w:tcW w:w="850" w:type="dxa"/>
            <w:shd w:val="clear" w:color="auto" w:fill="FFFFFF"/>
          </w:tcPr>
          <w:p w14:paraId="08FC202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2002</w:t>
            </w:r>
          </w:p>
        </w:tc>
      </w:tr>
      <w:tr w:rsidR="00335A1D" w14:paraId="20C794D3" w14:textId="77777777" w:rsidTr="00624B14">
        <w:trPr>
          <w:jc w:val="center"/>
        </w:trPr>
        <w:tc>
          <w:tcPr>
            <w:tcW w:w="1560" w:type="dxa"/>
            <w:shd w:val="clear" w:color="auto" w:fill="FFFFFF"/>
          </w:tcPr>
          <w:p w14:paraId="3E452239"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Luxemburgo</w:t>
            </w:r>
          </w:p>
        </w:tc>
        <w:tc>
          <w:tcPr>
            <w:tcW w:w="1276" w:type="dxa"/>
            <w:shd w:val="clear" w:color="auto" w:fill="FFFFFF"/>
          </w:tcPr>
          <w:p w14:paraId="7D3EC57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Mayores de edad</w:t>
            </w:r>
          </w:p>
        </w:tc>
        <w:tc>
          <w:tcPr>
            <w:tcW w:w="3685" w:type="dxa"/>
            <w:shd w:val="clear" w:color="auto" w:fill="FFFFFF"/>
          </w:tcPr>
          <w:p w14:paraId="6C2946A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Enfermedad grave, incurable, irreversible que genere sufrimiento físico o psíquico constante y que sea intolerable.</w:t>
            </w:r>
          </w:p>
          <w:p w14:paraId="068792E4" w14:textId="77777777" w:rsidR="00335A1D" w:rsidRDefault="00335A1D" w:rsidP="00624B14">
            <w:pPr>
              <w:jc w:val="both"/>
              <w:rPr>
                <w:rFonts w:ascii="Bookman Old Style" w:eastAsia="Bookman Old Style" w:hAnsi="Bookman Old Style" w:cs="Bookman Old Style"/>
                <w:sz w:val="20"/>
                <w:szCs w:val="20"/>
              </w:rPr>
            </w:pPr>
          </w:p>
          <w:p w14:paraId="1A1AE6C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persona debe ser consiente al momento de la solicitud y debe dar su consentimiento voluntario y reflexivo. </w:t>
            </w:r>
          </w:p>
          <w:p w14:paraId="15154C99" w14:textId="77777777" w:rsidR="00335A1D" w:rsidRDefault="00335A1D" w:rsidP="00624B14">
            <w:pPr>
              <w:jc w:val="both"/>
              <w:rPr>
                <w:rFonts w:ascii="Bookman Old Style" w:eastAsia="Bookman Old Style" w:hAnsi="Bookman Old Style" w:cs="Bookman Old Style"/>
                <w:sz w:val="20"/>
                <w:szCs w:val="20"/>
              </w:rPr>
            </w:pPr>
          </w:p>
          <w:p w14:paraId="6D28424D" w14:textId="77777777" w:rsidR="00335A1D" w:rsidRDefault="00335A1D" w:rsidP="00624B14">
            <w:pPr>
              <w:jc w:val="both"/>
              <w:rPr>
                <w:rFonts w:ascii="Bookman Old Style" w:eastAsia="Bookman Old Style" w:hAnsi="Bookman Old Style" w:cs="Bookman Old Style"/>
                <w:sz w:val="20"/>
                <w:szCs w:val="20"/>
              </w:rPr>
            </w:pPr>
          </w:p>
          <w:p w14:paraId="3C84711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tc>
        <w:tc>
          <w:tcPr>
            <w:tcW w:w="1843" w:type="dxa"/>
            <w:shd w:val="clear" w:color="auto" w:fill="FFFFFF"/>
          </w:tcPr>
          <w:p w14:paraId="3FF284F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Cuidados paliativos, eutanasia y </w:t>
            </w:r>
            <w:r>
              <w:rPr>
                <w:rFonts w:ascii="Bookman Old Style" w:eastAsia="Bookman Old Style" w:hAnsi="Bookman Old Style" w:cs="Bookman Old Style"/>
                <w:sz w:val="20"/>
                <w:szCs w:val="20"/>
              </w:rPr>
              <w:lastRenderedPageBreak/>
              <w:t>suicidio asistido.</w:t>
            </w:r>
          </w:p>
          <w:p w14:paraId="55E51316" w14:textId="77777777" w:rsidR="00335A1D" w:rsidRDefault="00335A1D" w:rsidP="00624B14">
            <w:pPr>
              <w:jc w:val="both"/>
              <w:rPr>
                <w:rFonts w:ascii="Bookman Old Style" w:eastAsia="Bookman Old Style" w:hAnsi="Bookman Old Style" w:cs="Bookman Old Style"/>
                <w:sz w:val="20"/>
                <w:szCs w:val="20"/>
              </w:rPr>
            </w:pPr>
          </w:p>
          <w:p w14:paraId="501A14C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procedimiento debe ser realizado por un médico.</w:t>
            </w:r>
          </w:p>
          <w:p w14:paraId="139BCB58" w14:textId="77777777" w:rsidR="00335A1D" w:rsidRDefault="00335A1D" w:rsidP="00624B14">
            <w:pPr>
              <w:jc w:val="both"/>
              <w:rPr>
                <w:rFonts w:ascii="Bookman Old Style" w:eastAsia="Bookman Old Style" w:hAnsi="Bookman Old Style" w:cs="Bookman Old Style"/>
                <w:sz w:val="20"/>
                <w:szCs w:val="20"/>
              </w:rPr>
            </w:pPr>
          </w:p>
          <w:p w14:paraId="5AD4B98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persona debe manifestar consentimiento por escrito.</w:t>
            </w:r>
          </w:p>
          <w:p w14:paraId="2DDE1941" w14:textId="77777777" w:rsidR="00335A1D" w:rsidRDefault="00335A1D" w:rsidP="00624B14">
            <w:pPr>
              <w:jc w:val="both"/>
              <w:rPr>
                <w:rFonts w:ascii="Bookman Old Style" w:eastAsia="Bookman Old Style" w:hAnsi="Bookman Old Style" w:cs="Bookman Old Style"/>
                <w:sz w:val="20"/>
                <w:szCs w:val="20"/>
              </w:rPr>
            </w:pPr>
          </w:p>
          <w:p w14:paraId="3C7BA8B5"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protege de la acción penal del estado a los médicos que realicen el procedimiento de eutanasia o de suicidio asistido. </w:t>
            </w:r>
          </w:p>
        </w:tc>
        <w:tc>
          <w:tcPr>
            <w:tcW w:w="987" w:type="dxa"/>
            <w:shd w:val="clear" w:color="auto" w:fill="FFFFFF"/>
          </w:tcPr>
          <w:p w14:paraId="6F03F64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Ley</w:t>
            </w:r>
            <w:r>
              <w:rPr>
                <w:rFonts w:ascii="Bookman Old Style" w:eastAsia="Bookman Old Style" w:hAnsi="Bookman Old Style" w:cs="Bookman Old Style"/>
                <w:sz w:val="20"/>
                <w:szCs w:val="20"/>
                <w:vertAlign w:val="superscript"/>
              </w:rPr>
              <w:footnoteReference w:id="49"/>
            </w:r>
          </w:p>
        </w:tc>
        <w:tc>
          <w:tcPr>
            <w:tcW w:w="1281" w:type="dxa"/>
            <w:shd w:val="clear" w:color="auto" w:fill="FFFFFF"/>
          </w:tcPr>
          <w:p w14:paraId="060BE96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w:t>
            </w:r>
          </w:p>
        </w:tc>
        <w:tc>
          <w:tcPr>
            <w:tcW w:w="850" w:type="dxa"/>
            <w:shd w:val="clear" w:color="auto" w:fill="FFFFFF"/>
          </w:tcPr>
          <w:p w14:paraId="12068FCE"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2009</w:t>
            </w:r>
          </w:p>
        </w:tc>
      </w:tr>
      <w:tr w:rsidR="00335A1D" w14:paraId="3D7260FE" w14:textId="77777777" w:rsidTr="00624B14">
        <w:trPr>
          <w:jc w:val="center"/>
        </w:trPr>
        <w:tc>
          <w:tcPr>
            <w:tcW w:w="1560" w:type="dxa"/>
            <w:shd w:val="clear" w:color="auto" w:fill="FFFFFF"/>
          </w:tcPr>
          <w:p w14:paraId="23A524F7"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Nueva Zelanda</w:t>
            </w:r>
          </w:p>
        </w:tc>
        <w:tc>
          <w:tcPr>
            <w:tcW w:w="1276" w:type="dxa"/>
            <w:shd w:val="clear" w:color="auto" w:fill="FFFFFF"/>
          </w:tcPr>
          <w:p w14:paraId="1187E80F"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Tener más de 18 años.</w:t>
            </w:r>
          </w:p>
        </w:tc>
        <w:tc>
          <w:tcPr>
            <w:tcW w:w="3685" w:type="dxa"/>
            <w:shd w:val="clear" w:color="auto" w:fill="FFFFFF"/>
          </w:tcPr>
          <w:p w14:paraId="25DE3023"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Ser ciudadano o residente permanente de Nueva Zelanda. </w:t>
            </w:r>
          </w:p>
          <w:p w14:paraId="57E97A6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Padecer enfermedad terminal que acabe con su vida de manera probable en siguientes 6 meses.</w:t>
            </w:r>
          </w:p>
          <w:p w14:paraId="330939B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Estar en estado avanzado de deterioro físico irreversible, con sufrimiento intolerable que no pueda aliviarse</w:t>
            </w:r>
          </w:p>
          <w:p w14:paraId="03F76D0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Estar en capacidad de decidir de manera informada</w:t>
            </w:r>
          </w:p>
          <w:p w14:paraId="461EA00D"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aplica para discapacidades de ningún tipo</w:t>
            </w:r>
          </w:p>
        </w:tc>
        <w:tc>
          <w:tcPr>
            <w:tcW w:w="1843" w:type="dxa"/>
            <w:shd w:val="clear" w:color="auto" w:fill="FFFFFF"/>
          </w:tcPr>
          <w:p w14:paraId="1FEEEBE4"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Muerte médicamente asistida mediante auto administración de medicamentos a administración de medicamentos por parte de un médico para causar la muerte.</w:t>
            </w:r>
          </w:p>
          <w:p w14:paraId="2BDC4326" w14:textId="77777777" w:rsidR="00335A1D" w:rsidRDefault="00335A1D" w:rsidP="00624B14">
            <w:pPr>
              <w:jc w:val="both"/>
              <w:rPr>
                <w:rFonts w:ascii="Bookman Old Style" w:eastAsia="Bookman Old Style" w:hAnsi="Bookman Old Style" w:cs="Bookman Old Style"/>
                <w:sz w:val="20"/>
                <w:szCs w:val="20"/>
              </w:rPr>
            </w:pPr>
          </w:p>
          <w:p w14:paraId="3C08E0EC"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 garantiza protección de acción penal para quien desarrolle el procedimiento de la muerte médicamente asistida.  </w:t>
            </w:r>
          </w:p>
        </w:tc>
        <w:tc>
          <w:tcPr>
            <w:tcW w:w="987" w:type="dxa"/>
            <w:shd w:val="clear" w:color="auto" w:fill="FFFFFF"/>
          </w:tcPr>
          <w:p w14:paraId="3BA9889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Ley luego de aprobado un referendo. </w:t>
            </w:r>
          </w:p>
        </w:tc>
        <w:tc>
          <w:tcPr>
            <w:tcW w:w="1281" w:type="dxa"/>
            <w:shd w:val="clear" w:color="auto" w:fill="FFFFFF"/>
          </w:tcPr>
          <w:p w14:paraId="71E9CDF0"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Poder legislativo</w:t>
            </w:r>
          </w:p>
        </w:tc>
        <w:tc>
          <w:tcPr>
            <w:tcW w:w="850" w:type="dxa"/>
            <w:shd w:val="clear" w:color="auto" w:fill="FFFFFF"/>
          </w:tcPr>
          <w:p w14:paraId="318E5C29"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2019-2020-2021</w:t>
            </w:r>
            <w:r>
              <w:rPr>
                <w:rFonts w:ascii="Bookman Old Style" w:eastAsia="Bookman Old Style" w:hAnsi="Bookman Old Style" w:cs="Bookman Old Style"/>
                <w:sz w:val="20"/>
                <w:szCs w:val="20"/>
                <w:vertAlign w:val="superscript"/>
              </w:rPr>
              <w:footnoteReference w:id="50"/>
            </w:r>
          </w:p>
        </w:tc>
      </w:tr>
      <w:tr w:rsidR="00335A1D" w14:paraId="6602E5C7" w14:textId="77777777" w:rsidTr="00624B14">
        <w:trPr>
          <w:jc w:val="center"/>
        </w:trPr>
        <w:tc>
          <w:tcPr>
            <w:tcW w:w="1560" w:type="dxa"/>
            <w:shd w:val="clear" w:color="auto" w:fill="FFFFFF"/>
          </w:tcPr>
          <w:p w14:paraId="67FFD0C7" w14:textId="77777777" w:rsidR="00335A1D" w:rsidRDefault="00335A1D" w:rsidP="00624B14">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Suiza</w:t>
            </w:r>
          </w:p>
        </w:tc>
        <w:tc>
          <w:tcPr>
            <w:tcW w:w="1276" w:type="dxa"/>
            <w:shd w:val="clear" w:color="auto" w:fill="FFFFFF"/>
          </w:tcPr>
          <w:p w14:paraId="5BF960B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se especifica</w:t>
            </w:r>
          </w:p>
        </w:tc>
        <w:tc>
          <w:tcPr>
            <w:tcW w:w="3685" w:type="dxa"/>
            <w:shd w:val="clear" w:color="auto" w:fill="FFFFFF"/>
          </w:tcPr>
          <w:p w14:paraId="08FF76EB"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exige sujeto activo ni pasivo calificado. </w:t>
            </w:r>
          </w:p>
          <w:p w14:paraId="4B81B836" w14:textId="77777777" w:rsidR="00335A1D" w:rsidRDefault="00335A1D" w:rsidP="00624B14">
            <w:pPr>
              <w:jc w:val="both"/>
              <w:rPr>
                <w:rFonts w:ascii="Bookman Old Style" w:eastAsia="Bookman Old Style" w:hAnsi="Bookman Old Style" w:cs="Bookman Old Style"/>
                <w:sz w:val="20"/>
                <w:szCs w:val="20"/>
              </w:rPr>
            </w:pPr>
          </w:p>
          <w:p w14:paraId="4A84DB3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Es frecuente que personas extranjeras hagan uso del suicidio asistido en Suiza. </w:t>
            </w:r>
          </w:p>
        </w:tc>
        <w:tc>
          <w:tcPr>
            <w:tcW w:w="1843" w:type="dxa"/>
            <w:shd w:val="clear" w:color="auto" w:fill="FFFFFF"/>
          </w:tcPr>
          <w:p w14:paraId="65DAA086"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El código penal prohíbe la eutanasia (Artículo 114 código penal).</w:t>
            </w:r>
            <w:r>
              <w:rPr>
                <w:rFonts w:ascii="Bookman Old Style" w:eastAsia="Bookman Old Style" w:hAnsi="Bookman Old Style" w:cs="Bookman Old Style"/>
                <w:sz w:val="20"/>
                <w:szCs w:val="20"/>
                <w:vertAlign w:val="superscript"/>
              </w:rPr>
              <w:footnoteReference w:id="51"/>
            </w:r>
          </w:p>
          <w:p w14:paraId="0F4D22D4" w14:textId="77777777" w:rsidR="00335A1D" w:rsidRDefault="00335A1D" w:rsidP="00624B14">
            <w:pPr>
              <w:jc w:val="both"/>
              <w:rPr>
                <w:rFonts w:ascii="Bookman Old Style" w:eastAsia="Bookman Old Style" w:hAnsi="Bookman Old Style" w:cs="Bookman Old Style"/>
                <w:sz w:val="20"/>
                <w:szCs w:val="20"/>
              </w:rPr>
            </w:pPr>
          </w:p>
          <w:p w14:paraId="1D3DD2F2"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Permite el suicidio asistido cuando no se comete con propósitos egoístas.  </w:t>
            </w:r>
          </w:p>
        </w:tc>
        <w:tc>
          <w:tcPr>
            <w:tcW w:w="987" w:type="dxa"/>
            <w:shd w:val="clear" w:color="auto" w:fill="FFFFFF"/>
          </w:tcPr>
          <w:p w14:paraId="67D23CAB" w14:textId="77777777" w:rsidR="00335A1D" w:rsidRDefault="00335A1D" w:rsidP="00624B14">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No se encuentra </w:t>
            </w:r>
            <w:proofErr w:type="gramStart"/>
            <w:r>
              <w:rPr>
                <w:rFonts w:ascii="Bookman Old Style" w:eastAsia="Bookman Old Style" w:hAnsi="Bookman Old Style" w:cs="Bookman Old Style"/>
                <w:sz w:val="20"/>
                <w:szCs w:val="20"/>
              </w:rPr>
              <w:t>regulado</w:t>
            </w:r>
            <w:proofErr w:type="gramEnd"/>
            <w:r>
              <w:rPr>
                <w:rFonts w:ascii="Bookman Old Style" w:eastAsia="Bookman Old Style" w:hAnsi="Bookman Old Style" w:cs="Bookman Old Style"/>
                <w:sz w:val="20"/>
                <w:szCs w:val="20"/>
              </w:rPr>
              <w:t xml:space="preserve"> pero es de uso común.</w:t>
            </w:r>
          </w:p>
        </w:tc>
        <w:tc>
          <w:tcPr>
            <w:tcW w:w="1281" w:type="dxa"/>
            <w:shd w:val="clear" w:color="auto" w:fill="FFFFFF"/>
          </w:tcPr>
          <w:p w14:paraId="076E532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aplica</w:t>
            </w:r>
          </w:p>
        </w:tc>
        <w:tc>
          <w:tcPr>
            <w:tcW w:w="850" w:type="dxa"/>
            <w:shd w:val="clear" w:color="auto" w:fill="FFFFFF"/>
          </w:tcPr>
          <w:p w14:paraId="2E78A947" w14:textId="77777777" w:rsidR="00335A1D" w:rsidRDefault="00335A1D" w:rsidP="00624B14">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No aplica</w:t>
            </w:r>
          </w:p>
        </w:tc>
      </w:tr>
    </w:tbl>
    <w:p w14:paraId="1835ED18" w14:textId="77777777" w:rsidR="00335A1D" w:rsidRDefault="00335A1D" w:rsidP="00335A1D">
      <w:pPr>
        <w:jc w:val="both"/>
        <w:rPr>
          <w:i/>
          <w:color w:val="000000"/>
        </w:rPr>
      </w:pPr>
    </w:p>
    <w:p w14:paraId="67D5777A"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 observable de la tabla precedente que Colombia fue uno de los Estados pioneros en el mundo en el reconocimiento de la muerte digna y de la muerte médicamente asistida. En 1997, cuando la Corte Constitucional profirió la sentencia C-239 de 1997 solo Bélgica, Holanda y Estados Unidos (</w:t>
      </w:r>
      <w:proofErr w:type="spellStart"/>
      <w:r>
        <w:rPr>
          <w:rFonts w:ascii="Bookman Old Style" w:eastAsia="Bookman Old Style" w:hAnsi="Bookman Old Style" w:cs="Bookman Old Style"/>
          <w:color w:val="000000"/>
        </w:rPr>
        <w:t>Oregon</w:t>
      </w:r>
      <w:proofErr w:type="spellEnd"/>
      <w:r>
        <w:rPr>
          <w:rFonts w:ascii="Bookman Old Style" w:eastAsia="Bookman Old Style" w:hAnsi="Bookman Old Style" w:cs="Bookman Old Style"/>
          <w:color w:val="000000"/>
        </w:rPr>
        <w:t xml:space="preserve">) permitían morir de manera digna. En los últimos 25 años, sin embargo, otros ocho países han adoptado regulaciones de tipo legal para permitir el ejercicio del mismo derecho. Sin embargo, Colombia se ha estancado y permanece sumido en el vacío normativo que motiva la radicación de la presente iniciativa. </w:t>
      </w:r>
    </w:p>
    <w:p w14:paraId="03556149"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7D81D873"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términos sustantivos, todas las leyes existentes en el mundo adoptan el consentimiento del paciente como núcleo del derecho a morir dignamente, en sus diversas modalidades. Así, hay variedad de diseños en materia de la edad mínima para acceder y la forma para manifestar la voluntad (por escrito, verbalmente, de </w:t>
      </w:r>
      <w:r>
        <w:rPr>
          <w:rFonts w:ascii="Bookman Old Style" w:eastAsia="Bookman Old Style" w:hAnsi="Bookman Old Style" w:cs="Bookman Old Style"/>
          <w:color w:val="000000"/>
        </w:rPr>
        <w:lastRenderedPageBreak/>
        <w:t xml:space="preserve">forma sustituta, previa) pero siempre es un elemento central y un requisito sin el cual es imposible practicar el procedimiento. </w:t>
      </w:r>
    </w:p>
    <w:p w14:paraId="7959B70D"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01D067A3"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 su vez, pese a que la mayoría de las regulaciones demandan que se trate de enfermedad terminal, las regulaciones más recientes tienden a reconocer mayor flexibilidad o amplitud en las condiciones médicas para acceder a la muerte médicamente asistida. En esa corriente parece insertarse la Corte Constitucional colombiana al privilegiar la dignidad humana y modificar la subregla en atención a lo cual basta con padecer un sufrimiento insoportable y no se hace exigible ser paciente de enfermedad terminal. </w:t>
      </w:r>
    </w:p>
    <w:p w14:paraId="332479B5"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195DF604"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Llama la atención que contrario a lo que se ha desarrollado en Colombia, en múltiples Estados es dable que el paciente sea quien de manera autónoma se aplique el medicamento que le ocasiona la muerte. Pese a ello, en todos los casos es menester la autorización y observancia de los requisitos por parte de un médico.</w:t>
      </w:r>
    </w:p>
    <w:p w14:paraId="44B3B917"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3DD085B1"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Otro punto en común de las regulaciones extranjeras con la comprensión jurisprudencial que se ha desarrollado del derecho a la muerte digna en Colombia y en particular de la muerte médicamente asistida es que se protege penalmente a los médicos encargados de practicar el procedimiento. Así, tanto en otros Estados como en el nuestro, la muerte médicamente asistida no solo demanda una regulación para su ejercicio sino modificaciones en la ley penal para salvaguardar la seguridad jurídica de los encargados de garantizar el goce efectivo al derecho de morir dignamente. </w:t>
      </w:r>
    </w:p>
    <w:p w14:paraId="03A5A515"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04BAB893"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Como medio para anticipar argumentos que aduzcan que la práctica de la muerte digna puede esconder prácticas eugenésicas, es llamativo que en ningún estado la discapacidad o las enfermedades mentales pueden servir como medio para acceder a los procedimientos eutanásicos. Además, es preciso destacar que en todas las regulaciones existentes se tiende a privilegiar la valoración subjetiva del sufrimiento insoportable. A su vez, se establece como pilar el hecho de que es una potestad, un derecho, una práctica voluntaria y no obligatoria. Además, el consentimiento sustituto está prácticamente proscrito o al menos fuertemente restringido y condicionado en todas las latitudes.</w:t>
      </w:r>
    </w:p>
    <w:p w14:paraId="0A479DBF"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787B60A8"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Esos elementos también son compartidos por los estándares constitucionales para el ejercicio de la muerte médicamente asistida que ha fijado la Corte Constitucional. </w:t>
      </w:r>
    </w:p>
    <w:p w14:paraId="3037F6AE"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6DFF4F8B" w14:textId="478B5B84"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Como aporte adicional, conviene traer a colación el estudio de </w:t>
      </w:r>
      <w:proofErr w:type="spellStart"/>
      <w:r>
        <w:rPr>
          <w:rFonts w:ascii="Bookman Old Style" w:eastAsia="Bookman Old Style" w:hAnsi="Bookman Old Style" w:cs="Bookman Old Style"/>
          <w:color w:val="000000"/>
        </w:rPr>
        <w:t>Battin</w:t>
      </w:r>
      <w:proofErr w:type="spellEnd"/>
      <w:r>
        <w:rPr>
          <w:rFonts w:ascii="Bookman Old Style" w:eastAsia="Bookman Old Style" w:hAnsi="Bookman Old Style" w:cs="Bookman Old Style"/>
          <w:color w:val="000000"/>
        </w:rPr>
        <w:t xml:space="preserve">, Van </w:t>
      </w:r>
      <w:proofErr w:type="spellStart"/>
      <w:r>
        <w:rPr>
          <w:rFonts w:ascii="Bookman Old Style" w:eastAsia="Bookman Old Style" w:hAnsi="Bookman Old Style" w:cs="Bookman Old Style"/>
          <w:color w:val="000000"/>
        </w:rPr>
        <w:t>der</w:t>
      </w:r>
      <w:proofErr w:type="spellEnd"/>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Heide</w:t>
      </w:r>
      <w:proofErr w:type="spellEnd"/>
      <w:r>
        <w:rPr>
          <w:rFonts w:ascii="Bookman Old Style" w:eastAsia="Bookman Old Style" w:hAnsi="Bookman Old Style" w:cs="Bookman Old Style"/>
          <w:color w:val="000000"/>
        </w:rPr>
        <w:t xml:space="preserve"> et al (2007)</w:t>
      </w:r>
      <w:r w:rsidR="00EF77C2">
        <w:rPr>
          <w:rFonts w:ascii="Bookman Old Style" w:eastAsia="Bookman Old Style" w:hAnsi="Bookman Old Style" w:cs="Bookman Old Style"/>
          <w:color w:val="000000"/>
        </w:rPr>
        <w:t>, citado también por el proyecto 007 de 2021C,</w:t>
      </w:r>
      <w:r>
        <w:rPr>
          <w:rFonts w:ascii="Bookman Old Style" w:eastAsia="Bookman Old Style" w:hAnsi="Bookman Old Style" w:cs="Bookman Old Style"/>
          <w:color w:val="000000"/>
        </w:rPr>
        <w:t xml:space="preserve"> que concluye que los lugares en que primero se reguló la muerte médicamente asistida (Bélgica, Holanda y Estados Unidos) no presentaron incrementos en la vulneración de los requisitos para acceder a la muerte digna. Tampoco se empleó para eliminar individuos </w:t>
      </w:r>
      <w:r>
        <w:rPr>
          <w:rFonts w:ascii="Bookman Old Style" w:eastAsia="Bookman Old Style" w:hAnsi="Bookman Old Style" w:cs="Bookman Old Style"/>
          <w:color w:val="000000"/>
        </w:rPr>
        <w:lastRenderedPageBreak/>
        <w:t xml:space="preserve">pertenecientes a poblaciones históricamente discriminadas o sujetas de especial protección constitucional como las personas con discapacidad, los adultos mayores, las personas con enfermedades mentales o los adultos mayores. </w:t>
      </w:r>
    </w:p>
    <w:p w14:paraId="769B7BA2"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45E2E4AC" w14:textId="44314EA3"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Otro posible argumento en contra de regular la muerte médicamente asistida refiere que la calidad de los cuidados paliativos puede empeorar como consecuencia de la flexibilización o del incremento en la facilidad de acceso a los procedimientos eutanásicos. Sin embargo, los casos de Holanda y Bélgica que regularon la muerte médicamente asistida en 2002 desmienten esa tesis. De acuerdo con Bernheim, </w:t>
      </w:r>
      <w:proofErr w:type="spellStart"/>
      <w:r>
        <w:rPr>
          <w:rFonts w:ascii="Bookman Old Style" w:eastAsia="Bookman Old Style" w:hAnsi="Bookman Old Style" w:cs="Bookman Old Style"/>
          <w:color w:val="000000"/>
        </w:rPr>
        <w:t>Chambaere</w:t>
      </w:r>
      <w:proofErr w:type="spellEnd"/>
      <w:r>
        <w:rPr>
          <w:rFonts w:ascii="Bookman Old Style" w:eastAsia="Bookman Old Style" w:hAnsi="Bookman Old Style" w:cs="Bookman Old Style"/>
          <w:color w:val="000000"/>
        </w:rPr>
        <w:t xml:space="preserve"> et al, (2014)</w:t>
      </w:r>
      <w:r w:rsidR="00EF77C2">
        <w:rPr>
          <w:rFonts w:ascii="Bookman Old Style" w:eastAsia="Bookman Old Style" w:hAnsi="Bookman Old Style" w:cs="Bookman Old Style"/>
          <w:color w:val="000000"/>
        </w:rPr>
        <w:t>, citado también por el proyecto 007 de 2021C,</w:t>
      </w:r>
      <w:r>
        <w:rPr>
          <w:rFonts w:ascii="Bookman Old Style" w:eastAsia="Bookman Old Style" w:hAnsi="Bookman Old Style" w:cs="Bookman Old Style"/>
          <w:color w:val="000000"/>
        </w:rPr>
        <w:t xml:space="preserve"> los sistemas de cuidados paliativos de estos dos países en 2005 alcanzaron los niveles de calidad de Estados como España y Reino Unido, punteros europeos en esa materia. Entre otras, señalan los autores, que ese logro se debió a un compromiso político que se tradujo en medidas concretas. Por ejemplo, en Bélgica la inversión para los sistemas de cuidado paliativo aumentó en 10% luego de la aprobación de la regulación que permitió el acceso a la muerte médicamente asistida. </w:t>
      </w:r>
    </w:p>
    <w:p w14:paraId="2C6B66D6"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2F54FD1B" w14:textId="4842C2A0"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Otros textos como el de </w:t>
      </w:r>
      <w:proofErr w:type="spellStart"/>
      <w:r>
        <w:rPr>
          <w:rFonts w:ascii="Bookman Old Style" w:eastAsia="Bookman Old Style" w:hAnsi="Bookman Old Style" w:cs="Bookman Old Style"/>
          <w:color w:val="000000"/>
        </w:rPr>
        <w:t>Woitha</w:t>
      </w:r>
      <w:proofErr w:type="spellEnd"/>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Gerralda</w:t>
      </w:r>
      <w:proofErr w:type="spellEnd"/>
      <w:r>
        <w:rPr>
          <w:rFonts w:ascii="Bookman Old Style" w:eastAsia="Bookman Old Style" w:hAnsi="Bookman Old Style" w:cs="Bookman Old Style"/>
          <w:color w:val="000000"/>
        </w:rPr>
        <w:t xml:space="preserve"> et al (2016)</w:t>
      </w:r>
      <w:r w:rsidR="00EF77C2">
        <w:rPr>
          <w:rFonts w:ascii="Bookman Old Style" w:eastAsia="Bookman Old Style" w:hAnsi="Bookman Old Style" w:cs="Bookman Old Style"/>
          <w:color w:val="000000"/>
        </w:rPr>
        <w:t>, citado también por el proyecto 007 de 2021C,</w:t>
      </w:r>
      <w:r>
        <w:rPr>
          <w:rFonts w:ascii="Bookman Old Style" w:eastAsia="Bookman Old Style" w:hAnsi="Bookman Old Style" w:cs="Bookman Old Style"/>
          <w:color w:val="000000"/>
        </w:rPr>
        <w:t xml:space="preserve"> concluyeron que entre los cuatro estados europeos con mejores sistemas de cuidado paliativo figuran tres que permiten desde hace al menos trece años la muerte médicamente asistida. Esos tres estados son justamente Bélgica, Holanda y Luxemburgo.</w:t>
      </w:r>
    </w:p>
    <w:p w14:paraId="6A7EB4B8"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19E7F4BA"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Todo lo anterior parece indicar que contrario a lo que afirman los detractores de la muerte médicamente asistida, fortalecer los mecanismos regulatorios de esa modalidad de ejercicio de la muerte digna favorece el mejoramiento de la calidad y el fortalecimiento de los cuidados paliativos. Ello tiene sentido y guarda relación con la comprensión del derecho a la muerte digna en Colombia en virtud de la cual las tres modalidades de ejercicio de ese derecho son igual de importantes y lejos de ser excluyentes pueden ser complementarias. </w:t>
      </w:r>
    </w:p>
    <w:p w14:paraId="72A43D0A"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21C68EB0"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 lo expresado en las páginas precedentes se concluye reafirmando la necesidad urgente de corregir la omisión legislativa en la materia por intermedio de una regulación estatutaria. Morir dignamente es un derecho fundamental que ha sido reconocido como tal en normas de rango constitucional. Pese a los esfuerzos de la Corte Constitucional para establecer criterios y estándares mínimos para el ejercicio de ese derecho mediante la muerte médicamente asistida, los actos administrativos que ha expedido el Ministerio de Salud se quedan cortos. La histórica y reiterada inacción del Congreso amenaza el goce efectivo del derecho y supone un riesgo para la dignidad humana de las personas sujetas de especial protección como aquellas que cumplen los requisitos para recibir la muerte médicamente asistida.</w:t>
      </w:r>
    </w:p>
    <w:p w14:paraId="595CB8B3"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55267ECC"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Establecer criterios normativos de carácter legal para el ejercicio de la muerte médicamente asistida no implica la renuncia a las creencias o convicciones morales propias. De ningún modo comporta la imposición de la eutanasia a nadie. Al contrario, deviene en el reconocimiento máximo de la libertad no solo para permitir que cada quien actúe conforme sus principios morales y religiosos, sino para permitir que decida de acuerdo a su voluntad y preferencias en el último acto de la vida como lo es la muerte. La aprobación de este proyecto de ley coadyuva a materializar el proyecto constitucional de 1991 garantizando los derechos fundamentales de la población y acercando la posibilidad compartida de cohabitar una sociedad más digna. </w:t>
      </w:r>
    </w:p>
    <w:p w14:paraId="40DB34CC" w14:textId="77777777" w:rsidR="00335A1D" w:rsidRPr="00CF7A45" w:rsidRDefault="00335A1D" w:rsidP="00335A1D">
      <w:pPr>
        <w:pBdr>
          <w:top w:val="nil"/>
          <w:left w:val="nil"/>
          <w:bottom w:val="nil"/>
          <w:right w:val="nil"/>
          <w:between w:val="nil"/>
        </w:pBdr>
        <w:jc w:val="both"/>
        <w:rPr>
          <w:rFonts w:ascii="Bookman Old Style" w:eastAsia="Bookman Old Style" w:hAnsi="Bookman Old Style" w:cs="Bookman Old Style"/>
          <w:color w:val="000000"/>
        </w:rPr>
      </w:pPr>
    </w:p>
    <w:p w14:paraId="34854409" w14:textId="77777777" w:rsidR="00335A1D" w:rsidRDefault="00335A1D" w:rsidP="00335A1D">
      <w:pPr>
        <w:numPr>
          <w:ilvl w:val="0"/>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SOBRE LA NATURALEZA DE LEY ESTATUTARIA</w:t>
      </w:r>
    </w:p>
    <w:p w14:paraId="778FE382"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considera que el presente proyecto de ley debe ser tramitado por vía de Ley Estatutaria atendiendo a lo dispuesto en los artículos 152 de la Constitución y 207 de la Ley 5 de 1992. A tenor de lo previsto en esos fundamentos normativos, serán leyes estatutarias aquellas que regulen derechos y deberes fundamentales de las personas y establezcan procedimientos para su protección. </w:t>
      </w:r>
    </w:p>
    <w:p w14:paraId="6617F50D"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Si bien la Corte Constitucional ha precisado que no toda ley que tenga relación con algún o algunos derechos fundamentales es estatutaria, lo cierto es que este proyecto de ley articula los fundamentos esenciales del derecho a morir dignamente. Ese derecho y por ende la regulación propuesta en el presente proyecto de ley dialoga con el ejercicio de otros derechos fundamentales como la autonomía de la voluntad, el libre desarrollo de la personalidad, la vida y la dignidad humana.</w:t>
      </w:r>
    </w:p>
    <w:p w14:paraId="18B42264" w14:textId="6DB8EA3D" w:rsidR="0006605A"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consecuencia, se considera que este proyecto satisface los criterios para ser estatutaria, a saber: regular elementos esenciales de un derecho fundamental como la muerte digna y ser medio para el goce efectivo de otros derechos fundamentales entre los que se encuentran aquellos mencionados en el párrafo anterior.</w:t>
      </w:r>
    </w:p>
    <w:p w14:paraId="46555528" w14:textId="77777777" w:rsidR="00335A1D" w:rsidRDefault="00335A1D" w:rsidP="00335A1D">
      <w:pPr>
        <w:numPr>
          <w:ilvl w:val="0"/>
          <w:numId w:val="5"/>
        </w:numPr>
        <w:pBdr>
          <w:top w:val="nil"/>
          <w:left w:val="nil"/>
          <w:bottom w:val="nil"/>
          <w:right w:val="nil"/>
          <w:between w:val="nil"/>
        </w:pBdr>
        <w:spacing w:before="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COMPETENCIA DEL CONGRESO</w:t>
      </w:r>
    </w:p>
    <w:p w14:paraId="52B0B2A0" w14:textId="77777777" w:rsidR="00335A1D" w:rsidRDefault="00335A1D" w:rsidP="00335A1D">
      <w:pPr>
        <w:pBdr>
          <w:top w:val="nil"/>
          <w:left w:val="nil"/>
          <w:bottom w:val="nil"/>
          <w:right w:val="nil"/>
          <w:between w:val="nil"/>
        </w:pBdr>
        <w:ind w:left="480"/>
        <w:jc w:val="both"/>
        <w:rPr>
          <w:rFonts w:ascii="Bookman Old Style" w:eastAsia="Bookman Old Style" w:hAnsi="Bookman Old Style" w:cs="Bookman Old Style"/>
          <w:b/>
          <w:color w:val="000000"/>
        </w:rPr>
      </w:pPr>
    </w:p>
    <w:p w14:paraId="5FC18ED2" w14:textId="77777777" w:rsidR="00335A1D" w:rsidRDefault="00335A1D" w:rsidP="00335A1D">
      <w:pPr>
        <w:numPr>
          <w:ilvl w:val="1"/>
          <w:numId w:val="5"/>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CONSTITUCIONAL</w:t>
      </w:r>
    </w:p>
    <w:p w14:paraId="1F91014E" w14:textId="77777777" w:rsidR="00335A1D" w:rsidRDefault="00335A1D" w:rsidP="00335A1D">
      <w:pPr>
        <w:pBdr>
          <w:top w:val="nil"/>
          <w:left w:val="nil"/>
          <w:bottom w:val="nil"/>
          <w:right w:val="nil"/>
          <w:between w:val="nil"/>
        </w:pBdr>
        <w:ind w:left="1440"/>
        <w:jc w:val="both"/>
        <w:rPr>
          <w:rFonts w:ascii="Bookman Old Style" w:eastAsia="Bookman Old Style" w:hAnsi="Bookman Old Style" w:cs="Bookman Old Style"/>
          <w:b/>
          <w:color w:val="000000"/>
        </w:rPr>
      </w:pPr>
    </w:p>
    <w:p w14:paraId="18EBE036"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114.</w:t>
      </w:r>
      <w:r>
        <w:rPr>
          <w:rFonts w:ascii="Bookman Old Style" w:eastAsia="Bookman Old Style" w:hAnsi="Bookman Old Style" w:cs="Bookman Old Style"/>
          <w:i/>
          <w:color w:val="000000"/>
        </w:rPr>
        <w:t xml:space="preserve"> Corresponde al Congreso de la República reformar la Constitución, hacer las leyes y ejercer control político sobre el gobierno y la administración.</w:t>
      </w:r>
    </w:p>
    <w:p w14:paraId="2C05270C"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El Congreso de la República, estará integrado por el Senado y la Cámara de Representantes. </w:t>
      </w:r>
    </w:p>
    <w:p w14:paraId="5CB7D05F"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b/>
          <w:i/>
          <w:color w:val="000000"/>
        </w:rPr>
      </w:pPr>
    </w:p>
    <w:p w14:paraId="12C1C4A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lastRenderedPageBreak/>
        <w:t>ARTÍCULO  150.</w:t>
      </w:r>
      <w:r>
        <w:rPr>
          <w:rFonts w:ascii="Bookman Old Style" w:eastAsia="Bookman Old Style" w:hAnsi="Bookman Old Style" w:cs="Bookman Old Style"/>
          <w:i/>
          <w:color w:val="000000"/>
        </w:rPr>
        <w:t xml:space="preserve"> Corresponde al Congreso hacer las leyes. Por medio de ellas ejerce las siguientes funciones: </w:t>
      </w:r>
    </w:p>
    <w:p w14:paraId="2EA0E81F"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1.   Interpretar, reformar y derogar las leyes. </w:t>
      </w:r>
    </w:p>
    <w:p w14:paraId="6DF5B75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2.   Expedir códigos en todos los ramos de la legislación y reformar sus disposiciones. </w:t>
      </w:r>
    </w:p>
    <w:p w14:paraId="06885D4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386F354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4.   Definir la división general del territorio con arreglo a lo previsto en esta Constitución, fijar las bases y condiciones para crear, eliminar, modificar o fusionar entidades territoriales y establecer sus competencias.</w:t>
      </w:r>
    </w:p>
    <w:p w14:paraId="1D5AA48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b/>
          <w:i/>
          <w:color w:val="000000"/>
        </w:rPr>
      </w:pPr>
    </w:p>
    <w:p w14:paraId="3966A57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ARTÍCULO 152. </w:t>
      </w:r>
      <w:r>
        <w:rPr>
          <w:rFonts w:ascii="Bookman Old Style" w:eastAsia="Bookman Old Style" w:hAnsi="Bookman Old Style" w:cs="Bookman Old Style"/>
          <w:i/>
          <w:color w:val="000000"/>
        </w:rPr>
        <w:t>Mediante las leyes estatutarias, el Congreso de la República regulará las siguientes materias:</w:t>
      </w:r>
    </w:p>
    <w:p w14:paraId="31E57DB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 Derechos y deberes fundamentales de las personas y los procedimientos y recursos para su protección;</w:t>
      </w:r>
    </w:p>
    <w:p w14:paraId="4C14F95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b) Administración de justicia;</w:t>
      </w:r>
    </w:p>
    <w:p w14:paraId="5BAEAEB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c) Organización y régimen de los partidos y movimientos políticos; estatuto de la oposición y funciones electorales;</w:t>
      </w:r>
    </w:p>
    <w:p w14:paraId="57706A3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 Instituciones y mecanismos de participación ciudadana.</w:t>
      </w:r>
    </w:p>
    <w:p w14:paraId="0EA8408A"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 Estados de excepción.</w:t>
      </w:r>
    </w:p>
    <w:p w14:paraId="67C09F35"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f) La igualdad electoral entre los candidatos a la Presidencia de la República que reúnan los requisitos que determine la ley.</w:t>
      </w:r>
    </w:p>
    <w:p w14:paraId="63A8B37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p>
    <w:p w14:paraId="59FA5FDB"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PARÁGRAFO TRANSITORIO. El Gobierno Nacional o los miembros del Congreso presentarán, antes del 1o. de marzo de 2005, un Proyecto de Ley Estatutaria que desarrolle el literal f) del artículo 152 de la Constitución y regule además, entre otras, las siguientes materias: Garantías a la oposición, participación en política de servidores públicos, derecho al acceso equitativo a los medios de comunicación que hagan uso del espectro electromagnético, financiación preponderantemente estatal de las campañas presidenciales, derecho de réplica en condiciones de equidad cuando el Presidente de la República sea candidato y normas sobre inhabilidades para candidatos a la Presidencia de la República.</w:t>
      </w:r>
    </w:p>
    <w:p w14:paraId="753C3D2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p>
    <w:p w14:paraId="2303174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El proyecto tendrá mensaje de urgencia y podrá ser objeto de mensaje de insistencia si fuere necesario. El Congreso de la República expedirá la Ley Estatutaria antes del 20 de junio de </w:t>
      </w:r>
      <w:r>
        <w:rPr>
          <w:rFonts w:ascii="Bookman Old Style" w:eastAsia="Bookman Old Style" w:hAnsi="Bookman Old Style" w:cs="Bookman Old Style"/>
          <w:i/>
          <w:color w:val="000000"/>
        </w:rPr>
        <w:lastRenderedPageBreak/>
        <w:t xml:space="preserve">2005. Se reducen a la mitad los términos para la revisión previa de </w:t>
      </w:r>
      <w:proofErr w:type="spellStart"/>
      <w:r>
        <w:rPr>
          <w:rFonts w:ascii="Bookman Old Style" w:eastAsia="Bookman Old Style" w:hAnsi="Bookman Old Style" w:cs="Bookman Old Style"/>
          <w:i/>
          <w:color w:val="000000"/>
        </w:rPr>
        <w:t>exequibilidad</w:t>
      </w:r>
      <w:proofErr w:type="spellEnd"/>
      <w:r>
        <w:rPr>
          <w:rFonts w:ascii="Bookman Old Style" w:eastAsia="Bookman Old Style" w:hAnsi="Bookman Old Style" w:cs="Bookman Old Style"/>
          <w:i/>
          <w:color w:val="000000"/>
        </w:rPr>
        <w:t xml:space="preserve"> del Proyecto de Ley Estatutaria, por parte de la Corte Constitucional.</w:t>
      </w:r>
    </w:p>
    <w:p w14:paraId="489FC57F" w14:textId="77777777" w:rsidR="00335A1D" w:rsidRDefault="00335A1D" w:rsidP="00335A1D">
      <w:pPr>
        <w:pBdr>
          <w:top w:val="nil"/>
          <w:left w:val="nil"/>
          <w:bottom w:val="nil"/>
          <w:right w:val="nil"/>
          <w:between w:val="nil"/>
        </w:pBdr>
        <w:ind w:left="480"/>
        <w:jc w:val="both"/>
        <w:rPr>
          <w:rFonts w:ascii="Bookman Old Style" w:eastAsia="Bookman Old Style" w:hAnsi="Bookman Old Style" w:cs="Bookman Old Style"/>
          <w:i/>
          <w:color w:val="000000"/>
        </w:rPr>
      </w:pPr>
    </w:p>
    <w:p w14:paraId="34686B69" w14:textId="77777777" w:rsidR="00335A1D" w:rsidRDefault="00335A1D" w:rsidP="00335A1D">
      <w:pPr>
        <w:numPr>
          <w:ilvl w:val="1"/>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LEGAL</w:t>
      </w:r>
    </w:p>
    <w:p w14:paraId="24ED5F8E" w14:textId="77777777" w:rsidR="00335A1D" w:rsidRDefault="00335A1D" w:rsidP="00335A1D">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LEY 5 DE 1992. POR LA CUAL SE EXPIDE EL REGLAMENTO DEL CONGRESO; EL SENADO Y LA CÁMARA DE REPRESENTANTES</w:t>
      </w:r>
    </w:p>
    <w:p w14:paraId="41779E35" w14:textId="77777777" w:rsidR="00335A1D" w:rsidRDefault="00335A1D" w:rsidP="00335A1D">
      <w:pPr>
        <w:pBdr>
          <w:top w:val="nil"/>
          <w:left w:val="nil"/>
          <w:bottom w:val="nil"/>
          <w:right w:val="nil"/>
          <w:between w:val="nil"/>
        </w:pBdr>
        <w:spacing w:before="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ARTÍCULO  6°.</w:t>
      </w:r>
      <w:r>
        <w:rPr>
          <w:rFonts w:ascii="Bookman Old Style" w:eastAsia="Bookman Old Style" w:hAnsi="Bookman Old Style" w:cs="Bookman Old Style"/>
          <w:i/>
          <w:color w:val="000000"/>
        </w:rPr>
        <w:t xml:space="preserve"> Clases de funciones del Congreso. El Congreso de la República cumple:</w:t>
      </w:r>
    </w:p>
    <w:p w14:paraId="24FD2601"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p>
    <w:p w14:paraId="1EA7CA88"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2. Función legislativa, para elaborar, interpretar, reformar y derogar las leyes y códigos en todos los ramos de la legislación.</w:t>
      </w:r>
      <w:r>
        <w:rPr>
          <w:rFonts w:ascii="Bookman Old Style" w:eastAsia="Bookman Old Style" w:hAnsi="Bookman Old Style" w:cs="Bookman Old Style"/>
          <w:color w:val="000000"/>
        </w:rPr>
        <w:t xml:space="preserve"> </w:t>
      </w:r>
    </w:p>
    <w:p w14:paraId="261198E7"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color w:val="000000"/>
        </w:rPr>
      </w:pPr>
    </w:p>
    <w:p w14:paraId="0C239310"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b/>
          <w:i/>
          <w:color w:val="000000"/>
        </w:rPr>
      </w:pPr>
      <w:r>
        <w:rPr>
          <w:rFonts w:ascii="Bookman Old Style" w:eastAsia="Bookman Old Style" w:hAnsi="Bookman Old Style" w:cs="Bookman Old Style"/>
          <w:b/>
          <w:i/>
          <w:color w:val="000000"/>
        </w:rPr>
        <w:t xml:space="preserve">ARTÍCULO 139. </w:t>
      </w:r>
      <w:r>
        <w:rPr>
          <w:rFonts w:ascii="Bookman Old Style" w:eastAsia="Bookman Old Style" w:hAnsi="Bookman Old Style" w:cs="Bookman Old Style"/>
          <w:i/>
          <w:color w:val="000000"/>
        </w:rPr>
        <w:t>Presentación de proyectos. Los proyectos de ley podrán presentarse en la Secretaría General de las Cámaras o en sus plenarias.</w:t>
      </w:r>
      <w:r>
        <w:rPr>
          <w:rFonts w:ascii="Bookman Old Style" w:eastAsia="Bookman Old Style" w:hAnsi="Bookman Old Style" w:cs="Bookman Old Style"/>
          <w:b/>
          <w:i/>
          <w:color w:val="000000"/>
        </w:rPr>
        <w:t xml:space="preserve"> </w:t>
      </w:r>
    </w:p>
    <w:p w14:paraId="4BCD88AE"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ARTÍCULO 140. </w:t>
      </w:r>
      <w:r>
        <w:rPr>
          <w:rFonts w:ascii="Bookman Old Style" w:eastAsia="Bookman Old Style" w:hAnsi="Bookman Old Style" w:cs="Bookman Old Style"/>
          <w:i/>
          <w:color w:val="000000"/>
        </w:rPr>
        <w:t xml:space="preserve">Iniciativa legislativa. Pueden presentar proyectos de ley: </w:t>
      </w:r>
    </w:p>
    <w:p w14:paraId="27015A12"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1. Los Senadores y Representantes a la Cámara individualmente y a través de las bancadas.</w:t>
      </w:r>
    </w:p>
    <w:p w14:paraId="79E93CBA" w14:textId="77777777" w:rsidR="00335A1D" w:rsidRDefault="00335A1D" w:rsidP="00335A1D">
      <w:pPr>
        <w:pBdr>
          <w:top w:val="nil"/>
          <w:left w:val="nil"/>
          <w:bottom w:val="nil"/>
          <w:right w:val="nil"/>
          <w:between w:val="nil"/>
        </w:pBdr>
        <w:ind w:left="480" w:right="900"/>
        <w:jc w:val="both"/>
        <w:rPr>
          <w:rFonts w:ascii="Bookman Old Style" w:eastAsia="Bookman Old Style" w:hAnsi="Bookman Old Style" w:cs="Bookman Old Style"/>
          <w:color w:val="000000"/>
        </w:rPr>
      </w:pPr>
    </w:p>
    <w:p w14:paraId="03CBA3C2" w14:textId="77777777" w:rsidR="00335A1D" w:rsidRDefault="00335A1D" w:rsidP="00335A1D">
      <w:pPr>
        <w:ind w:right="900"/>
        <w:jc w:val="both"/>
        <w:rPr>
          <w:rFonts w:ascii="Bookman Old Style" w:eastAsia="Bookman Old Style" w:hAnsi="Bookman Old Style" w:cs="Bookman Old Style"/>
          <w:b/>
        </w:rPr>
      </w:pPr>
      <w:r>
        <w:rPr>
          <w:rFonts w:ascii="Bookman Old Style" w:eastAsia="Bookman Old Style" w:hAnsi="Bookman Old Style" w:cs="Bookman Old Style"/>
          <w:b/>
        </w:rPr>
        <w:t xml:space="preserve">LEY 3 DE 1992. POR LA CUAL SE EXPIDEN NORMAS SOBRE LAS COMISIONES DEL CONGRESO DE COLOMBIA Y SE DICTAN OTRAS DISPOSICIONES. </w:t>
      </w:r>
    </w:p>
    <w:p w14:paraId="36560A71" w14:textId="77777777" w:rsidR="00335A1D" w:rsidRDefault="00335A1D" w:rsidP="00335A1D">
      <w:pPr>
        <w:pBdr>
          <w:top w:val="nil"/>
          <w:left w:val="nil"/>
          <w:bottom w:val="nil"/>
          <w:right w:val="nil"/>
          <w:between w:val="nil"/>
        </w:pBdr>
        <w:spacing w:before="240"/>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b/>
          <w:i/>
          <w:color w:val="000000"/>
        </w:rPr>
        <w:t xml:space="preserve">ARTÍCULO 2º. </w:t>
      </w:r>
      <w:r>
        <w:rPr>
          <w:rFonts w:ascii="Bookman Old Style" w:eastAsia="Bookman Old Style" w:hAnsi="Bookman Old Style" w:cs="Bookman Old Style"/>
          <w:i/>
          <w:color w:val="000000"/>
        </w:rPr>
        <w:t xml:space="preserve">Tanto en el Senado como en la Cámara de Representantes funcionarán Comisiones Constitucionales Permanentes, encargadas de dar primer debate a los proyectos de acto legislativo o de ley referente a los asuntos de su competencia. </w:t>
      </w:r>
    </w:p>
    <w:p w14:paraId="1DDB5709"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Las Comisiones Constitucionales Permanentes en cada una de las Cámaras serán siete (7) a saber: </w:t>
      </w:r>
    </w:p>
    <w:p w14:paraId="02A6C0C6"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Comisión Primera. </w:t>
      </w:r>
    </w:p>
    <w:p w14:paraId="523E30DD"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 xml:space="preserve">Compuesta por diecinueve (19) miembros en el Senado y treinta y cinco (35) en la Cámara de Representantes, conocerá de: reforma constitucional; </w:t>
      </w:r>
      <w:r>
        <w:rPr>
          <w:rFonts w:ascii="Bookman Old Style" w:eastAsia="Bookman Old Style" w:hAnsi="Bookman Old Style" w:cs="Bookman Old Style"/>
          <w:i/>
          <w:color w:val="000000"/>
          <w:u w:val="single"/>
        </w:rPr>
        <w:t>leyes estatutarias;</w:t>
      </w:r>
      <w:r>
        <w:rPr>
          <w:rFonts w:ascii="Bookman Old Style" w:eastAsia="Bookman Old Style" w:hAnsi="Bookman Old Style" w:cs="Bookman Old Style"/>
          <w:i/>
          <w:color w:val="000000"/>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w:t>
      </w:r>
      <w:r>
        <w:rPr>
          <w:rFonts w:ascii="Bookman Old Style" w:eastAsia="Bookman Old Style" w:hAnsi="Bookman Old Style" w:cs="Bookman Old Style"/>
          <w:i/>
          <w:color w:val="000000"/>
        </w:rPr>
        <w:lastRenderedPageBreak/>
        <w:t xml:space="preserve">variación de la residencia de los altos poderes nacionales; asuntos étnicos. </w:t>
      </w:r>
      <w:r>
        <w:rPr>
          <w:rFonts w:ascii="Bookman Old Style" w:eastAsia="Bookman Old Style" w:hAnsi="Bookman Old Style" w:cs="Bookman Old Style"/>
          <w:color w:val="000000"/>
        </w:rPr>
        <w:t>(Subrayado por fuera del texto).</w:t>
      </w:r>
    </w:p>
    <w:p w14:paraId="36E56C53" w14:textId="77777777" w:rsidR="00335A1D" w:rsidRDefault="00335A1D" w:rsidP="00335A1D">
      <w:pPr>
        <w:pBdr>
          <w:top w:val="nil"/>
          <w:left w:val="nil"/>
          <w:bottom w:val="nil"/>
          <w:right w:val="nil"/>
          <w:between w:val="nil"/>
        </w:pBdr>
        <w:ind w:left="709" w:right="1325"/>
        <w:jc w:val="both"/>
        <w:rPr>
          <w:rFonts w:ascii="Bookman Old Style" w:eastAsia="Bookman Old Style" w:hAnsi="Bookman Old Style" w:cs="Bookman Old Style"/>
          <w:b/>
          <w:color w:val="000000"/>
        </w:rPr>
      </w:pPr>
    </w:p>
    <w:p w14:paraId="1A79750F" w14:textId="77777777" w:rsidR="00335A1D" w:rsidRDefault="00335A1D" w:rsidP="00335A1D">
      <w:pPr>
        <w:numPr>
          <w:ilvl w:val="0"/>
          <w:numId w:val="5"/>
        </w:numPr>
        <w:pBdr>
          <w:top w:val="nil"/>
          <w:left w:val="nil"/>
          <w:bottom w:val="nil"/>
          <w:right w:val="nil"/>
          <w:between w:val="nil"/>
        </w:pBdr>
        <w:spacing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CONFLICTOS DE INTERÉS.</w:t>
      </w:r>
    </w:p>
    <w:p w14:paraId="408C902C"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Dando alcance a lo establecido en el artículo 3 de la Ley 2003 de 2019, “</w:t>
      </w:r>
      <w:r>
        <w:rPr>
          <w:rFonts w:ascii="Bookman Old Style" w:eastAsia="Bookman Old Style" w:hAnsi="Bookman Old Style" w:cs="Bookman Old Style"/>
          <w:i/>
        </w:rPr>
        <w:t>Por la cual se modifica parcialmente la Ley 5 de 1992</w:t>
      </w:r>
      <w:r>
        <w:rPr>
          <w:rFonts w:ascii="Bookman Old Style" w:eastAsia="Bookman Old Style" w:hAnsi="Bookman Old Style" w:cs="Bookman Old Styl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B83CC03"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“Artículo 286. Régimen de conflicto de interés de los congresistas. Todos los congresistas deberán declarar los conflictos De intereses que pudieran surgir en ejercicio de sus funciones.</w:t>
      </w:r>
    </w:p>
    <w:p w14:paraId="3A367BBD"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5735C3D2"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Se entiende como conflicto de interés una situación donde la discusión o votación de un proyecto de ley o acto legislativo o artículo, pueda resultar en un beneficio particular, actual y directo a favor del congresista. </w:t>
      </w:r>
    </w:p>
    <w:p w14:paraId="44A6380A" w14:textId="77777777" w:rsidR="00335A1D" w:rsidRDefault="00335A1D" w:rsidP="00335A1D">
      <w:pPr>
        <w:ind w:left="709" w:right="1325"/>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37C0AEED" w14:textId="77777777" w:rsidR="00335A1D" w:rsidRDefault="00335A1D" w:rsidP="00335A1D">
      <w:pPr>
        <w:numPr>
          <w:ilvl w:val="0"/>
          <w:numId w:val="10"/>
        </w:numPr>
        <w:pBdr>
          <w:top w:val="nil"/>
          <w:left w:val="nil"/>
          <w:bottom w:val="nil"/>
          <w:right w:val="nil"/>
          <w:between w:val="nil"/>
        </w:pBdr>
        <w:ind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6038506" w14:textId="77777777" w:rsidR="00335A1D" w:rsidRDefault="00335A1D" w:rsidP="00335A1D">
      <w:pPr>
        <w:pBdr>
          <w:top w:val="nil"/>
          <w:left w:val="nil"/>
          <w:bottom w:val="nil"/>
          <w:right w:val="nil"/>
          <w:between w:val="nil"/>
        </w:pBdr>
        <w:ind w:left="1069" w:right="1325"/>
        <w:jc w:val="both"/>
        <w:rPr>
          <w:rFonts w:ascii="Bookman Old Style" w:eastAsia="Bookman Old Style" w:hAnsi="Bookman Old Style" w:cs="Bookman Old Style"/>
          <w:i/>
          <w:color w:val="000000"/>
        </w:rPr>
      </w:pPr>
    </w:p>
    <w:p w14:paraId="00132999" w14:textId="77777777" w:rsidR="00335A1D" w:rsidRDefault="00335A1D" w:rsidP="00335A1D">
      <w:pPr>
        <w:numPr>
          <w:ilvl w:val="0"/>
          <w:numId w:val="10"/>
        </w:numPr>
        <w:pBdr>
          <w:top w:val="nil"/>
          <w:left w:val="nil"/>
          <w:bottom w:val="nil"/>
          <w:right w:val="nil"/>
          <w:between w:val="nil"/>
        </w:pBdr>
        <w:ind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Beneficio actual: aquel que efectivamente se configura en las circunstancias presentes y existentes al momento en el que el congresista participa de la decisión.</w:t>
      </w:r>
    </w:p>
    <w:p w14:paraId="7A2F9424" w14:textId="77777777" w:rsidR="00335A1D" w:rsidRDefault="00335A1D" w:rsidP="00335A1D">
      <w:pPr>
        <w:pBdr>
          <w:top w:val="nil"/>
          <w:left w:val="nil"/>
          <w:bottom w:val="nil"/>
          <w:right w:val="nil"/>
          <w:between w:val="nil"/>
        </w:pBdr>
        <w:ind w:left="720"/>
        <w:rPr>
          <w:rFonts w:ascii="Bookman Old Style" w:eastAsia="Bookman Old Style" w:hAnsi="Bookman Old Style" w:cs="Bookman Old Style"/>
          <w:i/>
          <w:color w:val="000000"/>
        </w:rPr>
      </w:pPr>
    </w:p>
    <w:p w14:paraId="0E5326D0" w14:textId="77777777" w:rsidR="00335A1D" w:rsidRDefault="00335A1D" w:rsidP="00335A1D">
      <w:pPr>
        <w:numPr>
          <w:ilvl w:val="0"/>
          <w:numId w:val="10"/>
        </w:numPr>
        <w:pBdr>
          <w:top w:val="nil"/>
          <w:left w:val="nil"/>
          <w:bottom w:val="nil"/>
          <w:right w:val="nil"/>
          <w:between w:val="nil"/>
        </w:pBdr>
        <w:ind w:right="1325"/>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Beneficio directo: aquel que se produzca de forma específica respecto del congresista, de su cónyuge, compañero o compañera permanente, o parientes dentro del segundo grado de consanguinidad, segundo de afinidad o primero </w:t>
      </w:r>
      <w:proofErr w:type="gramStart"/>
      <w:r>
        <w:rPr>
          <w:rFonts w:ascii="Bookman Old Style" w:eastAsia="Bookman Old Style" w:hAnsi="Bookman Old Style" w:cs="Bookman Old Style"/>
          <w:i/>
          <w:color w:val="000000"/>
        </w:rPr>
        <w:t>civil.(</w:t>
      </w:r>
      <w:proofErr w:type="gramEnd"/>
      <w:r>
        <w:rPr>
          <w:rFonts w:ascii="Bookman Old Style" w:eastAsia="Bookman Old Style" w:hAnsi="Bookman Old Style" w:cs="Bookman Old Style"/>
          <w:i/>
          <w:color w:val="000000"/>
        </w:rPr>
        <w:t>…)”</w:t>
      </w:r>
      <w:r>
        <w:rPr>
          <w:rFonts w:ascii="Bookman Old Style" w:eastAsia="Bookman Old Style" w:hAnsi="Bookman Old Style" w:cs="Bookman Old Style"/>
          <w:color w:val="000000"/>
        </w:rPr>
        <w:t xml:space="preserve"> </w:t>
      </w:r>
    </w:p>
    <w:p w14:paraId="2704B2E2"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Sobre este asunto la Sala Plena Contenciosa Administrativa del Honorable Consejo de Estado en su sentencia 02830 del 16 de julio de 2019, M.P. Carlos Enrique Moreno Rubio, señaló que: </w:t>
      </w:r>
    </w:p>
    <w:p w14:paraId="7A4F6037" w14:textId="77777777" w:rsidR="00335A1D" w:rsidRDefault="00335A1D" w:rsidP="00335A1D">
      <w:pPr>
        <w:ind w:left="709" w:right="1325"/>
        <w:jc w:val="both"/>
        <w:rPr>
          <w:rFonts w:ascii="Bookman Old Style" w:eastAsia="Bookman Old Style" w:hAnsi="Bookman Old Style" w:cs="Bookman Old Style"/>
        </w:rPr>
      </w:pPr>
      <w:r>
        <w:rPr>
          <w:rFonts w:ascii="Bookman Old Style" w:eastAsia="Bookman Old Style" w:hAnsi="Bookman Old Style" w:cs="Bookman Old Style"/>
          <w:i/>
        </w:rPr>
        <w:lastRenderedPageBreak/>
        <w:t xml:space="preserve">“No cualquier interés configura la causal de desinvestidura en comento, pues se sabe que sólo lo será aquél del que se pueda predicar que es directo, esto es, que per se </w:t>
      </w:r>
      <w:proofErr w:type="spellStart"/>
      <w:r>
        <w:rPr>
          <w:rFonts w:ascii="Bookman Old Style" w:eastAsia="Bookman Old Style" w:hAnsi="Bookman Old Style" w:cs="Bookman Old Style"/>
          <w:i/>
        </w:rPr>
        <w:t>el</w:t>
      </w:r>
      <w:proofErr w:type="spellEnd"/>
      <w:r>
        <w:rPr>
          <w:rFonts w:ascii="Bookman Old Style" w:eastAsia="Bookman Old Style" w:hAnsi="Bookman Old Style" w:cs="Bookman Old Style"/>
          <w:i/>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Bookman Old Style" w:eastAsia="Bookman Old Style" w:hAnsi="Bookman Old Style" w:cs="Bookman Old Style"/>
        </w:rPr>
        <w:t xml:space="preserve"> </w:t>
      </w:r>
    </w:p>
    <w:p w14:paraId="522B0F32"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estima que la discusión y aprobación del presente Proyecto de Ley Estatutaria no configura un beneficio particular, actual o directo a favor de un congresista, de su cónyuge, compañero o compañera permanente o pariente dentro del segundo grado de consanguinidad, segundo de afinidad o primero civil, ya que regular el acceso al derecho fundamental a la muerte digna es una acción de carácter general. </w:t>
      </w:r>
    </w:p>
    <w:p w14:paraId="58F2DCAF" w14:textId="77777777" w:rsidR="00335A1D"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 su vez, el reconocimiento legal de derechos consagrados en la Constitución Política, y en este caso las disposiciones relativas a la protección y garantía del derecho fundamental a la muerte digna no otorga privilegios de ninguna clase, no genera ganancias, no crea indemnizaciones económicas y no elimina obligaciones de ningún tipo. </w:t>
      </w:r>
    </w:p>
    <w:p w14:paraId="78091883" w14:textId="77777777" w:rsidR="00335A1D" w:rsidRPr="00CF7A45" w:rsidRDefault="00335A1D" w:rsidP="00335A1D">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Es menester señalar que la descripción de los posibles conflictos de interés que se puedan presentar frente al trámite o votación del presente Proyecto de Ley Estatutaria, conforme a lo dispuesto en el artículo 291 de la Ley 5 de 1992 modificado por la Ley 2003 de 2019, no exime al Congresista de identificar causales adicionales en las que pueda estar incurso.</w:t>
      </w:r>
    </w:p>
    <w:p w14:paraId="2F89AB05" w14:textId="63EF7A08" w:rsidR="005F19CA" w:rsidRPr="005F19CA" w:rsidRDefault="005F19CA" w:rsidP="005F19CA">
      <w:pPr>
        <w:pStyle w:val="Prrafodelista"/>
        <w:numPr>
          <w:ilvl w:val="0"/>
          <w:numId w:val="5"/>
        </w:numPr>
        <w:spacing w:line="240" w:lineRule="auto"/>
        <w:rPr>
          <w:rFonts w:ascii="Bookman Old Style" w:hAnsi="Bookman Old Style"/>
          <w:b/>
        </w:rPr>
      </w:pPr>
      <w:r w:rsidRPr="005F19CA">
        <w:rPr>
          <w:rFonts w:ascii="Bookman Old Style" w:hAnsi="Bookman Old Style"/>
          <w:b/>
        </w:rPr>
        <w:t>PROPOSICIÓN</w:t>
      </w:r>
    </w:p>
    <w:p w14:paraId="4F72B8BB" w14:textId="77777777" w:rsidR="005F19CA" w:rsidRPr="00486666" w:rsidRDefault="005F19CA" w:rsidP="005F19CA">
      <w:pPr>
        <w:rPr>
          <w:rFonts w:ascii="Bookman Old Style" w:hAnsi="Bookman Old Style"/>
          <w:b/>
        </w:rPr>
      </w:pPr>
    </w:p>
    <w:p w14:paraId="3B7C6DB6" w14:textId="75295F0B" w:rsidR="005F19CA" w:rsidRDefault="005F19CA" w:rsidP="005F19CA">
      <w:pPr>
        <w:jc w:val="both"/>
        <w:rPr>
          <w:rFonts w:ascii="Bookman Old Style" w:hAnsi="Bookman Old Style"/>
          <w:i/>
          <w:iCs/>
        </w:rPr>
      </w:pPr>
      <w:r w:rsidRPr="00F82208">
        <w:rPr>
          <w:rFonts w:ascii="Bookman Old Style" w:hAnsi="Bookman Old Style"/>
        </w:rPr>
        <w:t xml:space="preserve">Con fundamento en las anteriores consideraciones, presento ponencia positiva </w:t>
      </w:r>
      <w:r w:rsidRPr="00B919C5">
        <w:rPr>
          <w:rFonts w:ascii="Bookman Old Style" w:hAnsi="Bookman Old Style"/>
        </w:rPr>
        <w:t>y</w:t>
      </w:r>
      <w:r w:rsidRPr="00F82208">
        <w:rPr>
          <w:rFonts w:ascii="Bookman Old Style" w:hAnsi="Bookman Old Style"/>
        </w:rPr>
        <w:t xml:space="preserve">, en consecuencia, solicito a los Honorables Representantes que integran la Comisión Primera de la Cámara de Representantes, dar Primer Debate al </w:t>
      </w:r>
      <w:r w:rsidRPr="00F82208">
        <w:rPr>
          <w:rFonts w:ascii="Bookman Old Style" w:hAnsi="Bookman Old Style"/>
          <w:bCs/>
        </w:rPr>
        <w:t xml:space="preserve">Proyecto de Ley </w:t>
      </w:r>
      <w:r>
        <w:rPr>
          <w:rFonts w:ascii="Bookman Old Style" w:hAnsi="Bookman Old Style"/>
          <w:bCs/>
        </w:rPr>
        <w:t xml:space="preserve">Estatutaria </w:t>
      </w:r>
      <w:r w:rsidRPr="00F82208">
        <w:rPr>
          <w:rFonts w:ascii="Bookman Old Style" w:hAnsi="Bookman Old Style"/>
          <w:bCs/>
        </w:rPr>
        <w:t>número 0</w:t>
      </w:r>
      <w:r>
        <w:rPr>
          <w:rFonts w:ascii="Bookman Old Style" w:hAnsi="Bookman Old Style"/>
          <w:bCs/>
        </w:rPr>
        <w:t xml:space="preserve">06 </w:t>
      </w:r>
      <w:r w:rsidRPr="00F82208">
        <w:rPr>
          <w:rFonts w:ascii="Bookman Old Style" w:hAnsi="Bookman Old Style"/>
          <w:bCs/>
        </w:rPr>
        <w:t>de 202</w:t>
      </w:r>
      <w:r>
        <w:rPr>
          <w:rFonts w:ascii="Bookman Old Style" w:hAnsi="Bookman Old Style"/>
          <w:bCs/>
        </w:rPr>
        <w:t>2</w:t>
      </w:r>
      <w:r w:rsidRPr="00F82208">
        <w:rPr>
          <w:rFonts w:ascii="Bookman Old Style" w:hAnsi="Bookman Old Style"/>
          <w:bCs/>
        </w:rPr>
        <w:t xml:space="preserve"> Cámara</w:t>
      </w:r>
      <w:r w:rsidRPr="00CF244A">
        <w:rPr>
          <w:rFonts w:ascii="Bookman Old Style" w:hAnsi="Bookman Old Style"/>
          <w:i/>
          <w:iCs/>
          <w:lang w:val="es-ES"/>
        </w:rPr>
        <w:t xml:space="preserve"> </w:t>
      </w:r>
      <w:r>
        <w:rPr>
          <w:rFonts w:ascii="Bookman Old Style" w:hAnsi="Bookman Old Style"/>
          <w:i/>
          <w:iCs/>
          <w:lang w:val="es-ES"/>
        </w:rPr>
        <w:t>“</w:t>
      </w:r>
      <w:r w:rsidRPr="00CF244A">
        <w:rPr>
          <w:rFonts w:ascii="Bookman Old Style" w:hAnsi="Bookman Old Style"/>
          <w:i/>
          <w:iCs/>
          <w:lang w:val="es-CO"/>
        </w:rPr>
        <w:t>Por medio de la cual se regula el acceso al derecho fundamental a la muerte digna bajo la modalidad de muerte médicamente asistida y se dictan otras disposiciones</w:t>
      </w:r>
      <w:r>
        <w:rPr>
          <w:rFonts w:ascii="Bookman Old Style" w:hAnsi="Bookman Old Style"/>
          <w:i/>
          <w:iCs/>
        </w:rPr>
        <w:t>”.</w:t>
      </w:r>
    </w:p>
    <w:p w14:paraId="4F30168A" w14:textId="02DD9B8E" w:rsidR="005F19CA" w:rsidRDefault="005F19CA" w:rsidP="005F19CA">
      <w:pPr>
        <w:jc w:val="both"/>
        <w:rPr>
          <w:rFonts w:ascii="Bookman Old Style" w:hAnsi="Bookman Old Style"/>
          <w:i/>
          <w:iCs/>
        </w:rPr>
      </w:pPr>
    </w:p>
    <w:p w14:paraId="0AA54DE3" w14:textId="574B5148" w:rsidR="005F19CA" w:rsidRDefault="005F19CA" w:rsidP="005F19CA">
      <w:pPr>
        <w:jc w:val="both"/>
        <w:rPr>
          <w:rFonts w:ascii="Bookman Old Style" w:hAnsi="Bookman Old Style"/>
          <w:lang w:val="es-CO"/>
        </w:rPr>
      </w:pPr>
      <w:r>
        <w:rPr>
          <w:rFonts w:ascii="Bookman Old Style" w:hAnsi="Bookman Old Style"/>
          <w:lang w:val="es-CO"/>
        </w:rPr>
        <w:t xml:space="preserve">Cordialmente, </w:t>
      </w:r>
    </w:p>
    <w:p w14:paraId="7F7A26F2" w14:textId="0C35126B" w:rsidR="005F19CA" w:rsidRDefault="005F19CA" w:rsidP="005F19CA">
      <w:pPr>
        <w:jc w:val="both"/>
        <w:rPr>
          <w:rFonts w:ascii="Bookman Old Style" w:hAnsi="Bookman Old Style"/>
          <w:lang w:val="es-CO"/>
        </w:rPr>
      </w:pPr>
    </w:p>
    <w:p w14:paraId="6B105A20" w14:textId="6D5E73DC" w:rsidR="005F19CA" w:rsidRDefault="005F19CA" w:rsidP="005F19CA">
      <w:pPr>
        <w:jc w:val="both"/>
        <w:rPr>
          <w:rFonts w:ascii="Bookman Old Style" w:hAnsi="Bookman Old Style"/>
          <w:lang w:val="es-CO"/>
        </w:rPr>
      </w:pPr>
    </w:p>
    <w:p w14:paraId="5B8FB109" w14:textId="328798B0" w:rsidR="005F19CA" w:rsidRDefault="005F19CA" w:rsidP="005F19CA">
      <w:pPr>
        <w:jc w:val="both"/>
        <w:rPr>
          <w:rFonts w:ascii="Bookman Old Style" w:hAnsi="Bookman Old Style"/>
          <w:lang w:val="es-CO"/>
        </w:rPr>
      </w:pPr>
    </w:p>
    <w:tbl>
      <w:tblPr>
        <w:tblStyle w:val="a"/>
        <w:tblW w:w="9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6"/>
      </w:tblGrid>
      <w:tr w:rsidR="0006605A" w14:paraId="1FA1E9CD" w14:textId="77777777" w:rsidTr="00624B14">
        <w:trPr>
          <w:trHeight w:val="652"/>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6CD46" w14:textId="77777777" w:rsidR="0006605A"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422DB093" w14:textId="77777777" w:rsidR="0006605A"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6DDBCF71" w14:textId="77777777" w:rsidR="0006605A" w:rsidRPr="00CF7A45"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24B20C4D" w14:textId="77777777" w:rsidR="0006605A" w:rsidRDefault="0006605A" w:rsidP="00624B14">
            <w:pPr>
              <w:tabs>
                <w:tab w:val="right" w:pos="8838"/>
              </w:tabs>
              <w:jc w:val="center"/>
              <w:rPr>
                <w:rFonts w:ascii="Bookman Old Style" w:eastAsia="Bookman Old Style" w:hAnsi="Bookman Old Style" w:cs="Bookman Old Style"/>
                <w:b/>
                <w:color w:val="000000"/>
              </w:rPr>
            </w:pPr>
          </w:p>
          <w:p w14:paraId="5D8EAF53" w14:textId="77777777" w:rsidR="0006605A" w:rsidRPr="0047400B" w:rsidRDefault="0006605A" w:rsidP="00624B14">
            <w:pPr>
              <w:tabs>
                <w:tab w:val="right" w:pos="8838"/>
              </w:tabs>
              <w:jc w:val="center"/>
              <w:rPr>
                <w:rFonts w:ascii="Bookman Old Style" w:eastAsia="Bookman Old Style" w:hAnsi="Bookman Old Style" w:cs="Bookman Old Style"/>
                <w:b/>
                <w:color w:val="000000"/>
              </w:rPr>
            </w:pPr>
            <w:r w:rsidRPr="0047400B">
              <w:rPr>
                <w:rFonts w:ascii="Bookman Old Style" w:eastAsia="Bookman Old Style" w:hAnsi="Bookman Old Style" w:cs="Bookman Old Style"/>
                <w:b/>
                <w:color w:val="000000"/>
              </w:rPr>
              <w:t>JUAN CARLOS LOZADA VARGAS</w:t>
            </w:r>
          </w:p>
          <w:p w14:paraId="45E8FCB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1632B73E" w14:textId="77777777" w:rsidR="0006605A" w:rsidRPr="00CF7A45" w:rsidRDefault="0006605A" w:rsidP="00624B14">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color w:val="000000"/>
              </w:rPr>
              <w:t>Coordinador 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C8E0E" w14:textId="77777777" w:rsidR="0006605A" w:rsidRDefault="0006605A" w:rsidP="00624B14">
            <w:pPr>
              <w:tabs>
                <w:tab w:val="right" w:pos="8838"/>
              </w:tabs>
              <w:jc w:val="center"/>
              <w:rPr>
                <w:rFonts w:ascii="Bookman Old Style" w:eastAsia="Bookman Old Style" w:hAnsi="Bookman Old Style" w:cs="Bookman Old Style"/>
                <w:color w:val="000000"/>
              </w:rPr>
            </w:pPr>
          </w:p>
          <w:p w14:paraId="20D28255" w14:textId="77777777" w:rsidR="0006605A" w:rsidRDefault="0006605A" w:rsidP="00624B14">
            <w:pPr>
              <w:tabs>
                <w:tab w:val="right" w:pos="8838"/>
              </w:tabs>
              <w:rPr>
                <w:rFonts w:ascii="Bookman Old Style" w:eastAsia="Bookman Old Style" w:hAnsi="Bookman Old Style" w:cs="Bookman Old Style"/>
                <w:color w:val="000000"/>
              </w:rPr>
            </w:pPr>
          </w:p>
          <w:p w14:paraId="46DEC926" w14:textId="77777777" w:rsidR="0006605A" w:rsidRDefault="0006605A" w:rsidP="00624B14">
            <w:pPr>
              <w:tabs>
                <w:tab w:val="right" w:pos="8838"/>
              </w:tabs>
              <w:rPr>
                <w:rFonts w:ascii="Bookman Old Style" w:eastAsia="Bookman Old Style" w:hAnsi="Bookman Old Style" w:cs="Bookman Old Style"/>
                <w:b/>
                <w:bCs/>
                <w:color w:val="000000"/>
              </w:rPr>
            </w:pPr>
          </w:p>
          <w:p w14:paraId="6BD7A193"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A5E7E63"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GABRIEL BECERRA</w:t>
            </w:r>
          </w:p>
          <w:p w14:paraId="26236AB7"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37C1C4A6" w14:textId="77777777" w:rsidR="0006605A" w:rsidRPr="00CF7A45" w:rsidRDefault="0006605A" w:rsidP="00624B14">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color w:val="000000"/>
              </w:rPr>
              <w:t>Coordinador Ponente</w:t>
            </w:r>
          </w:p>
        </w:tc>
      </w:tr>
      <w:tr w:rsidR="0006605A" w14:paraId="036D70E6" w14:textId="77777777" w:rsidTr="00624B14">
        <w:trPr>
          <w:trHeight w:val="521"/>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31A9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2370DB45"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3B989E90"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907D280"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C2370AF"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ADRIANA CAROLINA ARBELÁEZ GIRALDO</w:t>
            </w:r>
          </w:p>
          <w:p w14:paraId="26A6D0E7"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68A8F3F9" w14:textId="77777777" w:rsidR="0006605A" w:rsidRPr="001E0D1C" w:rsidRDefault="0006605A" w:rsidP="00624B14">
            <w:pPr>
              <w:tabs>
                <w:tab w:val="right" w:pos="8838"/>
              </w:tabs>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4914B" w14:textId="77777777" w:rsidR="0006605A" w:rsidRDefault="0006605A" w:rsidP="00624B14">
            <w:pPr>
              <w:rPr>
                <w:rFonts w:ascii="Bookman Old Style" w:hAnsi="Bookman Old Style"/>
                <w:sz w:val="20"/>
                <w:szCs w:val="20"/>
              </w:rPr>
            </w:pPr>
          </w:p>
          <w:p w14:paraId="2866AB10" w14:textId="77777777" w:rsidR="0006605A" w:rsidRDefault="0006605A" w:rsidP="00624B14">
            <w:pPr>
              <w:rPr>
                <w:rFonts w:ascii="Bookman Old Style" w:hAnsi="Bookman Old Style"/>
                <w:sz w:val="20"/>
                <w:szCs w:val="20"/>
              </w:rPr>
            </w:pPr>
          </w:p>
          <w:p w14:paraId="05BD3CDD" w14:textId="77777777" w:rsidR="0006605A" w:rsidRDefault="0006605A" w:rsidP="00624B14">
            <w:pPr>
              <w:rPr>
                <w:rFonts w:ascii="Bookman Old Style" w:hAnsi="Bookman Old Style"/>
                <w:sz w:val="20"/>
                <w:szCs w:val="20"/>
              </w:rPr>
            </w:pPr>
          </w:p>
          <w:p w14:paraId="47D498AA" w14:textId="77777777" w:rsidR="0006605A" w:rsidRDefault="0006605A" w:rsidP="00624B14">
            <w:pPr>
              <w:rPr>
                <w:rFonts w:ascii="Bookman Old Style" w:hAnsi="Bookman Old Style"/>
                <w:sz w:val="20"/>
                <w:szCs w:val="20"/>
              </w:rPr>
            </w:pPr>
          </w:p>
          <w:p w14:paraId="41F19C4E" w14:textId="77777777" w:rsidR="0006605A" w:rsidRDefault="0006605A" w:rsidP="00624B14">
            <w:pPr>
              <w:rPr>
                <w:rFonts w:ascii="Bookman Old Style" w:hAnsi="Bookman Old Style"/>
                <w:sz w:val="20"/>
                <w:szCs w:val="20"/>
              </w:rPr>
            </w:pPr>
          </w:p>
          <w:p w14:paraId="6D064169" w14:textId="77777777" w:rsidR="0006605A" w:rsidRPr="001E0D1C" w:rsidRDefault="0006605A" w:rsidP="00624B14">
            <w:pPr>
              <w:jc w:val="center"/>
              <w:rPr>
                <w:rFonts w:ascii="Bookman Old Style" w:hAnsi="Bookman Old Style"/>
                <w:b/>
                <w:bCs/>
                <w:sz w:val="20"/>
                <w:szCs w:val="20"/>
              </w:rPr>
            </w:pPr>
            <w:r>
              <w:rPr>
                <w:rFonts w:ascii="Bookman Old Style" w:hAnsi="Bookman Old Style"/>
                <w:b/>
                <w:bCs/>
                <w:sz w:val="20"/>
                <w:szCs w:val="20"/>
              </w:rPr>
              <w:t>LUIS ALBERTO ALBÁN URBANO</w:t>
            </w:r>
          </w:p>
          <w:p w14:paraId="24085A9F"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6F895ACE" w14:textId="77777777" w:rsidR="0006605A" w:rsidRPr="00CF7A45" w:rsidRDefault="0006605A" w:rsidP="00624B14">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r>
      <w:tr w:rsidR="0006605A" w14:paraId="27418B61"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0D5F0" w14:textId="77777777" w:rsidR="0006605A" w:rsidRDefault="0006605A" w:rsidP="00624B14">
            <w:pPr>
              <w:jc w:val="center"/>
              <w:rPr>
                <w:rFonts w:ascii="Bookman Old Style" w:hAnsi="Bookman Old Style"/>
                <w:b/>
                <w:bCs/>
                <w:sz w:val="20"/>
                <w:szCs w:val="20"/>
              </w:rPr>
            </w:pPr>
          </w:p>
          <w:p w14:paraId="076C1C60" w14:textId="77777777" w:rsidR="0006605A" w:rsidRDefault="0006605A" w:rsidP="00624B14">
            <w:pPr>
              <w:jc w:val="center"/>
              <w:rPr>
                <w:rFonts w:ascii="Bookman Old Style" w:hAnsi="Bookman Old Style"/>
                <w:b/>
                <w:bCs/>
                <w:sz w:val="20"/>
                <w:szCs w:val="20"/>
              </w:rPr>
            </w:pPr>
          </w:p>
          <w:p w14:paraId="59894D97" w14:textId="77777777" w:rsidR="0006605A" w:rsidRDefault="0006605A" w:rsidP="00624B14">
            <w:pPr>
              <w:jc w:val="center"/>
              <w:rPr>
                <w:rFonts w:ascii="Bookman Old Style" w:hAnsi="Bookman Old Style"/>
                <w:b/>
                <w:bCs/>
                <w:sz w:val="20"/>
                <w:szCs w:val="20"/>
              </w:rPr>
            </w:pPr>
          </w:p>
          <w:p w14:paraId="037274F9" w14:textId="77777777" w:rsidR="0006605A" w:rsidRDefault="0006605A" w:rsidP="00624B14">
            <w:pPr>
              <w:jc w:val="center"/>
              <w:rPr>
                <w:rFonts w:ascii="Bookman Old Style" w:hAnsi="Bookman Old Style"/>
                <w:b/>
                <w:bCs/>
                <w:sz w:val="20"/>
                <w:szCs w:val="20"/>
              </w:rPr>
            </w:pPr>
          </w:p>
          <w:p w14:paraId="58FE2323" w14:textId="77777777" w:rsidR="0006605A" w:rsidRPr="001E0D1C" w:rsidRDefault="0006605A" w:rsidP="00624B14">
            <w:pPr>
              <w:jc w:val="center"/>
              <w:rPr>
                <w:rFonts w:ascii="Bookman Old Style" w:hAnsi="Bookman Old Style"/>
                <w:b/>
                <w:bCs/>
                <w:sz w:val="20"/>
                <w:szCs w:val="20"/>
              </w:rPr>
            </w:pPr>
            <w:r>
              <w:rPr>
                <w:rFonts w:ascii="Bookman Old Style" w:hAnsi="Bookman Old Style"/>
                <w:b/>
                <w:bCs/>
                <w:sz w:val="20"/>
                <w:szCs w:val="20"/>
              </w:rPr>
              <w:t>JAMES HERMENEGILDO MOSQUERA TORRES</w:t>
            </w:r>
          </w:p>
          <w:p w14:paraId="2896D5C6"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3D93E186" w14:textId="77777777" w:rsidR="0006605A" w:rsidRPr="00CF7A45" w:rsidRDefault="0006605A" w:rsidP="00624B14">
            <w:pPr>
              <w:widowControl w:val="0"/>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FAE4A" w14:textId="77777777" w:rsidR="0006605A" w:rsidRPr="00CF7A45" w:rsidRDefault="0006605A" w:rsidP="00624B14">
            <w:pPr>
              <w:jc w:val="center"/>
              <w:rPr>
                <w:rFonts w:ascii="Bookman Old Style" w:hAnsi="Bookman Old Style"/>
                <w:sz w:val="20"/>
                <w:szCs w:val="20"/>
              </w:rPr>
            </w:pPr>
          </w:p>
          <w:p w14:paraId="3F0E3A34" w14:textId="77777777" w:rsidR="0006605A" w:rsidRDefault="0006605A" w:rsidP="00624B14">
            <w:pPr>
              <w:tabs>
                <w:tab w:val="right" w:pos="8838"/>
              </w:tabs>
              <w:jc w:val="center"/>
              <w:rPr>
                <w:rFonts w:ascii="Bookman Old Style" w:eastAsia="Bookman Old Style" w:hAnsi="Bookman Old Style" w:cs="Bookman Old Style"/>
                <w:color w:val="000000"/>
              </w:rPr>
            </w:pPr>
          </w:p>
          <w:p w14:paraId="1FDBB755" w14:textId="77777777" w:rsidR="0006605A" w:rsidRDefault="0006605A" w:rsidP="00624B14">
            <w:pPr>
              <w:tabs>
                <w:tab w:val="right" w:pos="8838"/>
              </w:tabs>
              <w:jc w:val="center"/>
              <w:rPr>
                <w:rFonts w:ascii="Bookman Old Style" w:eastAsia="Bookman Old Style" w:hAnsi="Bookman Old Style" w:cs="Bookman Old Style"/>
                <w:color w:val="000000"/>
              </w:rPr>
            </w:pPr>
          </w:p>
          <w:p w14:paraId="4B14F492" w14:textId="77777777" w:rsidR="0006605A" w:rsidRDefault="0006605A" w:rsidP="00624B14">
            <w:pPr>
              <w:tabs>
                <w:tab w:val="right" w:pos="8838"/>
              </w:tabs>
              <w:jc w:val="center"/>
              <w:rPr>
                <w:rFonts w:ascii="Bookman Old Style" w:eastAsia="Bookman Old Style" w:hAnsi="Bookman Old Style" w:cs="Bookman Old Style"/>
                <w:color w:val="000000"/>
              </w:rPr>
            </w:pPr>
          </w:p>
          <w:p w14:paraId="7DF763D2"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ASTRID SÁNCHEZ MONTES DE OCA</w:t>
            </w:r>
          </w:p>
          <w:p w14:paraId="16BD66E1"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7B207551" w14:textId="77777777" w:rsidR="0006605A" w:rsidRPr="00CF7A45" w:rsidRDefault="0006605A" w:rsidP="00624B14">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r>
      <w:tr w:rsidR="0006605A" w14:paraId="2544ED73"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CD1E5"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D5D06DF"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24DD7A32"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FA59A44"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F1C1531"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JUAN DANIEL PEÑUELA CALVACHE</w:t>
            </w:r>
          </w:p>
          <w:p w14:paraId="2365E79F"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17738B1E"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CB4E5"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AA49B77"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7ED221C"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F426C01"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236486A"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Pr>
                <w:rFonts w:ascii="Bookman Old Style" w:eastAsia="Bookman Old Style" w:hAnsi="Bookman Old Style" w:cs="Bookman Old Style"/>
                <w:b/>
                <w:bCs/>
                <w:color w:val="000000"/>
              </w:rPr>
              <w:t>MARELEN CASTILLO TORRES</w:t>
            </w:r>
          </w:p>
          <w:p w14:paraId="5784F3A2"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228361A0"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r>
      <w:tr w:rsidR="0006605A" w14:paraId="1D244E28"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622B3" w14:textId="77777777" w:rsidR="0006605A" w:rsidRDefault="0006605A" w:rsidP="00624B14">
            <w:pPr>
              <w:jc w:val="center"/>
              <w:rPr>
                <w:rFonts w:ascii="Bookman Old Style" w:hAnsi="Bookman Old Style"/>
                <w:b/>
                <w:bCs/>
                <w:sz w:val="20"/>
                <w:szCs w:val="20"/>
              </w:rPr>
            </w:pPr>
          </w:p>
          <w:p w14:paraId="637E29A2" w14:textId="77777777" w:rsidR="0006605A" w:rsidRDefault="0006605A" w:rsidP="00624B14">
            <w:pPr>
              <w:jc w:val="center"/>
              <w:rPr>
                <w:rFonts w:ascii="Bookman Old Style" w:hAnsi="Bookman Old Style"/>
                <w:b/>
                <w:bCs/>
                <w:sz w:val="20"/>
                <w:szCs w:val="20"/>
              </w:rPr>
            </w:pPr>
          </w:p>
          <w:p w14:paraId="7A10084F" w14:textId="77777777" w:rsidR="0006605A" w:rsidRDefault="0006605A" w:rsidP="00624B14">
            <w:pPr>
              <w:rPr>
                <w:rFonts w:ascii="Bookman Old Style" w:hAnsi="Bookman Old Style"/>
                <w:b/>
                <w:bCs/>
                <w:sz w:val="20"/>
                <w:szCs w:val="20"/>
              </w:rPr>
            </w:pPr>
          </w:p>
          <w:p w14:paraId="541BC472" w14:textId="77777777" w:rsidR="0006605A" w:rsidRDefault="0006605A" w:rsidP="00624B14">
            <w:pPr>
              <w:jc w:val="center"/>
              <w:rPr>
                <w:rFonts w:ascii="Bookman Old Style" w:hAnsi="Bookman Old Style"/>
                <w:b/>
                <w:bCs/>
                <w:sz w:val="20"/>
                <w:szCs w:val="20"/>
              </w:rPr>
            </w:pPr>
          </w:p>
          <w:p w14:paraId="484C2C18" w14:textId="77777777" w:rsidR="0006605A" w:rsidRPr="001E0D1C" w:rsidRDefault="0006605A" w:rsidP="00624B14">
            <w:pPr>
              <w:jc w:val="center"/>
              <w:rPr>
                <w:rFonts w:ascii="Bookman Old Style" w:hAnsi="Bookman Old Style"/>
                <w:b/>
                <w:bCs/>
                <w:sz w:val="20"/>
                <w:szCs w:val="20"/>
              </w:rPr>
            </w:pPr>
            <w:r w:rsidRPr="001E0D1C">
              <w:rPr>
                <w:rFonts w:ascii="Bookman Old Style" w:hAnsi="Bookman Old Style"/>
                <w:b/>
                <w:bCs/>
                <w:sz w:val="20"/>
                <w:szCs w:val="20"/>
              </w:rPr>
              <w:t>JOSÉ JAIME USCÁTEGUI PASTRANA</w:t>
            </w:r>
          </w:p>
          <w:p w14:paraId="2D447707"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36970702"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4ABCB"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776F834D"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0C0D2B25"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703CDBD1"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69C9D5A9"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SANTIAGO OSORIO MARÍN</w:t>
            </w:r>
          </w:p>
          <w:p w14:paraId="7F16B498"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251B2341"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r>
    </w:tbl>
    <w:p w14:paraId="16F9596D" w14:textId="15131A97" w:rsidR="005F19CA" w:rsidRDefault="005F19CA" w:rsidP="005F19CA">
      <w:pPr>
        <w:jc w:val="both"/>
        <w:rPr>
          <w:rFonts w:ascii="Bookman Old Style" w:hAnsi="Bookman Old Style"/>
          <w:lang w:val="es-CO"/>
        </w:rPr>
      </w:pPr>
    </w:p>
    <w:p w14:paraId="18EFD83E" w14:textId="44477DA4" w:rsidR="005F19CA" w:rsidRDefault="005F19CA" w:rsidP="005F19CA">
      <w:pPr>
        <w:jc w:val="both"/>
        <w:rPr>
          <w:rFonts w:ascii="Bookman Old Style" w:hAnsi="Bookman Old Style"/>
          <w:lang w:val="es-CO"/>
        </w:rPr>
      </w:pPr>
    </w:p>
    <w:p w14:paraId="335B0DFF" w14:textId="40E1D98B" w:rsidR="005F19CA" w:rsidRDefault="005F19CA" w:rsidP="005F19CA">
      <w:pPr>
        <w:jc w:val="both"/>
        <w:rPr>
          <w:rFonts w:ascii="Bookman Old Style" w:hAnsi="Bookman Old Style"/>
          <w:lang w:val="es-CO"/>
        </w:rPr>
      </w:pPr>
    </w:p>
    <w:p w14:paraId="3363812A" w14:textId="0B5EEFAB" w:rsidR="0006605A" w:rsidRDefault="0006605A" w:rsidP="005F19CA">
      <w:pPr>
        <w:jc w:val="both"/>
        <w:rPr>
          <w:rFonts w:ascii="Bookman Old Style" w:hAnsi="Bookman Old Style"/>
          <w:lang w:val="es-CO"/>
        </w:rPr>
      </w:pPr>
    </w:p>
    <w:p w14:paraId="541D2A91" w14:textId="7DF6E665" w:rsidR="0006605A" w:rsidRDefault="0006605A" w:rsidP="005F19CA">
      <w:pPr>
        <w:jc w:val="both"/>
        <w:rPr>
          <w:rFonts w:ascii="Bookman Old Style" w:hAnsi="Bookman Old Style"/>
          <w:lang w:val="es-CO"/>
        </w:rPr>
      </w:pPr>
    </w:p>
    <w:p w14:paraId="03F1BC36" w14:textId="6BCE1F7C" w:rsidR="0006605A" w:rsidRDefault="0006605A" w:rsidP="005F19CA">
      <w:pPr>
        <w:jc w:val="both"/>
        <w:rPr>
          <w:rFonts w:ascii="Bookman Old Style" w:hAnsi="Bookman Old Style"/>
          <w:lang w:val="es-CO"/>
        </w:rPr>
      </w:pPr>
    </w:p>
    <w:p w14:paraId="5D9AB6E8" w14:textId="1367BAA0" w:rsidR="0006605A" w:rsidRDefault="0006605A" w:rsidP="005F19CA">
      <w:pPr>
        <w:jc w:val="both"/>
        <w:rPr>
          <w:rFonts w:ascii="Bookman Old Style" w:hAnsi="Bookman Old Style"/>
          <w:lang w:val="es-CO"/>
        </w:rPr>
      </w:pPr>
    </w:p>
    <w:p w14:paraId="0D6F4586" w14:textId="00CADE68" w:rsidR="0006605A" w:rsidRDefault="0006605A" w:rsidP="005F19CA">
      <w:pPr>
        <w:jc w:val="both"/>
        <w:rPr>
          <w:rFonts w:ascii="Bookman Old Style" w:hAnsi="Bookman Old Style"/>
          <w:lang w:val="es-CO"/>
        </w:rPr>
      </w:pPr>
    </w:p>
    <w:p w14:paraId="01C2DC28" w14:textId="2B8489A1" w:rsidR="0006605A" w:rsidRDefault="0006605A" w:rsidP="005F19CA">
      <w:pPr>
        <w:jc w:val="both"/>
        <w:rPr>
          <w:rFonts w:ascii="Bookman Old Style" w:hAnsi="Bookman Old Style"/>
          <w:lang w:val="es-CO"/>
        </w:rPr>
      </w:pPr>
    </w:p>
    <w:p w14:paraId="16A0B314" w14:textId="2E02B955" w:rsidR="0006605A" w:rsidRDefault="0006605A" w:rsidP="005F19CA">
      <w:pPr>
        <w:jc w:val="both"/>
        <w:rPr>
          <w:rFonts w:ascii="Bookman Old Style" w:hAnsi="Bookman Old Style"/>
          <w:lang w:val="es-CO"/>
        </w:rPr>
      </w:pPr>
    </w:p>
    <w:p w14:paraId="398CB068" w14:textId="655862A7" w:rsidR="0006605A" w:rsidRDefault="0006605A" w:rsidP="005F19CA">
      <w:pPr>
        <w:jc w:val="both"/>
        <w:rPr>
          <w:rFonts w:ascii="Bookman Old Style" w:hAnsi="Bookman Old Style"/>
          <w:lang w:val="es-CO"/>
        </w:rPr>
      </w:pPr>
    </w:p>
    <w:p w14:paraId="0ACD9329" w14:textId="0B93545B" w:rsidR="0006605A" w:rsidRDefault="0006605A" w:rsidP="005F19CA">
      <w:pPr>
        <w:jc w:val="both"/>
        <w:rPr>
          <w:rFonts w:ascii="Bookman Old Style" w:hAnsi="Bookman Old Style"/>
          <w:lang w:val="es-CO"/>
        </w:rPr>
      </w:pPr>
    </w:p>
    <w:p w14:paraId="2E17CCF9" w14:textId="621F42D9" w:rsidR="0006605A" w:rsidRDefault="0006605A" w:rsidP="005F19CA">
      <w:pPr>
        <w:jc w:val="both"/>
        <w:rPr>
          <w:rFonts w:ascii="Bookman Old Style" w:hAnsi="Bookman Old Style"/>
          <w:lang w:val="es-CO"/>
        </w:rPr>
      </w:pPr>
    </w:p>
    <w:p w14:paraId="6454693A" w14:textId="1555D394" w:rsidR="0006605A" w:rsidRDefault="0006605A" w:rsidP="005F19CA">
      <w:pPr>
        <w:jc w:val="both"/>
        <w:rPr>
          <w:rFonts w:ascii="Bookman Old Style" w:hAnsi="Bookman Old Style"/>
          <w:lang w:val="es-CO"/>
        </w:rPr>
      </w:pPr>
    </w:p>
    <w:p w14:paraId="18A291C3" w14:textId="2FBE93C6" w:rsidR="0006605A" w:rsidRDefault="0006605A" w:rsidP="005F19CA">
      <w:pPr>
        <w:jc w:val="both"/>
        <w:rPr>
          <w:rFonts w:ascii="Bookman Old Style" w:hAnsi="Bookman Old Style"/>
          <w:lang w:val="es-CO"/>
        </w:rPr>
      </w:pPr>
    </w:p>
    <w:p w14:paraId="3D37D3AB" w14:textId="21C01E91" w:rsidR="0006605A" w:rsidRDefault="0006605A" w:rsidP="005F19CA">
      <w:pPr>
        <w:jc w:val="both"/>
        <w:rPr>
          <w:rFonts w:ascii="Bookman Old Style" w:hAnsi="Bookman Old Style"/>
          <w:lang w:val="es-CO"/>
        </w:rPr>
      </w:pPr>
    </w:p>
    <w:p w14:paraId="6261532D" w14:textId="4AC0CF85" w:rsidR="0006605A" w:rsidRDefault="0006605A" w:rsidP="005F19CA">
      <w:pPr>
        <w:jc w:val="both"/>
        <w:rPr>
          <w:rFonts w:ascii="Bookman Old Style" w:hAnsi="Bookman Old Style"/>
          <w:lang w:val="es-CO"/>
        </w:rPr>
      </w:pPr>
    </w:p>
    <w:p w14:paraId="61E609EA" w14:textId="511745BA" w:rsidR="0006605A" w:rsidRDefault="0006605A" w:rsidP="005F19CA">
      <w:pPr>
        <w:jc w:val="both"/>
        <w:rPr>
          <w:rFonts w:ascii="Bookman Old Style" w:hAnsi="Bookman Old Style"/>
          <w:lang w:val="es-CO"/>
        </w:rPr>
      </w:pPr>
    </w:p>
    <w:p w14:paraId="04DAC3BF" w14:textId="57941B53" w:rsidR="0006605A" w:rsidRDefault="0006605A" w:rsidP="005F19CA">
      <w:pPr>
        <w:jc w:val="both"/>
        <w:rPr>
          <w:rFonts w:ascii="Bookman Old Style" w:hAnsi="Bookman Old Style"/>
          <w:lang w:val="es-CO"/>
        </w:rPr>
      </w:pPr>
    </w:p>
    <w:p w14:paraId="67E92E0B" w14:textId="7798559A" w:rsidR="0006605A" w:rsidRDefault="0006605A" w:rsidP="005F19CA">
      <w:pPr>
        <w:jc w:val="both"/>
        <w:rPr>
          <w:rFonts w:ascii="Bookman Old Style" w:hAnsi="Bookman Old Style"/>
          <w:lang w:val="es-CO"/>
        </w:rPr>
      </w:pPr>
    </w:p>
    <w:p w14:paraId="2A18ED95" w14:textId="195F31B1" w:rsidR="0006605A" w:rsidRDefault="0006605A" w:rsidP="005F19CA">
      <w:pPr>
        <w:jc w:val="both"/>
        <w:rPr>
          <w:rFonts w:ascii="Bookman Old Style" w:hAnsi="Bookman Old Style"/>
          <w:lang w:val="es-CO"/>
        </w:rPr>
      </w:pPr>
    </w:p>
    <w:p w14:paraId="74020E7E" w14:textId="0DF2E4A6" w:rsidR="0006605A" w:rsidRDefault="0006605A" w:rsidP="005F19CA">
      <w:pPr>
        <w:jc w:val="both"/>
        <w:rPr>
          <w:rFonts w:ascii="Bookman Old Style" w:hAnsi="Bookman Old Style"/>
          <w:lang w:val="es-CO"/>
        </w:rPr>
      </w:pPr>
    </w:p>
    <w:p w14:paraId="3A3A64EF" w14:textId="6D3EFA3D" w:rsidR="0006605A" w:rsidRDefault="0006605A" w:rsidP="005F19CA">
      <w:pPr>
        <w:jc w:val="both"/>
        <w:rPr>
          <w:rFonts w:ascii="Bookman Old Style" w:hAnsi="Bookman Old Style"/>
          <w:lang w:val="es-CO"/>
        </w:rPr>
      </w:pPr>
    </w:p>
    <w:p w14:paraId="2412F910" w14:textId="06E99AE1" w:rsidR="0006605A" w:rsidRDefault="0006605A" w:rsidP="005F19CA">
      <w:pPr>
        <w:jc w:val="both"/>
        <w:rPr>
          <w:rFonts w:ascii="Bookman Old Style" w:hAnsi="Bookman Old Style"/>
          <w:lang w:val="es-CO"/>
        </w:rPr>
      </w:pPr>
    </w:p>
    <w:p w14:paraId="4AE768D4" w14:textId="2AAD649C" w:rsidR="0006605A" w:rsidRDefault="0006605A" w:rsidP="005F19CA">
      <w:pPr>
        <w:jc w:val="both"/>
        <w:rPr>
          <w:rFonts w:ascii="Bookman Old Style" w:hAnsi="Bookman Old Style"/>
          <w:lang w:val="es-CO"/>
        </w:rPr>
      </w:pPr>
    </w:p>
    <w:p w14:paraId="58F9751C" w14:textId="750E951A" w:rsidR="0006605A" w:rsidRDefault="0006605A" w:rsidP="005F19CA">
      <w:pPr>
        <w:jc w:val="both"/>
        <w:rPr>
          <w:rFonts w:ascii="Bookman Old Style" w:hAnsi="Bookman Old Style"/>
          <w:lang w:val="es-CO"/>
        </w:rPr>
      </w:pPr>
    </w:p>
    <w:p w14:paraId="4B7AEFCB" w14:textId="464E2792" w:rsidR="0006605A" w:rsidRDefault="0006605A" w:rsidP="005F19CA">
      <w:pPr>
        <w:jc w:val="both"/>
        <w:rPr>
          <w:rFonts w:ascii="Bookman Old Style" w:hAnsi="Bookman Old Style"/>
          <w:lang w:val="es-CO"/>
        </w:rPr>
      </w:pPr>
    </w:p>
    <w:p w14:paraId="3F50EA4D" w14:textId="1E3952C8" w:rsidR="0006605A" w:rsidRDefault="0006605A" w:rsidP="005F19CA">
      <w:pPr>
        <w:jc w:val="both"/>
        <w:rPr>
          <w:rFonts w:ascii="Bookman Old Style" w:hAnsi="Bookman Old Style"/>
          <w:lang w:val="es-CO"/>
        </w:rPr>
      </w:pPr>
    </w:p>
    <w:p w14:paraId="18298F16" w14:textId="0D62FCF6" w:rsidR="0006605A" w:rsidRDefault="0006605A" w:rsidP="005F19CA">
      <w:pPr>
        <w:jc w:val="both"/>
        <w:rPr>
          <w:rFonts w:ascii="Bookman Old Style" w:hAnsi="Bookman Old Style"/>
          <w:lang w:val="es-CO"/>
        </w:rPr>
      </w:pPr>
    </w:p>
    <w:p w14:paraId="298F2529" w14:textId="73916DC8" w:rsidR="0006605A" w:rsidRDefault="0006605A" w:rsidP="005F19CA">
      <w:pPr>
        <w:jc w:val="both"/>
        <w:rPr>
          <w:rFonts w:ascii="Bookman Old Style" w:hAnsi="Bookman Old Style"/>
          <w:lang w:val="es-CO"/>
        </w:rPr>
      </w:pPr>
    </w:p>
    <w:p w14:paraId="2D2D9455" w14:textId="48A05253" w:rsidR="0006605A" w:rsidRDefault="0006605A" w:rsidP="005F19CA">
      <w:pPr>
        <w:jc w:val="both"/>
        <w:rPr>
          <w:rFonts w:ascii="Bookman Old Style" w:hAnsi="Bookman Old Style"/>
          <w:lang w:val="es-CO"/>
        </w:rPr>
      </w:pPr>
    </w:p>
    <w:p w14:paraId="49832500" w14:textId="472F4B97" w:rsidR="0006605A" w:rsidRDefault="0006605A" w:rsidP="005F19CA">
      <w:pPr>
        <w:jc w:val="both"/>
        <w:rPr>
          <w:rFonts w:ascii="Bookman Old Style" w:hAnsi="Bookman Old Style"/>
          <w:lang w:val="es-CO"/>
        </w:rPr>
      </w:pPr>
    </w:p>
    <w:p w14:paraId="7C73AA7B" w14:textId="7C602D96" w:rsidR="0006605A" w:rsidRDefault="0006605A" w:rsidP="005F19CA">
      <w:pPr>
        <w:jc w:val="both"/>
        <w:rPr>
          <w:rFonts w:ascii="Bookman Old Style" w:hAnsi="Bookman Old Style"/>
          <w:lang w:val="es-CO"/>
        </w:rPr>
      </w:pPr>
    </w:p>
    <w:p w14:paraId="10C1CBE8" w14:textId="75B832DC" w:rsidR="0006605A" w:rsidRDefault="0006605A" w:rsidP="005F19CA">
      <w:pPr>
        <w:jc w:val="both"/>
        <w:rPr>
          <w:rFonts w:ascii="Bookman Old Style" w:hAnsi="Bookman Old Style"/>
          <w:lang w:val="es-CO"/>
        </w:rPr>
      </w:pPr>
    </w:p>
    <w:p w14:paraId="368408E0" w14:textId="02554309" w:rsidR="0006605A" w:rsidRDefault="0006605A" w:rsidP="005F19CA">
      <w:pPr>
        <w:jc w:val="both"/>
        <w:rPr>
          <w:rFonts w:ascii="Bookman Old Style" w:hAnsi="Bookman Old Style"/>
          <w:lang w:val="es-CO"/>
        </w:rPr>
      </w:pPr>
    </w:p>
    <w:p w14:paraId="1BF95297" w14:textId="46E225AD" w:rsidR="0006605A" w:rsidRDefault="0006605A" w:rsidP="005F19CA">
      <w:pPr>
        <w:jc w:val="both"/>
        <w:rPr>
          <w:rFonts w:ascii="Bookman Old Style" w:hAnsi="Bookman Old Style"/>
          <w:lang w:val="es-CO"/>
        </w:rPr>
      </w:pPr>
    </w:p>
    <w:p w14:paraId="6CCC3EE1" w14:textId="72952031" w:rsidR="0006605A" w:rsidRDefault="0006605A" w:rsidP="005F19CA">
      <w:pPr>
        <w:jc w:val="both"/>
        <w:rPr>
          <w:rFonts w:ascii="Bookman Old Style" w:hAnsi="Bookman Old Style"/>
          <w:lang w:val="es-CO"/>
        </w:rPr>
      </w:pPr>
    </w:p>
    <w:p w14:paraId="5E00EBB7" w14:textId="645FA551" w:rsidR="0006605A" w:rsidRDefault="0006605A" w:rsidP="005F19CA">
      <w:pPr>
        <w:jc w:val="both"/>
        <w:rPr>
          <w:rFonts w:ascii="Bookman Old Style" w:hAnsi="Bookman Old Style"/>
          <w:lang w:val="es-CO"/>
        </w:rPr>
      </w:pPr>
    </w:p>
    <w:p w14:paraId="44560C76" w14:textId="3428E442" w:rsidR="0006605A" w:rsidRDefault="0006605A" w:rsidP="005F19CA">
      <w:pPr>
        <w:jc w:val="both"/>
        <w:rPr>
          <w:rFonts w:ascii="Bookman Old Style" w:hAnsi="Bookman Old Style"/>
          <w:lang w:val="es-CO"/>
        </w:rPr>
      </w:pPr>
    </w:p>
    <w:p w14:paraId="1FC98634" w14:textId="112E44A5" w:rsidR="0006605A" w:rsidRDefault="0006605A" w:rsidP="005F19CA">
      <w:pPr>
        <w:jc w:val="both"/>
        <w:rPr>
          <w:rFonts w:ascii="Bookman Old Style" w:hAnsi="Bookman Old Style"/>
          <w:lang w:val="es-CO"/>
        </w:rPr>
      </w:pPr>
    </w:p>
    <w:p w14:paraId="370C39EB" w14:textId="6B16CD40" w:rsidR="0006605A" w:rsidRDefault="0006605A" w:rsidP="005F19CA">
      <w:pPr>
        <w:jc w:val="both"/>
        <w:rPr>
          <w:rFonts w:ascii="Bookman Old Style" w:hAnsi="Bookman Old Style"/>
          <w:lang w:val="es-CO"/>
        </w:rPr>
      </w:pPr>
    </w:p>
    <w:p w14:paraId="64CD0B21" w14:textId="2930ECFF" w:rsidR="0006605A" w:rsidRDefault="0006605A" w:rsidP="005F19CA">
      <w:pPr>
        <w:jc w:val="both"/>
        <w:rPr>
          <w:rFonts w:ascii="Bookman Old Style" w:hAnsi="Bookman Old Style"/>
          <w:lang w:val="es-CO"/>
        </w:rPr>
      </w:pPr>
    </w:p>
    <w:p w14:paraId="5500BDB7" w14:textId="187AEF79" w:rsidR="0006605A" w:rsidRDefault="0006605A" w:rsidP="005F19CA">
      <w:pPr>
        <w:jc w:val="both"/>
        <w:rPr>
          <w:rFonts w:ascii="Bookman Old Style" w:hAnsi="Bookman Old Style"/>
          <w:lang w:val="es-CO"/>
        </w:rPr>
      </w:pPr>
    </w:p>
    <w:p w14:paraId="3F41AE34" w14:textId="77777777" w:rsidR="0006605A" w:rsidRDefault="0006605A" w:rsidP="005F19CA">
      <w:pPr>
        <w:jc w:val="both"/>
        <w:rPr>
          <w:rFonts w:ascii="Bookman Old Style" w:hAnsi="Bookman Old Style"/>
          <w:lang w:val="es-CO"/>
        </w:rPr>
      </w:pPr>
    </w:p>
    <w:p w14:paraId="0041DCD4" w14:textId="77777777" w:rsidR="00335A1D" w:rsidRDefault="00335A1D" w:rsidP="00DE5091">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0A309359" w14:textId="77777777" w:rsidR="00335A1D" w:rsidRDefault="00335A1D">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242690C2" w14:textId="28C24A21" w:rsidR="00647410" w:rsidRDefault="00505D93">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 xml:space="preserve">TEXTO PROPUESTO PARA PRIMER DEBATE AL PROYECTO DE LEY ESTATUTARIA NO. </w:t>
      </w:r>
      <w:r w:rsidR="005F19CA">
        <w:rPr>
          <w:rFonts w:ascii="Bookman Old Style" w:eastAsia="Bookman Old Style" w:hAnsi="Bookman Old Style" w:cs="Bookman Old Style"/>
          <w:b/>
          <w:color w:val="000000"/>
        </w:rPr>
        <w:t>006</w:t>
      </w:r>
      <w:r>
        <w:rPr>
          <w:rFonts w:ascii="Bookman Old Style" w:eastAsia="Bookman Old Style" w:hAnsi="Bookman Old Style" w:cs="Bookman Old Style"/>
          <w:b/>
          <w:color w:val="000000"/>
        </w:rPr>
        <w:t xml:space="preserve"> DE 2022 CÁMARA,</w:t>
      </w:r>
    </w:p>
    <w:p w14:paraId="768C1533" w14:textId="77777777" w:rsidR="00647410" w:rsidRDefault="00647410">
      <w:pPr>
        <w:pBdr>
          <w:top w:val="nil"/>
          <w:left w:val="nil"/>
          <w:bottom w:val="nil"/>
          <w:right w:val="nil"/>
          <w:between w:val="nil"/>
        </w:pBdr>
        <w:spacing w:line="240" w:lineRule="auto"/>
        <w:ind w:left="720"/>
        <w:rPr>
          <w:rFonts w:ascii="Bookman Old Style" w:eastAsia="Bookman Old Style" w:hAnsi="Bookman Old Style" w:cs="Bookman Old Style"/>
          <w:b/>
          <w:color w:val="000000"/>
        </w:rPr>
      </w:pPr>
    </w:p>
    <w:p w14:paraId="7716449A" w14:textId="77777777" w:rsidR="00647410" w:rsidRDefault="00000000">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i/>
        </w:rPr>
        <w:t>“Por medio de la cual se regula el acceso al derecho fundamental a la muerte digna bajo la modalidad de muerte médicamente asistida y se dictan otras disposiciones”,</w:t>
      </w:r>
    </w:p>
    <w:p w14:paraId="2C52CA8C" w14:textId="77777777" w:rsidR="00647410" w:rsidRDefault="00647410">
      <w:pPr>
        <w:spacing w:line="240" w:lineRule="auto"/>
        <w:jc w:val="center"/>
        <w:rPr>
          <w:rFonts w:ascii="Bookman Old Style" w:eastAsia="Bookman Old Style" w:hAnsi="Bookman Old Style" w:cs="Bookman Old Style"/>
        </w:rPr>
      </w:pPr>
    </w:p>
    <w:p w14:paraId="7F312769" w14:textId="77777777" w:rsidR="00647410" w:rsidRDefault="00647410">
      <w:pPr>
        <w:spacing w:line="240" w:lineRule="auto"/>
        <w:jc w:val="center"/>
        <w:rPr>
          <w:rFonts w:ascii="Bookman Old Style" w:eastAsia="Bookman Old Style" w:hAnsi="Bookman Old Style" w:cs="Bookman Old Style"/>
        </w:rPr>
      </w:pPr>
    </w:p>
    <w:p w14:paraId="1BC1DD16"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EL CONGRESO DE LA REPÚBLICA</w:t>
      </w:r>
    </w:p>
    <w:p w14:paraId="774B44DE" w14:textId="77777777" w:rsidR="00647410" w:rsidRDefault="00647410">
      <w:pPr>
        <w:jc w:val="center"/>
        <w:rPr>
          <w:rFonts w:ascii="Bookman Old Style" w:eastAsia="Bookman Old Style" w:hAnsi="Bookman Old Style" w:cs="Bookman Old Style"/>
          <w:b/>
        </w:rPr>
      </w:pPr>
    </w:p>
    <w:p w14:paraId="1D9DFB7A"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14:paraId="50C5307D" w14:textId="77777777" w:rsidR="00647410" w:rsidRDefault="00647410">
      <w:pPr>
        <w:jc w:val="center"/>
        <w:rPr>
          <w:rFonts w:ascii="Bookman Old Style" w:eastAsia="Bookman Old Style" w:hAnsi="Bookman Old Style" w:cs="Bookman Old Style"/>
          <w:b/>
        </w:rPr>
      </w:pPr>
    </w:p>
    <w:p w14:paraId="37E21BF4"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TÍTULO I</w:t>
      </w:r>
    </w:p>
    <w:p w14:paraId="785732BC"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DISPOSICIONES GENERALES</w:t>
      </w:r>
    </w:p>
    <w:p w14:paraId="444240FF" w14:textId="77777777" w:rsidR="00647410" w:rsidRDefault="00647410">
      <w:pPr>
        <w:rPr>
          <w:rFonts w:ascii="Bookman Old Style" w:eastAsia="Bookman Old Style" w:hAnsi="Bookman Old Style" w:cs="Bookman Old Style"/>
        </w:rPr>
      </w:pPr>
    </w:p>
    <w:p w14:paraId="3CC4434A" w14:textId="77777777" w:rsidR="00647410"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ÚNICO</w:t>
      </w:r>
    </w:p>
    <w:p w14:paraId="505640C1" w14:textId="77777777" w:rsidR="00647410" w:rsidRDefault="00647410">
      <w:pPr>
        <w:jc w:val="both"/>
        <w:rPr>
          <w:rFonts w:ascii="Bookman Old Style" w:eastAsia="Bookman Old Style" w:hAnsi="Bookman Old Style" w:cs="Bookman Old Style"/>
          <w:b/>
          <w:i/>
        </w:rPr>
      </w:pPr>
    </w:p>
    <w:p w14:paraId="17FF01E9"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 Objeto. </w:t>
      </w:r>
      <w:r>
        <w:rPr>
          <w:rFonts w:ascii="Bookman Old Style" w:eastAsia="Bookman Old Style" w:hAnsi="Bookman Old Style" w:cs="Bookman Old Style"/>
        </w:rPr>
        <w:t>Esta ley estatutaria tiene por objeto regular el acceso al derecho fundamental a la muerte digna en la modalidad de muerte médicamente asistida y garantizar la seguridad jurídica de las personas involucradas en el procedimiento por medio del cual se aplica la muerte médicamente asistida.</w:t>
      </w:r>
    </w:p>
    <w:p w14:paraId="2CF8FA4C" w14:textId="77777777" w:rsidR="00647410" w:rsidRDefault="00647410">
      <w:pPr>
        <w:jc w:val="both"/>
        <w:rPr>
          <w:rFonts w:ascii="Bookman Old Style" w:eastAsia="Bookman Old Style" w:hAnsi="Bookman Old Style" w:cs="Bookman Old Style"/>
        </w:rPr>
      </w:pPr>
    </w:p>
    <w:p w14:paraId="66A7075B"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Artículo 2. Principios orientadores del derecho a morir dignamente en la modalidad de muerte médicamente asistida</w:t>
      </w:r>
      <w:r>
        <w:rPr>
          <w:rFonts w:ascii="Bookman Old Style" w:eastAsia="Bookman Old Style" w:hAnsi="Bookman Old Style" w:cs="Bookman Old Style"/>
        </w:rPr>
        <w:t>. La aplicación e interpretación del derecho a morir dignamente mediante la modalidad de muerte médicamente asistida debe guiarse por los siguientes principios:</w:t>
      </w:r>
    </w:p>
    <w:p w14:paraId="30D20E6B" w14:textId="77777777" w:rsidR="00647410" w:rsidRDefault="00647410">
      <w:pPr>
        <w:ind w:left="142"/>
        <w:jc w:val="both"/>
        <w:rPr>
          <w:rFonts w:ascii="Bookman Old Style" w:eastAsia="Bookman Old Style" w:hAnsi="Bookman Old Style" w:cs="Bookman Old Style"/>
        </w:rPr>
      </w:pPr>
    </w:p>
    <w:p w14:paraId="057FE8FB"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Prevalencia de la autonomía de la persona.</w:t>
      </w:r>
      <w:r>
        <w:rPr>
          <w:rFonts w:ascii="Bookman Old Style" w:eastAsia="Bookman Old Style" w:hAnsi="Bookman Old Style" w:cs="Bookman Old Style"/>
          <w:color w:val="000000"/>
        </w:rPr>
        <w:t xml:space="preserve"> Los profesionales de la medicina y demás intervinientes en el proceso y en la aplicación de la muerte médicamente asistida deberán analizar las solicitudes relativas a este procedimiento atendiendo siempre a la voluntad de la persona. </w:t>
      </w:r>
    </w:p>
    <w:p w14:paraId="17198AF3" w14:textId="77777777" w:rsidR="00647410" w:rsidRDefault="00647410">
      <w:pPr>
        <w:pBdr>
          <w:top w:val="nil"/>
          <w:left w:val="nil"/>
          <w:bottom w:val="nil"/>
          <w:right w:val="nil"/>
          <w:between w:val="nil"/>
        </w:pBdr>
        <w:spacing w:line="240" w:lineRule="auto"/>
        <w:ind w:left="720" w:right="15"/>
        <w:jc w:val="both"/>
        <w:rPr>
          <w:rFonts w:ascii="Bookman Old Style" w:eastAsia="Bookman Old Style" w:hAnsi="Bookman Old Style" w:cs="Bookman Old Style"/>
          <w:color w:val="000000"/>
        </w:rPr>
      </w:pPr>
    </w:p>
    <w:p w14:paraId="49F454BC"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Celeridad. </w:t>
      </w:r>
      <w:r>
        <w:rPr>
          <w:rFonts w:ascii="Bookman Old Style" w:eastAsia="Bookman Old Style" w:hAnsi="Bookman Old Style" w:cs="Bookman Old Style"/>
          <w:color w:val="000000"/>
        </w:rPr>
        <w:t>El derecho a morir dignamente no puede dilatarse en el tiempo pues ello implicaría imponer una carga excesiva a la persona que podría derivar en tratos crueles, inhumanos y degradantes. El procedimiento y la aplicación de la muerte médicamente asistida debe ser ágil, rápido y sin ritualismos excesivos que alejen a la persona del goce efectivo del derecho.</w:t>
      </w:r>
    </w:p>
    <w:p w14:paraId="3D637C93" w14:textId="77777777" w:rsidR="00647410" w:rsidRDefault="00647410">
      <w:pPr>
        <w:spacing w:line="240" w:lineRule="auto"/>
        <w:ind w:right="15"/>
        <w:jc w:val="both"/>
        <w:rPr>
          <w:rFonts w:ascii="Bookman Old Style" w:eastAsia="Bookman Old Style" w:hAnsi="Bookman Old Style" w:cs="Bookman Old Style"/>
          <w:color w:val="000000"/>
        </w:rPr>
      </w:pPr>
    </w:p>
    <w:p w14:paraId="2CAEE9CC"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Oportunidad. </w:t>
      </w:r>
      <w:r>
        <w:rPr>
          <w:rFonts w:ascii="Bookman Old Style" w:eastAsia="Bookman Old Style" w:hAnsi="Bookman Old Style" w:cs="Bookman Old Style"/>
          <w:color w:val="000000"/>
        </w:rPr>
        <w:t>La voluntad de la persona deberá ser respetada y atendida a tiempo, sin que se prolongue excesivamente su sufrimiento al punto de que se cause su muerte en las condiciones de dolor e indignidad que, precisamente, se quisieron evitar.</w:t>
      </w:r>
    </w:p>
    <w:p w14:paraId="4D4BFB25" w14:textId="77777777" w:rsidR="00647410" w:rsidRDefault="00647410">
      <w:pPr>
        <w:spacing w:line="240" w:lineRule="auto"/>
        <w:ind w:right="15"/>
        <w:jc w:val="both"/>
        <w:rPr>
          <w:rFonts w:ascii="Bookman Old Style" w:eastAsia="Bookman Old Style" w:hAnsi="Bookman Old Style" w:cs="Bookman Old Style"/>
          <w:color w:val="000000"/>
        </w:rPr>
      </w:pPr>
    </w:p>
    <w:p w14:paraId="76EE9194"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Imparcialidad. </w:t>
      </w:r>
      <w:r>
        <w:rPr>
          <w:rFonts w:ascii="Bookman Old Style" w:eastAsia="Bookman Old Style" w:hAnsi="Bookman Old Style" w:cs="Bookman Old Style"/>
          <w:color w:val="000000"/>
        </w:rPr>
        <w:t xml:space="preserve">Los profesionales de la salud y demás intervinientes deberán ser neutrales en la aplicación de los procedimientos orientados a hacer efectivo el derecho a morir dignamente. No podrán sobreponer sus </w:t>
      </w:r>
      <w:r>
        <w:rPr>
          <w:rFonts w:ascii="Bookman Old Style" w:eastAsia="Bookman Old Style" w:hAnsi="Bookman Old Style" w:cs="Bookman Old Style"/>
          <w:color w:val="000000"/>
        </w:rPr>
        <w:lastRenderedPageBreak/>
        <w:t>posiciones personales sean ellas de contenido ético, moral o religioso, frente al reconocimiento y materialización del derecho. En todo caso se respetará la objeción de conciencia de las personas naturales.</w:t>
      </w:r>
    </w:p>
    <w:p w14:paraId="3953E47C" w14:textId="77777777" w:rsidR="00647410" w:rsidRDefault="00647410">
      <w:pPr>
        <w:spacing w:line="240" w:lineRule="auto"/>
        <w:ind w:right="15"/>
        <w:jc w:val="both"/>
        <w:rPr>
          <w:rFonts w:ascii="Bookman Old Style" w:eastAsia="Bookman Old Style" w:hAnsi="Bookman Old Style" w:cs="Bookman Old Style"/>
          <w:color w:val="000000"/>
        </w:rPr>
      </w:pPr>
    </w:p>
    <w:p w14:paraId="62713D7D"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Gratuidad.</w:t>
      </w:r>
      <w:r>
        <w:rPr>
          <w:rFonts w:ascii="Bookman Old Style" w:eastAsia="Bookman Old Style" w:hAnsi="Bookman Old Style" w:cs="Bookman Old Style"/>
          <w:color w:val="000000"/>
        </w:rPr>
        <w:t xml:space="preserve"> La realización del procedimiento de muerte médicamente asistida será gratuita tanto para la persona solicitante como para su familia siempre y en todo lugar.</w:t>
      </w:r>
    </w:p>
    <w:p w14:paraId="2D50D973" w14:textId="77777777" w:rsidR="00647410" w:rsidRDefault="00647410">
      <w:pPr>
        <w:spacing w:line="240" w:lineRule="auto"/>
        <w:ind w:right="15"/>
        <w:jc w:val="both"/>
        <w:rPr>
          <w:rFonts w:ascii="Bookman Old Style" w:eastAsia="Bookman Old Style" w:hAnsi="Bookman Old Style" w:cs="Bookman Old Style"/>
          <w:color w:val="000000"/>
        </w:rPr>
      </w:pPr>
    </w:p>
    <w:p w14:paraId="11B2DFFB"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Disponibilidad. </w:t>
      </w:r>
      <w:r>
        <w:rPr>
          <w:rFonts w:ascii="Bookman Old Style" w:eastAsia="Bookman Old Style" w:hAnsi="Bookman Old Style" w:cs="Bookman Old Style"/>
          <w:color w:val="000000"/>
        </w:rPr>
        <w:t xml:space="preserve">Se deberá garantizar la existencia y funcionamiento de suficientes bienes, servicios, profesionales y centros de atención en salud para que todos los titulares del derecho a la salud puedan gozar de manera efectiva del mismo bajo la modalidad de la muerte médicamente asistida. </w:t>
      </w:r>
    </w:p>
    <w:p w14:paraId="16475370" w14:textId="77777777" w:rsidR="00647410" w:rsidRDefault="00647410">
      <w:pPr>
        <w:spacing w:line="240" w:lineRule="auto"/>
        <w:ind w:right="15"/>
        <w:jc w:val="both"/>
        <w:rPr>
          <w:rFonts w:ascii="Bookman Old Style" w:eastAsia="Bookman Old Style" w:hAnsi="Bookman Old Style" w:cs="Bookman Old Style"/>
          <w:color w:val="000000"/>
        </w:rPr>
      </w:pPr>
    </w:p>
    <w:p w14:paraId="4958AC74"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Accesibilidad y no discriminación. </w:t>
      </w:r>
      <w:r>
        <w:rPr>
          <w:rFonts w:ascii="Bookman Old Style" w:eastAsia="Bookman Old Style" w:hAnsi="Bookman Old Style" w:cs="Bookman Old Style"/>
          <w:color w:val="000000"/>
        </w:rPr>
        <w:t xml:space="preserve">Los bienes, servicios, profesionales y centros de atención en salud relacionados con la aplicación de la muerte médicamente asistida deberán ser accesibles en términos geográficos, físicos y económicos para toda la población, especialmente para las personas sujetas de especial protección constitucional. </w:t>
      </w:r>
    </w:p>
    <w:p w14:paraId="69DCC3E4"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5553F54B" w14:textId="77777777" w:rsidR="00647410" w:rsidRDefault="00000000">
      <w:pPr>
        <w:pBdr>
          <w:top w:val="nil"/>
          <w:left w:val="nil"/>
          <w:bottom w:val="nil"/>
          <w:right w:val="nil"/>
          <w:between w:val="nil"/>
        </w:pBdr>
        <w:spacing w:line="240" w:lineRule="auto"/>
        <w:ind w:left="720" w:right="1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autoridades y personas jurídicas competentes, según sea el caso, deberán adecuar la infraestructura, los servicios, procedimientos, reglamentos y mecanismos de transmisión de la información y de verificación de los requisitos que esta ley plantee para garantizar el acceso a la muerte médicamente asistida. Como resultado de los ajustes se deberán desmontar y prevenir que se constituyan barreras que impidan o dificulten el goce efectivo del derecho a morir dignamente bajo la modalidad de muerte médicamente asistida. </w:t>
      </w:r>
    </w:p>
    <w:p w14:paraId="10F61491"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4B7FBBBE" w14:textId="77777777" w:rsidR="00647410" w:rsidRDefault="00000000">
      <w:pPr>
        <w:pBdr>
          <w:top w:val="nil"/>
          <w:left w:val="nil"/>
          <w:bottom w:val="nil"/>
          <w:right w:val="nil"/>
          <w:between w:val="nil"/>
        </w:pBdr>
        <w:spacing w:line="240" w:lineRule="auto"/>
        <w:ind w:left="720" w:right="1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aplicación de la muerte medicamente asistida y del derecho a morir dignamente se debe garantizar en condiciones de igualdad formal y material para todas las personas titulares del derecho. No se puede impedir el acceso a la muerte médicamente asistida con criterios diferentes a los que esta ley establezca. En ningún caso podrán imponerse barreras o distinciones arbitrarias basadas en el género, la orientación sexual, la raza o etnia, la condición económica, las creencias religiosas, y las concepciones políticas de las personas involucradas en el procedimiento de la muerte médicamente asistida.</w:t>
      </w:r>
    </w:p>
    <w:p w14:paraId="7E524348" w14:textId="77777777" w:rsidR="00647410" w:rsidRDefault="00647410">
      <w:pPr>
        <w:spacing w:line="240" w:lineRule="auto"/>
        <w:ind w:right="15"/>
        <w:jc w:val="both"/>
        <w:rPr>
          <w:rFonts w:ascii="Bookman Old Style" w:eastAsia="Bookman Old Style" w:hAnsi="Bookman Old Style" w:cs="Bookman Old Style"/>
          <w:color w:val="000000"/>
        </w:rPr>
      </w:pPr>
    </w:p>
    <w:p w14:paraId="34EC2A80"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Aceptabilidad. </w:t>
      </w:r>
      <w:r>
        <w:rPr>
          <w:rFonts w:ascii="Bookman Old Style" w:eastAsia="Bookman Old Style" w:hAnsi="Bookman Old Style" w:cs="Bookman Old Style"/>
          <w:color w:val="000000"/>
        </w:rPr>
        <w:t xml:space="preserve">La garantía del derecho a morir dignamente bajo la modalidad de la muerte médicamente asistida deberá darse con arreglo a los mayores estándares éticos. No podrán desarrollarse prácticas de imposición cultural, se garantizará el debido respeto por la diversidad cultural y la realización de ajustes razonables considerando particularidades étnicas, etarias y de discapacidad. </w:t>
      </w:r>
    </w:p>
    <w:p w14:paraId="63274864" w14:textId="77777777" w:rsidR="00647410" w:rsidRDefault="00647410">
      <w:pPr>
        <w:spacing w:line="240" w:lineRule="auto"/>
        <w:ind w:right="15"/>
        <w:jc w:val="both"/>
        <w:rPr>
          <w:rFonts w:ascii="Bookman Old Style" w:eastAsia="Bookman Old Style" w:hAnsi="Bookman Old Style" w:cs="Bookman Old Style"/>
          <w:color w:val="000000"/>
        </w:rPr>
      </w:pPr>
    </w:p>
    <w:p w14:paraId="751100A3"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Calidad. </w:t>
      </w:r>
      <w:r>
        <w:rPr>
          <w:rFonts w:ascii="Bookman Old Style" w:eastAsia="Bookman Old Style" w:hAnsi="Bookman Old Style" w:cs="Bookman Old Style"/>
          <w:color w:val="000000"/>
        </w:rPr>
        <w:t xml:space="preserve">La totalidad de los servicios y acciones vinculadas con la garantía del derecho a morir dignamente bajo la modalidad de la muerte médicamente asistida deberán cumplir con los mayores estándares científicos y médicos y con los criterios previstos en la presente ley. </w:t>
      </w:r>
    </w:p>
    <w:p w14:paraId="28526507" w14:textId="77777777" w:rsidR="00647410" w:rsidRDefault="00647410">
      <w:pPr>
        <w:spacing w:line="240" w:lineRule="auto"/>
        <w:ind w:right="15"/>
        <w:jc w:val="both"/>
        <w:rPr>
          <w:rFonts w:ascii="Bookman Old Style" w:eastAsia="Bookman Old Style" w:hAnsi="Bookman Old Style" w:cs="Bookman Old Style"/>
          <w:color w:val="000000"/>
        </w:rPr>
      </w:pPr>
    </w:p>
    <w:p w14:paraId="7BFA8219" w14:textId="77777777" w:rsidR="00647410" w:rsidRDefault="00000000">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Acceso a la información. </w:t>
      </w:r>
      <w:r>
        <w:rPr>
          <w:rFonts w:ascii="Bookman Old Style" w:eastAsia="Bookman Old Style" w:hAnsi="Bookman Old Style" w:cs="Bookman Old Style"/>
          <w:color w:val="000000"/>
        </w:rPr>
        <w:t xml:space="preserve">El acceso pleno y permanente a la información es necesario para ejercer el derecho a morir dignamente, particularmente, en la modalidad de muerte médicamente asistida. Se debe garantizar la difusión y accesibilidad de la información entre toda la población respecto de los mecanismos, requisitos y particularidades para ejercer el derecho a morir dignamente bajo la modalidad de la muerte médicamente asistida. </w:t>
      </w:r>
    </w:p>
    <w:p w14:paraId="545E0100"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35594A06" w14:textId="77777777" w:rsidR="00647410" w:rsidRDefault="00000000">
      <w:pPr>
        <w:pBdr>
          <w:top w:val="nil"/>
          <w:left w:val="nil"/>
          <w:bottom w:val="nil"/>
          <w:right w:val="nil"/>
          <w:between w:val="nil"/>
        </w:pBdr>
        <w:spacing w:line="240" w:lineRule="auto"/>
        <w:ind w:left="720" w:right="15"/>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 xml:space="preserve">Todos los involucrados en la prestación del procedimiento de la muerte médicamente asistida deberán garantizar que la persona solicitante del procedimiento y su familia tengan acceso pleno y permanente a la información sobre su estado de salud, sobre el pronóstico de este y sobre la posibilidad y los mecanismos para ejercer el derecho a morir dignamente, particularmente, bajo la modalidad de muerte médicamente asistida. </w:t>
      </w:r>
    </w:p>
    <w:p w14:paraId="3D7986AC" w14:textId="77777777" w:rsidR="00647410" w:rsidRDefault="00647410">
      <w:pPr>
        <w:pBdr>
          <w:top w:val="nil"/>
          <w:left w:val="nil"/>
          <w:bottom w:val="nil"/>
          <w:right w:val="nil"/>
          <w:between w:val="nil"/>
        </w:pBdr>
        <w:jc w:val="both"/>
        <w:rPr>
          <w:rFonts w:ascii="Bookman Old Style" w:eastAsia="Bookman Old Style" w:hAnsi="Bookman Old Style" w:cs="Bookman Old Style"/>
          <w:b/>
          <w:color w:val="000000"/>
        </w:rPr>
      </w:pPr>
    </w:p>
    <w:p w14:paraId="7A303AB0"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color w:val="000000"/>
        </w:rPr>
        <w:t>Artículo 3. Definiciones.</w:t>
      </w:r>
      <w:r>
        <w:rPr>
          <w:rFonts w:ascii="Bookman Old Style" w:eastAsia="Bookman Old Style" w:hAnsi="Bookman Old Style" w:cs="Bookman Old Style"/>
          <w:color w:val="000000"/>
        </w:rPr>
        <w:t xml:space="preserve"> Para el cumplimiento de esta ley se tendrán en cuenta las siguientes definiciones:</w:t>
      </w:r>
    </w:p>
    <w:p w14:paraId="274879B6" w14:textId="77777777" w:rsidR="00647410" w:rsidRDefault="00000000">
      <w:pPr>
        <w:widowControl w:val="0"/>
        <w:numPr>
          <w:ilvl w:val="1"/>
          <w:numId w:val="9"/>
        </w:numPr>
        <w:pBdr>
          <w:top w:val="nil"/>
          <w:left w:val="nil"/>
          <w:bottom w:val="nil"/>
          <w:right w:val="nil"/>
          <w:between w:val="nil"/>
        </w:pBdr>
        <w:spacing w:before="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Derecho a morir dignamente. </w:t>
      </w:r>
      <w:r>
        <w:rPr>
          <w:rFonts w:ascii="Bookman Old Style" w:eastAsia="Bookman Old Style" w:hAnsi="Bookman Old Style" w:cs="Bookman Old Style"/>
          <w:color w:val="000000"/>
        </w:rPr>
        <w:t>Es un derecho fundamental, complejo, autónomo e independiente, conexo con la dignidad humana, con la autonomía individual, con la salud, con la intimidad personal y familiar, con el acceso a la información, con el libre desarrollo de la personalidad y con la prohibición de sufrir tratos crueles, inhumanos o degradantes. Le permite a la persona tener control y tomar todas las decisiones, libres e informadas, sobre el proceso de su muerte. Este derecho comprende todas las opciones al final de la vida y el cuidado integral del proceso de la propia muerte. Eso incluye los cuidados paliativos; la adecuación o suspensión del esfuerzo terapéutico y la muerte médicamente asistida.</w:t>
      </w:r>
    </w:p>
    <w:p w14:paraId="2271F3B1" w14:textId="77777777" w:rsidR="00647410" w:rsidRDefault="00647410">
      <w:pPr>
        <w:widowControl w:val="0"/>
        <w:pBdr>
          <w:top w:val="nil"/>
          <w:left w:val="nil"/>
          <w:bottom w:val="nil"/>
          <w:right w:val="nil"/>
          <w:between w:val="nil"/>
        </w:pBdr>
        <w:ind w:left="720"/>
        <w:jc w:val="both"/>
        <w:rPr>
          <w:rFonts w:ascii="Bookman Old Style" w:eastAsia="Bookman Old Style" w:hAnsi="Bookman Old Style" w:cs="Bookman Old Style"/>
          <w:color w:val="000000"/>
        </w:rPr>
      </w:pPr>
    </w:p>
    <w:p w14:paraId="089E861A" w14:textId="77777777" w:rsidR="00647410" w:rsidRDefault="00000000">
      <w:pPr>
        <w:widowControl w:val="0"/>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Muerte médicamente asistida. </w:t>
      </w:r>
      <w:r>
        <w:rPr>
          <w:rFonts w:ascii="Bookman Old Style" w:eastAsia="Bookman Old Style" w:hAnsi="Bookman Old Style" w:cs="Bookman Old Style"/>
          <w:color w:val="000000"/>
        </w:rPr>
        <w:t>Es una de las modalidades constitucionalmente reconocidas para el ejercicio del derecho a morir dignamente. Es un procedimiento médico mediante el cual un profesional de la medicina induce la muerte de manera anticipada a una persona que así lo ha solicitado. La solicitud emana de la decisión libre, expresa, autónoma, específica, clara, informada, inequívoca y reiterada de la persona en atención a que padece intolerables sufrimientos físicos o psíquicos relacionados con una enfermedad grave e incurable o con una lesión corporal.</w:t>
      </w:r>
    </w:p>
    <w:p w14:paraId="448B3AC8" w14:textId="77777777" w:rsidR="00647410" w:rsidRDefault="00647410">
      <w:pPr>
        <w:widowControl w:val="0"/>
        <w:pBdr>
          <w:top w:val="nil"/>
          <w:left w:val="nil"/>
          <w:bottom w:val="nil"/>
          <w:right w:val="nil"/>
          <w:between w:val="nil"/>
        </w:pBdr>
        <w:ind w:left="720"/>
        <w:jc w:val="both"/>
        <w:rPr>
          <w:rFonts w:ascii="Bookman Old Style" w:eastAsia="Bookman Old Style" w:hAnsi="Bookman Old Style" w:cs="Bookman Old Style"/>
          <w:color w:val="000000"/>
        </w:rPr>
      </w:pPr>
    </w:p>
    <w:p w14:paraId="2C5AF25C" w14:textId="77777777" w:rsidR="00647410" w:rsidRDefault="00000000">
      <w:pPr>
        <w:widowControl w:val="0"/>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Documento de Voluntad Anticipada-DVA. </w:t>
      </w:r>
      <w:r>
        <w:rPr>
          <w:rFonts w:ascii="Bookman Old Style" w:eastAsia="Bookman Old Style" w:hAnsi="Bookman Old Style" w:cs="Bookman Old Style"/>
          <w:color w:val="000000"/>
        </w:rPr>
        <w:t>Es un documento con valor jurídico y cuyo contenido debe ser acatado y respetado. En este documento la persona en forma anticipada manifiesta</w:t>
      </w:r>
      <w:r>
        <w:rPr>
          <w:rFonts w:ascii="Bookman Old Style" w:eastAsia="Bookman Old Style" w:hAnsi="Bookman Old Style" w:cs="Bookman Old Style"/>
          <w:color w:val="000000"/>
          <w:highlight w:val="white"/>
        </w:rPr>
        <w:t xml:space="preserve"> de manera libre, expresa, autónoma, específica, clara, consciente, inequívoca e informada su voluntad y consentimiento respecto del acceso al derecho a morir dignamente. Ello </w:t>
      </w:r>
      <w:r>
        <w:rPr>
          <w:rFonts w:ascii="Bookman Old Style" w:eastAsia="Bookman Old Style" w:hAnsi="Bookman Old Style" w:cs="Bookman Old Style"/>
          <w:color w:val="000000"/>
          <w:highlight w:val="white"/>
        </w:rPr>
        <w:lastRenderedPageBreak/>
        <w:t>puede incluir sus deseos respecto del acceso a cuidados paliativos, a la interrupción o adecuación de los esfuerzos terapéuticos</w:t>
      </w:r>
      <w:r>
        <w:rPr>
          <w:rFonts w:ascii="Bookman Old Style" w:eastAsia="Bookman Old Style" w:hAnsi="Bookman Old Style" w:cs="Bookman Old Style"/>
          <w:color w:val="000000"/>
        </w:rPr>
        <w:t xml:space="preserve"> y a la muerte médicamente asistida. También puede adoptar decisiones respecto de temas económicos, patrimoniales y relacionadas con otros asuntos de su vida personal para que sean tenidos en cuenta una vez haya muerto.</w:t>
      </w:r>
    </w:p>
    <w:p w14:paraId="381075E2" w14:textId="77777777" w:rsidR="00647410" w:rsidRDefault="00647410">
      <w:pPr>
        <w:pBdr>
          <w:top w:val="nil"/>
          <w:left w:val="nil"/>
          <w:bottom w:val="nil"/>
          <w:right w:val="nil"/>
          <w:between w:val="nil"/>
        </w:pBdr>
        <w:ind w:left="709"/>
        <w:jc w:val="both"/>
        <w:rPr>
          <w:rFonts w:ascii="Bookman Old Style" w:eastAsia="Bookman Old Style" w:hAnsi="Bookman Old Style" w:cs="Bookman Old Style"/>
          <w:b/>
          <w:i/>
          <w:color w:val="000000"/>
        </w:rPr>
      </w:pPr>
    </w:p>
    <w:p w14:paraId="6A873D5C" w14:textId="77777777" w:rsidR="00647410" w:rsidRDefault="00000000">
      <w:pPr>
        <w:pBdr>
          <w:top w:val="nil"/>
          <w:left w:val="nil"/>
          <w:bottom w:val="nil"/>
          <w:right w:val="nil"/>
          <w:between w:val="nil"/>
        </w:pBdr>
        <w:ind w:left="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contenido de los documentos de voluntad anticipada puede ser modificado, sustituido o revocado por su suscriptor en cualquier momento, pero su contenido será de obligatorio cumplimiento una vez la persona no se encuentre en capacidad de decidir ni de manifestar su voluntad y se acredite el cumplimiento de los requisitos legales para ejercer el derecho a morir dignamente. </w:t>
      </w:r>
    </w:p>
    <w:p w14:paraId="6149DF9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A1396A5" w14:textId="77777777" w:rsidR="00647410" w:rsidRDefault="00000000">
      <w:pPr>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Enfermedad incurable avanzada: </w:t>
      </w:r>
      <w:r>
        <w:rPr>
          <w:rFonts w:ascii="Bookman Old Style" w:eastAsia="Bookman Old Style" w:hAnsi="Bookman Old Style" w:cs="Bookman Old Style"/>
          <w:color w:val="000000"/>
        </w:rPr>
        <w:t xml:space="preserve">Aquella enfermedad o condición patológica cuyo curso es progresivo y gradual, con diversos grados de afectación. Se caracteriza por la generación de sufrimiento físico o psíquico y por tener una respuesta variable a los tratamientos específicos y por conducir de manera probable, a la muerte de quien la padece. </w:t>
      </w:r>
    </w:p>
    <w:p w14:paraId="0C871C46" w14:textId="77777777" w:rsidR="00647410" w:rsidRDefault="00647410">
      <w:pPr>
        <w:pBdr>
          <w:top w:val="nil"/>
          <w:left w:val="nil"/>
          <w:bottom w:val="nil"/>
          <w:right w:val="nil"/>
          <w:between w:val="nil"/>
        </w:pBdr>
        <w:ind w:left="720"/>
        <w:jc w:val="both"/>
        <w:rPr>
          <w:rFonts w:ascii="Bookman Old Style" w:eastAsia="Bookman Old Style" w:hAnsi="Bookman Old Style" w:cs="Bookman Old Style"/>
          <w:color w:val="000000"/>
        </w:rPr>
      </w:pPr>
    </w:p>
    <w:p w14:paraId="36546539" w14:textId="77777777" w:rsidR="00647410" w:rsidRDefault="00000000">
      <w:pPr>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Enfermedad terminal:</w:t>
      </w:r>
      <w:r>
        <w:rPr>
          <w:rFonts w:ascii="Bookman Old Style" w:eastAsia="Bookman Old Style" w:hAnsi="Bookman Old Style" w:cs="Bookman Old Style"/>
          <w:color w:val="000000"/>
        </w:rPr>
        <w:t xml:space="preserve"> Enfermedad médicamente comprobada avanzada, progresiva e incontrolable, que se caracteriza por la ausencia de posibilidades razonables de respuesta al tratamiento, por la generación de sufrimiento físico o psíquico a pesar de haber recibido el tratamiento disponible y cuyo pronóstico de vida es inferior a seis (6) meses.</w:t>
      </w:r>
      <w:r>
        <w:rPr>
          <w:rFonts w:ascii="Bookman Old Style" w:eastAsia="Bookman Old Style" w:hAnsi="Bookman Old Style" w:cs="Bookman Old Style"/>
          <w:b/>
          <w:color w:val="000000"/>
          <w:u w:val="single"/>
        </w:rPr>
        <w:t xml:space="preserve"> </w:t>
      </w:r>
    </w:p>
    <w:p w14:paraId="5EBC1399"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048B0E4" w14:textId="77777777" w:rsidR="00647410" w:rsidRDefault="00000000">
      <w:pPr>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Adecuación de los esfuerzos terapéuticos: </w:t>
      </w:r>
      <w:r>
        <w:rPr>
          <w:rFonts w:ascii="Bookman Old Style" w:eastAsia="Bookman Old Style" w:hAnsi="Bookman Old Style" w:cs="Bookman Old Style"/>
          <w:color w:val="000000"/>
        </w:rPr>
        <w:t>La decisión de la persona de adaptar, suspender, interrumpir, retirar o no iniciar el plan de tratamiento terapéutico cuando este no cumpla con los principios de proporcionalidad terapéutica, o la persona no lo considera útil para sus intereses conforme a su condición médica o a su criterio de vida digna.</w:t>
      </w:r>
    </w:p>
    <w:p w14:paraId="2FB712A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D52E224" w14:textId="77777777" w:rsidR="00647410" w:rsidRDefault="00000000">
      <w:pPr>
        <w:numPr>
          <w:ilvl w:val="1"/>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Participantes en la aplicación de la muerte médicamente asistida.</w:t>
      </w:r>
      <w:r>
        <w:rPr>
          <w:rFonts w:ascii="Bookman Old Style" w:eastAsia="Bookman Old Style" w:hAnsi="Bookman Old Style" w:cs="Bookman Old Style"/>
          <w:color w:val="000000"/>
        </w:rPr>
        <w:t xml:space="preserve"> Para los efectos de esta ley se tendrán por participantes en el proceso que conduce a la aplicación de la muerte médicamente asistida a los siguientes sujetos o actores: el solicitante para recibir la muerte médicamente asistida, la familia del solicitante, el profesional de la medicina designado para aplicar la muerte médicamente asistida, la entidad promotora de salud del solicitante, la institución prestadora de salud encargada de aplicar el procedimiento de la muerte médicamente asistida y las personas que integren el Comité científico interdisciplinario para morir dignamente. </w:t>
      </w:r>
    </w:p>
    <w:p w14:paraId="0FBA3A46"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765A55EF" w14:textId="77777777" w:rsidR="00647410" w:rsidRDefault="00000000">
      <w:pPr>
        <w:pBdr>
          <w:top w:val="nil"/>
          <w:left w:val="nil"/>
          <w:bottom w:val="nil"/>
          <w:right w:val="nil"/>
          <w:between w:val="nil"/>
        </w:pBdr>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Podrán considerarse como participantes según sea el caso y dentro de los límites fijados en esta ley la Procuraduría General de la Nación, la Defensoría </w:t>
      </w:r>
      <w:r>
        <w:rPr>
          <w:rFonts w:ascii="Bookman Old Style" w:eastAsia="Bookman Old Style" w:hAnsi="Bookman Old Style" w:cs="Bookman Old Style"/>
          <w:color w:val="000000"/>
        </w:rPr>
        <w:lastRenderedPageBreak/>
        <w:t xml:space="preserve">del Pueblo, la Superintendencia de Salud, las Secretarías municipales y distritales de salud y el Ministerio de Salud y Protección Social o las entidades que hagan sus veces. </w:t>
      </w:r>
    </w:p>
    <w:p w14:paraId="029FAF1C" w14:textId="77777777" w:rsidR="00647410" w:rsidRDefault="00647410">
      <w:pPr>
        <w:pBdr>
          <w:top w:val="nil"/>
          <w:left w:val="nil"/>
          <w:bottom w:val="nil"/>
          <w:right w:val="nil"/>
          <w:between w:val="nil"/>
        </w:pBdr>
        <w:ind w:left="720"/>
        <w:jc w:val="both"/>
        <w:rPr>
          <w:rFonts w:ascii="Bookman Old Style" w:eastAsia="Bookman Old Style" w:hAnsi="Bookman Old Style" w:cs="Bookman Old Style"/>
          <w:color w:val="000000"/>
        </w:rPr>
      </w:pPr>
    </w:p>
    <w:p w14:paraId="430D6D42"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4. Complementariedad entre las diferentes modalidades de ejercicio del derecho fundamental a morir dignamente. </w:t>
      </w:r>
      <w:r>
        <w:rPr>
          <w:rFonts w:ascii="Bookman Old Style" w:eastAsia="Bookman Old Style" w:hAnsi="Bookman Old Style" w:cs="Bookman Old Style"/>
          <w:color w:val="000000"/>
        </w:rPr>
        <w:t>El ejercicio del derecho fundamental a morir dignamente ha sido reconocido a través de múltiples modalidades entre las que se encuentran los cuidados paliativos, la adecuación o suspensión del esfuerzo terapéutico y la muerte médicamente asistida.</w:t>
      </w:r>
    </w:p>
    <w:p w14:paraId="75255DA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35860CD5"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No existe incompatibilidad entre las diferentes modalidades de ejercicio del derecho a morir dignamente lo que implica que la persona puede hacer uso de las distintas modalidades de manera concomitante y todas pueden contribuir a aumentar la dignidad y la capacidad de autodeterminación de la persona en el umbral de su muerte. </w:t>
      </w:r>
    </w:p>
    <w:p w14:paraId="72A7205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08FB49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 Garantías para el acceso al derecho a morir dignamente en relación con el ejercicio de las diferentes modalidades constitucionalmente reconocidas. </w:t>
      </w:r>
      <w:r>
        <w:rPr>
          <w:rFonts w:ascii="Bookman Old Style" w:eastAsia="Bookman Old Style" w:hAnsi="Bookman Old Style" w:cs="Bookman Old Style"/>
        </w:rPr>
        <w:t xml:space="preserve">No se podrá exigir el agotamiento o uso de una de las modalidades de ejercicio del derecho a morir dignamente de forma previa o como prerrequisito para hacer uso de otra de las modalidades. </w:t>
      </w:r>
    </w:p>
    <w:p w14:paraId="740F034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EFE9F0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No se podrá negar el acceso a una de las modalidades de ejercicio del derecho a morir dignamente aduciendo que la persona hizo previo uso de otra modalidad, salvo en los casos en los que el ejercicio del derecho se haya agotado con la ocurrencia de la muerte de la persona. </w:t>
      </w:r>
    </w:p>
    <w:p w14:paraId="0926B0EC"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C5E133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No se podrá exigir que una persona acepte o haga uso de un tratamiento que considera desproporcionado, inútil o que riña con su concepto de vida y muerte digna. Corresponderá a la persona determinar cuál es el cauce que mejor se adecúa a su condición de salud, a sus intereses vitales, y a su concepto de vida digna. </w:t>
      </w:r>
    </w:p>
    <w:p w14:paraId="3013274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69D5A407"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Artículo 6. Titulares del derecho a morir dignamente en la modalidad de muerte médicamente asistida</w:t>
      </w:r>
      <w:r>
        <w:rPr>
          <w:rFonts w:ascii="Bookman Old Style" w:eastAsia="Bookman Old Style" w:hAnsi="Bookman Old Style" w:cs="Bookman Old Style"/>
          <w:color w:val="000000"/>
        </w:rPr>
        <w:t>. Son titulares del derecho a morir dignamente en la modalidad de muerte médicamente asistida todas las personas nacionales de Colombia y quienes, sin ser nacionales del país, acrediten al menos un año de residencia continua en Colombia al momento de realizar la solicitud de acceso a la muerte médicamente asistida. Esto incluye a los niños, niñas y adolescentes, quienes deberán estar representados por sus padres o representantes legales, de conformidad con lo planteado en la presente ley.</w:t>
      </w:r>
    </w:p>
    <w:p w14:paraId="4402A25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419EE5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Para acceder a la muerte médicamente asistida será necesario cumplir todos los requisitos establecidos en esta ley que, únicamente para el caso de niñas, niños y adolescentes, serán diferenciales con respecto al resto de la población.  </w:t>
      </w:r>
    </w:p>
    <w:p w14:paraId="61D9758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E7F2B96"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 xml:space="preserve">El derecho a la capacidad jurídica de las personas con discapacidad será respetado como medio para garantizar su acceso a la muerte médicamente asistida y su goce efectivo del derecho a morir dignamente. Las personas con </w:t>
      </w:r>
      <w:r>
        <w:rPr>
          <w:rFonts w:ascii="Bookman Old Style" w:eastAsia="Bookman Old Style" w:hAnsi="Bookman Old Style" w:cs="Bookman Old Style"/>
          <w:color w:val="000000"/>
        </w:rPr>
        <w:lastRenderedPageBreak/>
        <w:t>discapacidad podrán hacer uso de los mecanismos previstos en la Ley 1996 de 2019 o en aquellas normas que la modifiquen o deroguen para manifestar su voluntad y consentimiento, el cual en todo caso deberá cumplir con los estándares previstos en la presente ley. En ninguna circunstancia se considerará motivo suficiente para acceder a la muerte médicamente asistida el simple hecho de contar con una discapacidad.</w:t>
      </w:r>
    </w:p>
    <w:p w14:paraId="1FB80E6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730C86DC"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7. Acompañamiento de la Defensoría del Pueblo y de la Superintendencia de Salud. </w:t>
      </w:r>
      <w:r>
        <w:rPr>
          <w:rFonts w:ascii="Bookman Old Style" w:eastAsia="Bookman Old Style" w:hAnsi="Bookman Old Style" w:cs="Bookman Old Style"/>
          <w:color w:val="000000"/>
        </w:rPr>
        <w:t>La Defensoría del Pueblo y la Superintendencia de Salud, o las entidades que hagan sus veces, obrando en el marco de sus competencias, deberán concurrir para garantizar la correcta aplicación de las disposiciones de la presente ley y para promover el acceso y conocimiento de las condiciones de ejercicio del derecho a morir dignamente, en particular en la modalidad de muerte médicamente asistida.</w:t>
      </w:r>
    </w:p>
    <w:p w14:paraId="429EAE24"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C8B7D9B"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8. Alcance del acompañamiento por parte del ministerio público y la Superintendencia de Salud. </w:t>
      </w:r>
      <w:r>
        <w:rPr>
          <w:rFonts w:ascii="Bookman Old Style" w:eastAsia="Bookman Old Style" w:hAnsi="Bookman Old Style" w:cs="Bookman Old Style"/>
          <w:color w:val="000000"/>
        </w:rPr>
        <w:t>La Superintendencia de Salud, o la entidad que haga sus veces, en ejercicio de sus competencias deberá velar por que las empresas, entidades e instituciones del sector salud, en especial las instituciones prestadoras de salud y las entidades promotoras de salud, cumplan las disposiciones contenidas en la presente ley y garanticen el ejercicio del derecho a morir dignamente, en particular en la modalidad de muerte médicamente asistida. La entidad deberá intervenir cuando advierta que ello no ocurra, a través de los mecanismos previstos para ello.</w:t>
      </w:r>
    </w:p>
    <w:p w14:paraId="6E5E9E0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EE1D3B4"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Defensoría del Pueblo instruirá y orientará a los habitantes del territorio nacional y a los colombianos en el exterior en el ejercicio y defensa de su derecho fundamental a morir dignamente ante las autoridades competentes o entidades de carácter privado. La Defensoría del Pueblo también promoverá y divulgará el contenido de la presente ley y los requisitos, condiciones y modalidades para ejercer el derecho a morir dignamente en particular en la modalidad de muerte médicamente asistida. </w:t>
      </w:r>
    </w:p>
    <w:p w14:paraId="788373C8"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5FDC63A"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Procuraduría General de la Nación o la entidad que haga sus veces podrá intervenir dentro de sus competencias cuando lo considere para garantizar el correcto cumplimiento de las disposiciones contenidas en la presente ley. </w:t>
      </w:r>
    </w:p>
    <w:p w14:paraId="53AA819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4F3AC55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9. Poder reglamentario y obligaciones del Ministerio de Salud y Protección Social. </w:t>
      </w:r>
      <w:r>
        <w:rPr>
          <w:rFonts w:ascii="Bookman Old Style" w:eastAsia="Bookman Old Style" w:hAnsi="Bookman Old Style" w:cs="Bookman Old Style"/>
          <w:color w:val="000000"/>
        </w:rPr>
        <w:t xml:space="preserve">El Ministerio de Salud y Protección Social deberá, en el marco de sus competencias, realizar las adecuaciones normativas y reglamentarias a las que haya lugar para garantizar el goce efectivo del derecho fundamental a morir dignamente, en particular en la modalidad de muerte médicamente asistida, en los términos previstos en la presente ley. Para ello contará con seis (6) meses luego de la entrada en vigor de la presente ley. </w:t>
      </w:r>
    </w:p>
    <w:p w14:paraId="1CB07C2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996F7AC"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relación con la aplicación de las disposiciones previstas en la presente ley el Ministerio de Salud y Protección Social deberá formular la política pública correspondiente, así como dirigir, orientar, adoptar y evaluar los planes, programas y proyectos necesarios para garantizar el goce efectivo del derecho fundamental a </w:t>
      </w:r>
      <w:r>
        <w:rPr>
          <w:rFonts w:ascii="Bookman Old Style" w:eastAsia="Bookman Old Style" w:hAnsi="Bookman Old Style" w:cs="Bookman Old Style"/>
          <w:color w:val="000000"/>
        </w:rPr>
        <w:lastRenderedPageBreak/>
        <w:t xml:space="preserve">morir dignamente, en particular en la modalidad de muerte médicamente asistida. Todo ello, conforme lo previsto en la presente norma estatutaria. </w:t>
      </w:r>
    </w:p>
    <w:p w14:paraId="6FA85AB9"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8AD51DC"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el cumplimiento de las referidas obligaciones el Ministerio de Salud y Protección Social deberá garantizar que la muerte médicamente asistida y el derecho fundamental a morir dignamente se dé de conformidad con los principios orientadores previstos en el artículo 2 de la presente ley y en particular con los de disponibilidad, accesibilidad, aceptabilidad y calidad. </w:t>
      </w:r>
    </w:p>
    <w:p w14:paraId="1C2A391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ADC1A5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Ministerio de Salud y Protección Social podrá prestar asesoramiento y ayuda a las secretarías distritales y municipales de salud para garantizar el cumplimiento de las disposiciones de la presente ley y el goce efectivo del derecho fundamental a morir dignamente en particular en la modalidad de muerte médicamente asistida. </w:t>
      </w:r>
    </w:p>
    <w:p w14:paraId="08EB5B4B"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819FE0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10. Monitoreo a la implementación de la ley y al goce efectivo del derecho a morir dignamente. </w:t>
      </w:r>
      <w:r>
        <w:rPr>
          <w:rFonts w:ascii="Bookman Old Style" w:eastAsia="Bookman Old Style" w:hAnsi="Bookman Old Style" w:cs="Bookman Old Style"/>
          <w:color w:val="000000"/>
        </w:rPr>
        <w:t xml:space="preserve">El Ministerio de Salud y Protección Social deberá rendir un informe anual sobre el cumplimiento de sus obligaciones en relación con la garantía del derecho fundamental a morir dignamente, el acceso a la muerte médicamente asistida y sobre el cumplimiento de lo previsto en la presente ley, ante la Comisión Séptima Constitucional Permanente de la Cámara de Representantes y del Senado de la República. El informe deberá darse en una sesión de las respectivas comisiones dentro del primer mes de cada legislatura. </w:t>
      </w:r>
    </w:p>
    <w:p w14:paraId="283210DB"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23BD66A5"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color w:val="000000"/>
        </w:rPr>
        <w:t xml:space="preserve">Artículo 11. Medidas para la accesibilidad. </w:t>
      </w:r>
      <w:r>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están obligadas a desmontar las barreras de acceso al sistema de salud que impidan el goce efectivo del derecho fundamental a la muerte digna y en particular que obstan para el acceso a la muerte médicamente asistida. </w:t>
      </w:r>
    </w:p>
    <w:p w14:paraId="34178D8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69E2A4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tendrán seis (6) meses a partir de la entrada en vigor de la presente ley para identificar las barreras que, dentro del ámbito de sus competencias, dificultan o impiden el goce efectivo del derecho a morir dignamente, en particular mediante la modalidad de muerte médicamente asistida. </w:t>
      </w:r>
    </w:p>
    <w:p w14:paraId="7CC78C6C"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E630DC3"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Esta evaluación deberá repetirse al menos cada tres (3) años tomando como referencia la fecha de entrada en vigor de la presente ley con la finalidad identificar si siguen existiendo, o si se crearon nuevas barreras frente al goce efectivo de este derecho. De la misma forma, tendrán seis (6) meses siguientes a la realización de la referida evaluación para adoptar los correctivos correspondientes que permitan su desmonte.</w:t>
      </w:r>
    </w:p>
    <w:p w14:paraId="0913B58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426CA2A"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tendrán un (1) año tras la entrada en vigor de la presente ley para ajustar sus protocolos y las normas reglamentarias para garantizar el cumplimiento de las disposiciones de la presente ley y el goce efectivo </w:t>
      </w:r>
      <w:r>
        <w:rPr>
          <w:rFonts w:ascii="Bookman Old Style" w:eastAsia="Bookman Old Style" w:hAnsi="Bookman Old Style" w:cs="Bookman Old Style"/>
        </w:rPr>
        <w:lastRenderedPageBreak/>
        <w:t>del derecho a morir dignamente, particularmente en relación con la muerte médicamente asistida. Los ajustes normativos deberán considerar los hallazgos encontrados como resultado del ejercicio del que trata el presente artículo.</w:t>
      </w:r>
    </w:p>
    <w:p w14:paraId="6F267ED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2DD69FB"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12. Monitoreo a las acciones para garantizar la accesibilidad. </w:t>
      </w:r>
      <w:r>
        <w:rPr>
          <w:rFonts w:ascii="Bookman Old Style" w:eastAsia="Bookman Old Style" w:hAnsi="Bookman Old Style" w:cs="Bookman Old Style"/>
        </w:rPr>
        <w:t xml:space="preserve">Cada actor del sistema de salud, como resultado del ejercicio de identificación de barreras del que trata el artículo anterior, deberá entregar al Ministerio de Salud y Protección Social y a la Superintendencia de Salud un informe detallado sobre los hallazgos encontrados en el término de un (1) mes luego de realizado el ejercicio. </w:t>
      </w:r>
    </w:p>
    <w:p w14:paraId="73379487"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649F0C9"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En el término de siete (7) meses luego de entregado el informe del que trata el inciso anterior, cada actor del sistema de salud deberá entregar al Ministerio de Salud y Protección Social y a la Superintendencia de Salud un informe reportando las acciones adoptadas para desmontar las barreras identificadas. </w:t>
      </w:r>
    </w:p>
    <w:p w14:paraId="4DA71EAB"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F50632F"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rPr>
      </w:pPr>
      <w:r>
        <w:rPr>
          <w:rFonts w:ascii="Bookman Old Style" w:eastAsia="Bookman Old Style" w:hAnsi="Bookman Old Style" w:cs="Bookman Old Style"/>
        </w:rPr>
        <w:t xml:space="preserve">El Ministerio de Salud y la Superintendencia de Salud, dentro del marco de sus competencias, podrán ordenar la adopción de medidas adicionales y corroborar la adopción de las medidas reportadas. </w:t>
      </w:r>
    </w:p>
    <w:p w14:paraId="69F9CC7A"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color w:val="000000"/>
        </w:rPr>
      </w:pPr>
    </w:p>
    <w:p w14:paraId="2F264C5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13. Derechos de la familia de la persona que pretende ejercer su derecho a morir dignamente. </w:t>
      </w:r>
      <w:r>
        <w:rPr>
          <w:rFonts w:ascii="Bookman Old Style" w:eastAsia="Bookman Old Style" w:hAnsi="Bookman Old Style" w:cs="Bookman Old Style"/>
          <w:color w:val="000000"/>
        </w:rPr>
        <w:t xml:space="preserve">Las personas dentro del segundo grado de consanguinidad y afinidad de quien pretende ejercer su derecho a morir dignamente tienen derecho a gozar de acompañamiento médico, social, espiritual y psicológico </w:t>
      </w:r>
      <w:r>
        <w:rPr>
          <w:rFonts w:ascii="Bookman Old Style" w:eastAsia="Bookman Old Style" w:hAnsi="Bookman Old Style" w:cs="Bookman Old Style"/>
        </w:rPr>
        <w:t xml:space="preserve">para contener o manejar los efectos o consecuencias negativas que podrían derivarse tanto de la decisión de solicitar el procedimiento de acceso a la muerte digna, como del propio deceso del paciente. Gozarán de este derecho </w:t>
      </w:r>
      <w:r>
        <w:rPr>
          <w:rFonts w:ascii="Bookman Old Style" w:eastAsia="Bookman Old Style" w:hAnsi="Bookman Old Style" w:cs="Bookman Old Style"/>
          <w:color w:val="000000"/>
        </w:rPr>
        <w:t xml:space="preserve">antes, durante y después de que su familiar acceda a los servicios contemplados en cualquiera de las modalidades reconocidas para ejercer el derecho a morir dignamente. </w:t>
      </w:r>
    </w:p>
    <w:p w14:paraId="6B4AC41F"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E52CD67"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Quienes intervengan en cumplimiento de las disposiciones contenidas en el presente artículo deberán ser imparciales en todo momento y lugar respecto del ejercicio de la muerte médicamente asistida. </w:t>
      </w:r>
    </w:p>
    <w:p w14:paraId="399EB0E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7F44DA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derecho a los servicios contemplados en el presente artículo deberá estar garantizado desde el momento en que la persona manifieste su intención de acudir a cualquiera de las modalidades reconocidas para ejercer su derecho a la muerte médicamente asistida.</w:t>
      </w:r>
    </w:p>
    <w:p w14:paraId="1253D61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547E7D9"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14. Amparo de pobreza para el ejercicio de los derechos de la familia de la persona que pretende ejercer su derecho a morir dignamente. </w:t>
      </w:r>
      <w:r>
        <w:rPr>
          <w:rFonts w:ascii="Bookman Old Style" w:eastAsia="Bookman Old Style" w:hAnsi="Bookman Old Style" w:cs="Bookman Old Style"/>
          <w:color w:val="000000"/>
        </w:rPr>
        <w:t xml:space="preserve">Para acceder a los servicios de los que trata el artículo anterior se podrá hacer uso de un amparo de pobreza en favor de las personas dentro del segundo grado de consanguinidad y afinidad de quien pretende ejercer su derecho a morir dignamente y que acrediten pertenecer a los grupos A1 al B4 del SISBEN IV o a los grupos equivalentes en la metodología que lo modifique o sustituya o en cualquier otro sistema que el Estado determine para fines similares. En esos casos los costos por la prestación de los servicios serán cubiertos por el Estado. </w:t>
      </w:r>
    </w:p>
    <w:p w14:paraId="229646FA" w14:textId="77777777" w:rsidR="00647410" w:rsidRDefault="00647410">
      <w:pPr>
        <w:ind w:right="-93"/>
        <w:jc w:val="both"/>
        <w:rPr>
          <w:rFonts w:ascii="Bookman Old Style" w:eastAsia="Bookman Old Style" w:hAnsi="Bookman Old Style" w:cs="Bookman Old Style"/>
          <w:b/>
          <w:color w:val="000000"/>
        </w:rPr>
      </w:pPr>
    </w:p>
    <w:p w14:paraId="7A2DA1CF"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b/>
          <w:color w:val="000000"/>
        </w:rPr>
        <w:lastRenderedPageBreak/>
        <w:t xml:space="preserve">Artículo 15. Medidas pedagógicas y educativas. </w:t>
      </w:r>
      <w:r>
        <w:rPr>
          <w:rFonts w:ascii="Bookman Old Style" w:eastAsia="Bookman Old Style" w:hAnsi="Bookman Old Style" w:cs="Bookman Old Style"/>
          <w:color w:val="000000"/>
        </w:rPr>
        <w:t>El Ministerio de Educación Nacional deberá garantizar la i</w:t>
      </w:r>
      <w:r>
        <w:rPr>
          <w:rFonts w:ascii="Bookman Old Style" w:eastAsia="Bookman Old Style" w:hAnsi="Bookman Old Style" w:cs="Bookman Old Style"/>
        </w:rPr>
        <w:t xml:space="preserve">ncorporación al proceso educativo de los niños, niñas y adolescentes la enseñanza del valor de la vida y su relación con la responsabilidad social, la libertad, la autonomía de la persona, la dignidad humana y el libre desarrollo de la personalidad.  </w:t>
      </w:r>
    </w:p>
    <w:p w14:paraId="43A57CDB" w14:textId="77777777" w:rsidR="00647410" w:rsidRDefault="00647410">
      <w:pPr>
        <w:ind w:right="-93"/>
        <w:jc w:val="both"/>
        <w:rPr>
          <w:rFonts w:ascii="Bookman Old Style" w:eastAsia="Bookman Old Style" w:hAnsi="Bookman Old Style" w:cs="Bookman Old Style"/>
        </w:rPr>
      </w:pPr>
    </w:p>
    <w:p w14:paraId="3EB3C4BC"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color w:val="000000"/>
        </w:rPr>
        <w:t>El Ministerio de Educación Nacional, en asocio con el Ministerio de Salud y Protección Social y con las secretarias distritales y municipales de salud o las entidades que hagan sus veces deberán garantizar la capacitación de</w:t>
      </w:r>
      <w:r>
        <w:rPr>
          <w:rFonts w:ascii="Bookman Old Style" w:eastAsia="Bookman Old Style" w:hAnsi="Bookman Old Style" w:cs="Bookman Old Style"/>
        </w:rPr>
        <w:t xml:space="preserve"> los actores del sistema de salud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118F3EB6" w14:textId="77777777" w:rsidR="00647410" w:rsidRDefault="00647410">
      <w:pPr>
        <w:ind w:right="-93"/>
        <w:jc w:val="both"/>
        <w:rPr>
          <w:rFonts w:ascii="Bookman Old Style" w:eastAsia="Bookman Old Style" w:hAnsi="Bookman Old Style" w:cs="Bookman Old Style"/>
        </w:rPr>
      </w:pPr>
    </w:p>
    <w:p w14:paraId="3F657A80"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color w:val="000000"/>
        </w:rPr>
        <w:t>El Ministerio de Educación Nacional, en asocio con el Ministerio de Salud y Protección Social y con las instituciones públicas y privadas de educación superior deberá garantizar la capacitación de</w:t>
      </w:r>
      <w:r>
        <w:rPr>
          <w:rFonts w:ascii="Bookman Old Style" w:eastAsia="Bookman Old Style" w:hAnsi="Bookman Old Style" w:cs="Bookman Old Style"/>
        </w:rPr>
        <w:t xml:space="preserve"> los estudiantes de medicina 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331944B0" w14:textId="77777777" w:rsidR="00647410" w:rsidRDefault="00647410">
      <w:pPr>
        <w:ind w:right="-93"/>
        <w:jc w:val="both"/>
        <w:rPr>
          <w:rFonts w:ascii="Bookman Old Style" w:eastAsia="Bookman Old Style" w:hAnsi="Bookman Old Style" w:cs="Bookman Old Style"/>
        </w:rPr>
      </w:pPr>
    </w:p>
    <w:p w14:paraId="6B6CD2A6" w14:textId="77777777" w:rsidR="00647410" w:rsidRDefault="00000000">
      <w:pPr>
        <w:ind w:right="-93"/>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Las medidas de las que trata el presente artículo deberán realizarse al menos con frecuencia anual. </w:t>
      </w:r>
    </w:p>
    <w:p w14:paraId="48DA2BC8" w14:textId="77777777" w:rsidR="00647410" w:rsidRDefault="00647410">
      <w:pPr>
        <w:ind w:right="-93"/>
        <w:jc w:val="both"/>
        <w:rPr>
          <w:rFonts w:ascii="Bookman Old Style" w:eastAsia="Bookman Old Style" w:hAnsi="Bookman Old Style" w:cs="Bookman Old Style"/>
        </w:rPr>
      </w:pPr>
    </w:p>
    <w:p w14:paraId="74CE6CB2" w14:textId="77777777" w:rsidR="00647410" w:rsidRDefault="00000000">
      <w:pPr>
        <w:ind w:right="-93"/>
        <w:jc w:val="center"/>
        <w:rPr>
          <w:rFonts w:ascii="Bookman Old Style" w:eastAsia="Bookman Old Style" w:hAnsi="Bookman Old Style" w:cs="Bookman Old Style"/>
          <w:b/>
        </w:rPr>
      </w:pPr>
      <w:r>
        <w:rPr>
          <w:rFonts w:ascii="Bookman Old Style" w:eastAsia="Bookman Old Style" w:hAnsi="Bookman Old Style" w:cs="Bookman Old Style"/>
          <w:b/>
        </w:rPr>
        <w:t>TÍTULO II</w:t>
      </w:r>
    </w:p>
    <w:p w14:paraId="2E2CEF16"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PROCESO PARA ACEDER AL DERECHO A LA MUERTE DIGNA EN LA MODALIDAD DE MUERTE MÉDICAMENTE ASISTIDA</w:t>
      </w:r>
    </w:p>
    <w:p w14:paraId="0CDCF3BD"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TRATÁNDOSE DE PERSONAS MAYORES DE EDAD</w:t>
      </w:r>
    </w:p>
    <w:p w14:paraId="137F5DD9" w14:textId="77777777" w:rsidR="00647410" w:rsidRDefault="00647410">
      <w:pPr>
        <w:jc w:val="center"/>
        <w:rPr>
          <w:rFonts w:ascii="Bookman Old Style" w:eastAsia="Bookman Old Style" w:hAnsi="Bookman Old Style" w:cs="Bookman Old Style"/>
          <w:b/>
        </w:rPr>
      </w:pPr>
    </w:p>
    <w:p w14:paraId="18400C8D"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CAPITULO I</w:t>
      </w:r>
    </w:p>
    <w:p w14:paraId="6C2E31F8"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PARTICIPANTES EN EL PROCESO Y REQUISITOS PARA EL ACCESO A LA MUERTE MÉDICAMENTE ASISTIDA</w:t>
      </w:r>
    </w:p>
    <w:p w14:paraId="433FF280" w14:textId="77777777" w:rsidR="00647410" w:rsidRDefault="00647410">
      <w:pPr>
        <w:jc w:val="both"/>
        <w:rPr>
          <w:rFonts w:ascii="Bookman Old Style" w:eastAsia="Bookman Old Style" w:hAnsi="Bookman Old Style" w:cs="Bookman Old Style"/>
          <w:b/>
        </w:rPr>
      </w:pPr>
    </w:p>
    <w:p w14:paraId="0746F8A3"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16. Participantes. </w:t>
      </w:r>
      <w:r>
        <w:rPr>
          <w:rFonts w:ascii="Bookman Old Style" w:eastAsia="Bookman Old Style" w:hAnsi="Bookman Old Style" w:cs="Bookman Old Style"/>
        </w:rPr>
        <w:t xml:space="preserve">Serán participantes en el proceso para acceder a la muerte médicamente asistida en mayores de edad: </w:t>
      </w:r>
      <w:r>
        <w:rPr>
          <w:rFonts w:ascii="Bookman Old Style" w:eastAsia="Bookman Old Style" w:hAnsi="Bookman Old Style" w:cs="Bookman Old Style"/>
          <w:color w:val="000000"/>
        </w:rPr>
        <w:t xml:space="preserve">el solicitante mayor de edad que desea recibir la muerte médicamente asistida, las personas hasta dentro del segundo grado de consanguinidad o afinidad del solicitante, el profesional de la medicina designado para aplicar la muerte médicamente asistida, la entidad promotora de salud del solicitante, la institución prestadora de salud encargada de aplicar el procedimiento de la muerte médicamente asistida, quienes testifiquen en </w:t>
      </w:r>
      <w:r>
        <w:rPr>
          <w:rFonts w:ascii="Bookman Old Style" w:eastAsia="Bookman Old Style" w:hAnsi="Bookman Old Style" w:cs="Bookman Old Style"/>
          <w:color w:val="000000"/>
        </w:rPr>
        <w:lastRenderedPageBreak/>
        <w:t>el proceso de formalización del consentimiento y las personas que integren el Comité Científico Interdisciplinario para Morir Dignamente.</w:t>
      </w:r>
    </w:p>
    <w:p w14:paraId="48BD3A6A" w14:textId="77777777" w:rsidR="00647410" w:rsidRDefault="00647410">
      <w:pPr>
        <w:jc w:val="both"/>
        <w:rPr>
          <w:rFonts w:ascii="Bookman Old Style" w:eastAsia="Bookman Old Style" w:hAnsi="Bookman Old Style" w:cs="Bookman Old Style"/>
        </w:rPr>
      </w:pPr>
    </w:p>
    <w:p w14:paraId="1E76CD0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17.  Requisitos. </w:t>
      </w:r>
      <w:r>
        <w:rPr>
          <w:rFonts w:ascii="Bookman Old Style" w:eastAsia="Bookman Old Style" w:hAnsi="Bookman Old Style" w:cs="Bookman Old Style"/>
        </w:rPr>
        <w:t xml:space="preserve">Para la aplicación de la muerte médicamente asistida en una persona mayor de edad, se deberán cumplir con los siguientes requisitos: </w:t>
      </w:r>
    </w:p>
    <w:p w14:paraId="4EA34055" w14:textId="77777777" w:rsidR="00647410" w:rsidRDefault="00647410">
      <w:pPr>
        <w:jc w:val="both"/>
        <w:rPr>
          <w:rFonts w:ascii="Bookman Old Style" w:eastAsia="Bookman Old Style" w:hAnsi="Bookman Old Style" w:cs="Bookman Old Style"/>
        </w:rPr>
      </w:pPr>
    </w:p>
    <w:p w14:paraId="67E7D3B8" w14:textId="77777777" w:rsidR="00647410" w:rsidRDefault="00000000">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persona solicitante de la muerte médicamente asistida sea mayor de 18 años.</w:t>
      </w:r>
    </w:p>
    <w:p w14:paraId="43B227B0" w14:textId="77777777" w:rsidR="00647410" w:rsidRDefault="00000000">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persona solicitante de la muerte médicamente asistida presente una enfermedad grave e incurable o lesión corporal que le cause un intenso sufrimiento físico o psíquico. No es necesario, ni será exigible, acreditar la existencia de enfermedad terminal ni pronóstico médico de muerte próxima.</w:t>
      </w:r>
    </w:p>
    <w:p w14:paraId="24A96FB8" w14:textId="77777777" w:rsidR="00647410" w:rsidRDefault="00000000">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Que la persona solicitante de la muerte médicamente asistida haya expresado su consentimiento y haya manifestado su voluntad de acceder a la muerte médicamente asistida. Se podrá hacer valer el consentimiento sustituto o un documento anticipado de voluntad en los términos previstos en el presente capítulo. </w:t>
      </w:r>
    </w:p>
    <w:p w14:paraId="132FA516" w14:textId="77777777" w:rsidR="00647410" w:rsidRDefault="00000000">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aplicación de la muerte médicamente asistida sea realizada por un profesional de la medicina.</w:t>
      </w:r>
    </w:p>
    <w:p w14:paraId="25DCFC29" w14:textId="77777777" w:rsidR="00647410" w:rsidRDefault="00647410">
      <w:pPr>
        <w:jc w:val="both"/>
        <w:rPr>
          <w:rFonts w:ascii="Bookman Old Style" w:eastAsia="Bookman Old Style" w:hAnsi="Bookman Old Style" w:cs="Bookman Old Style"/>
        </w:rPr>
      </w:pPr>
    </w:p>
    <w:p w14:paraId="29C2691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18. Del intenso sufrimiento y/o dolor físico o psíquico. </w:t>
      </w:r>
      <w:r>
        <w:rPr>
          <w:rFonts w:ascii="Bookman Old Style" w:eastAsia="Bookman Old Style" w:hAnsi="Bookman Old Style" w:cs="Bookman Old Style"/>
        </w:rPr>
        <w:t xml:space="preserve">La determinación del grado de intenso sufrimiento y/o dolor físico o psíquico producto de una enfermedad grave e incurable o de una lesión corporal será estrictamente subjetiva. Deberá prevalecer y ser respetado el criterio subjetivo de la persona solicitante del procedimiento de muerte médicamente asistida para determinar si presenta un intenso sufrimiento físico o psíquico. </w:t>
      </w:r>
    </w:p>
    <w:p w14:paraId="22467A0A" w14:textId="77777777" w:rsidR="00647410" w:rsidRDefault="00647410">
      <w:pPr>
        <w:jc w:val="both"/>
        <w:rPr>
          <w:rFonts w:ascii="Bookman Old Style" w:eastAsia="Bookman Old Style" w:hAnsi="Bookman Old Style" w:cs="Bookman Old Style"/>
        </w:rPr>
      </w:pPr>
    </w:p>
    <w:p w14:paraId="04C48D9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Podrán emplearse criterios objetivos propios de la ciencia y la medicina para determinar la relación de los intensos sufrimientos físicos y psíquicos con una enfermedad grave e incurable o con una lesión corporal. </w:t>
      </w:r>
    </w:p>
    <w:p w14:paraId="0378263C" w14:textId="77777777" w:rsidR="00647410" w:rsidRDefault="00647410">
      <w:pPr>
        <w:jc w:val="both"/>
        <w:rPr>
          <w:rFonts w:ascii="Bookman Old Style" w:eastAsia="Bookman Old Style" w:hAnsi="Bookman Old Style" w:cs="Bookman Old Style"/>
        </w:rPr>
      </w:pPr>
    </w:p>
    <w:p w14:paraId="335F7981"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70C51C0F"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DEL CONSENTIMIENTO</w:t>
      </w:r>
    </w:p>
    <w:p w14:paraId="54D24F41" w14:textId="77777777" w:rsidR="00647410" w:rsidRDefault="00647410">
      <w:pPr>
        <w:jc w:val="center"/>
        <w:rPr>
          <w:rFonts w:ascii="Bookman Old Style" w:eastAsia="Bookman Old Style" w:hAnsi="Bookman Old Style" w:cs="Bookman Old Style"/>
          <w:b/>
        </w:rPr>
      </w:pPr>
    </w:p>
    <w:p w14:paraId="2337485B"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19. Del consentimiento y sus elementos. </w:t>
      </w:r>
      <w:r>
        <w:rPr>
          <w:rFonts w:ascii="Bookman Old Style" w:eastAsia="Bookman Old Style" w:hAnsi="Bookman Old Style" w:cs="Bookman Old Style"/>
        </w:rPr>
        <w:t xml:space="preserve">Toda persona </w:t>
      </w:r>
      <w:r>
        <w:rPr>
          <w:rFonts w:ascii="Bookman Old Style" w:eastAsia="Bookman Old Style" w:hAnsi="Bookman Old Style" w:cs="Bookman Old Style"/>
          <w:color w:val="000000"/>
        </w:rPr>
        <w:t xml:space="preserve">capaz y en pleno uso de sus facultades legales y mentales, deberá expresar su consentimiento para acceder a la muerte médicamente asistida. </w:t>
      </w:r>
      <w:r>
        <w:rPr>
          <w:rFonts w:ascii="Bookman Old Style" w:eastAsia="Bookman Old Style" w:hAnsi="Bookman Old Style" w:cs="Bookman Old Style"/>
        </w:rPr>
        <w:t xml:space="preserve">El consentimiento válido para acceder a la muerte médicamente asistida por regla general deberá ser previo, autónomo y libre, informado, específico, inequívoco, claro y reiterado. Podrá ser expresado tanto de manera verbal como escrita. </w:t>
      </w:r>
    </w:p>
    <w:p w14:paraId="1ADF9970"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0F0E1104"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Que sea previo implica que el consentimiento podrá ser expresado con anterioridad a la ocurrencia del evento médico (enfermedad o lesión) y en todo caso anterior a la realización del procedimiento de muerte médicamente asistida. </w:t>
      </w:r>
    </w:p>
    <w:p w14:paraId="29AF8A31"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4E553512"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Que sea autónomo y libre significa que debe estar exento de presiones por parte de terceros y debe permitir comprobar la autoría e identificación de quien manifiesta la voluntad. Quien manifiesta la voluntad debe ser el solicitante de la muerte médicamente asistida. </w:t>
      </w:r>
    </w:p>
    <w:p w14:paraId="35E1C104"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30B68940"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Que sea informado implica que los especialistas deben brindar al solicitante y su familia toda la información necesaria para adoptar decisiones en torno a la vida y al proceso de muerte de la persona. El consentimiento debe considerar la información adecuada y pertinente brindada por el personal médico.</w:t>
      </w:r>
    </w:p>
    <w:p w14:paraId="65BC2B13"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7ECD5509"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Que sea específico, inequívoco y claro implica que el sentido de la decisión debe ser consistente y no debe dejar lugar a dudas respecto de la voluntad de la persona de recibir una muerte médicamente asistida. </w:t>
      </w:r>
    </w:p>
    <w:p w14:paraId="26443202"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213F3465"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Que sea reiterado implica que al solicitante se le debe preguntar días después de expresado el consentimiento si mantiene su decisión de acceder a la muerte médicamente asistida y solo será posible continuar con el procedimiento si el solicitante responde de manera afirmativa. </w:t>
      </w:r>
    </w:p>
    <w:p w14:paraId="10C9CCFA"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28C954D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De manera extraordinaria y excepcional será admisible el consentimiento sustituto. También podrá tenerse como válida la declaración de voluntad anticipada siempre que se cumplan los requisitos previstos en la presente ley para esos mecanismos de expresión del consentimiento. No se podrán exigir ambos requisitos para el desarrollo del procedimiento (consentimiento sustituto y documento de voluntad anticipada) pues con uno de </w:t>
      </w:r>
      <w:proofErr w:type="gramStart"/>
      <w:r>
        <w:rPr>
          <w:rFonts w:ascii="Bookman Old Style" w:eastAsia="Bookman Old Style" w:hAnsi="Bookman Old Style" w:cs="Bookman Old Style"/>
        </w:rPr>
        <w:t>los dos basta</w:t>
      </w:r>
      <w:proofErr w:type="gramEnd"/>
      <w:r>
        <w:rPr>
          <w:rFonts w:ascii="Bookman Old Style" w:eastAsia="Bookman Old Style" w:hAnsi="Bookman Old Style" w:cs="Bookman Old Style"/>
        </w:rPr>
        <w:t>.</w:t>
      </w:r>
    </w:p>
    <w:p w14:paraId="4EC84A31" w14:textId="77777777" w:rsidR="00647410" w:rsidRDefault="00647410">
      <w:pPr>
        <w:ind w:left="142"/>
        <w:jc w:val="both"/>
        <w:rPr>
          <w:rFonts w:ascii="Bookman Old Style" w:eastAsia="Bookman Old Style" w:hAnsi="Bookman Old Style" w:cs="Bookman Old Style"/>
        </w:rPr>
      </w:pPr>
    </w:p>
    <w:p w14:paraId="74D31955"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El cumplimiento de los requisitos contenidos en el presente artículo se deberá valorar de manera sistemática con lo previsto en los artículos 24, 25, 26, 27, 28 y 30 de la presente ley. En los casos que se adecúen a las situaciones extraordinarias previstas en los referidos artículos prevalecerán las reglas específicas para el consentimiento allí contenidas.</w:t>
      </w:r>
    </w:p>
    <w:p w14:paraId="617FC26B"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7D527C7A"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20. Formalización del consentimiento. </w:t>
      </w:r>
      <w:r>
        <w:rPr>
          <w:rFonts w:ascii="Bookman Old Style" w:eastAsia="Bookman Old Style" w:hAnsi="Bookman Old Style" w:cs="Bookman Old Style"/>
        </w:rPr>
        <w:t xml:space="preserve">Para la formalización del consentimiento de la persona basta con que lo haga frente al profesional médico y frente a dos testigos. El profesional médico deberá dejar registro de la expresión del consentimiento en la historia clínica del solicitante.  </w:t>
      </w:r>
    </w:p>
    <w:p w14:paraId="607E4CF4"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685B179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21. Prevalencia del consentimiento final. </w:t>
      </w:r>
      <w:r>
        <w:rPr>
          <w:rFonts w:ascii="Bookman Old Style" w:eastAsia="Bookman Old Style" w:hAnsi="Bookman Old Style" w:cs="Bookman Old Style"/>
        </w:rPr>
        <w:t xml:space="preserve">Sí existen, por parte de la persona solicitante de la muerte médicamente asistida, distintas manifestaciones del consentimiento y estas se contradicen entre sí, prevalecerá la última. </w:t>
      </w:r>
    </w:p>
    <w:p w14:paraId="09A3D0DF" w14:textId="77777777" w:rsidR="00647410" w:rsidRDefault="00647410">
      <w:pPr>
        <w:jc w:val="both"/>
        <w:rPr>
          <w:rFonts w:ascii="Bookman Old Style" w:eastAsia="Bookman Old Style" w:hAnsi="Bookman Old Style" w:cs="Bookman Old Style"/>
        </w:rPr>
      </w:pPr>
    </w:p>
    <w:p w14:paraId="6C90C18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22. Posibilidad de retracto. </w:t>
      </w:r>
      <w:r>
        <w:rPr>
          <w:rFonts w:ascii="Bookman Old Style" w:eastAsia="Bookman Old Style" w:hAnsi="Bookman Old Style" w:cs="Bookman Old Style"/>
        </w:rPr>
        <w:t xml:space="preserve">En cualquier momento del trámite de la muerte médicamente asistida la persona solicitante podrá retirar su consentimiento y desistir de su solicitud y/o optar por otras alternativas en el marco del derecho a morir dignamente. </w:t>
      </w:r>
    </w:p>
    <w:p w14:paraId="085CE23D" w14:textId="77777777" w:rsidR="00647410" w:rsidRDefault="00647410">
      <w:pPr>
        <w:jc w:val="both"/>
        <w:rPr>
          <w:rFonts w:ascii="Bookman Old Style" w:eastAsia="Bookman Old Style" w:hAnsi="Bookman Old Style" w:cs="Bookman Old Style"/>
        </w:rPr>
      </w:pPr>
    </w:p>
    <w:p w14:paraId="6E5FE63F"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23. Manifestación del consentimiento en casos de personas con discapacidad. </w:t>
      </w:r>
      <w:r>
        <w:rPr>
          <w:rFonts w:ascii="Bookman Old Style" w:eastAsia="Bookman Old Style" w:hAnsi="Bookman Old Style" w:cs="Bookman Old Style"/>
        </w:rPr>
        <w:t>Las personas mayores de edad en situación de discapacidad, como sujetos de derechos y en ejercicio de su capacidad jurídica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7010DF8B" w14:textId="77777777" w:rsidR="00647410" w:rsidRDefault="00647410">
      <w:pPr>
        <w:ind w:left="173"/>
        <w:jc w:val="both"/>
        <w:rPr>
          <w:rFonts w:ascii="Bookman Old Style" w:eastAsia="Bookman Old Style" w:hAnsi="Bookman Old Style" w:cs="Bookman Old Style"/>
        </w:rPr>
      </w:pPr>
    </w:p>
    <w:p w14:paraId="525CBD9F"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4AE36CC7" w14:textId="77777777" w:rsidR="00647410" w:rsidRDefault="00647410">
      <w:pPr>
        <w:jc w:val="both"/>
        <w:rPr>
          <w:rFonts w:ascii="Bookman Old Style" w:eastAsia="Bookman Old Style" w:hAnsi="Bookman Old Style" w:cs="Bookman Old Style"/>
        </w:rPr>
      </w:pPr>
    </w:p>
    <w:p w14:paraId="11D0FD57"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24. Manifestación previa del consentimiento. </w:t>
      </w:r>
      <w:r>
        <w:rPr>
          <w:rFonts w:ascii="Bookman Old Style" w:eastAsia="Bookman Old Style" w:hAnsi="Bookman Old Style" w:cs="Bookman Old Style"/>
        </w:rPr>
        <w:t xml:space="preserve">El consentimiento podrá ser previo a la ocurrencia de la enfermedad grave e incurable o de la lesión corporal que le genere intensos sufrimientos físicos o psíquicos a la persona. No se requerirá la reiteración del consentimiento en </w:t>
      </w:r>
      <w:r>
        <w:rPr>
          <w:rFonts w:ascii="Bookman Old Style" w:eastAsia="Bookman Old Style" w:hAnsi="Bookman Old Style" w:cs="Bookman Old Style"/>
          <w:color w:val="000000"/>
        </w:rPr>
        <w:t>el caso en que la persona solicitante hubiese manifestado su consentimiento de manera persistente y posteriormente se encuentre ante la imposibilidad de reiterar su decisión.</w:t>
      </w:r>
    </w:p>
    <w:p w14:paraId="1993AD6D" w14:textId="77777777" w:rsidR="00647410" w:rsidRDefault="00647410">
      <w:pPr>
        <w:jc w:val="both"/>
        <w:rPr>
          <w:rFonts w:ascii="Bookman Old Style" w:eastAsia="Bookman Old Style" w:hAnsi="Bookman Old Style" w:cs="Bookman Old Style"/>
          <w:color w:val="000000"/>
        </w:rPr>
      </w:pPr>
    </w:p>
    <w:p w14:paraId="5170F8A0" w14:textId="77777777" w:rsidR="00647410" w:rsidRDefault="00000000">
      <w:pPr>
        <w:jc w:val="both"/>
        <w:rPr>
          <w:rFonts w:ascii="Bookman Old Style" w:eastAsia="Bookman Old Style" w:hAnsi="Bookman Old Style" w:cs="Bookman Old Style"/>
          <w:b/>
          <w:u w:val="single"/>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Para efectos del presente artículo debe entenderse que una persona manifestó su consentimiento de manera persistente cuando lo hizo en dos o más ocasiones.</w:t>
      </w:r>
    </w:p>
    <w:p w14:paraId="75FEFDA5" w14:textId="77777777" w:rsidR="00647410" w:rsidRDefault="00647410">
      <w:pPr>
        <w:jc w:val="both"/>
        <w:rPr>
          <w:rFonts w:ascii="Bookman Old Style" w:eastAsia="Bookman Old Style" w:hAnsi="Bookman Old Style" w:cs="Bookman Old Style"/>
        </w:rPr>
      </w:pPr>
    </w:p>
    <w:p w14:paraId="525595E1"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25. Del consentimiento sustituto. </w:t>
      </w:r>
      <w:r>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cuando la persona se encuentre en estado vegetativo o esté imposibilitado para expresar su voluntad. Se requerirá un concepto médico basado en elementos objetivos para acreditar el estado vegetativo o la imposibilidad de expresar el consentimiento. </w:t>
      </w:r>
    </w:p>
    <w:p w14:paraId="3863CB28" w14:textId="77777777" w:rsidR="00647410" w:rsidRDefault="00647410">
      <w:pPr>
        <w:jc w:val="both"/>
        <w:rPr>
          <w:rFonts w:ascii="Bookman Old Style" w:eastAsia="Bookman Old Style" w:hAnsi="Bookman Old Style" w:cs="Bookman Old Style"/>
        </w:rPr>
      </w:pPr>
    </w:p>
    <w:p w14:paraId="67757F0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El consentimiento sustituto podrá ser expresado por parte de una persona dentro de los dos grados de consanguinidad o afinidad de quien sea el potencial receptor de la muerte médicamente asistida. La persona encargada de manifestar el consentimiento sustituto deberá considerar, a partir de la información médica disponible, la decisión que persiga la mejor condición para la persona que no puede </w:t>
      </w:r>
      <w:r>
        <w:rPr>
          <w:rFonts w:ascii="Bookman Old Style" w:eastAsia="Bookman Old Style" w:hAnsi="Bookman Old Style" w:cs="Bookman Old Style"/>
        </w:rPr>
        <w:lastRenderedPageBreak/>
        <w:t xml:space="preserve">expresar directamente su voluntad y la posición que expresaría esa persona en caso de estar consciente o habilitada para hacerlo. </w:t>
      </w:r>
    </w:p>
    <w:p w14:paraId="2196B337" w14:textId="77777777" w:rsidR="00647410" w:rsidRDefault="00647410">
      <w:pPr>
        <w:jc w:val="both"/>
        <w:rPr>
          <w:rFonts w:ascii="Bookman Old Style" w:eastAsia="Bookman Old Style" w:hAnsi="Bookman Old Style" w:cs="Bookman Old Style"/>
        </w:rPr>
      </w:pPr>
    </w:p>
    <w:p w14:paraId="2D661B0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En los casos en que se pretenda hacer valer el consentimiento sustituto como medio para acceder a la muerte médicamente asistida el </w:t>
      </w:r>
      <w:r>
        <w:rPr>
          <w:rFonts w:ascii="Bookman Old Style" w:eastAsia="Bookman Old Style" w:hAnsi="Bookman Old Style" w:cs="Bookman Old Style"/>
          <w:color w:val="000000"/>
        </w:rPr>
        <w:t>Comité Científico Interdisciplinario para Morir Dignamente</w:t>
      </w:r>
      <w:r>
        <w:rPr>
          <w:rFonts w:ascii="Bookman Old Style" w:eastAsia="Bookman Old Style" w:hAnsi="Bookman Old Style" w:cs="Bookman Old Style"/>
        </w:rPr>
        <w:t xml:space="preserve"> deberá realizar un examen más estricto del cumplimiento de los otros tres requisitos contenidos en el artículo 17 de la presente ley para acceder a la muerte médicamente asistida. </w:t>
      </w:r>
    </w:p>
    <w:p w14:paraId="4126968F" w14:textId="77777777" w:rsidR="00647410" w:rsidRDefault="00647410">
      <w:pPr>
        <w:jc w:val="both"/>
        <w:rPr>
          <w:rFonts w:ascii="Bookman Old Style" w:eastAsia="Bookman Old Style" w:hAnsi="Bookman Old Style" w:cs="Bookman Old Style"/>
        </w:rPr>
      </w:pPr>
    </w:p>
    <w:p w14:paraId="006AB156" w14:textId="77777777" w:rsidR="00647410" w:rsidRDefault="00000000">
      <w:pPr>
        <w:widowControl w:val="0"/>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26. Del consentimiento mediante el Documento de Voluntad Anticipada. </w:t>
      </w:r>
      <w:r>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dignamente.</w:t>
      </w:r>
    </w:p>
    <w:p w14:paraId="1821EB5D" w14:textId="77777777" w:rsidR="00647410" w:rsidRDefault="00647410">
      <w:pPr>
        <w:widowControl w:val="0"/>
        <w:pBdr>
          <w:top w:val="nil"/>
          <w:left w:val="nil"/>
          <w:bottom w:val="nil"/>
          <w:right w:val="nil"/>
          <w:between w:val="nil"/>
        </w:pBdr>
        <w:jc w:val="both"/>
        <w:rPr>
          <w:rFonts w:ascii="Bookman Old Style" w:eastAsia="Bookman Old Style" w:hAnsi="Bookman Old Style" w:cs="Bookman Old Style"/>
        </w:rPr>
      </w:pPr>
    </w:p>
    <w:p w14:paraId="684F0E53" w14:textId="77777777" w:rsidR="00647410" w:rsidRDefault="00000000">
      <w:pPr>
        <w:widowControl w:val="0"/>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Toda persona </w:t>
      </w:r>
      <w:r>
        <w:rPr>
          <w:rFonts w:ascii="Bookman Old Style" w:eastAsia="Bookman Old Style" w:hAnsi="Bookman Old Style" w:cs="Bookman Old Style"/>
          <w:color w:val="000000"/>
        </w:rPr>
        <w:t>capaz y en pleno uso de sus facultades legales y mentales, de forma preventiva, -anticipando la posibilidad de que en el futuro no pueda tomar o reiterar esa decisión-, podrá hacer uso del Documento de Voluntad Anticipada para manifestar</w:t>
      </w:r>
      <w:r>
        <w:rPr>
          <w:rFonts w:ascii="Bookman Old Style" w:eastAsia="Bookman Old Style" w:hAnsi="Bookman Old Style" w:cs="Bookman Old Style"/>
          <w:color w:val="000000"/>
          <w:highlight w:val="white"/>
        </w:rPr>
        <w:t xml:space="preserve"> de manera libre, expresa, específica, clara, consciente, inequívoca e informada</w:t>
      </w:r>
      <w:r>
        <w:rPr>
          <w:rFonts w:ascii="Bookman Old Style" w:eastAsia="Bookman Old Style" w:hAnsi="Bookman Old Style" w:cs="Bookman Old Style"/>
          <w:highlight w:val="white"/>
        </w:rPr>
        <w:t xml:space="preserve"> su voluntad y consentimiento respecto de los siguientes asuntos:</w:t>
      </w:r>
    </w:p>
    <w:p w14:paraId="3BE56CB1" w14:textId="77777777" w:rsidR="00647410" w:rsidRDefault="00647410">
      <w:pPr>
        <w:widowControl w:val="0"/>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14:paraId="6B879F0F" w14:textId="77777777" w:rsidR="00647410" w:rsidRDefault="00000000">
      <w:pPr>
        <w:widowControl w:val="0"/>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acceso a cuidados paliativos.</w:t>
      </w:r>
    </w:p>
    <w:p w14:paraId="4CEDFDB5" w14:textId="77777777" w:rsidR="00647410" w:rsidRDefault="00000000">
      <w:pPr>
        <w:widowControl w:val="0"/>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612ADAF3" w14:textId="77777777" w:rsidR="00647410" w:rsidRDefault="00000000">
      <w:pPr>
        <w:widowControl w:val="0"/>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highlight w:val="white"/>
        </w:rPr>
        <w:t>El acceso a la muerte médicamente asistida</w:t>
      </w:r>
      <w:r>
        <w:rPr>
          <w:rFonts w:ascii="Bookman Old Style" w:eastAsia="Bookman Old Style" w:hAnsi="Bookman Old Style" w:cs="Bookman Old Style"/>
          <w:color w:val="000000"/>
        </w:rPr>
        <w:t xml:space="preserve">. </w:t>
      </w:r>
    </w:p>
    <w:p w14:paraId="441E8015"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1247D5E"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decisiones contenidas en los Documentos de Voluntad Anticipada podrán incluir tanto la voluntad de la persona de acceder a cualquiera de los servicios listados en el inciso anterior como a no acceder a ellos. </w:t>
      </w:r>
    </w:p>
    <w:p w14:paraId="4FEA73E3"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06CA527"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también podrá incluir en los Documentos de Voluntad Anticipada sus deseos o decisiones respecto de temas económicos, patrimoniales, entre otros asuntos de su vida personal para que sean tenidos en cuenta. </w:t>
      </w:r>
    </w:p>
    <w:p w14:paraId="1308B345"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FD21956"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 xml:space="preserve">El contenido de los Documentos de Voluntad Anticipada podrá ser modificado, sustituido o revocado por la persona en cualquier momento mientras tenga pleno uso de su capacidad de decidir y de manifestar su voluntad. Las voluntades expresadas por medio de un Documento de Voluntad Anticipada son de obligatorio cumplimiento y deberán ser respetadas una vez la persona no se </w:t>
      </w:r>
      <w:r>
        <w:rPr>
          <w:rFonts w:ascii="Bookman Old Style" w:eastAsia="Bookman Old Style" w:hAnsi="Bookman Old Style" w:cs="Bookman Old Style"/>
          <w:color w:val="000000"/>
        </w:rPr>
        <w:lastRenderedPageBreak/>
        <w:t xml:space="preserve">encuentre en capacidad de decidir ni de manifestar su voluntad y cumpla las condiciones legalmente previstas para acceder a cualquiera de las modalidades reconocidas para ejercer el derecho fundamental a morir dignamente. </w:t>
      </w:r>
    </w:p>
    <w:p w14:paraId="4A22C5B8"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3307F6A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2. </w:t>
      </w:r>
      <w:r>
        <w:rPr>
          <w:rFonts w:ascii="Bookman Old Style" w:eastAsia="Bookman Old Style" w:hAnsi="Bookman Old Style" w:cs="Bookman Old Style"/>
          <w:color w:val="000000"/>
        </w:rPr>
        <w:t xml:space="preserve">Si la persona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24 y 28 de la presente ley. </w:t>
      </w:r>
    </w:p>
    <w:p w14:paraId="538DC06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01B0C8F"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estará exceptuada de la reiteración del consentimiento si se cumplen los supuestos de hecho previstos en el artículo 24 de la presente ley. </w:t>
      </w:r>
    </w:p>
    <w:p w14:paraId="28BD74F6"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73CBEE3"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3. </w:t>
      </w:r>
      <w:r>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la persona que manifiesta la voluntad esté acompañada de dos testigos que sean plenamente identificables; sea posible comprobar la autoría e identificación de quien manifiesta la voluntad y sea posible establecer el contenido y sentido de la voluntad y el consentimiento de la persona.   </w:t>
      </w:r>
    </w:p>
    <w:p w14:paraId="4073D133" w14:textId="77777777" w:rsidR="00647410" w:rsidRDefault="00647410">
      <w:pPr>
        <w:jc w:val="both"/>
        <w:rPr>
          <w:rFonts w:ascii="Bookman Old Style" w:eastAsia="Bookman Old Style" w:hAnsi="Bookman Old Style" w:cs="Bookman Old Style"/>
          <w:b/>
        </w:rPr>
      </w:pPr>
    </w:p>
    <w:p w14:paraId="362D56FD"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4. </w:t>
      </w:r>
      <w:r>
        <w:rPr>
          <w:rFonts w:ascii="Bookman Old Style" w:eastAsia="Bookman Old Style" w:hAnsi="Bookman Old Style" w:cs="Bookman Old Style"/>
          <w:color w:val="000000"/>
        </w:rPr>
        <w:t xml:space="preserve">Para la formalización del Documento de Voluntad Anticipada, así como para su modificación, sustitución o revocación, basta que se dé ante el médico tratante o ante dos (2) testigos. El médico tratante deberá incorporar el Documento de Voluntad Anticipada, así como toda modificación, sustitución o revocación que la persona haga a ese documento, en la historia clínica de la persona. </w:t>
      </w:r>
    </w:p>
    <w:p w14:paraId="046EEA00" w14:textId="77777777" w:rsidR="00647410" w:rsidRDefault="00647410">
      <w:pPr>
        <w:jc w:val="both"/>
        <w:rPr>
          <w:rFonts w:ascii="Bookman Old Style" w:eastAsia="Bookman Old Style" w:hAnsi="Bookman Old Style" w:cs="Bookman Old Style"/>
        </w:rPr>
      </w:pPr>
    </w:p>
    <w:p w14:paraId="2E13BD6B" w14:textId="77777777" w:rsidR="00647410"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III</w:t>
      </w:r>
    </w:p>
    <w:p w14:paraId="46568D49"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DE LA SOLICITUD Y LA PRESTACIÓN DE LA MUERTE MÉDICAMENTE ASISTIDA </w:t>
      </w:r>
    </w:p>
    <w:p w14:paraId="0176F414" w14:textId="77777777" w:rsidR="00647410" w:rsidRDefault="00647410">
      <w:pPr>
        <w:jc w:val="both"/>
        <w:rPr>
          <w:rFonts w:ascii="Bookman Old Style" w:eastAsia="Bookman Old Style" w:hAnsi="Bookman Old Style" w:cs="Bookman Old Style"/>
          <w:i/>
          <w:color w:val="000000"/>
        </w:rPr>
      </w:pPr>
    </w:p>
    <w:p w14:paraId="4B7E4C7A"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27. Del trámite de la solicitud. </w:t>
      </w:r>
      <w:r>
        <w:rPr>
          <w:rFonts w:ascii="Bookman Old Style" w:eastAsia="Bookman Old Style" w:hAnsi="Bookman Old Style" w:cs="Bookman Old Style"/>
        </w:rPr>
        <w:t xml:space="preserve">El Ministerio de Salud y Protección Social o la entidad que haga sus veces reglamentará en un término de seis (6) meses, contados a partir de la entrada en vigor de la presente ley, el trámite de la solicitud de acuerdo con los previsto en las disposiciones de la presente ley y atendiendo a los siguientes parámetros: </w:t>
      </w:r>
    </w:p>
    <w:p w14:paraId="4748BA6A" w14:textId="77777777" w:rsidR="00647410" w:rsidRDefault="00647410">
      <w:pPr>
        <w:ind w:left="142"/>
        <w:jc w:val="both"/>
        <w:rPr>
          <w:rFonts w:ascii="Bookman Old Style" w:eastAsia="Bookman Old Style" w:hAnsi="Bookman Old Style" w:cs="Bookman Old Style"/>
        </w:rPr>
      </w:pPr>
    </w:p>
    <w:p w14:paraId="4C244E7F"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solicitud de la muerte medicamente asistida podrá presentada de manera verbal o escrita por medio de documento escrito, video, audio, otros medios tecnológicos y en otros sistemas de comunicación, siempre y cuando sea posible comprobar la autoría e identificación de quien realiza la solicitud y sea posible establecer el contenido y sentido de la solicitud.</w:t>
      </w:r>
    </w:p>
    <w:p w14:paraId="27E43DBF"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7A21998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Se dispondrá de un formato único para la solicitud, en caso de ser escrita.</w:t>
      </w:r>
    </w:p>
    <w:p w14:paraId="760BEBBE"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25FC33F"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contará con un proceso de doble verificación o reiteración de la voluntad del solicitante y de los requisitos establecidos en la presente ley.</w:t>
      </w:r>
    </w:p>
    <w:p w14:paraId="6ED21F07"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DFD32E7"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profesional médico que reciba la solicitud y el Comité </w:t>
      </w:r>
      <w:proofErr w:type="spellStart"/>
      <w:r>
        <w:rPr>
          <w:rFonts w:ascii="Bookman Old Style" w:eastAsia="Bookman Old Style" w:hAnsi="Bookman Old Style" w:cs="Bookman Old Style"/>
          <w:color w:val="000000"/>
        </w:rPr>
        <w:t>Comité</w:t>
      </w:r>
      <w:proofErr w:type="spellEnd"/>
      <w:r>
        <w:rPr>
          <w:rFonts w:ascii="Bookman Old Style" w:eastAsia="Bookman Old Style" w:hAnsi="Bookman Old Style" w:cs="Bookman Old Style"/>
          <w:color w:val="000000"/>
        </w:rPr>
        <w:t xml:space="preserve"> Científico Interdisciplinario para Morir Dignamente serán los encargados de realizar las correspondientes valoraciones y certificaciones del cumplimiento de los requisitos para acceder a la muerte médicamente asistida.</w:t>
      </w:r>
    </w:p>
    <w:p w14:paraId="4596760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839ACAD"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determinará la forma en la cual se realizará el proceso asistencial para verificar el cumplimiento de requisitos para acceder a la muerte médicamente asistida por parte de los equipos médicos. Se sugerirán, a los profesionales médicos, a las Empresas Promotoras de Salud y a las Instituciones Prestadoras de Salud, protocolos para realizar tales valoraciones. </w:t>
      </w:r>
    </w:p>
    <w:p w14:paraId="17A2380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54CFDF9"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verificación de que el consentimiento que se pretende hacer valer cumple con los requisitos exigidos por la presente ley deberá realizarse dentro de los diez (10) días siguientes a la recepción de la solicitud.</w:t>
      </w:r>
    </w:p>
    <w:p w14:paraId="35B81C97"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732D8C3E"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valoraciones médicas mediante las cuales se verificará el cumplimiento de los requisitos médicos para acceder a la muerte médicamente asistida, deberán realizarse dentro de los diez (10) días calendario siguientes a que se verifique que el consentimiento cumple con los requisitos exigidos en la presente ley y en sus normas reglamentarias. </w:t>
      </w:r>
    </w:p>
    <w:p w14:paraId="356A19FD"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4273D54D"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reiteración del consentimiento, en los casos en que sea exigible, deberá darse dentro de los diez (10) días calendario siguientes a la realización de las valoraciones médicas mediante las cuales se verificará el cumplimiento de los requisitos médicos para acceder a la muerte médicamente asistida.</w:t>
      </w:r>
    </w:p>
    <w:p w14:paraId="70CAD55E"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306874A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El agendamiento de la aplicación de la muerte médicamente asistida se programará dentro de los quince (15) días calendario siguientes a la fecha en que se reitere el consentimiento o siguientes a la fecha en que se acredite el cumplimiento de la totalidad de requisitos para acceder a la muerte médicamente asistida cuando no sea exigible la reiteración del consentimiento.</w:t>
      </w:r>
    </w:p>
    <w:p w14:paraId="32500E19"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4439B05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procedimiento de muerte médicamente asistida se programará atendiendo al interés y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742F02F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A90FC1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garantizará el deber de información. El profesional médico deberá informar a la persona solicitante su condición médica y las distintas opciones de tratamiento a las que puede acceder, entre ellas el cuidado </w:t>
      </w:r>
      <w:r>
        <w:rPr>
          <w:rFonts w:ascii="Bookman Old Style" w:eastAsia="Bookman Old Style" w:hAnsi="Bookman Old Style" w:cs="Bookman Old Style"/>
          <w:color w:val="000000"/>
        </w:rPr>
        <w:lastRenderedPageBreak/>
        <w:t xml:space="preserve">paliativo, la adecuación o suspensión del esfuerzo terapéutico, la muerte médicamente asistida, entre otras. La recepción de dichos tratamientos no podrá ser obligatoria, ni tampoco podrá entenderse como un requisito para solicitar la muerte médicamente asistida o como limitante de la autonomía del paciente. </w:t>
      </w:r>
    </w:p>
    <w:p w14:paraId="3723FA1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7A3D0D61"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Se contará con un sistema de reporte de las actuaciones realizadas por parte del equipo médico y del Comité Científico Interdisciplinario para Morir 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13372CB7"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46BB204D"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 igual manera, todas estas actuaciones deberán registrarse en la historia clínica de quien solicita la muerte médicamente asistida desde el momento en el que se recibe la solicitud. La información reportada respetará las normas vigentes en materia de protección de datos personales y la confidencialidad de la historia clínica. </w:t>
      </w:r>
    </w:p>
    <w:p w14:paraId="13D3102E" w14:textId="77777777" w:rsidR="00647410" w:rsidRDefault="00647410">
      <w:pPr>
        <w:rPr>
          <w:rFonts w:ascii="Bookman Old Style" w:eastAsia="Bookman Old Style" w:hAnsi="Bookman Old Style" w:cs="Bookman Old Style"/>
          <w:color w:val="000000"/>
        </w:rPr>
      </w:pPr>
    </w:p>
    <w:p w14:paraId="23205EE6"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que realicen y cada procedimiento que culmine con el ejercicio a la muerte digna del solicitante. </w:t>
      </w:r>
    </w:p>
    <w:p w14:paraId="2BE55B26"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18E6801F"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 la persona y el municipio o distrito en que se realizó el procedimiento. No podrá incluirse información que permita la individualización o identificación de la persona que ejerció o solicitó el ejercicio del derecho a morir dignamente en la modalidad de muerte médicamente asistida. </w:t>
      </w:r>
    </w:p>
    <w:p w14:paraId="5DCDEB65"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FCC5C21"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Se dispondrá de un procedimiento para los casos de rechazo de la solicitud o para cuando se requiera una segunda valoración médica en cada una de las etapas del trámite de la solicitud. En todo caso, las segundas valoraciones deberán hacerse dentro de los tiempos previstos en los numerales 6, 7, 8 y 9 del presente artículo.</w:t>
      </w:r>
    </w:p>
    <w:p w14:paraId="1DF7410C"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18721C8"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Toda persona tendrá derecho a ser informada sobre las razones por las cuales fue aprobada o rechazada la realización del procedimiento de la muerte médicamente asistida y podrá pedir una segunda valoración de los requisitos que deberá ser realizada por personas diferentes a quienes realizaron la primera.</w:t>
      </w:r>
    </w:p>
    <w:p w14:paraId="2827C6E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9057BAF"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Se dispondrá de un procedimiento para solicitar la adecuación del esfuerzo terapéutico. </w:t>
      </w:r>
    </w:p>
    <w:p w14:paraId="0266A92B"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77479C3" w14:textId="77777777" w:rsidR="00647410" w:rsidRDefault="0000000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Ministerio de Salud y Protección Social o la entidad que haga sus veces en conjunto con la Superintendencia de Salud, en el marco de sus funciones de inspección, vigilancia y control, podrán verificar si los procedimientos realizados por una determinada institución prestadora de salud o entidad promotora de salud para garantizar el acceso al derecho a morir dignamente fueron idóneos y se cumplieron los requisitos determinados en la presente ley. El documento en el cual se consignen esas conclusiones deberá ser remitido a la Procuraduría General de la Nación. </w:t>
      </w:r>
    </w:p>
    <w:p w14:paraId="0A700EF4"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7FA5A5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28. Reiteración del consentimiento. </w:t>
      </w:r>
      <w:r>
        <w:rPr>
          <w:rFonts w:ascii="Bookman Old Style" w:eastAsia="Bookman Old Style" w:hAnsi="Bookman Old Style" w:cs="Bookman Old Style"/>
        </w:rPr>
        <w:t>Dentro del proceso para acceder a la muerte médicamente asistida la persona deberá manifestar su consentimiento de manera inicial y luego deberá reiterarlo como condición para que se le practique la muerte médicamente asistida. La reiteración del consentimiento deberá darse dentro de los diez (10) días calendario siguientes a l</w:t>
      </w:r>
      <w:r>
        <w:rPr>
          <w:rFonts w:ascii="Bookman Old Style" w:eastAsia="Bookman Old Style" w:hAnsi="Bookman Old Style" w:cs="Bookman Old Style"/>
          <w:color w:val="000000"/>
        </w:rPr>
        <w:t xml:space="preserve">as valoraciones </w:t>
      </w:r>
      <w:r>
        <w:rPr>
          <w:rFonts w:ascii="Bookman Old Style" w:eastAsia="Bookman Old Style" w:hAnsi="Bookman Old Style" w:cs="Bookman Old Style"/>
        </w:rPr>
        <w:t xml:space="preserve">médicas </w:t>
      </w:r>
      <w:r>
        <w:rPr>
          <w:rFonts w:ascii="Bookman Old Style" w:eastAsia="Bookman Old Style" w:hAnsi="Bookman Old Style" w:cs="Bookman Old Style"/>
          <w:color w:val="000000"/>
        </w:rPr>
        <w:t>mediante las cuales se verificará el cumplimiento de los requisitos médicos para acceder a la muerte médicamente asistida. Acreditada la reiteración del consentimiento se dará</w:t>
      </w:r>
      <w:r>
        <w:rPr>
          <w:rFonts w:ascii="Bookman Old Style" w:eastAsia="Bookman Old Style" w:hAnsi="Bookman Old Style" w:cs="Bookman Old Style"/>
        </w:rPr>
        <w:t xml:space="preserve"> paso a la programación del procedimiento de muerte médicamente asistida en el menor tiempo posible. </w:t>
      </w:r>
    </w:p>
    <w:p w14:paraId="2A68A22F" w14:textId="77777777" w:rsidR="00647410" w:rsidRDefault="00647410">
      <w:pPr>
        <w:jc w:val="both"/>
        <w:rPr>
          <w:rFonts w:ascii="Bookman Old Style" w:eastAsia="Bookman Old Style" w:hAnsi="Bookman Old Style" w:cs="Bookman Old Style"/>
        </w:rPr>
      </w:pPr>
    </w:p>
    <w:p w14:paraId="0B22B21B"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La aplicación de la muerte médicamente asistida deberá darse en un máximo de quince (15) días calendario contados desde la reiteración de la decisión. La persona solicitante podrá elegir la fecha y hora dentro de ese rango de días. </w:t>
      </w:r>
    </w:p>
    <w:p w14:paraId="4D175ECB"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49C794D"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color w:val="000000"/>
        </w:rPr>
        <w:t xml:space="preserve">Artículo 29. Desistimiento de la solicitud. </w:t>
      </w:r>
      <w:r>
        <w:rPr>
          <w:rFonts w:ascii="Bookman Old Style" w:eastAsia="Bookman Old Style" w:hAnsi="Bookman Old Style" w:cs="Bookman Old Style"/>
        </w:rPr>
        <w:t>La persona que solicitó la muerte médicamente asistida puede desistir en todo momento de su solicitud. El desistimiento deberá formalizarse de la misma manera en que se formalizó el consentimiento y deberá consignarse en la historia clínica del paciente por parte del profesional médico que preste atención a la persona.</w:t>
      </w:r>
    </w:p>
    <w:p w14:paraId="51E6337F" w14:textId="77777777" w:rsidR="00647410" w:rsidRDefault="00647410">
      <w:pPr>
        <w:jc w:val="both"/>
        <w:rPr>
          <w:rFonts w:ascii="Bookman Old Style" w:eastAsia="Bookman Old Style" w:hAnsi="Bookman Old Style" w:cs="Bookman Old Style"/>
        </w:rPr>
      </w:pPr>
    </w:p>
    <w:p w14:paraId="075275A4"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30. Aplicación de la muerte médicamente asistida. </w:t>
      </w:r>
      <w:r>
        <w:rPr>
          <w:rFonts w:ascii="Bookman Old Style" w:eastAsia="Bookman Old Style" w:hAnsi="Bookman Old Style" w:cs="Bookman Old Style"/>
        </w:rPr>
        <w:t xml:space="preserve">Verificada la validez del consentimiento, el cumplimiento de todos los requisitos legalmente exigidos para acceder a la muerte médicamente asistida, reiterado el consentimiento y verificada su validez en los casos en que tal acción sea exigible se agendará </w:t>
      </w:r>
      <w:r>
        <w:rPr>
          <w:rFonts w:ascii="Bookman Old Style" w:eastAsia="Bookman Old Style" w:hAnsi="Bookman Old Style" w:cs="Bookman Old Style"/>
          <w:color w:val="000000"/>
        </w:rPr>
        <w:t>la aplicación de la muerte médicamente asistida.</w:t>
      </w:r>
    </w:p>
    <w:p w14:paraId="0177DAA4"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E0B72AF"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programación de la muerte médicamente asistida deberá darse dentro de los quince (15) días calendario siguientes a la fecha en que se reitere el consentimiento cuando ese requisito sea exigible o dentro de los quince (15) días calendario siguientes a la fecha en que se acredita el cumplimiento de la totalidad de requisitos para acceder a la muerte médicamente asistida cuando no sea exigible la reiteración del consentimiento.</w:t>
      </w:r>
    </w:p>
    <w:p w14:paraId="483B8AC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F46D1C6"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Entre el momento en que la persona radique la solicitud y la prestación del servicio de la muerte médicamente asistida no podrán pasar más de cuarenta y cinco (45) días calendario siempre y cuando se acredite el correcto cumplimiento de todos los requisitos legales y reglamentarios para acceder a la muerte médicamente asistida. </w:t>
      </w:r>
    </w:p>
    <w:p w14:paraId="4AEA7398"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1F615FD1"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procedimiento de muerte médicamente asistida se programará atendiendo al interés y la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 y con el lleno de requisitos legales.</w:t>
      </w:r>
    </w:p>
    <w:p w14:paraId="75A5A758" w14:textId="77777777" w:rsidR="00647410" w:rsidRDefault="00647410">
      <w:pPr>
        <w:jc w:val="both"/>
        <w:rPr>
          <w:rFonts w:ascii="Bookman Old Style" w:eastAsia="Bookman Old Style" w:hAnsi="Bookman Old Style" w:cs="Bookman Old Style"/>
          <w:color w:val="000000"/>
        </w:rPr>
      </w:pPr>
    </w:p>
    <w:p w14:paraId="6F11D3AD" w14:textId="77777777" w:rsidR="00647410" w:rsidRDefault="00647410">
      <w:pPr>
        <w:jc w:val="center"/>
        <w:rPr>
          <w:rFonts w:ascii="Bookman Old Style" w:eastAsia="Bookman Old Style" w:hAnsi="Bookman Old Style" w:cs="Bookman Old Style"/>
          <w:b/>
        </w:rPr>
      </w:pPr>
    </w:p>
    <w:p w14:paraId="19F285AB"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TÍTULO III</w:t>
      </w:r>
    </w:p>
    <w:p w14:paraId="07FEA14E"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PROCESO PARA ACCEDER AL DERECHO A LA MUERTE DIGNA EN LA MODALIDAD DE MUERTE MÉDICAMENTE ASISTIDA</w:t>
      </w:r>
    </w:p>
    <w:p w14:paraId="4E7ED8F2"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TRATÁNDOSE DE NIÑOS, NIÑAS Y ADOLESCENTES</w:t>
      </w:r>
    </w:p>
    <w:p w14:paraId="73558AD0" w14:textId="77777777" w:rsidR="00647410" w:rsidRDefault="00647410">
      <w:pPr>
        <w:jc w:val="center"/>
        <w:rPr>
          <w:rFonts w:ascii="Bookman Old Style" w:eastAsia="Bookman Old Style" w:hAnsi="Bookman Old Style" w:cs="Bookman Old Style"/>
          <w:b/>
        </w:rPr>
      </w:pPr>
    </w:p>
    <w:p w14:paraId="33BB31AB"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CAPÍTULO I</w:t>
      </w:r>
    </w:p>
    <w:p w14:paraId="2F6D3A60"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PARTICIPANTES EN EL PROCESO Y REQUISITOS PARA EL ACCESO A LA MUERTE MÉDICAMENTE ASISTIDA</w:t>
      </w:r>
    </w:p>
    <w:p w14:paraId="0C6532C5" w14:textId="77777777" w:rsidR="00647410" w:rsidRDefault="00647410">
      <w:pPr>
        <w:rPr>
          <w:rFonts w:ascii="Bookman Old Style" w:eastAsia="Bookman Old Style" w:hAnsi="Bookman Old Style" w:cs="Bookman Old Style"/>
          <w:b/>
        </w:rPr>
      </w:pPr>
    </w:p>
    <w:p w14:paraId="21596465" w14:textId="77777777" w:rsidR="00647410" w:rsidRDefault="00647410">
      <w:pPr>
        <w:jc w:val="both"/>
        <w:rPr>
          <w:rFonts w:ascii="Bookman Old Style" w:eastAsia="Bookman Old Style" w:hAnsi="Bookman Old Style" w:cs="Bookman Old Style"/>
          <w:b/>
        </w:rPr>
      </w:pPr>
    </w:p>
    <w:p w14:paraId="7D6D2C56"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31. Reconocimiento del derecho a la morir dignamente en la modalidad de muerte médicamente asistida a los niños, niñas y adolescentes. </w:t>
      </w:r>
      <w:r>
        <w:rPr>
          <w:rFonts w:ascii="Bookman Old Style" w:eastAsia="Bookman Old Style" w:hAnsi="Bookman Old Style" w:cs="Bookman Old Style"/>
        </w:rPr>
        <w:t xml:space="preserve">Los niños, niñas y adolescentes son titulares del derecho a morir dignamente. Los niños, niñas y adolescentes entre los seis (6) y los dieciocho (18) años pueden acceder a la muerte médicamente asistida en los términos previstos en la presente ley y en las normas que la reglamenten. Los niños y niñas entre los cero (0) y los seis (6) años podrán ejercer su derecho a morir dignamente mediante la adecuación o suspensión del esfuerzo terapéutico o mediante el acceso a cuidados paliativos.  </w:t>
      </w:r>
    </w:p>
    <w:p w14:paraId="604AE18A" w14:textId="77777777" w:rsidR="00647410" w:rsidRDefault="00647410">
      <w:pPr>
        <w:jc w:val="both"/>
        <w:rPr>
          <w:rFonts w:ascii="Bookman Old Style" w:eastAsia="Bookman Old Style" w:hAnsi="Bookman Old Style" w:cs="Bookman Old Style"/>
        </w:rPr>
      </w:pPr>
    </w:p>
    <w:p w14:paraId="33BB668A"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Impedir o negar la aplicación de la muerte médicamente asistida a los niños, niñas y adolescentes con base en criterios diferentes a los contemplados en la presente ley implica una violación al principio del interés superior de estos individuos y podría ser causal de la comisión de tratos crueles, inhumanos y degradantes en su contra que por lo demás afectan su dignidad humana. </w:t>
      </w:r>
    </w:p>
    <w:p w14:paraId="37599C31" w14:textId="77777777" w:rsidR="00647410" w:rsidRDefault="00647410">
      <w:pPr>
        <w:jc w:val="both"/>
        <w:rPr>
          <w:rFonts w:ascii="Bookman Old Style" w:eastAsia="Bookman Old Style" w:hAnsi="Bookman Old Style" w:cs="Bookman Old Style"/>
        </w:rPr>
      </w:pPr>
    </w:p>
    <w:p w14:paraId="03C9D866"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Las condiciones de ejercicio del derecho fundamental a morir dignamente y de acceso a la muerte médicamente asistida en niños, niñas y adolescentes serán diferenciales respecto del resto de la población. El Ministerio de Salud y Protección Social, así como las Entidades Promotoras de Salud y las Instituciones Prestadores de Salud, o quienes hagan sus veces, deberán adoptar medidas diferenciales, especialmente en lo relacionado con el consentimiento y la manifestación de </w:t>
      </w:r>
      <w:r>
        <w:rPr>
          <w:rFonts w:ascii="Bookman Old Style" w:eastAsia="Bookman Old Style" w:hAnsi="Bookman Old Style" w:cs="Bookman Old Style"/>
        </w:rPr>
        <w:lastRenderedPageBreak/>
        <w:t>voluntad. Esas normas deberán estar alineadas con las disposiciones contenidas en la presente ley.</w:t>
      </w:r>
    </w:p>
    <w:p w14:paraId="717F774D" w14:textId="77777777" w:rsidR="00647410" w:rsidRDefault="00647410">
      <w:pPr>
        <w:jc w:val="both"/>
        <w:rPr>
          <w:rFonts w:ascii="Bookman Old Style" w:eastAsia="Bookman Old Style" w:hAnsi="Bookman Old Style" w:cs="Bookman Old Style"/>
          <w:b/>
        </w:rPr>
      </w:pPr>
    </w:p>
    <w:p w14:paraId="4210B24B"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32. Carácter especial de las normas contenidas en el Título III y su relación con las que integran el título II de la presente ley. </w:t>
      </w:r>
      <w:r>
        <w:rPr>
          <w:rFonts w:ascii="Bookman Old Style" w:eastAsia="Bookman Old Style" w:hAnsi="Bookman Old Style" w:cs="Bookman Old Style"/>
        </w:rPr>
        <w:t xml:space="preserve">Las disposiciones que hacen parte del título III de la presente ley </w:t>
      </w:r>
      <w:r>
        <w:rPr>
          <w:rFonts w:ascii="Bookman Old Style" w:eastAsia="Bookman Old Style" w:hAnsi="Bookman Old Style" w:cs="Bookman Old Style"/>
          <w:i/>
        </w:rPr>
        <w:t xml:space="preserve">“Proceso para acceder al derecho a la muerte digna en la modalidad de muerte médicamente asistida tratándose de niños, niñas y adolescentes” </w:t>
      </w:r>
      <w:r>
        <w:rPr>
          <w:rFonts w:ascii="Bookman Old Style" w:eastAsia="Bookman Old Style" w:hAnsi="Bookman Old Style" w:cs="Bookman Old Style"/>
        </w:rPr>
        <w:t xml:space="preserve">son normas de carácter especial por lo que prevalecen para la aplicación de la muerte médicamente asistida en el caso de niños, niñas y adolescentes. </w:t>
      </w:r>
    </w:p>
    <w:p w14:paraId="1594C1B0" w14:textId="77777777" w:rsidR="00647410" w:rsidRDefault="00647410">
      <w:pPr>
        <w:jc w:val="both"/>
        <w:rPr>
          <w:rFonts w:ascii="Bookman Old Style" w:eastAsia="Bookman Old Style" w:hAnsi="Bookman Old Style" w:cs="Bookman Old Style"/>
        </w:rPr>
      </w:pPr>
    </w:p>
    <w:p w14:paraId="06D739A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En caso de que algún asunto referido a la prestación de la muerte médicamente asistida en niños, niñas y adolescentes no se regule de manera diferencial en el presente título deberán adoptarse las disposiciones de carácter general contempladas en el título II de la presente ley. </w:t>
      </w:r>
    </w:p>
    <w:p w14:paraId="09CAB447" w14:textId="77777777" w:rsidR="00647410" w:rsidRDefault="00647410">
      <w:pPr>
        <w:jc w:val="both"/>
        <w:rPr>
          <w:rFonts w:ascii="Bookman Old Style" w:eastAsia="Bookman Old Style" w:hAnsi="Bookman Old Style" w:cs="Bookman Old Style"/>
        </w:rPr>
      </w:pPr>
    </w:p>
    <w:p w14:paraId="4072B2A7"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33. Participantes. </w:t>
      </w:r>
      <w:r>
        <w:rPr>
          <w:rFonts w:ascii="Bookman Old Style" w:eastAsia="Bookman Old Style" w:hAnsi="Bookman Old Style" w:cs="Bookman Old Style"/>
        </w:rPr>
        <w:t xml:space="preserve">Serán participantes en el proceso para acceder a la muerte médicamente asistida en niños, niñas y adolescentes: </w:t>
      </w:r>
      <w:r>
        <w:rPr>
          <w:rFonts w:ascii="Bookman Old Style" w:eastAsia="Bookman Old Style" w:hAnsi="Bookman Old Style" w:cs="Bookman Old Style"/>
          <w:color w:val="000000"/>
        </w:rPr>
        <w:t xml:space="preserve">el niño, niña o adolescente </w:t>
      </w:r>
      <w:r>
        <w:rPr>
          <w:rFonts w:ascii="Bookman Old Style" w:eastAsia="Bookman Old Style" w:hAnsi="Bookman Old Style" w:cs="Bookman Old Style"/>
        </w:rPr>
        <w:t>entre los seis (6) y los dieciocho (18) años</w:t>
      </w:r>
      <w:r>
        <w:rPr>
          <w:rFonts w:ascii="Bookman Old Style" w:eastAsia="Bookman Old Style" w:hAnsi="Bookman Old Style" w:cs="Bookman Old Style"/>
          <w:color w:val="000000"/>
        </w:rPr>
        <w:t xml:space="preserve"> que sea potencial receptor de la muerte médicamente asistida, las personas hasta dentro del segundo grado de consanguinidad o afinidad del niño, niña o adolescente, quienes ejerzan la representación legal del niño, niña o adolescente </w:t>
      </w:r>
      <w:r>
        <w:rPr>
          <w:rFonts w:ascii="Bookman Old Style" w:eastAsia="Bookman Old Style" w:hAnsi="Bookman Old Style" w:cs="Bookman Old Style"/>
        </w:rPr>
        <w:t>entre los seis (6) y los dieciocho (18) años</w:t>
      </w:r>
      <w:r>
        <w:rPr>
          <w:rFonts w:ascii="Bookman Old Style" w:eastAsia="Bookman Old Style" w:hAnsi="Bookman Old Style" w:cs="Bookman Old Style"/>
          <w:color w:val="000000"/>
        </w:rPr>
        <w:t xml:space="preserve"> que sea potencial receptor de la muerte médicamente asistida, el profesional de la medicina designado para aplicar la muerte médicamente asistida, la entidad promotora de salud del niño, niña o adolescente, la institución prestadora de salud encargada de aplicar el procedimiento de la muerte médicamente asistida, las personas que integren el Comité Científico Interdisciplinario para Morir Dignamente, quienes testifiquen en el proceso de formalización del consentimiento y el defensor de familia.</w:t>
      </w:r>
    </w:p>
    <w:p w14:paraId="0B3C869D" w14:textId="77777777" w:rsidR="00647410" w:rsidRDefault="00647410">
      <w:pPr>
        <w:jc w:val="both"/>
        <w:rPr>
          <w:rFonts w:ascii="Bookman Old Style" w:eastAsia="Bookman Old Style" w:hAnsi="Bookman Old Style" w:cs="Bookman Old Style"/>
        </w:rPr>
      </w:pPr>
    </w:p>
    <w:p w14:paraId="2C04F5A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34.  Requisitos. </w:t>
      </w:r>
      <w:r>
        <w:rPr>
          <w:rFonts w:ascii="Bookman Old Style" w:eastAsia="Bookman Old Style" w:hAnsi="Bookman Old Style" w:cs="Bookman Old Style"/>
        </w:rPr>
        <w:t xml:space="preserve">Para la aplicación de la muerte médicamente asistida en una niños, niñas y adolescentes, se deberán cumplir con los siguientes requisitos: </w:t>
      </w:r>
    </w:p>
    <w:p w14:paraId="554FC4A1" w14:textId="77777777" w:rsidR="00647410" w:rsidRDefault="00647410">
      <w:pPr>
        <w:jc w:val="both"/>
        <w:rPr>
          <w:rFonts w:ascii="Bookman Old Style" w:eastAsia="Bookman Old Style" w:hAnsi="Bookman Old Style" w:cs="Bookman Old Style"/>
        </w:rPr>
      </w:pPr>
    </w:p>
    <w:p w14:paraId="70373598"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persona potencialmente receptora de la muerte médicamente asistida sea un niño, niña o adolescente entre los seis (6) y los dieciocho (18) años.</w:t>
      </w:r>
    </w:p>
    <w:p w14:paraId="110FF1A5"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los padres del niño, niña o adolescente o quienes ejerzan su representación legal sean mayores de dieciocho 18 años.</w:t>
      </w:r>
    </w:p>
    <w:p w14:paraId="2BB6104C"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el niño, niña o adolescente potencialmente receptor de la muerte médicamente asistida presente una enfermedad grave e incurable o lesión corporal que le cause un intenso sufrimiento físico o psíquico. No es necesario ni será exigible acreditar la existencia de enfermedad terminal ni pronóstico médico de muerte próxima.</w:t>
      </w:r>
    </w:p>
    <w:p w14:paraId="029C06C9"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Que el niño, niña o adolescente potencialmente receptor de la muerte médicamente asistida haya expresado su consentimiento y haya </w:t>
      </w:r>
      <w:r>
        <w:rPr>
          <w:rFonts w:ascii="Bookman Old Style" w:eastAsia="Bookman Old Style" w:hAnsi="Bookman Old Style" w:cs="Bookman Old Style"/>
          <w:color w:val="000000"/>
        </w:rPr>
        <w:lastRenderedPageBreak/>
        <w:t xml:space="preserve">manifestado su voluntad de acceder a la muerte médicamente asistida bajo las consideraciones previstas en el presente título. </w:t>
      </w:r>
    </w:p>
    <w:p w14:paraId="36BCF1F6"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la aplicación de la muerte médicamente asistida sea realizada por un profesional de la medicina.</w:t>
      </w:r>
    </w:p>
    <w:p w14:paraId="099B32E7" w14:textId="77777777" w:rsidR="00647410" w:rsidRDefault="00000000">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Los niños y niñas entre los seis (6) y los doce (12) años solo podrán acceder a la muerte médicamente asistida si alcanzan un desarrollo neurocognitivo y psicológico excepcional que les permita tener la capacidad de abstracción para comprender en su totalidad el concepto de la muerte. Esto es, que todo el mundo, incluso uno mismo va a morir y que se trata de un asunto irreversible, universal e inexorable y comprender que la muerte médicamente asistida le causaría su propia muerte.</w:t>
      </w:r>
    </w:p>
    <w:p w14:paraId="21FC8BCE" w14:textId="77777777" w:rsidR="00647410" w:rsidRDefault="00647410">
      <w:pPr>
        <w:jc w:val="both"/>
        <w:rPr>
          <w:rFonts w:ascii="Bookman Old Style" w:eastAsia="Bookman Old Style" w:hAnsi="Bookman Old Style" w:cs="Bookman Old Style"/>
        </w:rPr>
      </w:pPr>
    </w:p>
    <w:p w14:paraId="708C270A"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35. Del intenso sufrimiento y/o dolor físico o psíquico. </w:t>
      </w:r>
      <w:r>
        <w:rPr>
          <w:rFonts w:ascii="Bookman Old Style" w:eastAsia="Bookman Old Style" w:hAnsi="Bookman Old Style" w:cs="Bookman Old Style"/>
        </w:rPr>
        <w:t>Para determinar el grado de intenso sufrimiento y/o dolor físico o psíquico producto de una enfermedad grave e incurable o de una lesión corporal debe ser consultado el criterio subjetivo del niño, niña o adolescente que sea potencialmente receptor de la muerte médicamente asistida. Esa valoración subjetiva debe ser contrastada con criterios objetivos propios de la ciencia y la medicina para determinar si presenta un intenso sufrimiento físico o psíquico.</w:t>
      </w:r>
    </w:p>
    <w:p w14:paraId="4BC2963B" w14:textId="77777777" w:rsidR="00647410" w:rsidRDefault="00647410">
      <w:pPr>
        <w:jc w:val="both"/>
        <w:rPr>
          <w:rFonts w:ascii="Bookman Old Style" w:eastAsia="Bookman Old Style" w:hAnsi="Bookman Old Style" w:cs="Bookman Old Style"/>
        </w:rPr>
      </w:pPr>
    </w:p>
    <w:p w14:paraId="030A28FC"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Únicamente deberán emplearse criterios objetivos propios de la ciencia y la medicina para determinar la existencia de intenso sufrimiento y/o dolor físico o psíquico en los casos en que no sea posible conocer la opinión subjetiva del niño, niña o adolescente en la materia. </w:t>
      </w:r>
    </w:p>
    <w:p w14:paraId="37D2ECF7" w14:textId="77777777" w:rsidR="00647410" w:rsidRDefault="00647410">
      <w:pPr>
        <w:jc w:val="both"/>
        <w:rPr>
          <w:rFonts w:ascii="Bookman Old Style" w:eastAsia="Bookman Old Style" w:hAnsi="Bookman Old Style" w:cs="Bookman Old Style"/>
        </w:rPr>
      </w:pPr>
    </w:p>
    <w:p w14:paraId="31D99A06"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En todos los casos deberán emplearse criterios objetivos propios de la ciencia y la medicina para probar la relación de los intensos dolores y/o sufrimientos físicos y psíquicos con una enfermedad grave e incurable o con una lesión corporal. </w:t>
      </w:r>
    </w:p>
    <w:p w14:paraId="03F69DF1" w14:textId="77777777" w:rsidR="00647410" w:rsidRDefault="00647410">
      <w:pPr>
        <w:jc w:val="both"/>
        <w:rPr>
          <w:rFonts w:ascii="Bookman Old Style" w:eastAsia="Bookman Old Style" w:hAnsi="Bookman Old Style" w:cs="Bookman Old Style"/>
        </w:rPr>
      </w:pPr>
    </w:p>
    <w:p w14:paraId="2715DE26"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0CF8291B"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DEL CONSENTIMIENTO</w:t>
      </w:r>
    </w:p>
    <w:p w14:paraId="274DA75C" w14:textId="77777777" w:rsidR="00647410" w:rsidRDefault="00647410">
      <w:pPr>
        <w:jc w:val="center"/>
        <w:rPr>
          <w:rFonts w:ascii="Bookman Old Style" w:eastAsia="Bookman Old Style" w:hAnsi="Bookman Old Style" w:cs="Bookman Old Style"/>
          <w:b/>
        </w:rPr>
      </w:pPr>
    </w:p>
    <w:p w14:paraId="691A30E3"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36. Del consentimiento y sus elementos. </w:t>
      </w:r>
      <w:r>
        <w:rPr>
          <w:rFonts w:ascii="Bookman Old Style" w:eastAsia="Bookman Old Style" w:hAnsi="Bookman Old Style" w:cs="Bookman Old Style"/>
        </w:rPr>
        <w:t>Todo niño, niña o adolescente entre los seis (6) y dieciocho (18) años</w:t>
      </w:r>
      <w:r>
        <w:rPr>
          <w:rFonts w:ascii="Bookman Old Style" w:eastAsia="Bookman Old Style" w:hAnsi="Bookman Old Style" w:cs="Bookman Old Style"/>
          <w:color w:val="000000"/>
        </w:rPr>
        <w:t xml:space="preserve"> que se encuentre en pleno uso de sus facultades mentales y de sus desarrollos psicológicos, emocionales y cognitivos deberá ser consultado de manera prevalente y podrá expresar sus preferencias y voluntades respecto de la recepción de la aplicación de la muerte médicamente asistida y de las otras modalidades de ejercicio del derecho a morir dignamente. </w:t>
      </w:r>
    </w:p>
    <w:p w14:paraId="2CD264B5"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1E6E5157"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Para que sea posible la aplicación de la muerte médicamente asistida en esta población deberá existir una concurrencia de voluntades y del consentimiento del niño, niña o adolescente que sea potencial receptor de la muerte médicamente asistida, así como de sus padres o de quienes ejerzan su representación legal. Si alguno de los involucrados no da su consentimiento o su voluntad no concurre con </w:t>
      </w:r>
      <w:r>
        <w:rPr>
          <w:rFonts w:ascii="Bookman Old Style" w:eastAsia="Bookman Old Style" w:hAnsi="Bookman Old Style" w:cs="Bookman Old Style"/>
          <w:color w:val="000000"/>
        </w:rPr>
        <w:lastRenderedPageBreak/>
        <w:t xml:space="preserve">la del resto de sujetos involucrados en la decisión, el niño, niña o adolescente no podrá acceder a la muerte médicamente asistida. </w:t>
      </w:r>
    </w:p>
    <w:p w14:paraId="09334B6E"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FE15FC1"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El consentimiento tanto del </w:t>
      </w:r>
      <w:r>
        <w:rPr>
          <w:rFonts w:ascii="Bookman Old Style" w:eastAsia="Bookman Old Style" w:hAnsi="Bookman Old Style" w:cs="Bookman Old Style"/>
          <w:color w:val="000000"/>
        </w:rPr>
        <w:t>niño, niña o adolescente que sea potencial receptor de la muerte médicamente asistida</w:t>
      </w:r>
      <w:r>
        <w:rPr>
          <w:rFonts w:ascii="Bookman Old Style" w:eastAsia="Bookman Old Style" w:hAnsi="Bookman Old Style" w:cs="Bookman Old Style"/>
        </w:rPr>
        <w:t xml:space="preserve"> como de sus padres o de quienes ejerzan su representación legal, para ser válido deberá por regla general ser previo, autónomo y libre, informado, específico, inequívoco, claro y reiterado. Podrá ser expresado tanto de manera verbal como escrita. </w:t>
      </w:r>
    </w:p>
    <w:p w14:paraId="542329B5"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6403E03D"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Se adoptarán las mismas definiciones y criterios interpretativos de los requisitos del consentimiento contenidos en el artículo 19 de la presente ley.</w:t>
      </w:r>
    </w:p>
    <w:p w14:paraId="03BE7C0D"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3DA9A3D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De manera extraordinaria y excepcional será admisible el consentimiento sustituto. La declaración de voluntad anticipada como medio para manifestar el consentimiento podrá ser suscrita únicamente por los niños, niñas y adolescentes entre los doce (12) y los dieciocho (18) años siempre que se cumplan los requisitos previstos en la presente ley para esos mecanismos de expresión del consentimiento. </w:t>
      </w:r>
    </w:p>
    <w:p w14:paraId="2FFE3908" w14:textId="77777777" w:rsidR="00647410" w:rsidRDefault="00647410">
      <w:pPr>
        <w:jc w:val="both"/>
        <w:rPr>
          <w:rFonts w:ascii="Bookman Old Style" w:eastAsia="Bookman Old Style" w:hAnsi="Bookman Old Style" w:cs="Bookman Old Style"/>
        </w:rPr>
      </w:pPr>
    </w:p>
    <w:p w14:paraId="46DEB2E9"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Los padres y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688267AA" w14:textId="77777777" w:rsidR="00647410" w:rsidRDefault="00647410">
      <w:pPr>
        <w:jc w:val="both"/>
        <w:rPr>
          <w:rFonts w:ascii="Bookman Old Style" w:eastAsia="Bookman Old Style" w:hAnsi="Bookman Old Style" w:cs="Bookman Old Style"/>
        </w:rPr>
      </w:pPr>
    </w:p>
    <w:p w14:paraId="6DCFC87C"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Siempre se deberá exigir la concurrencia de voluntades y consentimientos a los que hace referencia el presente artículo. El niño, niña o adolescente que suscriba una declaración de voluntad anticipada deberá actualizarla al momento de cumplir los dieciocho años. Si no lo hace la declaración suscrita cuando era menor de dieciocho años perderá toda validez. En ningún caso se podrán exigir ambos requisitos (consentimiento sustituto y documento de voluntad anticipada) pues con uno de los dos, sumado a la manifestación de voluntad de los padres, o de quienes ejerzan su representación legal, basta.</w:t>
      </w:r>
    </w:p>
    <w:p w14:paraId="574B342F" w14:textId="77777777" w:rsidR="00647410" w:rsidRDefault="00647410">
      <w:pPr>
        <w:ind w:left="142"/>
        <w:jc w:val="both"/>
        <w:rPr>
          <w:rFonts w:ascii="Bookman Old Style" w:eastAsia="Bookman Old Style" w:hAnsi="Bookman Old Style" w:cs="Bookman Old Style"/>
        </w:rPr>
      </w:pPr>
    </w:p>
    <w:p w14:paraId="7B1DC1B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Para que el consentimiento del</w:t>
      </w:r>
      <w:r>
        <w:rPr>
          <w:rFonts w:ascii="Bookman Old Style" w:eastAsia="Bookman Old Style" w:hAnsi="Bookman Old Style" w:cs="Bookman Old Style"/>
          <w:color w:val="000000"/>
        </w:rPr>
        <w:t xml:space="preserve"> niño o niña entre los seis (6) y los doce (12) años sea válido se deberá acreditar que alcanza un desarrollo neurocognitivo y psicológico excepcional que le permite tener la capacidad de abstracción para comprender en su totalidad el concepto de la muerte. Esto es, que todo el mundo, incluso uno mismo va a morir y que se trata de un asunto irreversible, universal e inexorable y que comprende que la muerte médicamente asistida le causaría su propia muerte. </w:t>
      </w:r>
    </w:p>
    <w:p w14:paraId="3F9D9718"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BBA5940"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acreditación de ese nivel de desarrollo neurocognitivo y psicológico y de la comprensión del alcance del procedimiento se deberá hacer con el </w:t>
      </w:r>
      <w:r>
        <w:rPr>
          <w:rFonts w:ascii="Bookman Old Style" w:eastAsia="Bookman Old Style" w:hAnsi="Bookman Old Style" w:cs="Bookman Old Style"/>
          <w:color w:val="000000"/>
        </w:rPr>
        <w:lastRenderedPageBreak/>
        <w:t xml:space="preserve">acompañamiento de un profesional médico, de un psicólogo infantil y de un defensor de familia. </w:t>
      </w:r>
    </w:p>
    <w:p w14:paraId="56FEA472" w14:textId="77777777" w:rsidR="00647410" w:rsidRDefault="00647410">
      <w:pPr>
        <w:pBdr>
          <w:top w:val="nil"/>
          <w:left w:val="nil"/>
          <w:bottom w:val="nil"/>
          <w:right w:val="nil"/>
          <w:between w:val="nil"/>
        </w:pBdr>
        <w:jc w:val="both"/>
        <w:rPr>
          <w:rFonts w:ascii="Bookman Old Style" w:eastAsia="Bookman Old Style" w:hAnsi="Bookman Old Style" w:cs="Bookman Old Style"/>
          <w:b/>
        </w:rPr>
      </w:pPr>
    </w:p>
    <w:p w14:paraId="01F78C19"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3. </w:t>
      </w:r>
      <w:r>
        <w:rPr>
          <w:rFonts w:ascii="Bookman Old Style" w:eastAsia="Bookman Old Style" w:hAnsi="Bookman Old Style" w:cs="Bookman Old Style"/>
        </w:rPr>
        <w:t>El cumplimiento de los requisitos contenidos en el presente artículo se deberá valorar de manera sistemática con lo previsto en los artículos 41, 42, 43, 44, 45 y 47 de la presente ley. En los casos que se adecúen a las situaciones extraordinarias previstas en los referidos artículos prevalecerán las reglas específicas para el consentimiento allí contenidas.</w:t>
      </w:r>
    </w:p>
    <w:p w14:paraId="10C65707"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24056703"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37. Formalización del consentimiento. </w:t>
      </w:r>
      <w:r>
        <w:rPr>
          <w:rFonts w:ascii="Bookman Old Style" w:eastAsia="Bookman Old Style" w:hAnsi="Bookman Old Style" w:cs="Bookman Old Style"/>
        </w:rPr>
        <w:t xml:space="preserve">Para la formalización del consentimiento del adolescente entre los doce (12) y los dieciocho (18) años basta con que lo haga frente al profesional médico y frente a tres (3) testigos que no podrán ser sus padres ni quienes ejerzan su representación legal. Uno de los testigos deberá ser defensor de familia. El profesional médico deberá dejar registro de la expresión del consentimiento en la historia clínica del solicitante.  </w:t>
      </w:r>
    </w:p>
    <w:p w14:paraId="7E4DA2CC"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036B5B9B"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Los padres o quienes ejerzan la representación legal del adolescente formalizarán su consentimiento conforme lo previsto en el artículo 20 de la presente ley.</w:t>
      </w:r>
    </w:p>
    <w:p w14:paraId="48A60793"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247D6A12"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La formalización del consentimiento del niño o niña entre los seis (6) y los doce (12) años deberá hacerse frente al profesional médico, frente al psicólogo clínico y frente al defensor de familia que acreditaron que el niño o niña </w:t>
      </w:r>
      <w:r>
        <w:rPr>
          <w:rFonts w:ascii="Bookman Old Style" w:eastAsia="Bookman Old Style" w:hAnsi="Bookman Old Style" w:cs="Bookman Old Style"/>
          <w:color w:val="000000"/>
        </w:rPr>
        <w:t xml:space="preserve">cumple con lo exigido en el numeral 6 del artículo 34 de la presente ley. </w:t>
      </w:r>
    </w:p>
    <w:p w14:paraId="7A5AFBF1"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F8050BA"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Además, deberán concurrir otras tres (3) personas que sean testigos </w:t>
      </w:r>
      <w:r>
        <w:rPr>
          <w:rFonts w:ascii="Bookman Old Style" w:eastAsia="Bookman Old Style" w:hAnsi="Bookman Old Style" w:cs="Bookman Old Style"/>
        </w:rPr>
        <w:t xml:space="preserve">que no podrán ser los padres ni quienes ejerzan la representación legal del niño o niña. El profesional médico deberá dejar registro de la expresión del consentimiento en la historia clínica del solicitante. </w:t>
      </w:r>
    </w:p>
    <w:p w14:paraId="48A5B2EE" w14:textId="77777777" w:rsidR="00647410" w:rsidRDefault="00647410">
      <w:pPr>
        <w:pBdr>
          <w:top w:val="nil"/>
          <w:left w:val="nil"/>
          <w:bottom w:val="nil"/>
          <w:right w:val="nil"/>
          <w:between w:val="nil"/>
        </w:pBdr>
        <w:jc w:val="both"/>
        <w:rPr>
          <w:rFonts w:ascii="Bookman Old Style" w:eastAsia="Bookman Old Style" w:hAnsi="Bookman Old Style" w:cs="Bookman Old Style"/>
        </w:rPr>
      </w:pPr>
    </w:p>
    <w:p w14:paraId="17CE399E" w14:textId="77777777" w:rsidR="00647410" w:rsidRDefault="00000000">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Los padres o quienes ejerzan la representación legal del niño o niña formalizarán su consentimiento conforme lo previsto en el artículo 20 de la presente ley.</w:t>
      </w:r>
    </w:p>
    <w:p w14:paraId="5D851E1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6E135D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38. Prevalencia del consentimiento final. </w:t>
      </w:r>
      <w:r>
        <w:rPr>
          <w:rFonts w:ascii="Bookman Old Style" w:eastAsia="Bookman Old Style" w:hAnsi="Bookman Old Style" w:cs="Bookman Old Style"/>
        </w:rPr>
        <w:t>Sí existen por parte del niño, niña o adolescente potencialmente receptor de la muerte médicamente asistida distintas manifestaciones del consentimiento y estas se contradicen entre sí, prevalecerá la última. Igual caso ocurrirá respecto del consentimiento expresado por sus padres o por quienes ejerzan su representación legal.</w:t>
      </w:r>
    </w:p>
    <w:p w14:paraId="18DA99B9" w14:textId="77777777" w:rsidR="00647410" w:rsidRDefault="00647410">
      <w:pPr>
        <w:jc w:val="both"/>
        <w:rPr>
          <w:rFonts w:ascii="Bookman Old Style" w:eastAsia="Bookman Old Style" w:hAnsi="Bookman Old Style" w:cs="Bookman Old Style"/>
        </w:rPr>
      </w:pPr>
    </w:p>
    <w:p w14:paraId="15481F4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39. Posibilidad de retracto. </w:t>
      </w:r>
      <w:r>
        <w:rPr>
          <w:rFonts w:ascii="Bookman Old Style" w:eastAsia="Bookman Old Style" w:hAnsi="Bookman Old Style" w:cs="Bookman Old Style"/>
        </w:rPr>
        <w:t xml:space="preserve">En cualquier momento del trámite de la muerte médicamente asistida el niño, niña o adolescente potencialmente receptor de la muerte médicamente asistida podrá retirar su consentimiento y desistir de su solicitud y/o optar por otras alternativas en el marco del derecho a morir dignamente. Misma potestad les asiste a los padres o a quienes ejerzan su </w:t>
      </w:r>
      <w:r>
        <w:rPr>
          <w:rFonts w:ascii="Bookman Old Style" w:eastAsia="Bookman Old Style" w:hAnsi="Bookman Old Style" w:cs="Bookman Old Style"/>
        </w:rPr>
        <w:lastRenderedPageBreak/>
        <w:t>representación legal en relación con la aplicación de la muerte médicamente asistida para el niño, niña o adolescente.</w:t>
      </w:r>
    </w:p>
    <w:p w14:paraId="0AE4D52A" w14:textId="77777777" w:rsidR="00647410" w:rsidRDefault="00647410">
      <w:pPr>
        <w:jc w:val="both"/>
        <w:rPr>
          <w:rFonts w:ascii="Bookman Old Style" w:eastAsia="Bookman Old Style" w:hAnsi="Bookman Old Style" w:cs="Bookman Old Style"/>
        </w:rPr>
      </w:pPr>
    </w:p>
    <w:p w14:paraId="07D2751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40. Manifestación del consentimiento en casos de personas con discapacidad. </w:t>
      </w:r>
      <w:r>
        <w:rPr>
          <w:rFonts w:ascii="Bookman Old Style" w:eastAsia="Bookman Old Style" w:hAnsi="Bookman Old Style" w:cs="Bookman Old Style"/>
        </w:rPr>
        <w:t>Las personas mayores de edad en situación de discapacidad que sean padres o que ejerzan la representación legal de un niño, niña o adolescente potencialmente receptor de la muerte médicamente asistida como sujetos de derechos y en ejercicio de su capacidad jurídica en igualdad de condiciones, podrán contar con apoyos y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2FE2BC1D" w14:textId="77777777" w:rsidR="00647410" w:rsidRDefault="00647410">
      <w:pPr>
        <w:jc w:val="both"/>
        <w:rPr>
          <w:rFonts w:ascii="Bookman Old Style" w:eastAsia="Bookman Old Style" w:hAnsi="Bookman Old Style" w:cs="Bookman Old Style"/>
        </w:rPr>
      </w:pPr>
    </w:p>
    <w:p w14:paraId="28576653"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Los niños, niñas o adolescentes con discapacidad también tendrán el derecho a contar con apoyos y a recibir los ajustes razonables requeridos para que puedan manifestar su voluntad, preferencias y consentimiento y para comprender la información sobre el ejercicio del derecho a morir dignamente.</w:t>
      </w:r>
    </w:p>
    <w:p w14:paraId="3BFD4410" w14:textId="77777777" w:rsidR="00647410" w:rsidRDefault="00647410">
      <w:pPr>
        <w:ind w:left="173"/>
        <w:jc w:val="both"/>
        <w:rPr>
          <w:rFonts w:ascii="Bookman Old Style" w:eastAsia="Bookman Old Style" w:hAnsi="Bookman Old Style" w:cs="Bookman Old Style"/>
        </w:rPr>
      </w:pPr>
    </w:p>
    <w:p w14:paraId="7E28DF5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010D2264" w14:textId="77777777" w:rsidR="00647410" w:rsidRDefault="00647410">
      <w:pPr>
        <w:jc w:val="both"/>
        <w:rPr>
          <w:rFonts w:ascii="Bookman Old Style" w:eastAsia="Bookman Old Style" w:hAnsi="Bookman Old Style" w:cs="Bookman Old Style"/>
        </w:rPr>
      </w:pPr>
    </w:p>
    <w:p w14:paraId="6FED0DB3"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41. Manifestación previa del consentimiento. </w:t>
      </w:r>
      <w:r>
        <w:rPr>
          <w:rFonts w:ascii="Bookman Old Style" w:eastAsia="Bookman Old Style" w:hAnsi="Bookman Old Style" w:cs="Bookman Old Style"/>
        </w:rPr>
        <w:t xml:space="preserve">El niño, niña o adolescente potencialmente receptor de la muerte médicamente asistida podrá manifestar su consentimiento de manera previa a partir de los doce (12) años y de manera previa a la ocurrencia de la enfermedad grave e incurable o de la lesión corporal que le genere intensos sufrimientos físicos o psíquicos. Se requerirá la reiteración del consentimiento por su parte, incluso en el caso de que </w:t>
      </w:r>
      <w:r>
        <w:rPr>
          <w:rFonts w:ascii="Bookman Old Style" w:eastAsia="Bookman Old Style" w:hAnsi="Bookman Old Style" w:cs="Bookman Old Style"/>
          <w:color w:val="000000"/>
        </w:rPr>
        <w:t xml:space="preserve">hubiese manifestado su consentimiento de manera persistente salvo que lo hubiera hecho y al momento de reiterarlo una vez más se encuentre ante la imposibilidad de hacerlo. </w:t>
      </w:r>
    </w:p>
    <w:p w14:paraId="74336EC8" w14:textId="77777777" w:rsidR="00647410" w:rsidRDefault="00647410">
      <w:pPr>
        <w:jc w:val="both"/>
        <w:rPr>
          <w:rFonts w:ascii="Bookman Old Style" w:eastAsia="Bookman Old Style" w:hAnsi="Bookman Old Style" w:cs="Bookman Old Style"/>
          <w:color w:val="000000"/>
        </w:rPr>
      </w:pPr>
    </w:p>
    <w:p w14:paraId="742DE377"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Respecto de la manifestación previa del consentimiento de los padres o de quienes ejerzan la representación legal del </w:t>
      </w:r>
      <w:r>
        <w:rPr>
          <w:rFonts w:ascii="Bookman Old Style" w:eastAsia="Bookman Old Style" w:hAnsi="Bookman Old Style" w:cs="Bookman Old Style"/>
        </w:rPr>
        <w:t>niño, niña o adolescente potencialmente receptor de la muerte médicamente asistida operarán las reglas previstas en el artículo 24 de la presente ley.</w:t>
      </w:r>
    </w:p>
    <w:p w14:paraId="1F7C5354" w14:textId="77777777" w:rsidR="00647410" w:rsidRDefault="00647410">
      <w:pPr>
        <w:jc w:val="both"/>
        <w:rPr>
          <w:rFonts w:ascii="Bookman Old Style" w:eastAsia="Bookman Old Style" w:hAnsi="Bookman Old Style" w:cs="Bookman Old Style"/>
        </w:rPr>
      </w:pPr>
    </w:p>
    <w:p w14:paraId="7F95842B"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rPr>
        <w:t xml:space="preserve">La manifestación previa del consentimiento se deberá realizar en compañía de un defensor de familia. </w:t>
      </w:r>
    </w:p>
    <w:p w14:paraId="25FC70D7" w14:textId="77777777" w:rsidR="00647410" w:rsidRDefault="00647410">
      <w:pPr>
        <w:jc w:val="both"/>
        <w:rPr>
          <w:rFonts w:ascii="Bookman Old Style" w:eastAsia="Bookman Old Style" w:hAnsi="Bookman Old Style" w:cs="Bookman Old Style"/>
          <w:color w:val="000000"/>
        </w:rPr>
      </w:pPr>
    </w:p>
    <w:p w14:paraId="6081AE76" w14:textId="77777777" w:rsidR="00647410" w:rsidRDefault="00000000">
      <w:pPr>
        <w:jc w:val="both"/>
        <w:rPr>
          <w:rFonts w:ascii="Bookman Old Style" w:eastAsia="Bookman Old Style" w:hAnsi="Bookman Old Style" w:cs="Bookman Old Style"/>
          <w:b/>
          <w:u w:val="single"/>
        </w:rPr>
      </w:pPr>
      <w:r>
        <w:rPr>
          <w:rFonts w:ascii="Bookman Old Style" w:eastAsia="Bookman Old Style" w:hAnsi="Bookman Old Style" w:cs="Bookman Old Style"/>
          <w:b/>
          <w:color w:val="000000"/>
        </w:rPr>
        <w:lastRenderedPageBreak/>
        <w:t xml:space="preserve">Parágrafo 1. </w:t>
      </w:r>
      <w:r>
        <w:rPr>
          <w:rFonts w:ascii="Bookman Old Style" w:eastAsia="Bookman Old Style" w:hAnsi="Bookman Old Style" w:cs="Bookman Old Style"/>
          <w:color w:val="000000"/>
        </w:rPr>
        <w:t>Para efectos del presente artículo debe entenderse que una persona manifestó su consentimiento de manera persistente cuando lo hizo en dos o más ocasiones.</w:t>
      </w:r>
    </w:p>
    <w:p w14:paraId="6A0ED435" w14:textId="77777777" w:rsidR="00647410" w:rsidRDefault="00647410">
      <w:pPr>
        <w:jc w:val="both"/>
        <w:rPr>
          <w:rFonts w:ascii="Bookman Old Style" w:eastAsia="Bookman Old Style" w:hAnsi="Bookman Old Style" w:cs="Bookman Old Style"/>
        </w:rPr>
      </w:pPr>
    </w:p>
    <w:p w14:paraId="55EFF24F"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42. Del consentimiento sustituto. </w:t>
      </w:r>
      <w:r>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exclusivamente cuando el niño, niña o adolescente potencialmente receptor de la muerte médicamente asistida se encuentre en estado vegetativo o esté imposibilitado para expresar su voluntad. Se requerirá un concepto médico e interdisciplinario basado en elementos objetivos para acreditar el estado vegetativo o la imposibilidad de expresar el consentimiento. </w:t>
      </w:r>
    </w:p>
    <w:p w14:paraId="712FA09B" w14:textId="77777777" w:rsidR="00647410" w:rsidRDefault="00647410">
      <w:pPr>
        <w:jc w:val="both"/>
        <w:rPr>
          <w:rFonts w:ascii="Bookman Old Style" w:eastAsia="Bookman Old Style" w:hAnsi="Bookman Old Style" w:cs="Bookman Old Style"/>
        </w:rPr>
      </w:pPr>
    </w:p>
    <w:p w14:paraId="4B31475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El consentimiento sustituto podrá ser expresado por parte de una persona dentro de los dos grados de consanguinidad o afinidad de quien sea el potencial receptor de la muerte médicamente asistida. La persona encargada de manifestar el consentimiento sustituto deberá considerar a partir de la información médica disponible la decisión que persiga la mejor condición para el niño, niño o adolescente que no puede expresar directamente su voluntad y la posición que expresaría ese niño, niña o adolescente en caso de estar consciente o habilitada para hacerlo. </w:t>
      </w:r>
    </w:p>
    <w:p w14:paraId="3C8A4672" w14:textId="77777777" w:rsidR="00647410" w:rsidRDefault="00647410">
      <w:pPr>
        <w:jc w:val="both"/>
        <w:rPr>
          <w:rFonts w:ascii="Bookman Old Style" w:eastAsia="Bookman Old Style" w:hAnsi="Bookman Old Style" w:cs="Bookman Old Style"/>
        </w:rPr>
      </w:pPr>
    </w:p>
    <w:p w14:paraId="1FBD509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En los casos en que se pretenda hacer valer el consentimiento sustituto como medio para acceder a la muerte médicamente asistida todo el proceso debe darse en presencia de un defensor de familia. El </w:t>
      </w:r>
      <w:r>
        <w:rPr>
          <w:rFonts w:ascii="Bookman Old Style" w:eastAsia="Bookman Old Style" w:hAnsi="Bookman Old Style" w:cs="Bookman Old Style"/>
          <w:color w:val="000000"/>
        </w:rPr>
        <w:t>Comité Científico Interdisciplinario para Morir Dignamente</w:t>
      </w:r>
      <w:r>
        <w:rPr>
          <w:rFonts w:ascii="Bookman Old Style" w:eastAsia="Bookman Old Style" w:hAnsi="Bookman Old Style" w:cs="Bookman Old Style"/>
        </w:rPr>
        <w:t xml:space="preserve"> deberá realizar un examen más estricto del cumplimiento de los otros requisitos contenidos en el artículo 34 de la presente ley, salvo el contenido en el numeral 6 para acceder a la muerte médicamente asistida. </w:t>
      </w:r>
    </w:p>
    <w:p w14:paraId="3CC98E24" w14:textId="77777777" w:rsidR="00647410" w:rsidRDefault="00647410">
      <w:pPr>
        <w:jc w:val="both"/>
        <w:rPr>
          <w:rFonts w:ascii="Bookman Old Style" w:eastAsia="Bookman Old Style" w:hAnsi="Bookman Old Style" w:cs="Bookman Old Style"/>
        </w:rPr>
      </w:pPr>
    </w:p>
    <w:p w14:paraId="1B5EDA64"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color w:val="000000"/>
        </w:rPr>
        <w:t xml:space="preserve">Respecto del consentimiento sustituto de los padres o de quienes ejerzan la representación legal del </w:t>
      </w:r>
      <w:r>
        <w:rPr>
          <w:rFonts w:ascii="Bookman Old Style" w:eastAsia="Bookman Old Style" w:hAnsi="Bookman Old Style" w:cs="Bookman Old Style"/>
        </w:rPr>
        <w:t xml:space="preserve">niño, niña o adolescente potencialmente receptor de la muerte médicamente asistida operarán las reglas previstas en el artículo 24 de la presente ley. </w:t>
      </w:r>
    </w:p>
    <w:p w14:paraId="20ECE39B" w14:textId="77777777" w:rsidR="00647410" w:rsidRDefault="00647410">
      <w:pPr>
        <w:jc w:val="both"/>
        <w:rPr>
          <w:rFonts w:ascii="Bookman Old Style" w:eastAsia="Bookman Old Style" w:hAnsi="Bookman Old Style" w:cs="Bookman Old Style"/>
        </w:rPr>
      </w:pPr>
    </w:p>
    <w:p w14:paraId="3AE46A68" w14:textId="77777777" w:rsidR="00647410" w:rsidRDefault="00000000">
      <w:pPr>
        <w:jc w:val="both"/>
        <w:rPr>
          <w:rFonts w:ascii="Bookman Old Style" w:eastAsia="Bookman Old Style" w:hAnsi="Bookman Old Style" w:cs="Bookman Old Style"/>
          <w:b/>
        </w:rPr>
      </w:pPr>
      <w:r>
        <w:rPr>
          <w:rFonts w:ascii="Bookman Old Style" w:eastAsia="Bookman Old Style" w:hAnsi="Bookman Old Style" w:cs="Bookman Old Style"/>
        </w:rPr>
        <w:t xml:space="preserve">Quienes den el consentimiento sustituto de los padres o de quienes ejerzan la representación legal del niño, niña o adolescente deberán ser personas dentro de los dos grados de consanguinidad o afinidad de los padres o de quienes ejerzan la representación legal del niño, niña o adolescente. </w:t>
      </w:r>
    </w:p>
    <w:p w14:paraId="67D2DAFD" w14:textId="77777777" w:rsidR="00647410" w:rsidRDefault="00647410">
      <w:pPr>
        <w:jc w:val="both"/>
        <w:rPr>
          <w:rFonts w:ascii="Bookman Old Style" w:eastAsia="Bookman Old Style" w:hAnsi="Bookman Old Style" w:cs="Bookman Old Style"/>
        </w:rPr>
      </w:pPr>
    </w:p>
    <w:p w14:paraId="1F28197E" w14:textId="77777777" w:rsidR="00647410" w:rsidRDefault="00000000">
      <w:pPr>
        <w:widowControl w:val="0"/>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43. Del consentimiento mediante el Documento de Voluntad Anticipada. </w:t>
      </w:r>
      <w:r>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w:t>
      </w:r>
      <w:r>
        <w:rPr>
          <w:rFonts w:ascii="Bookman Old Style" w:eastAsia="Bookman Old Style" w:hAnsi="Bookman Old Style" w:cs="Bookman Old Style"/>
        </w:rPr>
        <w:lastRenderedPageBreak/>
        <w:t xml:space="preserve">dignamente. </w:t>
      </w:r>
    </w:p>
    <w:p w14:paraId="6066BABB" w14:textId="77777777" w:rsidR="00647410" w:rsidRDefault="00647410">
      <w:pPr>
        <w:widowControl w:val="0"/>
        <w:pBdr>
          <w:top w:val="nil"/>
          <w:left w:val="nil"/>
          <w:bottom w:val="nil"/>
          <w:right w:val="nil"/>
          <w:between w:val="nil"/>
        </w:pBdr>
        <w:jc w:val="both"/>
        <w:rPr>
          <w:rFonts w:ascii="Bookman Old Style" w:eastAsia="Bookman Old Style" w:hAnsi="Bookman Old Style" w:cs="Bookman Old Style"/>
        </w:rPr>
      </w:pPr>
    </w:p>
    <w:p w14:paraId="60168E78" w14:textId="77777777" w:rsidR="00647410" w:rsidRDefault="00000000">
      <w:pPr>
        <w:widowControl w:val="0"/>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Toda niño, niña o adolescente</w:t>
      </w:r>
      <w:r>
        <w:rPr>
          <w:rFonts w:ascii="Bookman Old Style" w:eastAsia="Bookman Old Style" w:hAnsi="Bookman Old Style" w:cs="Bookman Old Style"/>
          <w:color w:val="000000"/>
        </w:rPr>
        <w:t xml:space="preserve"> mayor de doce (12) años en pleno uso de sus facultades mentales y de sus desarrollos psicológicos, emocionales y cognitivos, de forma preventiva, -anticipando la posibilidad de que en el futuro no pueda tomar o reiterar esa decisión-, puede hacer uso del Documento de Voluntad Anticipada para manifestar</w:t>
      </w:r>
      <w:r>
        <w:rPr>
          <w:rFonts w:ascii="Bookman Old Style" w:eastAsia="Bookman Old Style" w:hAnsi="Bookman Old Style" w:cs="Bookman Old Style"/>
          <w:color w:val="000000"/>
          <w:highlight w:val="white"/>
        </w:rPr>
        <w:t xml:space="preserve"> de manera libre, expresa, específica, clara, consciente, inequívoca e informada</w:t>
      </w:r>
      <w:r>
        <w:rPr>
          <w:rFonts w:ascii="Bookman Old Style" w:eastAsia="Bookman Old Style" w:hAnsi="Bookman Old Style" w:cs="Bookman Old Style"/>
          <w:highlight w:val="white"/>
        </w:rPr>
        <w:t xml:space="preserve"> su voluntad y consentimiento respecto de los siguientes asuntos:</w:t>
      </w:r>
    </w:p>
    <w:p w14:paraId="5C647911" w14:textId="77777777" w:rsidR="00647410" w:rsidRDefault="00647410">
      <w:pPr>
        <w:widowControl w:val="0"/>
        <w:pBdr>
          <w:top w:val="nil"/>
          <w:left w:val="nil"/>
          <w:bottom w:val="nil"/>
          <w:right w:val="nil"/>
          <w:between w:val="nil"/>
        </w:pBdr>
        <w:ind w:left="720"/>
        <w:jc w:val="both"/>
        <w:rPr>
          <w:rFonts w:ascii="Bookman Old Style" w:eastAsia="Bookman Old Style" w:hAnsi="Bookman Old Style" w:cs="Bookman Old Style"/>
          <w:color w:val="000000"/>
          <w:highlight w:val="white"/>
        </w:rPr>
      </w:pPr>
    </w:p>
    <w:p w14:paraId="15857B76" w14:textId="77777777" w:rsidR="00647410"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acceso a cuidados paliativos.</w:t>
      </w:r>
    </w:p>
    <w:p w14:paraId="3CDE2221" w14:textId="77777777" w:rsidR="00647410"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30D011AC" w14:textId="77777777" w:rsidR="00647410" w:rsidRDefault="00000000">
      <w:pPr>
        <w:widowControl w:val="0"/>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highlight w:val="white"/>
        </w:rPr>
        <w:t>El acceso a la muerte médicamente asistida</w:t>
      </w:r>
      <w:r>
        <w:rPr>
          <w:rFonts w:ascii="Bookman Old Style" w:eastAsia="Bookman Old Style" w:hAnsi="Bookman Old Style" w:cs="Bookman Old Style"/>
          <w:color w:val="000000"/>
        </w:rPr>
        <w:t xml:space="preserve">. </w:t>
      </w:r>
    </w:p>
    <w:p w14:paraId="3942CA7A"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25E7FBD"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decisiones contenidas en los Documentos de Voluntad Anticipada pueden incluir tanto la voluntad del niño, niña o adolescente mayor de doce (12) años de acceder a cualquiera de los servicios listados en el inciso anterior como a no acceder a ellos. </w:t>
      </w:r>
    </w:p>
    <w:p w14:paraId="0E575233"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6F92E8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niño, niña o adolescente mayor de doce (12) años también podrá incluir en los Documentos de Voluntad Anticipada sus deseos o decisiones respecto de otros asuntos de su vida personal para que sean tenidos en cuenta. </w:t>
      </w:r>
    </w:p>
    <w:p w14:paraId="607A5C70"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51391066"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 xml:space="preserve">El contenido de los Documentos de Voluntad Anticipada puede ser modificado, sustituido o revocado por el niño, niña o adolescente mayor de doce (12) años en cualquier momento mientras tenga pleno uso de sus facultades mentales y de sus desarrollos psicológicos, emocionales y cognitivos. </w:t>
      </w:r>
    </w:p>
    <w:p w14:paraId="1536FF7C"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9F3F722"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El niño, niña o adolescente que suscriba una declaración de voluntad anticipada deberá actualizarla al momento de cumplir los dieciocho (18) años. Si no lo hace, la declaración suscrita cuando era menor de dieciocho (18) años perderá toda validez. En ningún caso se podrán exigir ambos requisitos (consentimiento sustituto y documento de voluntad anticipada) pues con uno de los dos, sumado a la manifestación de voluntad de los padres, o de quien ejerza la representación legal, basta.</w:t>
      </w:r>
    </w:p>
    <w:p w14:paraId="1F5CD14F" w14:textId="77777777" w:rsidR="00647410" w:rsidRDefault="00647410">
      <w:pPr>
        <w:jc w:val="both"/>
        <w:rPr>
          <w:rFonts w:ascii="Bookman Old Style" w:eastAsia="Bookman Old Style" w:hAnsi="Bookman Old Style" w:cs="Bookman Old Style"/>
        </w:rPr>
      </w:pPr>
    </w:p>
    <w:p w14:paraId="46D68436"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2. </w:t>
      </w:r>
      <w:r>
        <w:rPr>
          <w:rFonts w:ascii="Bookman Old Style" w:eastAsia="Bookman Old Style" w:hAnsi="Bookman Old Style" w:cs="Bookman Old Style"/>
          <w:color w:val="000000"/>
        </w:rPr>
        <w:t xml:space="preserve">Las voluntades expresadas por medio de un Documento de Voluntad Anticipada son de obligatorio cumplimiento y deben ser respetadas siempre y cuando concurra el consentimiento y voluntad de los padres, o de las personas que </w:t>
      </w:r>
      <w:r>
        <w:rPr>
          <w:rFonts w:ascii="Bookman Old Style" w:eastAsia="Bookman Old Style" w:hAnsi="Bookman Old Style" w:cs="Bookman Old Style"/>
          <w:color w:val="000000"/>
        </w:rPr>
        <w:lastRenderedPageBreak/>
        <w:t xml:space="preserve">ejerzan la representación legal del niño, niña o adolescente suscribiente del Documento de Voluntad Anticipada y una vez el niño, niña o adolescente no esté en capacidad de manifestar su voluntad y cumpla las condiciones legalmente previstas para acceder a cualquiera de las modalidades reconocidas para ejercer el derecho fundamental a morir dignamente. </w:t>
      </w:r>
    </w:p>
    <w:p w14:paraId="2E9AF485"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09A3512F"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3. </w:t>
      </w:r>
      <w:r>
        <w:rPr>
          <w:rFonts w:ascii="Bookman Old Style" w:eastAsia="Bookman Old Style" w:hAnsi="Bookman Old Style" w:cs="Bookman Old Style"/>
          <w:color w:val="000000"/>
        </w:rPr>
        <w:t xml:space="preserve">Si el niño, niña o adolescente mayor de doce (12)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41 y 45 de la presente ley. </w:t>
      </w:r>
    </w:p>
    <w:p w14:paraId="596E3AC2"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4D117A3"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niño, niña o adolescente estará exceptuado de la reiteración del consentimiento si se cumplen los supuestos de hecho previstos en el artículo 41 de la presente ley. </w:t>
      </w:r>
    </w:p>
    <w:p w14:paraId="1484CF63"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4614D684" w14:textId="77777777" w:rsidR="00647410" w:rsidRDefault="0000000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4. </w:t>
      </w:r>
      <w:r>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el niño, niña o adolescente que manifiesta la voluntad esté acompañada de dos testigos que sean plenamente identificables; sea posible comprobar la autoría e identificación de quien manifiesta la voluntad y sea posible establecer el contenido y sentido de la voluntad y el consentimiento del niño, niña o adolescente.   </w:t>
      </w:r>
    </w:p>
    <w:p w14:paraId="28765FB8" w14:textId="77777777" w:rsidR="00647410" w:rsidRDefault="00647410">
      <w:pPr>
        <w:jc w:val="both"/>
        <w:rPr>
          <w:rFonts w:ascii="Bookman Old Style" w:eastAsia="Bookman Old Style" w:hAnsi="Bookman Old Style" w:cs="Bookman Old Style"/>
          <w:b/>
        </w:rPr>
      </w:pPr>
    </w:p>
    <w:p w14:paraId="6042E08C"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5. </w:t>
      </w:r>
      <w:r>
        <w:rPr>
          <w:rFonts w:ascii="Bookman Old Style" w:eastAsia="Bookman Old Style" w:hAnsi="Bookman Old Style" w:cs="Bookman Old Style"/>
          <w:color w:val="000000"/>
        </w:rPr>
        <w:t xml:space="preserve">Para la formalización del Documento de Voluntad Anticipada, así como para su modificación, sustitución o revocación, bastará que se dé ante el médico tratante o ante tres (3) testigos. Uno de los testigos deberá ser defensor de familia. El médico tratante deberá incorporar el Documento de Voluntad Anticipada, así como toda modificación, sustitución o revocación que el niño, niña o adolescente haga a ese documento, en la historia clínica del niño, niña o adolescente. </w:t>
      </w:r>
    </w:p>
    <w:p w14:paraId="00AD3860" w14:textId="77777777" w:rsidR="00647410" w:rsidRDefault="00647410">
      <w:pPr>
        <w:jc w:val="both"/>
        <w:rPr>
          <w:rFonts w:ascii="Bookman Old Style" w:eastAsia="Bookman Old Style" w:hAnsi="Bookman Old Style" w:cs="Bookman Old Style"/>
        </w:rPr>
      </w:pPr>
    </w:p>
    <w:p w14:paraId="1058625E"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6. </w:t>
      </w:r>
      <w:r>
        <w:rPr>
          <w:rFonts w:ascii="Bookman Old Style" w:eastAsia="Bookman Old Style" w:hAnsi="Bookman Old Style" w:cs="Bookman Old Style"/>
        </w:rPr>
        <w:t xml:space="preserve">Los padres o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29C25910" w14:textId="77777777" w:rsidR="00647410" w:rsidRDefault="00647410">
      <w:pPr>
        <w:jc w:val="both"/>
        <w:rPr>
          <w:rFonts w:ascii="Bookman Old Style" w:eastAsia="Bookman Old Style" w:hAnsi="Bookman Old Style" w:cs="Bookman Old Style"/>
          <w:b/>
        </w:rPr>
      </w:pPr>
    </w:p>
    <w:p w14:paraId="1FDF8089" w14:textId="77777777" w:rsidR="00647410" w:rsidRDefault="00000000">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III</w:t>
      </w:r>
    </w:p>
    <w:p w14:paraId="5C52CF10"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DE LA SOLICITUD Y LA PRESTACIÓN DE LA MUERTE MÉDICAMENTE ASISTIDA </w:t>
      </w:r>
    </w:p>
    <w:p w14:paraId="6FDE7F59" w14:textId="77777777" w:rsidR="00647410" w:rsidRDefault="00647410">
      <w:pPr>
        <w:jc w:val="both"/>
        <w:rPr>
          <w:rFonts w:ascii="Bookman Old Style" w:eastAsia="Bookman Old Style" w:hAnsi="Bookman Old Style" w:cs="Bookman Old Style"/>
          <w:i/>
          <w:color w:val="000000"/>
        </w:rPr>
      </w:pPr>
    </w:p>
    <w:p w14:paraId="45C87C7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44. Del trámite de la solicitud. </w:t>
      </w:r>
      <w:r>
        <w:rPr>
          <w:rFonts w:ascii="Bookman Old Style" w:eastAsia="Bookman Old Style" w:hAnsi="Bookman Old Style" w:cs="Bookman Old Style"/>
        </w:rPr>
        <w:t xml:space="preserve">El Ministerio de Salud y Protección Social o la entidad que haga sus veces reglamentará en un término de seis (6) meses, </w:t>
      </w:r>
      <w:r>
        <w:rPr>
          <w:rFonts w:ascii="Bookman Old Style" w:eastAsia="Bookman Old Style" w:hAnsi="Bookman Old Style" w:cs="Bookman Old Style"/>
        </w:rPr>
        <w:lastRenderedPageBreak/>
        <w:t xml:space="preserve">contados a partir de la entrada en vigor de la presente ley, el trámite de la solicitud de acuerdo con los previsto en las disposiciones de la presente ley, especialmente en el presente título y atendiendo a los siguientes parámetros: </w:t>
      </w:r>
    </w:p>
    <w:p w14:paraId="375B698C" w14:textId="77777777" w:rsidR="00647410" w:rsidRDefault="00647410">
      <w:pPr>
        <w:ind w:left="142"/>
        <w:jc w:val="both"/>
        <w:rPr>
          <w:rFonts w:ascii="Bookman Old Style" w:eastAsia="Bookman Old Style" w:hAnsi="Bookman Old Style" w:cs="Bookman Old Style"/>
        </w:rPr>
      </w:pPr>
    </w:p>
    <w:p w14:paraId="48ECFFEB"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solicitud de la muerte medicamente asistida podrá presentada de manera verbal o escrita por medio de documento escrito, video, audio, otros medios tecnológicos y en otros sistemas de comunicación, siempre y cuando sea posible comprobar la autoría e identificación de quienes realizan la solicitud y sea posible establecer el contenido y sentido de la solicitud. Tratándose de casos de niños, niñas y adolescentes la solicitud deberá ser conjunta entre el niño, niña y adolescente potencialmente receptor de la muerte médicamente asistida y sus padres o quienes ejerzan su representación legal. </w:t>
      </w:r>
    </w:p>
    <w:p w14:paraId="4722AEF7"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89F1658"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dispondrá de un formato único para la solicitud, en caso de ser escrita.</w:t>
      </w:r>
    </w:p>
    <w:p w14:paraId="2A28F4E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0490277"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contará con un proceso de doble verificación o reiteración de las voluntades de los solicitantes y de los requisitos establecidos en la presente ley, particularmente de los consagrados en el presente título.</w:t>
      </w:r>
    </w:p>
    <w:p w14:paraId="0BF044F5"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B92278D"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profesional médico que recibe la solicitud y el Comité </w:t>
      </w:r>
      <w:proofErr w:type="spellStart"/>
      <w:r>
        <w:rPr>
          <w:rFonts w:ascii="Bookman Old Style" w:eastAsia="Bookman Old Style" w:hAnsi="Bookman Old Style" w:cs="Bookman Old Style"/>
          <w:color w:val="000000"/>
        </w:rPr>
        <w:t>Comité</w:t>
      </w:r>
      <w:proofErr w:type="spellEnd"/>
      <w:r>
        <w:rPr>
          <w:rFonts w:ascii="Bookman Old Style" w:eastAsia="Bookman Old Style" w:hAnsi="Bookman Old Style" w:cs="Bookman Old Style"/>
          <w:color w:val="000000"/>
        </w:rPr>
        <w:t xml:space="preserve"> Científico Interdisciplinario para Morir Dignamente serán los encargados de realizar las correspondientes valoraciones y certificaciones del cumplimiento de los requisitos para acceder a la muerte médicamente asistida por parte del niño, niña o adolescente.</w:t>
      </w:r>
    </w:p>
    <w:p w14:paraId="51040515"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2243E26A"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el caso de los niños y niñas entre los seis (6) y los doce (12) años el defensor de familia y el psicólogo infantil deberán concurrir en la verificación de los requisitos. En particular, el contenido en el artículo 34.6 de la presente ley.</w:t>
      </w:r>
    </w:p>
    <w:p w14:paraId="2151CE55"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A6553D7"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determinará la forma en la cual se realizará el proceso asistencial para verificar el cumplimiento de requisitos para acceder a la muerte médicamente asistida por parte de los equipos médicos. Se sugerirá a los profesionales médicos, a las Empresas Promotoras de Salud y a las Instituciones Prestadoras de Salud protocolos para realizar tales valoraciones. Estas normas deberán tener un enfoque diferencial para niños, niñas y adolescentes incluyendo disposiciones diferentes para niños entre los seis (6) y los doce (12) años y entre los doce (12) y los dieciocho (18) años. </w:t>
      </w:r>
    </w:p>
    <w:p w14:paraId="7C4E4B73"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2B16DA4"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verificación de que el consentimiento que se pretende hacer valer cumple con los requisitos exigidos por la presente ley deberá realizarse dentro de los diez (10) días siguientes a la recepción de la solicitud conjunta.</w:t>
      </w:r>
    </w:p>
    <w:p w14:paraId="4BC817F3"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564BAA48"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valoraciones médicas mediante las cuales se verificará el cumplimiento de los requisitos médicos para acceder a la muerte médicamente asistida deberán realizarse dentro de los diez (10) días calendario siguientes a que se </w:t>
      </w:r>
      <w:r>
        <w:rPr>
          <w:rFonts w:ascii="Bookman Old Style" w:eastAsia="Bookman Old Style" w:hAnsi="Bookman Old Style" w:cs="Bookman Old Style"/>
          <w:color w:val="000000"/>
        </w:rPr>
        <w:lastRenderedPageBreak/>
        <w:t xml:space="preserve">verifique que los consentimientos concurrentes cumplen con los requisitos exigidos en la presente ley y en sus normas reglamentarias. </w:t>
      </w:r>
    </w:p>
    <w:p w14:paraId="2FD0604D"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680B4323"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reiteración de los consentimientos concurrentes, en los casos en que sea exigible, deberá darse dentro de los diez (10) días calendario siguientes a la realización de las valoraciones médicas mediante las cuales se verificará el cumplimiento de los requisitos médicos para acceder a la muerte médicamente asistida por parte del niño, niña o adolescente.</w:t>
      </w:r>
    </w:p>
    <w:p w14:paraId="131B7567"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1F73A22C"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agendamiento de la aplicación de la muerte médicamente asistida se programará dentro de los quince (15) días calendario siguientes a la fecha en que se reiteren los consentimientos concurrentes cuando ese requisito sea exigible o siguientes a la fecha en que se acredite el cumplimiento de la totalidad de requisitos para acceder a la muerte médicamente asistida cuando no sea exigible la reiteración de los consentimientos.</w:t>
      </w:r>
    </w:p>
    <w:p w14:paraId="32213CD7"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4027C931"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procedimiento de muerte médicamente asistida se programará atendiendo al interés y la voluntad del niño, niña y adolescente.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515E2269"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35AE62C"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garantizará el deber de información. El profesional médico deberá informar al niño, niña y adolescente, así como a sus padres o personas que ejerzan su representación legal sobre su condición médica y las distintas opciones de tratamiento a las que puede acceder, entre ellas el cuidado paliativo, la adecuación o suspensión del esfuerzo terapéutico, la muerte médicamente asistida, entre otras. La recepción de dichos tratamientos no podrá ser obligatoria, ni podrá entenderse como un requisito para solicitar la muerte médicamente asistida o como limitante de la autonomía del niño, niña o adolescente. </w:t>
      </w:r>
    </w:p>
    <w:p w14:paraId="713CD928"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4663D60E"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información entregada al niño, niña o adolescente deberá precisar y explicar de manera pedagógica y accesible el concepto de la muerte, el alcance de las diversas opciones de tratamiento médico a disposición y las implicaciones de cada una. Los contenidos y formas empleadas para transmitir esta información deberán ser diferenciales considerando los desarrollos psicológicos y neurocognitivos correspondientes a las diferentes edades en que se encuentre el potencial receptor de la muerte médicamente asistida. Para esto, el personal médico deberá hacer uso y apoyarse en profesionales de otras disciplinas y estar en compañía del defensor de familia. </w:t>
      </w:r>
    </w:p>
    <w:p w14:paraId="7F17C11B"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4D5829D6"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el caso de los niños y niñas entre los seis (6) y los doce (12) años el deber de información se entiende como un deber reforzado. La información entregada deberá hacerse por parte de un psicólogo infantil y en compañía del defensor de familia y deberá incluir en su totalidad el concepto de la muerte. Esto es, información que le permite al niño o niña comprender que </w:t>
      </w:r>
      <w:r>
        <w:rPr>
          <w:rFonts w:ascii="Bookman Old Style" w:eastAsia="Bookman Old Style" w:hAnsi="Bookman Old Style" w:cs="Bookman Old Style"/>
          <w:color w:val="000000"/>
        </w:rPr>
        <w:lastRenderedPageBreak/>
        <w:t>todo el mundo, incluso uno mismo va a morir y que se trata de un asunto irreversible, universal e inexorable y que la muerte médicamente asistida le causaría su propia muerte.</w:t>
      </w:r>
    </w:p>
    <w:p w14:paraId="4A49C87D"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0B9D43C5"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contará con un sistema de reporte de las actuaciones realizadas por parte del equipo médico y del Comité Científico Interdisciplinario para Morir 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2B3DA6AC"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772FE09C" w14:textId="77777777" w:rsidR="00647410" w:rsidRDefault="0000000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 igual manera, todas estas actuaciones deberán registrarse en la historia clínica del niño, niña o adolescente a quien se prestaría el servicio de la muerte médicamente asistida desde el momento en el que se recibe la solicitud. La información reportada respetará las normas vigentes en materia de protección de datos personales y la confidencialidad de la historia clínica. </w:t>
      </w:r>
    </w:p>
    <w:p w14:paraId="02C8AF7F" w14:textId="77777777" w:rsidR="00647410" w:rsidRDefault="00647410">
      <w:pPr>
        <w:rPr>
          <w:rFonts w:ascii="Bookman Old Style" w:eastAsia="Bookman Old Style" w:hAnsi="Bookman Old Style" w:cs="Bookman Old Style"/>
          <w:color w:val="000000"/>
        </w:rPr>
      </w:pPr>
    </w:p>
    <w:p w14:paraId="68014120"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respecto de niños, niñas y adolescentes que realicen y cada procedimiento que culmine con el ejercicio a la muerte digna de un niño, niña o adolescente. </w:t>
      </w:r>
    </w:p>
    <w:p w14:paraId="132C45FE"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2485D1D4" w14:textId="77777777" w:rsidR="00647410" w:rsidRDefault="00000000">
      <w:pPr>
        <w:pBdr>
          <w:top w:val="nil"/>
          <w:left w:val="nil"/>
          <w:bottom w:val="nil"/>
          <w:right w:val="nil"/>
          <w:between w:val="nil"/>
        </w:pBdr>
        <w:spacing w:line="240" w:lineRule="auto"/>
        <w:ind w:left="708"/>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al niño, niña o adolescente y el municipio o distrito en que se realizó el procedimiento. No podrá incluirse información que permita la individualización o identificación del niño, niña o adolescente que ejerció el derecho a morir dignamente en la modalidad de muerte médicamente asistida. </w:t>
      </w:r>
    </w:p>
    <w:p w14:paraId="3CCF8077"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7F8035E2"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dispondrá de un procedimiento en caso de que se rechace la solicitud o cuando se requiera una segunda valoración médica en cada una de las etapas del trámite de la solicitud. En todo caso las segundas valoraciones deberán hacerse dentro de los tiempos previstos en los numerales 6, 7, 8 y 9 del presente artículo.</w:t>
      </w:r>
    </w:p>
    <w:p w14:paraId="74A02B7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FAF7022"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Todo niño, niña o adolescente, así como sus padres o quienes ejerzan su representación legal, tendrán derecho a ser informados sobre las razones por las cuales fue aprobada o rechazada la realización del procedimiento de la muerte médicamente asistida y podrán pedir una segunda valoración de </w:t>
      </w:r>
      <w:r>
        <w:rPr>
          <w:rFonts w:ascii="Bookman Old Style" w:eastAsia="Bookman Old Style" w:hAnsi="Bookman Old Style" w:cs="Bookman Old Style"/>
          <w:color w:val="000000"/>
        </w:rPr>
        <w:lastRenderedPageBreak/>
        <w:t>los requisitos que deberá ser realizada por personas diferentes a quienes realizaron la primera.</w:t>
      </w:r>
    </w:p>
    <w:p w14:paraId="486D9959"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2FA0D2BC"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dispondrá de un procedimiento para solicitar la adecuación del esfuerzo terapéutico con enfoque diferencial en niños, niñas y adolescentes. </w:t>
      </w:r>
    </w:p>
    <w:p w14:paraId="47C1434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C3DB6A1"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Ministerio de Salud y Protección Social o la entidad que haga sus veces en conjunto con la Superintendencia de Salud, en el marco de sus funciones de inspección, vigilancia y control, podrán verificar si los procedimientos realizados para garantizar el acceso al derecho a morir dignamente por una determinada institución prestadora de salud o entidad promotora de salud fueron idóneos y se cumplieron los requisitos determinados en la presente ley. El documento en el cual se consignen esas conclusiones deberá ser remitido a la Procuraduría General de la Nación. </w:t>
      </w:r>
    </w:p>
    <w:p w14:paraId="46942A29" w14:textId="77777777" w:rsidR="00647410" w:rsidRDefault="00647410">
      <w:pPr>
        <w:pBdr>
          <w:top w:val="nil"/>
          <w:left w:val="nil"/>
          <w:bottom w:val="nil"/>
          <w:right w:val="nil"/>
          <w:between w:val="nil"/>
        </w:pBdr>
        <w:ind w:left="720"/>
        <w:rPr>
          <w:rFonts w:ascii="Bookman Old Style" w:eastAsia="Bookman Old Style" w:hAnsi="Bookman Old Style" w:cs="Bookman Old Style"/>
          <w:color w:val="000000"/>
        </w:rPr>
      </w:pPr>
    </w:p>
    <w:p w14:paraId="3D224169" w14:textId="77777777" w:rsidR="00647410" w:rsidRDefault="00000000">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todas las etapas del trámite de la solicitud deberá garantizarse la presencia y acompañamiento de un defensor de familia que tendrá la función de promover la protección integral, el interés superior y la prevalencia de los derechos de los niños, niñas y adolescentes con el fin de evitar su amenaza, inobservancia o vulneración y restablecerlos de manera eficaz, oportuna y efectiva.</w:t>
      </w:r>
    </w:p>
    <w:p w14:paraId="66341CCE"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7841E57F"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45. Reiteración del consentimiento. </w:t>
      </w:r>
      <w:r>
        <w:rPr>
          <w:rFonts w:ascii="Bookman Old Style" w:eastAsia="Bookman Old Style" w:hAnsi="Bookman Old Style" w:cs="Bookman Old Style"/>
        </w:rPr>
        <w:t xml:space="preserve">Dentro del proceso para acceder a la muerte médicamente asistida el niño, niña o adolescente potencialmente receptor de la muerte médicamente asistida, así como sus padres, o quienes ejerzan su representación legal, deberán manifestar su consentimiento de manera inicial y luego deberán reiterarlo como condición para que se le practique la muerte médicamente asistida. </w:t>
      </w:r>
    </w:p>
    <w:p w14:paraId="130E311A" w14:textId="77777777" w:rsidR="00647410" w:rsidRDefault="00647410">
      <w:pPr>
        <w:jc w:val="both"/>
        <w:rPr>
          <w:rFonts w:ascii="Bookman Old Style" w:eastAsia="Bookman Old Style" w:hAnsi="Bookman Old Style" w:cs="Bookman Old Style"/>
        </w:rPr>
      </w:pPr>
    </w:p>
    <w:p w14:paraId="227E5E9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La reiteración del consentimiento deberá darse dentro de los diez (10) días calendario siguientes a l</w:t>
      </w:r>
      <w:r>
        <w:rPr>
          <w:rFonts w:ascii="Bookman Old Style" w:eastAsia="Bookman Old Style" w:hAnsi="Bookman Old Style" w:cs="Bookman Old Style"/>
          <w:color w:val="000000"/>
        </w:rPr>
        <w:t xml:space="preserve">as valoraciones </w:t>
      </w:r>
      <w:r>
        <w:rPr>
          <w:rFonts w:ascii="Bookman Old Style" w:eastAsia="Bookman Old Style" w:hAnsi="Bookman Old Style" w:cs="Bookman Old Style"/>
        </w:rPr>
        <w:t xml:space="preserve">médicas </w:t>
      </w:r>
      <w:r>
        <w:rPr>
          <w:rFonts w:ascii="Bookman Old Style" w:eastAsia="Bookman Old Style" w:hAnsi="Bookman Old Style" w:cs="Bookman Old Style"/>
          <w:color w:val="000000"/>
        </w:rPr>
        <w:t>mediante las cuales se verificará el cumplimiento de los requisitos médicos para acceder a la muerte médicamente asistida. En el caso de los niños y niñas entre los seis (6) y doce (12) años se deberá prestar especial atención al cumplimiento de lo exigido por el artículo 34.6 de la presente ley. Acreditada la reiteración del consentimiento se dará</w:t>
      </w:r>
      <w:r>
        <w:rPr>
          <w:rFonts w:ascii="Bookman Old Style" w:eastAsia="Bookman Old Style" w:hAnsi="Bookman Old Style" w:cs="Bookman Old Style"/>
        </w:rPr>
        <w:t xml:space="preserve"> paso a la programación del procedimiento de muerte médicamente asistida en el menor tiempo posible. </w:t>
      </w:r>
    </w:p>
    <w:p w14:paraId="64FF2D14" w14:textId="77777777" w:rsidR="00647410" w:rsidRDefault="00647410">
      <w:pPr>
        <w:jc w:val="both"/>
        <w:rPr>
          <w:rFonts w:ascii="Bookman Old Style" w:eastAsia="Bookman Old Style" w:hAnsi="Bookman Old Style" w:cs="Bookman Old Style"/>
        </w:rPr>
      </w:pPr>
    </w:p>
    <w:p w14:paraId="2C7145E3"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La aplicación de la muerte médicamente asistida deberá darse en un máximo de quince (15) días calendario contados desde la reiteración de la decisión. El niño, niña o adolescente potencialmente receptor de la muerte médicamente asistida de común acuerdo con sus padres o con quienes ejerzan su representación legal podrá elegir la fecha y hora dentro de ese rango de días. </w:t>
      </w:r>
    </w:p>
    <w:p w14:paraId="1092E557" w14:textId="77777777" w:rsidR="00647410" w:rsidRDefault="00647410">
      <w:pPr>
        <w:pBdr>
          <w:top w:val="nil"/>
          <w:left w:val="nil"/>
          <w:bottom w:val="nil"/>
          <w:right w:val="nil"/>
          <w:between w:val="nil"/>
        </w:pBdr>
        <w:jc w:val="both"/>
        <w:rPr>
          <w:rFonts w:ascii="Bookman Old Style" w:eastAsia="Bookman Old Style" w:hAnsi="Bookman Old Style" w:cs="Bookman Old Style"/>
          <w:color w:val="000000"/>
        </w:rPr>
      </w:pPr>
    </w:p>
    <w:p w14:paraId="6E75063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color w:val="000000"/>
        </w:rPr>
        <w:lastRenderedPageBreak/>
        <w:t xml:space="preserve">Artículo 46. Desistimiento de la solicitud. </w:t>
      </w:r>
      <w:r>
        <w:rPr>
          <w:rFonts w:ascii="Bookman Old Style" w:eastAsia="Bookman Old Style" w:hAnsi="Bookman Old Style" w:cs="Bookman Old Style"/>
        </w:rPr>
        <w:t>El niño, niña o adolescente potencialmente receptor de la muerte médicamente asistida podrá desistir en todo momento de su solicitud de acceso a la muerte médicamente asistida. El desistimiento deberá formalizarse de la misma manera en que se formalizó el consentimiento y deberá consignarse en la historia clínica del niño, niña o adolescente por parte del profesional médico que preste atención al niño, niña o adolescente.</w:t>
      </w:r>
    </w:p>
    <w:p w14:paraId="1A7C03A9" w14:textId="77777777" w:rsidR="00647410" w:rsidRDefault="00647410">
      <w:pPr>
        <w:jc w:val="both"/>
        <w:rPr>
          <w:rFonts w:ascii="Bookman Old Style" w:eastAsia="Bookman Old Style" w:hAnsi="Bookman Old Style" w:cs="Bookman Old Style"/>
        </w:rPr>
      </w:pPr>
    </w:p>
    <w:p w14:paraId="22A52D28"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color w:val="000000"/>
        </w:rPr>
        <w:t xml:space="preserve">Respecto del desistimiento del consentimiento de los padres o de quienes ejerzan la representación legal del </w:t>
      </w:r>
      <w:r>
        <w:rPr>
          <w:rFonts w:ascii="Bookman Old Style" w:eastAsia="Bookman Old Style" w:hAnsi="Bookman Old Style" w:cs="Bookman Old Style"/>
        </w:rPr>
        <w:t>niño, niña o adolescente potencialmente receptor de la muerte médicamente asistida operarán las reglas previstas en el artículo 29 de la presente ley.</w:t>
      </w:r>
    </w:p>
    <w:p w14:paraId="35C22B4D" w14:textId="77777777" w:rsidR="00647410" w:rsidRDefault="00647410">
      <w:pPr>
        <w:jc w:val="both"/>
        <w:rPr>
          <w:rFonts w:ascii="Bookman Old Style" w:eastAsia="Bookman Old Style" w:hAnsi="Bookman Old Style" w:cs="Bookman Old Style"/>
        </w:rPr>
      </w:pPr>
    </w:p>
    <w:p w14:paraId="750405A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47. Aplicación de la muerte médicamente asistida. </w:t>
      </w:r>
      <w:r>
        <w:rPr>
          <w:rFonts w:ascii="Bookman Old Style" w:eastAsia="Bookman Old Style" w:hAnsi="Bookman Old Style" w:cs="Bookman Old Style"/>
        </w:rPr>
        <w:t xml:space="preserve">Verificada la validez de los consentimientos concurrentes, el cumplimiento de todos los requisitos legalmente exigidos para acceder a la muerte médicamente asistida, reiterados los consentimientos concurrentes y verificada su validez en los casos en que tal acción sea exigible se agendará </w:t>
      </w:r>
      <w:r>
        <w:rPr>
          <w:rFonts w:ascii="Bookman Old Style" w:eastAsia="Bookman Old Style" w:hAnsi="Bookman Old Style" w:cs="Bookman Old Style"/>
          <w:color w:val="000000"/>
        </w:rPr>
        <w:t>la aplicación de la muerte médicamente asistida.</w:t>
      </w:r>
    </w:p>
    <w:p w14:paraId="3659F25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3B20A08"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programación de la muerte médicamente asistida deberá darse dentro de los quince (15) días calendario siguientes a la fecha en que se reiteren los consentimientos concurrentes cuando ese requisito sea exigible o dentro de los quince (15) días calendario siguientes a la fecha en que se acredita el cumplimiento de la totalidad de requisitos para acceder a la muerte médicamente asistida cuando no sea exigible la reiteración de los consentimientos.</w:t>
      </w:r>
    </w:p>
    <w:p w14:paraId="5037B15E"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39C4289"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Entre el momento en se radique la solicitud y la prestación del servicio de la muerte médicamente asistida no podrán pasar más de cuarenta y cinco (45) días calendario siempre y cuando se acredite el correcto cumplimiento de todos los requisitos legales y reglamentarios para acceder a la muerte médicamente asistida. </w:t>
      </w:r>
    </w:p>
    <w:p w14:paraId="1CB13E04" w14:textId="77777777" w:rsidR="00647410"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color w:val="000000"/>
        </w:rPr>
      </w:pPr>
    </w:p>
    <w:p w14:paraId="56A4D46D" w14:textId="77777777" w:rsidR="00647410"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procedimiento de muerte médicamente asistida se programará atendiendo al interés y la voluntad del niño, niña o adolescente. Si así lo desea el niño, niño o adolescente potencialmente receptor de la muerte médicamente asistida, ese servicio se le prestará en su domicilio. El Comité Científico Interdisciplinario para Morir Dignamente vigilará que el procedimiento se realice con el lleno de requisitos legales en la fecha y hora que el niño, niña o adolescente de común acuerdo con sus padres o con quienes ejerzan su representación legal determinen.</w:t>
      </w:r>
    </w:p>
    <w:p w14:paraId="0C76438D"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300A258E"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04F8E4F"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57131862"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129B3D79"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68920493"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44C66F64"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BAC3010" w14:textId="77777777" w:rsidR="00647410"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67BC9C65"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lastRenderedPageBreak/>
        <w:t>TÍTULO IV</w:t>
      </w:r>
    </w:p>
    <w:p w14:paraId="49C8AC94" w14:textId="77777777" w:rsidR="00647410" w:rsidRDefault="00647410">
      <w:pPr>
        <w:pBdr>
          <w:top w:val="nil"/>
          <w:left w:val="nil"/>
          <w:bottom w:val="nil"/>
          <w:right w:val="nil"/>
          <w:between w:val="nil"/>
        </w:pBdr>
        <w:jc w:val="center"/>
        <w:rPr>
          <w:rFonts w:ascii="Bookman Old Style" w:eastAsia="Bookman Old Style" w:hAnsi="Bookman Old Style" w:cs="Bookman Old Style"/>
          <w:b/>
          <w:color w:val="000000"/>
        </w:rPr>
      </w:pPr>
    </w:p>
    <w:p w14:paraId="32917418" w14:textId="77777777" w:rsidR="00647410" w:rsidRDefault="00000000">
      <w:pPr>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I</w:t>
      </w:r>
    </w:p>
    <w:p w14:paraId="111F9DC1" w14:textId="77777777" w:rsidR="00647410" w:rsidRDefault="00000000">
      <w:pPr>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COMITÉ CIENTÍFICO-INTERDISCIPLINARIO PARA</w:t>
      </w:r>
    </w:p>
    <w:p w14:paraId="04F3B136" w14:textId="77777777" w:rsidR="00647410" w:rsidRDefault="00000000">
      <w:pPr>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MORIR DIGNAMENTE</w:t>
      </w:r>
    </w:p>
    <w:p w14:paraId="13E20BA8" w14:textId="77777777" w:rsidR="00647410" w:rsidRDefault="00647410">
      <w:pPr>
        <w:pBdr>
          <w:top w:val="nil"/>
          <w:left w:val="nil"/>
          <w:bottom w:val="nil"/>
          <w:right w:val="nil"/>
          <w:between w:val="nil"/>
        </w:pBdr>
        <w:jc w:val="center"/>
        <w:rPr>
          <w:rFonts w:ascii="Bookman Old Style" w:eastAsia="Bookman Old Style" w:hAnsi="Bookman Old Style" w:cs="Bookman Old Style"/>
          <w:b/>
          <w:color w:val="000000"/>
        </w:rPr>
      </w:pPr>
    </w:p>
    <w:p w14:paraId="61E5F7DB"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48. Del Comité Científico Interdisciplinario. </w:t>
      </w:r>
      <w:r>
        <w:rPr>
          <w:rFonts w:ascii="Bookman Old Style" w:eastAsia="Bookman Old Style" w:hAnsi="Bookman Old Style" w:cs="Bookman Old Style"/>
          <w:color w:val="000000"/>
        </w:rPr>
        <w:t>Las Entidades Promotoras de Salud-EPS deberán contar dentro de las Instituciones Prestadoras de Salud –IPS con un Comité Científico Interdisciplinario para Morir Dignamente.</w:t>
      </w:r>
    </w:p>
    <w:p w14:paraId="4E6285DE" w14:textId="77777777" w:rsidR="00647410" w:rsidRDefault="00647410">
      <w:pPr>
        <w:jc w:val="both"/>
        <w:rPr>
          <w:rFonts w:ascii="Bookman Old Style" w:eastAsia="Bookman Old Style" w:hAnsi="Bookman Old Style" w:cs="Bookman Old Style"/>
          <w:color w:val="000000"/>
        </w:rPr>
      </w:pPr>
    </w:p>
    <w:p w14:paraId="34B67269"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Comité Científico Interdisciplinario para Morir Dignamente, o quien haga sus veces, será quien desde una perspectiva médica verifique el cumplimiento de los requisitos fijados en la presente ley para la autorización y programación del procedimiento para hacer efectivo el derecho a morir dignamente bajo la modalidad de muerte </w:t>
      </w:r>
      <w:r>
        <w:rPr>
          <w:rFonts w:ascii="Bookman Old Style" w:eastAsia="Bookman Old Style" w:hAnsi="Bookman Old Style" w:cs="Bookman Old Style"/>
        </w:rPr>
        <w:t xml:space="preserve">médicamente </w:t>
      </w:r>
      <w:r>
        <w:rPr>
          <w:rFonts w:ascii="Bookman Old Style" w:eastAsia="Bookman Old Style" w:hAnsi="Bookman Old Style" w:cs="Bookman Old Style"/>
          <w:color w:val="000000"/>
        </w:rPr>
        <w:t>asistida. En ningún caso el Comité Científico Interdisciplinario para Morir Dignamente podrá evaluar la pertinencia y conveniencia de la manifestación del consentimiento de la persona solicitante y tampoco podrán exigir el cumplimiento de requisitos adicionales.</w:t>
      </w:r>
    </w:p>
    <w:p w14:paraId="564FFB0A" w14:textId="77777777" w:rsidR="00647410" w:rsidRDefault="00647410">
      <w:pPr>
        <w:jc w:val="both"/>
        <w:rPr>
          <w:rFonts w:ascii="Bookman Old Style" w:eastAsia="Bookman Old Style" w:hAnsi="Bookman Old Style" w:cs="Bookman Old Style"/>
          <w:color w:val="000000"/>
        </w:rPr>
      </w:pPr>
    </w:p>
    <w:p w14:paraId="555E80C1"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w:t>
      </w:r>
      <w:r>
        <w:rPr>
          <w:rFonts w:ascii="Bookman Old Style" w:eastAsia="Bookman Old Style" w:hAnsi="Bookman Old Style" w:cs="Bookman Old Style"/>
        </w:rPr>
        <w:t xml:space="preserve">el ejercicio </w:t>
      </w:r>
      <w:r>
        <w:rPr>
          <w:rFonts w:ascii="Bookman Old Style" w:eastAsia="Bookman Old Style" w:hAnsi="Bookman Old Style" w:cs="Bookman Old Style"/>
          <w:color w:val="000000"/>
        </w:rPr>
        <w:t>de los derechos de las personas solicitantes. Para garantizarlo deberán tener una instancia de coordinación la cual será la dependencia encargada de gestionar, coordinar y garantizar la prestación se los servicios relacionados con el derecho a morir dignamente bajo la modalidad de muerte médicamente asistida.</w:t>
      </w:r>
    </w:p>
    <w:p w14:paraId="257E48F4" w14:textId="77777777" w:rsidR="00647410" w:rsidRDefault="00647410">
      <w:pPr>
        <w:jc w:val="both"/>
        <w:rPr>
          <w:rFonts w:ascii="Bookman Old Style" w:eastAsia="Bookman Old Style" w:hAnsi="Bookman Old Style" w:cs="Bookman Old Style"/>
          <w:b/>
          <w:color w:val="000000"/>
        </w:rPr>
      </w:pPr>
    </w:p>
    <w:p w14:paraId="78C16E23"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primero. </w:t>
      </w:r>
      <w:r>
        <w:rPr>
          <w:rFonts w:ascii="Bookman Old Style" w:eastAsia="Bookman Old Style" w:hAnsi="Bookman Old Style" w:cs="Bookman Old Style"/>
          <w:color w:val="000000"/>
        </w:rPr>
        <w:t xml:space="preserve">El Comité Científico Interdisciplinario para Morir Dignamente tendrá la obligación de reportar cualquier posible irregularidad, falta, o delito con ocasión del cumplimiento de las disposiciones contenidas en la presente ley. Para tal fin, pondrá su reporte en conocimiento del Ministerio de Salud y Protección Social, así como de la Superintendencia de Salud, de la Procuraduría General de la Nación, de la Defensoría del Pueblo, la </w:t>
      </w:r>
      <w:proofErr w:type="gramStart"/>
      <w:r>
        <w:rPr>
          <w:rFonts w:ascii="Bookman Old Style" w:eastAsia="Bookman Old Style" w:hAnsi="Bookman Old Style" w:cs="Bookman Old Style"/>
          <w:color w:val="000000"/>
        </w:rPr>
        <w:t>Fiscalía General</w:t>
      </w:r>
      <w:proofErr w:type="gramEnd"/>
      <w:r>
        <w:rPr>
          <w:rFonts w:ascii="Bookman Old Style" w:eastAsia="Bookman Old Style" w:hAnsi="Bookman Old Style" w:cs="Bookman Old Style"/>
          <w:color w:val="000000"/>
        </w:rPr>
        <w:t xml:space="preserve"> de la Nación, las secretarías distritales o municipales de salud y las demás autoridades que sean competentes. </w:t>
      </w:r>
    </w:p>
    <w:p w14:paraId="2FAB2914" w14:textId="77777777" w:rsidR="00647410" w:rsidRDefault="00647410">
      <w:pPr>
        <w:jc w:val="both"/>
        <w:rPr>
          <w:rFonts w:ascii="Bookman Old Style" w:eastAsia="Bookman Old Style" w:hAnsi="Bookman Old Style" w:cs="Bookman Old Style"/>
          <w:b/>
          <w:color w:val="000000"/>
        </w:rPr>
      </w:pPr>
    </w:p>
    <w:p w14:paraId="5453C18D"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segundo. </w:t>
      </w:r>
      <w:r>
        <w:rPr>
          <w:rFonts w:ascii="Bookman Old Style" w:eastAsia="Bookman Old Style" w:hAnsi="Bookman Old Style" w:cs="Bookman Old Style"/>
        </w:rPr>
        <w:t xml:space="preserve">La </w:t>
      </w:r>
      <w:r>
        <w:rPr>
          <w:rFonts w:ascii="Bookman Old Style" w:eastAsia="Bookman Old Style" w:hAnsi="Bookman Old Style" w:cs="Bookman Old Style"/>
          <w:color w:val="000000"/>
        </w:rPr>
        <w:t>participación de los integrantes del Comité Científico Interdisciplinario para Morir Dignamente es indelegable. No obstante, por razones de fuerza mayor, caso fortuito o por existencia de conflictos de interés la Institución Prestadora de Salud deberá designar, de manera inmediata, a los profesionales que deban ocupar las plazas disponibles.</w:t>
      </w:r>
    </w:p>
    <w:p w14:paraId="2C351D88" w14:textId="77777777" w:rsidR="00647410" w:rsidRDefault="00647410">
      <w:pPr>
        <w:jc w:val="both"/>
        <w:rPr>
          <w:rFonts w:ascii="Bookman Old Style" w:eastAsia="Bookman Old Style" w:hAnsi="Bookman Old Style" w:cs="Bookman Old Style"/>
          <w:color w:val="000000"/>
        </w:rPr>
      </w:pPr>
    </w:p>
    <w:p w14:paraId="0CBAC60C"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 xml:space="preserve">Parágrafo tercero. </w:t>
      </w:r>
      <w:r>
        <w:rPr>
          <w:rFonts w:ascii="Bookman Old Style" w:eastAsia="Bookman Old Style" w:hAnsi="Bookman Old Style" w:cs="Bookman Old Style"/>
          <w:color w:val="000000"/>
        </w:rPr>
        <w:t>En caso de que un solicitante de la muerte médicamente asistida se encuentre dentro de los cuatro grados de consanguinidad o afinidad de algún integrante del Comité Científico Interdisciplinario para Morir Dignamente ese integrante del Comité se encontrará incurso en una casual de conflicto de interés.</w:t>
      </w:r>
    </w:p>
    <w:p w14:paraId="744C7374" w14:textId="77777777" w:rsidR="00647410" w:rsidRDefault="00647410">
      <w:pPr>
        <w:jc w:val="both"/>
        <w:rPr>
          <w:rFonts w:ascii="Bookman Old Style" w:eastAsia="Bookman Old Style" w:hAnsi="Bookman Old Style" w:cs="Bookman Old Style"/>
          <w:color w:val="000000"/>
        </w:rPr>
      </w:pPr>
    </w:p>
    <w:p w14:paraId="33F612B7" w14:textId="77777777" w:rsidR="00647410" w:rsidRDefault="00000000">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integrante del Comité Científico Interdisciplinario para Morir Dignamente incurso en el conflicto de interés deberá reportarlo por escrito ante el Comité dentro de las 24 horas siguientes y no podrá ejercer sus funciones respecto del caso concreto. Deberá ser sustituido de forma inmediata por un integrante ad hoc que integrará el Comité Científico Interdisciplinario para Morir Dignamente respecto de ese caso concreto. </w:t>
      </w:r>
    </w:p>
    <w:p w14:paraId="0238CDC7" w14:textId="77777777" w:rsidR="00647410" w:rsidRDefault="00647410">
      <w:pPr>
        <w:jc w:val="center"/>
        <w:rPr>
          <w:rFonts w:ascii="Bookman Old Style" w:eastAsia="Bookman Old Style" w:hAnsi="Bookman Old Style" w:cs="Bookman Old Style"/>
        </w:rPr>
      </w:pPr>
    </w:p>
    <w:p w14:paraId="583AEFDB"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CAPÍTULO II</w:t>
      </w:r>
    </w:p>
    <w:p w14:paraId="681096F9"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OBJECIÓN DE CONCIENCIA</w:t>
      </w:r>
    </w:p>
    <w:p w14:paraId="5F7CCD4F" w14:textId="77777777" w:rsidR="00647410" w:rsidRDefault="00647410">
      <w:pPr>
        <w:ind w:left="142"/>
        <w:jc w:val="both"/>
        <w:rPr>
          <w:rFonts w:ascii="Bookman Old Style" w:eastAsia="Bookman Old Style" w:hAnsi="Bookman Old Style" w:cs="Bookman Old Style"/>
          <w:b/>
          <w:i/>
        </w:rPr>
      </w:pPr>
    </w:p>
    <w:p w14:paraId="51DD3D65"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49. Objeción de conciencia. </w:t>
      </w:r>
      <w:r>
        <w:rPr>
          <w:rFonts w:ascii="Bookman Old Style" w:eastAsia="Bookman Old Style" w:hAnsi="Bookman Old Style" w:cs="Bookman Old Style"/>
        </w:rPr>
        <w:t xml:space="preserve">El profesional médico asignado para la realización del procedimiento de la muerte médicamente asistida podrá ejercer su derecho a la objeción de conciencia respecto de la realización del procedimiento por considerarlo incompatible con sus convicciones personales. </w:t>
      </w:r>
    </w:p>
    <w:p w14:paraId="2F892289" w14:textId="77777777" w:rsidR="00647410" w:rsidRDefault="00647410">
      <w:pPr>
        <w:jc w:val="both"/>
        <w:rPr>
          <w:rFonts w:ascii="Bookman Old Style" w:eastAsia="Bookman Old Style" w:hAnsi="Bookman Old Style" w:cs="Bookman Old Style"/>
        </w:rPr>
      </w:pPr>
    </w:p>
    <w:p w14:paraId="3AFEA940"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La objeción de conciencia deberá comunicarse de manera escrita y debidamente motivada a la persona solicitante del procedimiento y/o a las personas que se encuentren dentro del segundo grado de consanguinidad o afinidad del solicitante, al Comité Científico Interdisciplinario para Morir Dignamente, a la Institución Prestadora de Salud y a la Entidad Promotora de Salud del solicitante de la muerte médicamente asistida. Luego de objetar conciencia el profesional médico no estará obligado a realizar el procedimiento.</w:t>
      </w:r>
    </w:p>
    <w:p w14:paraId="56AFE107" w14:textId="77777777" w:rsidR="00647410" w:rsidRDefault="00647410">
      <w:pPr>
        <w:jc w:val="both"/>
        <w:rPr>
          <w:rFonts w:ascii="Bookman Old Style" w:eastAsia="Bookman Old Style" w:hAnsi="Bookman Old Style" w:cs="Bookman Old Style"/>
        </w:rPr>
      </w:pPr>
    </w:p>
    <w:p w14:paraId="3458AF26" w14:textId="77777777" w:rsidR="00647410" w:rsidRDefault="00000000">
      <w:pPr>
        <w:jc w:val="both"/>
        <w:rPr>
          <w:rFonts w:ascii="Bookman Old Style" w:eastAsia="Bookman Old Style" w:hAnsi="Bookman Old Style" w:cs="Bookman Old Style"/>
        </w:rPr>
      </w:pPr>
      <w:r>
        <w:rPr>
          <w:rFonts w:ascii="Bookman Old Style" w:eastAsia="Bookman Old Style" w:hAnsi="Bookman Old Style" w:cs="Bookman Old Style"/>
        </w:rPr>
        <w:t xml:space="preserve">Dentro de las 24 horas siguientes a la recepción de la comunicación de la objeción de conciencia la Entidad Promotora de Salud – EPS a instancias del Comité Científico Interdisciplinario para Morir Dignamente deberá disponer de otro profesional médico que haga parte de la misma Institución Prestadora de Salud para que este realice la práctica de la muerte médicamente asistida. La Entidad Promotora de Salud -EPS y el Comité Científico Interdisciplinario para Morir Dignamente deben consultar con el profesional médico suplente si objetaría conciencia. Deberá asignar a un profesional médico que manifieste que no objetará conciencia. </w:t>
      </w:r>
    </w:p>
    <w:p w14:paraId="494403F8" w14:textId="77777777" w:rsidR="00647410" w:rsidRDefault="00647410">
      <w:pPr>
        <w:tabs>
          <w:tab w:val="left" w:pos="1864"/>
        </w:tabs>
        <w:jc w:val="both"/>
        <w:rPr>
          <w:rFonts w:ascii="Bookman Old Style" w:eastAsia="Bookman Old Style" w:hAnsi="Bookman Old Style" w:cs="Bookman Old Style"/>
        </w:rPr>
      </w:pPr>
    </w:p>
    <w:p w14:paraId="51591FA7" w14:textId="77777777" w:rsidR="00647410" w:rsidRDefault="00000000">
      <w:pPr>
        <w:tabs>
          <w:tab w:val="left" w:pos="1864"/>
        </w:tabs>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 xml:space="preserve">También podrán objetar conciencia los profesionales médicos a cargo de tramitar la solicitud de acceso al procedimiento de la muerte médicamente asistida. La objeción de conciencia de esos funcionarios estará sujeta a las mismas reglas contenidas en el presente artículo. </w:t>
      </w:r>
    </w:p>
    <w:p w14:paraId="63202C59" w14:textId="77777777" w:rsidR="00647410" w:rsidRDefault="00647410">
      <w:pPr>
        <w:tabs>
          <w:tab w:val="left" w:pos="1864"/>
        </w:tabs>
        <w:jc w:val="both"/>
        <w:rPr>
          <w:rFonts w:ascii="Bookman Old Style" w:eastAsia="Bookman Old Style" w:hAnsi="Bookman Old Style" w:cs="Bookman Old Style"/>
        </w:rPr>
      </w:pPr>
    </w:p>
    <w:p w14:paraId="645234A3" w14:textId="77777777" w:rsidR="00647410" w:rsidRDefault="00000000">
      <w:pPr>
        <w:tabs>
          <w:tab w:val="left" w:pos="1864"/>
        </w:tabs>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lastRenderedPageBreak/>
        <w:t xml:space="preserve">Parágrafo 2. </w:t>
      </w:r>
      <w:r>
        <w:rPr>
          <w:rFonts w:ascii="Bookman Old Style" w:eastAsia="Bookman Old Style" w:hAnsi="Bookman Old Style" w:cs="Bookman Old Style"/>
          <w:color w:val="000000"/>
        </w:rPr>
        <w:t xml:space="preserve">Los participantes en el trámite de la solicitud deberán manifestar, en cada caso, los conflictos de interés que puedan afectar las decisiones que deban adoptar. Están incursos en conflicto de interés quienes se encuentren hasta dentro del cuarto grado de consanguinidad o afinidad de la persona solicitante de la muerte médicamente asistida. </w:t>
      </w:r>
    </w:p>
    <w:p w14:paraId="40BA370B" w14:textId="77777777" w:rsidR="00647410" w:rsidRDefault="00000000">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50. Objeción de conciencia institucional. </w:t>
      </w:r>
      <w:r>
        <w:rPr>
          <w:rFonts w:ascii="Bookman Old Style" w:eastAsia="Bookman Old Style" w:hAnsi="Bookman Old Style" w:cs="Bookman Old Style"/>
          <w:color w:val="000000"/>
        </w:rPr>
        <w:t xml:space="preserve">En ningún caso se tendrá como válida la objeción de conciencia institucional por parte de las Entidades Promotoras de Salud - EPS ni de las Instituciones Prestadoras de Salud – IPS. Para los efectos de la objeción de conciencia se tendrá como actor institucional al Comité Científico Interdisciplinario para Morir Dignamente por lo que sus integrantes no podrán objetar conciencia. </w:t>
      </w:r>
    </w:p>
    <w:p w14:paraId="42DE7511"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TÍTULO V</w:t>
      </w:r>
    </w:p>
    <w:p w14:paraId="6B3DDF5F" w14:textId="77777777" w:rsidR="00647410" w:rsidRDefault="00000000">
      <w:pPr>
        <w:jc w:val="center"/>
        <w:rPr>
          <w:rFonts w:ascii="Bookman Old Style" w:eastAsia="Bookman Old Style" w:hAnsi="Bookman Old Style" w:cs="Bookman Old Style"/>
          <w:b/>
        </w:rPr>
      </w:pPr>
      <w:r>
        <w:rPr>
          <w:rFonts w:ascii="Bookman Old Style" w:eastAsia="Bookman Old Style" w:hAnsi="Bookman Old Style" w:cs="Bookman Old Style"/>
          <w:b/>
        </w:rPr>
        <w:t>DISPOSICIONES FINALES</w:t>
      </w:r>
    </w:p>
    <w:p w14:paraId="3FAF2351" w14:textId="77777777" w:rsidR="00647410" w:rsidRDefault="00647410">
      <w:pPr>
        <w:pBdr>
          <w:top w:val="nil"/>
          <w:left w:val="nil"/>
          <w:bottom w:val="nil"/>
          <w:right w:val="nil"/>
          <w:between w:val="nil"/>
        </w:pBdr>
        <w:spacing w:line="240" w:lineRule="auto"/>
        <w:ind w:right="15"/>
        <w:jc w:val="both"/>
        <w:rPr>
          <w:rFonts w:ascii="Bookman Old Style" w:eastAsia="Bookman Old Style" w:hAnsi="Bookman Old Style" w:cs="Bookman Old Style"/>
          <w:color w:val="000000"/>
        </w:rPr>
      </w:pPr>
    </w:p>
    <w:p w14:paraId="3CEAB22B" w14:textId="77777777" w:rsidR="00647410" w:rsidRDefault="00000000">
      <w:pPr>
        <w:pBdr>
          <w:top w:val="nil"/>
          <w:left w:val="nil"/>
          <w:bottom w:val="nil"/>
          <w:right w:val="nil"/>
          <w:between w:val="nil"/>
        </w:pBdr>
        <w:spacing w:line="240" w:lineRule="auto"/>
        <w:ind w:right="15"/>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I</w:t>
      </w:r>
    </w:p>
    <w:p w14:paraId="12C1EA00" w14:textId="77777777" w:rsidR="00647410" w:rsidRDefault="00000000">
      <w:pPr>
        <w:pBdr>
          <w:top w:val="nil"/>
          <w:left w:val="nil"/>
          <w:bottom w:val="nil"/>
          <w:right w:val="nil"/>
          <w:between w:val="nil"/>
        </w:pBdr>
        <w:spacing w:line="240" w:lineRule="auto"/>
        <w:ind w:right="15"/>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GARANTÍAS JURÍDICO PENALES</w:t>
      </w:r>
    </w:p>
    <w:p w14:paraId="343AB554" w14:textId="77777777" w:rsidR="00647410" w:rsidRDefault="00000000">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51. De la cláusula de exclusión penal. </w:t>
      </w:r>
      <w:r>
        <w:rPr>
          <w:rFonts w:ascii="Bookman Old Style" w:eastAsia="Bookman Old Style" w:hAnsi="Bookman Old Style" w:cs="Bookman Old Style"/>
        </w:rPr>
        <w:t>El  profesional de la medicina que como resultado de la solicitud, autorización, programación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4B4B1B40" w14:textId="77777777" w:rsidR="00647410" w:rsidRDefault="00000000">
      <w:pPr>
        <w:jc w:val="both"/>
        <w:rPr>
          <w:rFonts w:ascii="Bookman Old Style" w:eastAsia="Bookman Old Style" w:hAnsi="Bookman Old Style" w:cs="Bookman Old Style"/>
          <w:b/>
          <w:i/>
        </w:rPr>
      </w:pPr>
      <w:r>
        <w:rPr>
          <w:rFonts w:ascii="Bookman Old Style" w:eastAsia="Bookman Old Style" w:hAnsi="Bookman Old Style" w:cs="Bookman Old Style"/>
          <w:b/>
          <w:color w:val="000000"/>
        </w:rPr>
        <w:t xml:space="preserve">Artículo 52. </w:t>
      </w:r>
      <w:r>
        <w:rPr>
          <w:rFonts w:ascii="Bookman Old Style" w:eastAsia="Bookman Old Style" w:hAnsi="Bookman Old Style" w:cs="Bookman Old Style"/>
          <w:color w:val="000000"/>
        </w:rPr>
        <w:t>Adiciónese un inciso al artículo 106 de la Ley 599 del 2000, el cual quedará así:</w:t>
      </w:r>
      <w:r>
        <w:rPr>
          <w:rFonts w:ascii="Bookman Old Style" w:eastAsia="Bookman Old Style" w:hAnsi="Bookman Old Style" w:cs="Bookman Old Style"/>
          <w:i/>
          <w:color w:val="000000"/>
        </w:rPr>
        <w:t xml:space="preserve"> </w:t>
      </w:r>
      <w:r>
        <w:rPr>
          <w:rFonts w:ascii="Bookman Old Style" w:eastAsia="Bookman Old Style" w:hAnsi="Bookman Old Style" w:cs="Bookman Old Style"/>
          <w:b/>
          <w:i/>
          <w:color w:val="000000"/>
        </w:rPr>
        <w:t xml:space="preserve"> </w:t>
      </w:r>
    </w:p>
    <w:p w14:paraId="1B6147E2" w14:textId="77777777" w:rsidR="00647410" w:rsidRDefault="00647410">
      <w:pPr>
        <w:ind w:left="709" w:right="1325"/>
        <w:jc w:val="both"/>
        <w:rPr>
          <w:rFonts w:ascii="Bookman Old Style" w:eastAsia="Bookman Old Style" w:hAnsi="Bookman Old Style" w:cs="Bookman Old Style"/>
          <w:b/>
          <w:i/>
          <w:color w:val="000000"/>
        </w:rPr>
      </w:pPr>
    </w:p>
    <w:p w14:paraId="7E0F7693" w14:textId="77777777" w:rsidR="00647410" w:rsidRDefault="00000000">
      <w:pPr>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Artículo 106</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Homicidio por piedad.</w:t>
      </w:r>
      <w:r>
        <w:rPr>
          <w:rFonts w:ascii="Bookman Old Style" w:eastAsia="Bookman Old Style" w:hAnsi="Bookman Old Style" w:cs="Bookman Old Style"/>
          <w:color w:val="000000"/>
        </w:rPr>
        <w:t xml:space="preserve"> El que matare a otro por piedad, para poner fin a intensos sufrimientos provenientes de lesión corporal o enfermedad grave e incurable, incurrirá en prisión de dieciséis (16) a cincuenta y cuatro (54) meses.</w:t>
      </w:r>
    </w:p>
    <w:p w14:paraId="3244DE90" w14:textId="77777777" w:rsidR="00647410" w:rsidRDefault="00000000">
      <w:pPr>
        <w:widowControl w:val="0"/>
        <w:pBdr>
          <w:top w:val="nil"/>
          <w:left w:val="nil"/>
          <w:bottom w:val="nil"/>
          <w:right w:val="nil"/>
          <w:between w:val="nil"/>
        </w:pBdr>
        <w:spacing w:before="280" w:after="280"/>
        <w:ind w:left="709" w:right="1325"/>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sanciones previstas en este artículo no aplicarán </w:t>
      </w:r>
      <w:r>
        <w:rPr>
          <w:rFonts w:ascii="Bookman Old Style" w:eastAsia="Bookman Old Style" w:hAnsi="Bookman Old Style" w:cs="Bookman Old Style"/>
        </w:rPr>
        <w:t>para e</w:t>
      </w:r>
      <w:r>
        <w:rPr>
          <w:rFonts w:ascii="Bookman Old Style" w:eastAsia="Bookman Old Style" w:hAnsi="Bookman Old Style" w:cs="Bookman Old Style"/>
          <w:color w:val="000000"/>
        </w:rPr>
        <w:t xml:space="preserve">l </w:t>
      </w:r>
      <w:r>
        <w:rPr>
          <w:rFonts w:ascii="Bookman Old Style" w:eastAsia="Bookman Old Style" w:hAnsi="Bookman Old Style" w:cs="Bookman Old Style"/>
        </w:rPr>
        <w:t xml:space="preserve">profesional de la medicina </w:t>
      </w:r>
      <w:r>
        <w:rPr>
          <w:rFonts w:ascii="Bookman Old Style" w:eastAsia="Bookman Old Style" w:hAnsi="Bookman Old Style" w:cs="Bookman Old Style"/>
          <w:color w:val="000000"/>
        </w:rPr>
        <w:t>que, de acuerdo con la normatividad vigente y en el marco del ejercicio del derecho a morir dignamente, realice el procedimiento</w:t>
      </w:r>
      <w:r>
        <w:rPr>
          <w:rFonts w:ascii="Bookman Old Style" w:eastAsia="Bookman Old Style" w:hAnsi="Bookman Old Style" w:cs="Bookman Old Style"/>
        </w:rPr>
        <w:t xml:space="preserve"> de muerte médicamente asistida</w:t>
      </w:r>
      <w:r>
        <w:rPr>
          <w:rFonts w:ascii="Bookman Old Style" w:eastAsia="Bookman Old Style" w:hAnsi="Bookman Old Style" w:cs="Bookman Old Style"/>
          <w:color w:val="000000"/>
        </w:rPr>
        <w:t>.</w:t>
      </w:r>
    </w:p>
    <w:p w14:paraId="171B0937" w14:textId="77777777" w:rsidR="00647410" w:rsidRDefault="00647410">
      <w:pPr>
        <w:widowControl w:val="0"/>
        <w:pBdr>
          <w:top w:val="nil"/>
          <w:left w:val="nil"/>
          <w:bottom w:val="nil"/>
          <w:right w:val="nil"/>
          <w:between w:val="nil"/>
        </w:pBdr>
        <w:spacing w:before="280" w:after="280"/>
        <w:ind w:left="709" w:right="1325"/>
        <w:jc w:val="both"/>
        <w:rPr>
          <w:rFonts w:ascii="Bookman Old Style" w:eastAsia="Bookman Old Style" w:hAnsi="Bookman Old Style" w:cs="Bookman Old Style"/>
          <w:color w:val="000000"/>
        </w:rPr>
      </w:pPr>
    </w:p>
    <w:p w14:paraId="033D40BA" w14:textId="77777777" w:rsidR="00647410" w:rsidRDefault="00000000">
      <w:pPr>
        <w:widowControl w:val="0"/>
        <w:pBdr>
          <w:top w:val="nil"/>
          <w:left w:val="nil"/>
          <w:bottom w:val="nil"/>
          <w:right w:val="nil"/>
          <w:between w:val="nil"/>
        </w:pBdr>
        <w:spacing w:before="280" w:after="28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CAPÍTULO II</w:t>
      </w:r>
    </w:p>
    <w:p w14:paraId="5FE8C675" w14:textId="77777777" w:rsidR="00647410" w:rsidRDefault="00000000">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53. Apropiación presupuestal. </w:t>
      </w:r>
      <w:r>
        <w:rPr>
          <w:rFonts w:ascii="Bookman Old Style" w:eastAsia="Bookman Old Style" w:hAnsi="Bookman Old Style" w:cs="Bookman Old Style"/>
          <w:color w:val="000000"/>
        </w:rPr>
        <w:t>El Gobierno Nacional incluirá anualmente en el proyecto de ley de presupuesto las partidas necesarias para la garantía de acceso a la muerte digna en la modalidad de muerte médicamente asistida y para la correcta aplicación de las disposiciones contenidas en esta ley. Dará cumplimiento a lo previsto en el presente artículo de acuerdo con los procedimientos determinados en las normas vigentes.</w:t>
      </w:r>
    </w:p>
    <w:p w14:paraId="00125AC4" w14:textId="4034C820" w:rsidR="00647410" w:rsidRDefault="00605D61">
      <w:pPr>
        <w:widowControl w:val="0"/>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rPr>
        <w:t xml:space="preserve">Artículo 54. </w:t>
      </w:r>
      <w:r>
        <w:rPr>
          <w:rFonts w:ascii="Bookman Old Style" w:eastAsia="Bookman Old Style" w:hAnsi="Bookman Old Style" w:cs="Bookman Old Style"/>
          <w:b/>
          <w:color w:val="000000"/>
        </w:rPr>
        <w:t xml:space="preserve">Vigencia y derogatorias. </w:t>
      </w:r>
      <w:r>
        <w:rPr>
          <w:rFonts w:ascii="Bookman Old Style" w:eastAsia="Bookman Old Style" w:hAnsi="Bookman Old Style" w:cs="Bookman Old Style"/>
          <w:color w:val="000000"/>
        </w:rPr>
        <w:t>La presente ley rige a partir del momento de su promulgación y deroga todas las disposiciones que le sean contrarias.</w:t>
      </w:r>
    </w:p>
    <w:p w14:paraId="5B30B6AA" w14:textId="2FF5CA81" w:rsidR="00647410" w:rsidRDefault="00000000">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Cordialmente,</w:t>
      </w:r>
    </w:p>
    <w:p w14:paraId="03668D42" w14:textId="1045E104" w:rsidR="0006605A" w:rsidRDefault="0006605A">
      <w:pPr>
        <w:spacing w:before="240" w:after="240"/>
        <w:jc w:val="both"/>
        <w:rPr>
          <w:rFonts w:ascii="Bookman Old Style" w:eastAsia="Bookman Old Style" w:hAnsi="Bookman Old Style" w:cs="Bookman Old Style"/>
        </w:rPr>
      </w:pPr>
    </w:p>
    <w:p w14:paraId="63D6073B" w14:textId="24E045CA" w:rsidR="0006605A" w:rsidRDefault="0006605A">
      <w:pPr>
        <w:spacing w:before="240" w:after="240"/>
        <w:jc w:val="both"/>
        <w:rPr>
          <w:rFonts w:ascii="Bookman Old Style" w:eastAsia="Bookman Old Style" w:hAnsi="Bookman Old Style" w:cs="Bookman Old Style"/>
        </w:rPr>
      </w:pPr>
    </w:p>
    <w:p w14:paraId="4AE22AAD" w14:textId="618C15F2" w:rsidR="0006605A" w:rsidRDefault="0006605A">
      <w:pPr>
        <w:spacing w:before="240" w:after="240"/>
        <w:jc w:val="both"/>
        <w:rPr>
          <w:rFonts w:ascii="Bookman Old Style" w:eastAsia="Bookman Old Style" w:hAnsi="Bookman Old Style" w:cs="Bookman Old Style"/>
        </w:rPr>
      </w:pPr>
    </w:p>
    <w:p w14:paraId="5632E2B8" w14:textId="793085B5" w:rsidR="0006605A" w:rsidRDefault="0006605A">
      <w:pPr>
        <w:spacing w:before="240" w:after="240"/>
        <w:jc w:val="both"/>
        <w:rPr>
          <w:rFonts w:ascii="Bookman Old Style" w:eastAsia="Bookman Old Style" w:hAnsi="Bookman Old Style" w:cs="Bookman Old Style"/>
        </w:rPr>
      </w:pPr>
    </w:p>
    <w:p w14:paraId="55865AED" w14:textId="1E5B1EC6" w:rsidR="0006605A" w:rsidRDefault="0006605A">
      <w:pPr>
        <w:spacing w:before="240" w:after="240"/>
        <w:jc w:val="both"/>
        <w:rPr>
          <w:rFonts w:ascii="Bookman Old Style" w:eastAsia="Bookman Old Style" w:hAnsi="Bookman Old Style" w:cs="Bookman Old Style"/>
        </w:rPr>
      </w:pPr>
    </w:p>
    <w:p w14:paraId="28B86241" w14:textId="449E26AA" w:rsidR="0006605A" w:rsidRDefault="0006605A">
      <w:pPr>
        <w:spacing w:before="240" w:after="240"/>
        <w:jc w:val="both"/>
        <w:rPr>
          <w:rFonts w:ascii="Bookman Old Style" w:eastAsia="Bookman Old Style" w:hAnsi="Bookman Old Style" w:cs="Bookman Old Style"/>
        </w:rPr>
      </w:pPr>
    </w:p>
    <w:p w14:paraId="023E1371" w14:textId="227C74B3" w:rsidR="0006605A" w:rsidRDefault="0006605A">
      <w:pPr>
        <w:spacing w:before="240" w:after="240"/>
        <w:jc w:val="both"/>
        <w:rPr>
          <w:rFonts w:ascii="Bookman Old Style" w:eastAsia="Bookman Old Style" w:hAnsi="Bookman Old Style" w:cs="Bookman Old Style"/>
        </w:rPr>
      </w:pPr>
    </w:p>
    <w:p w14:paraId="1B95B5AC" w14:textId="59674C44" w:rsidR="0006605A" w:rsidRDefault="0006605A">
      <w:pPr>
        <w:spacing w:before="240" w:after="240"/>
        <w:jc w:val="both"/>
        <w:rPr>
          <w:rFonts w:ascii="Bookman Old Style" w:eastAsia="Bookman Old Style" w:hAnsi="Bookman Old Style" w:cs="Bookman Old Style"/>
        </w:rPr>
      </w:pPr>
    </w:p>
    <w:p w14:paraId="6AE5C32A" w14:textId="0B7D02C5" w:rsidR="0006605A" w:rsidRDefault="0006605A">
      <w:pPr>
        <w:spacing w:before="240" w:after="240"/>
        <w:jc w:val="both"/>
        <w:rPr>
          <w:rFonts w:ascii="Bookman Old Style" w:eastAsia="Bookman Old Style" w:hAnsi="Bookman Old Style" w:cs="Bookman Old Style"/>
        </w:rPr>
      </w:pPr>
    </w:p>
    <w:p w14:paraId="55DFF13E" w14:textId="0B36C1C6" w:rsidR="0006605A" w:rsidRDefault="0006605A">
      <w:pPr>
        <w:spacing w:before="240" w:after="240"/>
        <w:jc w:val="both"/>
        <w:rPr>
          <w:rFonts w:ascii="Bookman Old Style" w:eastAsia="Bookman Old Style" w:hAnsi="Bookman Old Style" w:cs="Bookman Old Style"/>
        </w:rPr>
      </w:pPr>
    </w:p>
    <w:p w14:paraId="4EB49222" w14:textId="00570DF4" w:rsidR="0006605A" w:rsidRDefault="0006605A">
      <w:pPr>
        <w:spacing w:before="240" w:after="240"/>
        <w:jc w:val="both"/>
        <w:rPr>
          <w:rFonts w:ascii="Bookman Old Style" w:eastAsia="Bookman Old Style" w:hAnsi="Bookman Old Style" w:cs="Bookman Old Style"/>
        </w:rPr>
      </w:pPr>
    </w:p>
    <w:p w14:paraId="26BEF6D3" w14:textId="070FC470" w:rsidR="0006605A" w:rsidRDefault="0006605A">
      <w:pPr>
        <w:spacing w:before="240" w:after="240"/>
        <w:jc w:val="both"/>
        <w:rPr>
          <w:rFonts w:ascii="Bookman Old Style" w:eastAsia="Bookman Old Style" w:hAnsi="Bookman Old Style" w:cs="Bookman Old Style"/>
        </w:rPr>
      </w:pPr>
    </w:p>
    <w:p w14:paraId="02EFBF01" w14:textId="77777777" w:rsidR="0006605A" w:rsidRDefault="0006605A">
      <w:pPr>
        <w:spacing w:before="240" w:after="240"/>
        <w:jc w:val="both"/>
        <w:rPr>
          <w:rFonts w:ascii="Bookman Old Style" w:eastAsia="Bookman Old Style" w:hAnsi="Bookman Old Style" w:cs="Bookman Old Style"/>
        </w:rPr>
      </w:pPr>
    </w:p>
    <w:p w14:paraId="2E25919F" w14:textId="08BB2011" w:rsidR="00076C5D" w:rsidRDefault="00076C5D">
      <w:pPr>
        <w:spacing w:before="240" w:after="240"/>
        <w:jc w:val="both"/>
        <w:rPr>
          <w:rFonts w:ascii="Bookman Old Style" w:eastAsia="Bookman Old Style" w:hAnsi="Bookman Old Style" w:cs="Bookman Old Style"/>
        </w:rPr>
      </w:pPr>
    </w:p>
    <w:p w14:paraId="1291B9D0" w14:textId="427F3353" w:rsidR="00076C5D" w:rsidRDefault="00076C5D">
      <w:pPr>
        <w:spacing w:before="240" w:after="240"/>
        <w:jc w:val="both"/>
        <w:rPr>
          <w:rFonts w:ascii="Bookman Old Style" w:eastAsia="Bookman Old Style" w:hAnsi="Bookman Old Style" w:cs="Bookman Old Style"/>
        </w:rPr>
      </w:pPr>
    </w:p>
    <w:p w14:paraId="24E0C635" w14:textId="5E209B92" w:rsidR="0006605A" w:rsidRDefault="0006605A">
      <w:pPr>
        <w:spacing w:before="240" w:after="240"/>
        <w:jc w:val="both"/>
        <w:rPr>
          <w:rFonts w:ascii="Bookman Old Style" w:eastAsia="Bookman Old Style" w:hAnsi="Bookman Old Style" w:cs="Bookman Old Style"/>
        </w:rPr>
      </w:pPr>
    </w:p>
    <w:p w14:paraId="23FD1259" w14:textId="3EB59FCC" w:rsidR="0006605A" w:rsidRDefault="0006605A">
      <w:pPr>
        <w:spacing w:before="240" w:after="240"/>
        <w:jc w:val="both"/>
        <w:rPr>
          <w:rFonts w:ascii="Bookman Old Style" w:eastAsia="Bookman Old Style" w:hAnsi="Bookman Old Style" w:cs="Bookman Old Style"/>
        </w:rPr>
      </w:pPr>
    </w:p>
    <w:p w14:paraId="58C0292D" w14:textId="5EF89BE8" w:rsidR="0006605A" w:rsidRDefault="0006605A">
      <w:pPr>
        <w:spacing w:before="240" w:after="240"/>
        <w:jc w:val="both"/>
        <w:rPr>
          <w:rFonts w:ascii="Bookman Old Style" w:eastAsia="Bookman Old Style" w:hAnsi="Bookman Old Style" w:cs="Bookman Old Style"/>
        </w:rPr>
      </w:pPr>
    </w:p>
    <w:p w14:paraId="0281F717" w14:textId="4EF0DEBC" w:rsidR="0006605A" w:rsidRDefault="0006605A">
      <w:pPr>
        <w:spacing w:before="240" w:after="240"/>
        <w:jc w:val="both"/>
        <w:rPr>
          <w:rFonts w:ascii="Bookman Old Style" w:eastAsia="Bookman Old Style" w:hAnsi="Bookman Old Style" w:cs="Bookman Old Style"/>
        </w:rPr>
      </w:pPr>
    </w:p>
    <w:p w14:paraId="099DA0AE" w14:textId="7F29D72C" w:rsidR="0006605A" w:rsidRDefault="0006605A">
      <w:pPr>
        <w:spacing w:before="240" w:after="240"/>
        <w:jc w:val="both"/>
        <w:rPr>
          <w:rFonts w:ascii="Bookman Old Style" w:eastAsia="Bookman Old Style" w:hAnsi="Bookman Old Style" w:cs="Bookman Old Style"/>
        </w:rPr>
      </w:pPr>
    </w:p>
    <w:p w14:paraId="0330BA62" w14:textId="7F6AFDC4" w:rsidR="0006605A" w:rsidRDefault="0006605A">
      <w:pPr>
        <w:spacing w:before="240" w:after="240"/>
        <w:jc w:val="both"/>
        <w:rPr>
          <w:rFonts w:ascii="Bookman Old Style" w:eastAsia="Bookman Old Style" w:hAnsi="Bookman Old Style" w:cs="Bookman Old Style"/>
        </w:rPr>
      </w:pPr>
    </w:p>
    <w:p w14:paraId="469642F0" w14:textId="0D92CFFA" w:rsidR="0006605A" w:rsidRDefault="0006605A">
      <w:pPr>
        <w:spacing w:before="240" w:after="240"/>
        <w:jc w:val="both"/>
        <w:rPr>
          <w:rFonts w:ascii="Bookman Old Style" w:eastAsia="Bookman Old Style" w:hAnsi="Bookman Old Style" w:cs="Bookman Old Style"/>
        </w:rPr>
      </w:pPr>
    </w:p>
    <w:p w14:paraId="544154AE" w14:textId="695A6D27" w:rsidR="0006605A" w:rsidRDefault="0006605A">
      <w:pPr>
        <w:spacing w:before="240" w:after="240"/>
        <w:jc w:val="both"/>
        <w:rPr>
          <w:rFonts w:ascii="Bookman Old Style" w:eastAsia="Bookman Old Style" w:hAnsi="Bookman Old Style" w:cs="Bookman Old Style"/>
        </w:rPr>
      </w:pPr>
    </w:p>
    <w:p w14:paraId="4D1A581E" w14:textId="06B366C5" w:rsidR="0006605A" w:rsidRDefault="0006605A">
      <w:pPr>
        <w:spacing w:before="240" w:after="240"/>
        <w:jc w:val="both"/>
        <w:rPr>
          <w:rFonts w:ascii="Bookman Old Style" w:eastAsia="Bookman Old Style" w:hAnsi="Bookman Old Style" w:cs="Bookman Old Style"/>
        </w:rPr>
      </w:pPr>
    </w:p>
    <w:p w14:paraId="2B7A4E50" w14:textId="0E1B1620" w:rsidR="0006605A" w:rsidRDefault="0006605A">
      <w:pPr>
        <w:spacing w:before="240" w:after="240"/>
        <w:jc w:val="both"/>
        <w:rPr>
          <w:rFonts w:ascii="Bookman Old Style" w:eastAsia="Bookman Old Style" w:hAnsi="Bookman Old Style" w:cs="Bookman Old Style"/>
        </w:rPr>
      </w:pPr>
    </w:p>
    <w:p w14:paraId="402C92E8" w14:textId="090C9A7D" w:rsidR="0006605A" w:rsidRDefault="0006605A">
      <w:pPr>
        <w:spacing w:before="240" w:after="240"/>
        <w:jc w:val="both"/>
        <w:rPr>
          <w:rFonts w:ascii="Bookman Old Style" w:eastAsia="Bookman Old Style" w:hAnsi="Bookman Old Style" w:cs="Bookman Old Style"/>
        </w:rPr>
      </w:pPr>
    </w:p>
    <w:p w14:paraId="438F5679" w14:textId="6CF5281C" w:rsidR="0006605A" w:rsidRDefault="0006605A">
      <w:pPr>
        <w:spacing w:before="240" w:after="240"/>
        <w:jc w:val="both"/>
        <w:rPr>
          <w:rFonts w:ascii="Bookman Old Style" w:eastAsia="Bookman Old Style" w:hAnsi="Bookman Old Style" w:cs="Bookman Old Style"/>
        </w:rPr>
      </w:pPr>
    </w:p>
    <w:p w14:paraId="1410B74E" w14:textId="6054EBFF" w:rsidR="0006605A" w:rsidRDefault="0006605A">
      <w:pPr>
        <w:spacing w:before="240" w:after="240"/>
        <w:jc w:val="both"/>
        <w:rPr>
          <w:rFonts w:ascii="Bookman Old Style" w:eastAsia="Bookman Old Style" w:hAnsi="Bookman Old Style" w:cs="Bookman Old Style"/>
        </w:rPr>
      </w:pPr>
    </w:p>
    <w:p w14:paraId="34EE8C79" w14:textId="3E8FDAF2" w:rsidR="0006605A" w:rsidRDefault="0006605A">
      <w:pPr>
        <w:spacing w:before="240" w:after="240"/>
        <w:jc w:val="both"/>
        <w:rPr>
          <w:rFonts w:ascii="Bookman Old Style" w:eastAsia="Bookman Old Style" w:hAnsi="Bookman Old Style" w:cs="Bookman Old Style"/>
        </w:rPr>
      </w:pPr>
    </w:p>
    <w:p w14:paraId="2FCF395A" w14:textId="3BD7F774" w:rsidR="0006605A" w:rsidRDefault="0006605A">
      <w:pPr>
        <w:spacing w:before="240" w:after="240"/>
        <w:jc w:val="both"/>
        <w:rPr>
          <w:rFonts w:ascii="Bookman Old Style" w:eastAsia="Bookman Old Style" w:hAnsi="Bookman Old Style" w:cs="Bookman Old Style"/>
        </w:rPr>
      </w:pPr>
    </w:p>
    <w:p w14:paraId="673CFB19" w14:textId="2979E5BF" w:rsidR="0006605A" w:rsidRDefault="0006605A">
      <w:pPr>
        <w:spacing w:before="240" w:after="240"/>
        <w:jc w:val="both"/>
        <w:rPr>
          <w:rFonts w:ascii="Bookman Old Style" w:eastAsia="Bookman Old Style" w:hAnsi="Bookman Old Style" w:cs="Bookman Old Style"/>
        </w:rPr>
      </w:pPr>
    </w:p>
    <w:p w14:paraId="446F86EF" w14:textId="059861A9" w:rsidR="0006605A" w:rsidRDefault="0006605A">
      <w:pPr>
        <w:spacing w:before="240" w:after="240"/>
        <w:jc w:val="both"/>
        <w:rPr>
          <w:rFonts w:ascii="Bookman Old Style" w:eastAsia="Bookman Old Style" w:hAnsi="Bookman Old Style" w:cs="Bookman Old Style"/>
        </w:rPr>
      </w:pPr>
    </w:p>
    <w:p w14:paraId="41E733E9" w14:textId="5DBF4F3A" w:rsidR="0006605A" w:rsidRDefault="0006605A">
      <w:pPr>
        <w:spacing w:before="240" w:after="240"/>
        <w:jc w:val="both"/>
        <w:rPr>
          <w:rFonts w:ascii="Bookman Old Style" w:eastAsia="Bookman Old Style" w:hAnsi="Bookman Old Style" w:cs="Bookman Old Style"/>
        </w:rPr>
      </w:pPr>
    </w:p>
    <w:p w14:paraId="0F4F5F41" w14:textId="73060BC3" w:rsidR="0006605A" w:rsidRDefault="0006605A">
      <w:pPr>
        <w:spacing w:before="240" w:after="240"/>
        <w:jc w:val="both"/>
        <w:rPr>
          <w:rFonts w:ascii="Bookman Old Style" w:eastAsia="Bookman Old Style" w:hAnsi="Bookman Old Style" w:cs="Bookman Old Style"/>
        </w:rPr>
      </w:pPr>
    </w:p>
    <w:p w14:paraId="49FE3F29" w14:textId="39C9E388" w:rsidR="0006605A" w:rsidRDefault="0006605A">
      <w:pPr>
        <w:spacing w:before="240" w:after="240"/>
        <w:jc w:val="both"/>
        <w:rPr>
          <w:rFonts w:ascii="Bookman Old Style" w:eastAsia="Bookman Old Style" w:hAnsi="Bookman Old Style" w:cs="Bookman Old Style"/>
        </w:rPr>
      </w:pPr>
    </w:p>
    <w:p w14:paraId="112AB7DE" w14:textId="2EDC82DC" w:rsidR="0006605A" w:rsidRDefault="0006605A">
      <w:pPr>
        <w:spacing w:before="240" w:after="240"/>
        <w:jc w:val="both"/>
        <w:rPr>
          <w:rFonts w:ascii="Bookman Old Style" w:eastAsia="Bookman Old Style" w:hAnsi="Bookman Old Style" w:cs="Bookman Old Style"/>
        </w:rPr>
      </w:pPr>
    </w:p>
    <w:p w14:paraId="5C950923" w14:textId="5C8C6E09" w:rsidR="0006605A" w:rsidRDefault="0006605A">
      <w:pPr>
        <w:spacing w:before="240" w:after="240"/>
        <w:jc w:val="both"/>
        <w:rPr>
          <w:rFonts w:ascii="Bookman Old Style" w:eastAsia="Bookman Old Style" w:hAnsi="Bookman Old Style" w:cs="Bookman Old Style"/>
        </w:rPr>
      </w:pPr>
    </w:p>
    <w:p w14:paraId="126645CF" w14:textId="7890D74F" w:rsidR="0006605A" w:rsidRDefault="0006605A">
      <w:pPr>
        <w:spacing w:before="240" w:after="240"/>
        <w:jc w:val="both"/>
        <w:rPr>
          <w:rFonts w:ascii="Bookman Old Style" w:eastAsia="Bookman Old Style" w:hAnsi="Bookman Old Style" w:cs="Bookman Old Style"/>
        </w:rPr>
      </w:pPr>
    </w:p>
    <w:p w14:paraId="67A0EBFB" w14:textId="77777777" w:rsidR="0006605A" w:rsidRDefault="0006605A">
      <w:pPr>
        <w:spacing w:before="240" w:after="240"/>
        <w:jc w:val="both"/>
        <w:rPr>
          <w:rFonts w:ascii="Bookman Old Style" w:eastAsia="Bookman Old Style" w:hAnsi="Bookman Old Style" w:cs="Bookman Old Style"/>
        </w:rPr>
      </w:pPr>
    </w:p>
    <w:tbl>
      <w:tblPr>
        <w:tblStyle w:val="a"/>
        <w:tblW w:w="9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6"/>
      </w:tblGrid>
      <w:tr w:rsidR="0006605A" w14:paraId="52F67624" w14:textId="77777777" w:rsidTr="00624B14">
        <w:trPr>
          <w:trHeight w:val="652"/>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4D209" w14:textId="77777777" w:rsidR="0006605A"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7ABA989B" w14:textId="77777777" w:rsidR="0006605A"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637D5D61" w14:textId="77777777" w:rsidR="0006605A" w:rsidRPr="00CF7A45" w:rsidRDefault="0006605A" w:rsidP="00624B14">
            <w:pPr>
              <w:tabs>
                <w:tab w:val="right" w:pos="8838"/>
              </w:tabs>
              <w:spacing w:line="240" w:lineRule="auto"/>
              <w:jc w:val="center"/>
              <w:rPr>
                <w:rFonts w:ascii="Bookman Old Style" w:eastAsia="Bookman Old Style" w:hAnsi="Bookman Old Style" w:cs="Bookman Old Style"/>
                <w:sz w:val="20"/>
                <w:szCs w:val="20"/>
              </w:rPr>
            </w:pPr>
          </w:p>
          <w:p w14:paraId="5B7441CE" w14:textId="77777777" w:rsidR="0006605A" w:rsidRDefault="0006605A" w:rsidP="00624B14">
            <w:pPr>
              <w:tabs>
                <w:tab w:val="right" w:pos="8838"/>
              </w:tabs>
              <w:jc w:val="center"/>
              <w:rPr>
                <w:rFonts w:ascii="Bookman Old Style" w:eastAsia="Bookman Old Style" w:hAnsi="Bookman Old Style" w:cs="Bookman Old Style"/>
                <w:b/>
                <w:color w:val="000000"/>
              </w:rPr>
            </w:pPr>
          </w:p>
          <w:p w14:paraId="160D6770" w14:textId="77777777" w:rsidR="0006605A" w:rsidRPr="0047400B" w:rsidRDefault="0006605A" w:rsidP="00624B14">
            <w:pPr>
              <w:tabs>
                <w:tab w:val="right" w:pos="8838"/>
              </w:tabs>
              <w:jc w:val="center"/>
              <w:rPr>
                <w:rFonts w:ascii="Bookman Old Style" w:eastAsia="Bookman Old Style" w:hAnsi="Bookman Old Style" w:cs="Bookman Old Style"/>
                <w:b/>
                <w:color w:val="000000"/>
              </w:rPr>
            </w:pPr>
            <w:r w:rsidRPr="0047400B">
              <w:rPr>
                <w:rFonts w:ascii="Bookman Old Style" w:eastAsia="Bookman Old Style" w:hAnsi="Bookman Old Style" w:cs="Bookman Old Style"/>
                <w:b/>
                <w:color w:val="000000"/>
              </w:rPr>
              <w:t>JUAN CARLOS LOZADA VARGAS</w:t>
            </w:r>
          </w:p>
          <w:p w14:paraId="1B45E0DF"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62D092CB" w14:textId="77777777" w:rsidR="0006605A" w:rsidRPr="00CF7A45" w:rsidRDefault="0006605A" w:rsidP="00624B14">
            <w:pPr>
              <w:tabs>
                <w:tab w:val="right" w:pos="8838"/>
              </w:tabs>
              <w:jc w:val="center"/>
              <w:rPr>
                <w:rFonts w:ascii="Bookman Old Style" w:eastAsia="Bookman Old Style" w:hAnsi="Bookman Old Style" w:cs="Bookman Old Style"/>
                <w:sz w:val="20"/>
                <w:szCs w:val="20"/>
              </w:rPr>
            </w:pPr>
            <w:r>
              <w:rPr>
                <w:rFonts w:ascii="Bookman Old Style" w:eastAsia="Bookman Old Style" w:hAnsi="Bookman Old Style" w:cs="Bookman Old Style"/>
                <w:color w:val="000000"/>
              </w:rPr>
              <w:t>Coordinador 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C5008" w14:textId="77777777" w:rsidR="0006605A" w:rsidRDefault="0006605A" w:rsidP="00624B14">
            <w:pPr>
              <w:tabs>
                <w:tab w:val="right" w:pos="8838"/>
              </w:tabs>
              <w:jc w:val="center"/>
              <w:rPr>
                <w:rFonts w:ascii="Bookman Old Style" w:eastAsia="Bookman Old Style" w:hAnsi="Bookman Old Style" w:cs="Bookman Old Style"/>
                <w:color w:val="000000"/>
              </w:rPr>
            </w:pPr>
          </w:p>
          <w:p w14:paraId="65B73E63" w14:textId="77777777" w:rsidR="0006605A" w:rsidRDefault="0006605A" w:rsidP="00624B14">
            <w:pPr>
              <w:tabs>
                <w:tab w:val="right" w:pos="8838"/>
              </w:tabs>
              <w:rPr>
                <w:rFonts w:ascii="Bookman Old Style" w:eastAsia="Bookman Old Style" w:hAnsi="Bookman Old Style" w:cs="Bookman Old Style"/>
                <w:color w:val="000000"/>
              </w:rPr>
            </w:pPr>
          </w:p>
          <w:p w14:paraId="41E142FE" w14:textId="77777777" w:rsidR="0006605A" w:rsidRDefault="0006605A" w:rsidP="00624B14">
            <w:pPr>
              <w:tabs>
                <w:tab w:val="right" w:pos="8838"/>
              </w:tabs>
              <w:rPr>
                <w:rFonts w:ascii="Bookman Old Style" w:eastAsia="Bookman Old Style" w:hAnsi="Bookman Old Style" w:cs="Bookman Old Style"/>
                <w:b/>
                <w:bCs/>
                <w:color w:val="000000"/>
              </w:rPr>
            </w:pPr>
          </w:p>
          <w:p w14:paraId="79D3DAB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F7BAE5F"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GABRIEL BECERRA</w:t>
            </w:r>
          </w:p>
          <w:p w14:paraId="56DD5C62"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052E0EB2" w14:textId="77777777" w:rsidR="0006605A" w:rsidRPr="00CF7A45" w:rsidRDefault="0006605A" w:rsidP="00624B14">
            <w:pPr>
              <w:widowControl w:val="0"/>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color w:val="000000"/>
              </w:rPr>
              <w:t>Coordinador Ponente</w:t>
            </w:r>
          </w:p>
        </w:tc>
      </w:tr>
      <w:tr w:rsidR="0006605A" w14:paraId="0FC44732" w14:textId="77777777" w:rsidTr="00624B14">
        <w:trPr>
          <w:trHeight w:val="521"/>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F14C0"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76BE324"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10F5AA4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3B933E17"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1AC1C456"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ADRIANA CAROLINA ARBELÁEZ GIRALDO</w:t>
            </w:r>
          </w:p>
          <w:p w14:paraId="1695D1C4"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0C9CFA5D" w14:textId="77777777" w:rsidR="0006605A" w:rsidRPr="001E0D1C" w:rsidRDefault="0006605A" w:rsidP="00624B14">
            <w:pPr>
              <w:tabs>
                <w:tab w:val="right" w:pos="8838"/>
              </w:tabs>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D7110" w14:textId="77777777" w:rsidR="0006605A" w:rsidRDefault="0006605A" w:rsidP="00624B14">
            <w:pPr>
              <w:rPr>
                <w:rFonts w:ascii="Bookman Old Style" w:hAnsi="Bookman Old Style"/>
                <w:sz w:val="20"/>
                <w:szCs w:val="20"/>
              </w:rPr>
            </w:pPr>
          </w:p>
          <w:p w14:paraId="39276441" w14:textId="77777777" w:rsidR="0006605A" w:rsidRDefault="0006605A" w:rsidP="00624B14">
            <w:pPr>
              <w:rPr>
                <w:rFonts w:ascii="Bookman Old Style" w:hAnsi="Bookman Old Style"/>
                <w:sz w:val="20"/>
                <w:szCs w:val="20"/>
              </w:rPr>
            </w:pPr>
          </w:p>
          <w:p w14:paraId="373DEBC1" w14:textId="77777777" w:rsidR="0006605A" w:rsidRDefault="0006605A" w:rsidP="00624B14">
            <w:pPr>
              <w:rPr>
                <w:rFonts w:ascii="Bookman Old Style" w:hAnsi="Bookman Old Style"/>
                <w:sz w:val="20"/>
                <w:szCs w:val="20"/>
              </w:rPr>
            </w:pPr>
          </w:p>
          <w:p w14:paraId="5D8A124B" w14:textId="77777777" w:rsidR="0006605A" w:rsidRDefault="0006605A" w:rsidP="00624B14">
            <w:pPr>
              <w:rPr>
                <w:rFonts w:ascii="Bookman Old Style" w:hAnsi="Bookman Old Style"/>
                <w:sz w:val="20"/>
                <w:szCs w:val="20"/>
              </w:rPr>
            </w:pPr>
          </w:p>
          <w:p w14:paraId="14ECB684" w14:textId="77777777" w:rsidR="0006605A" w:rsidRDefault="0006605A" w:rsidP="00624B14">
            <w:pPr>
              <w:rPr>
                <w:rFonts w:ascii="Bookman Old Style" w:hAnsi="Bookman Old Style"/>
                <w:sz w:val="20"/>
                <w:szCs w:val="20"/>
              </w:rPr>
            </w:pPr>
          </w:p>
          <w:p w14:paraId="5822B5AD" w14:textId="77777777" w:rsidR="0006605A" w:rsidRPr="001E0D1C" w:rsidRDefault="0006605A" w:rsidP="00624B14">
            <w:pPr>
              <w:jc w:val="center"/>
              <w:rPr>
                <w:rFonts w:ascii="Bookman Old Style" w:hAnsi="Bookman Old Style"/>
                <w:b/>
                <w:bCs/>
                <w:sz w:val="20"/>
                <w:szCs w:val="20"/>
              </w:rPr>
            </w:pPr>
            <w:r>
              <w:rPr>
                <w:rFonts w:ascii="Bookman Old Style" w:hAnsi="Bookman Old Style"/>
                <w:b/>
                <w:bCs/>
                <w:sz w:val="20"/>
                <w:szCs w:val="20"/>
              </w:rPr>
              <w:t>LUIS ALBERTO ALBÁN URBANO</w:t>
            </w:r>
          </w:p>
          <w:p w14:paraId="46A091E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 xml:space="preserve">Representante a la Cámara </w:t>
            </w:r>
          </w:p>
          <w:p w14:paraId="19092B06" w14:textId="77777777" w:rsidR="0006605A" w:rsidRPr="00CF7A45" w:rsidRDefault="0006605A" w:rsidP="00624B14">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r>
      <w:tr w:rsidR="0006605A" w14:paraId="493A7D5A"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BFD9C" w14:textId="77777777" w:rsidR="0006605A" w:rsidRDefault="0006605A" w:rsidP="00624B14">
            <w:pPr>
              <w:jc w:val="center"/>
              <w:rPr>
                <w:rFonts w:ascii="Bookman Old Style" w:hAnsi="Bookman Old Style"/>
                <w:b/>
                <w:bCs/>
                <w:sz w:val="20"/>
                <w:szCs w:val="20"/>
              </w:rPr>
            </w:pPr>
          </w:p>
          <w:p w14:paraId="336D4F92" w14:textId="77777777" w:rsidR="0006605A" w:rsidRDefault="0006605A" w:rsidP="00624B14">
            <w:pPr>
              <w:jc w:val="center"/>
              <w:rPr>
                <w:rFonts w:ascii="Bookman Old Style" w:hAnsi="Bookman Old Style"/>
                <w:b/>
                <w:bCs/>
                <w:sz w:val="20"/>
                <w:szCs w:val="20"/>
              </w:rPr>
            </w:pPr>
          </w:p>
          <w:p w14:paraId="03925E4C" w14:textId="77777777" w:rsidR="0006605A" w:rsidRDefault="0006605A" w:rsidP="00624B14">
            <w:pPr>
              <w:jc w:val="center"/>
              <w:rPr>
                <w:rFonts w:ascii="Bookman Old Style" w:hAnsi="Bookman Old Style"/>
                <w:b/>
                <w:bCs/>
                <w:sz w:val="20"/>
                <w:szCs w:val="20"/>
              </w:rPr>
            </w:pPr>
          </w:p>
          <w:p w14:paraId="21383D50" w14:textId="77777777" w:rsidR="0006605A" w:rsidRDefault="0006605A" w:rsidP="00624B14">
            <w:pPr>
              <w:jc w:val="center"/>
              <w:rPr>
                <w:rFonts w:ascii="Bookman Old Style" w:hAnsi="Bookman Old Style"/>
                <w:b/>
                <w:bCs/>
                <w:sz w:val="20"/>
                <w:szCs w:val="20"/>
              </w:rPr>
            </w:pPr>
          </w:p>
          <w:p w14:paraId="0594E648" w14:textId="77777777" w:rsidR="0006605A" w:rsidRPr="001E0D1C" w:rsidRDefault="0006605A" w:rsidP="00624B14">
            <w:pPr>
              <w:jc w:val="center"/>
              <w:rPr>
                <w:rFonts w:ascii="Bookman Old Style" w:hAnsi="Bookman Old Style"/>
                <w:b/>
                <w:bCs/>
                <w:sz w:val="20"/>
                <w:szCs w:val="20"/>
              </w:rPr>
            </w:pPr>
            <w:r>
              <w:rPr>
                <w:rFonts w:ascii="Bookman Old Style" w:hAnsi="Bookman Old Style"/>
                <w:b/>
                <w:bCs/>
                <w:sz w:val="20"/>
                <w:szCs w:val="20"/>
              </w:rPr>
              <w:t>JAMES HERMENEGILDO MOSQUERA TORRES</w:t>
            </w:r>
          </w:p>
          <w:p w14:paraId="3C52FED2"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57068DA3" w14:textId="77777777" w:rsidR="0006605A" w:rsidRPr="00CF7A45" w:rsidRDefault="0006605A" w:rsidP="00624B14">
            <w:pPr>
              <w:widowControl w:val="0"/>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48DC4" w14:textId="77777777" w:rsidR="0006605A" w:rsidRPr="00CF7A45" w:rsidRDefault="0006605A" w:rsidP="00624B14">
            <w:pPr>
              <w:jc w:val="center"/>
              <w:rPr>
                <w:rFonts w:ascii="Bookman Old Style" w:hAnsi="Bookman Old Style"/>
                <w:sz w:val="20"/>
                <w:szCs w:val="20"/>
              </w:rPr>
            </w:pPr>
          </w:p>
          <w:p w14:paraId="5F6F7317" w14:textId="77777777" w:rsidR="0006605A" w:rsidRDefault="0006605A" w:rsidP="00624B14">
            <w:pPr>
              <w:tabs>
                <w:tab w:val="right" w:pos="8838"/>
              </w:tabs>
              <w:jc w:val="center"/>
              <w:rPr>
                <w:rFonts w:ascii="Bookman Old Style" w:eastAsia="Bookman Old Style" w:hAnsi="Bookman Old Style" w:cs="Bookman Old Style"/>
                <w:color w:val="000000"/>
              </w:rPr>
            </w:pPr>
          </w:p>
          <w:p w14:paraId="519F1FDB" w14:textId="77777777" w:rsidR="0006605A" w:rsidRDefault="0006605A" w:rsidP="00624B14">
            <w:pPr>
              <w:tabs>
                <w:tab w:val="right" w:pos="8838"/>
              </w:tabs>
              <w:jc w:val="center"/>
              <w:rPr>
                <w:rFonts w:ascii="Bookman Old Style" w:eastAsia="Bookman Old Style" w:hAnsi="Bookman Old Style" w:cs="Bookman Old Style"/>
                <w:color w:val="000000"/>
              </w:rPr>
            </w:pPr>
          </w:p>
          <w:p w14:paraId="609600FA" w14:textId="77777777" w:rsidR="0006605A" w:rsidRDefault="0006605A" w:rsidP="00624B14">
            <w:pPr>
              <w:tabs>
                <w:tab w:val="right" w:pos="8838"/>
              </w:tabs>
              <w:jc w:val="center"/>
              <w:rPr>
                <w:rFonts w:ascii="Bookman Old Style" w:eastAsia="Bookman Old Style" w:hAnsi="Bookman Old Style" w:cs="Bookman Old Style"/>
                <w:color w:val="000000"/>
              </w:rPr>
            </w:pPr>
          </w:p>
          <w:p w14:paraId="75B070A7"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ASTRID SÁNCHEZ MONTES DE OCA</w:t>
            </w:r>
          </w:p>
          <w:p w14:paraId="0CDE9DD9"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535A45F4" w14:textId="77777777" w:rsidR="0006605A" w:rsidRPr="00CF7A45" w:rsidRDefault="0006605A" w:rsidP="00624B14">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color w:val="000000"/>
              </w:rPr>
              <w:t>Ponente</w:t>
            </w:r>
          </w:p>
        </w:tc>
      </w:tr>
      <w:tr w:rsidR="0006605A" w14:paraId="6E7CE532"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7CC1F"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E8EA6B7"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19E9212"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B56A357"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5C52289"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JUAN DANIEL PEÑUELA CALVACHE</w:t>
            </w:r>
          </w:p>
          <w:p w14:paraId="06CACB1F"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2CDF2693"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7A5BB"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76FD9F9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7AE16270"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338A4E36"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BE73A44"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Pr>
                <w:rFonts w:ascii="Bookman Old Style" w:eastAsia="Bookman Old Style" w:hAnsi="Bookman Old Style" w:cs="Bookman Old Style"/>
                <w:b/>
                <w:bCs/>
                <w:color w:val="000000"/>
              </w:rPr>
              <w:t>MARELEN CASTILLO TORRES</w:t>
            </w:r>
          </w:p>
          <w:p w14:paraId="50B33BF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070F3BFC"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r>
      <w:tr w:rsidR="0006605A" w14:paraId="656D5F81" w14:textId="77777777" w:rsidTr="00624B14">
        <w:trPr>
          <w:trHeight w:val="594"/>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A746" w14:textId="77777777" w:rsidR="0006605A" w:rsidRDefault="0006605A" w:rsidP="00624B14">
            <w:pPr>
              <w:jc w:val="center"/>
              <w:rPr>
                <w:rFonts w:ascii="Bookman Old Style" w:hAnsi="Bookman Old Style"/>
                <w:b/>
                <w:bCs/>
                <w:sz w:val="20"/>
                <w:szCs w:val="20"/>
              </w:rPr>
            </w:pPr>
          </w:p>
          <w:p w14:paraId="4B2B08DD" w14:textId="77777777" w:rsidR="0006605A" w:rsidRDefault="0006605A" w:rsidP="00624B14">
            <w:pPr>
              <w:jc w:val="center"/>
              <w:rPr>
                <w:rFonts w:ascii="Bookman Old Style" w:hAnsi="Bookman Old Style"/>
                <w:b/>
                <w:bCs/>
                <w:sz w:val="20"/>
                <w:szCs w:val="20"/>
              </w:rPr>
            </w:pPr>
          </w:p>
          <w:p w14:paraId="4CFFD75B" w14:textId="77777777" w:rsidR="0006605A" w:rsidRDefault="0006605A" w:rsidP="00624B14">
            <w:pPr>
              <w:rPr>
                <w:rFonts w:ascii="Bookman Old Style" w:hAnsi="Bookman Old Style"/>
                <w:b/>
                <w:bCs/>
                <w:sz w:val="20"/>
                <w:szCs w:val="20"/>
              </w:rPr>
            </w:pPr>
          </w:p>
          <w:p w14:paraId="0DF5AC6E" w14:textId="77777777" w:rsidR="0006605A" w:rsidRDefault="0006605A" w:rsidP="00624B14">
            <w:pPr>
              <w:jc w:val="center"/>
              <w:rPr>
                <w:rFonts w:ascii="Bookman Old Style" w:hAnsi="Bookman Old Style"/>
                <w:b/>
                <w:bCs/>
                <w:sz w:val="20"/>
                <w:szCs w:val="20"/>
              </w:rPr>
            </w:pPr>
          </w:p>
          <w:p w14:paraId="24E4C0CB" w14:textId="77777777" w:rsidR="0006605A" w:rsidRPr="001E0D1C" w:rsidRDefault="0006605A" w:rsidP="00624B14">
            <w:pPr>
              <w:jc w:val="center"/>
              <w:rPr>
                <w:rFonts w:ascii="Bookman Old Style" w:hAnsi="Bookman Old Style"/>
                <w:b/>
                <w:bCs/>
                <w:sz w:val="20"/>
                <w:szCs w:val="20"/>
              </w:rPr>
            </w:pPr>
            <w:r w:rsidRPr="001E0D1C">
              <w:rPr>
                <w:rFonts w:ascii="Bookman Old Style" w:hAnsi="Bookman Old Style"/>
                <w:b/>
                <w:bCs/>
                <w:sz w:val="20"/>
                <w:szCs w:val="20"/>
              </w:rPr>
              <w:t>JOSÉ JAIME USCÁTEGUI PASTRANA</w:t>
            </w:r>
          </w:p>
          <w:p w14:paraId="76C4F48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7CE4BAA6"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c>
          <w:tcPr>
            <w:tcW w:w="4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95EB9"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4713D91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F7D1BC1"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5D9E9C5E" w14:textId="77777777" w:rsidR="0006605A" w:rsidRDefault="0006605A" w:rsidP="00624B14">
            <w:pPr>
              <w:tabs>
                <w:tab w:val="right" w:pos="8838"/>
              </w:tabs>
              <w:jc w:val="center"/>
              <w:rPr>
                <w:rFonts w:ascii="Bookman Old Style" w:eastAsia="Bookman Old Style" w:hAnsi="Bookman Old Style" w:cs="Bookman Old Style"/>
                <w:b/>
                <w:bCs/>
                <w:color w:val="000000"/>
              </w:rPr>
            </w:pPr>
          </w:p>
          <w:p w14:paraId="28E1B983" w14:textId="77777777" w:rsidR="0006605A" w:rsidRPr="001E0D1C" w:rsidRDefault="0006605A" w:rsidP="00624B14">
            <w:pPr>
              <w:tabs>
                <w:tab w:val="right" w:pos="8838"/>
              </w:tabs>
              <w:jc w:val="center"/>
              <w:rPr>
                <w:rFonts w:ascii="Bookman Old Style" w:eastAsia="Bookman Old Style" w:hAnsi="Bookman Old Style" w:cs="Bookman Old Style"/>
                <w:b/>
                <w:bCs/>
                <w:color w:val="000000"/>
              </w:rPr>
            </w:pPr>
            <w:r w:rsidRPr="001E0D1C">
              <w:rPr>
                <w:rFonts w:ascii="Bookman Old Style" w:eastAsia="Bookman Old Style" w:hAnsi="Bookman Old Style" w:cs="Bookman Old Style"/>
                <w:b/>
                <w:bCs/>
                <w:color w:val="000000"/>
              </w:rPr>
              <w:t>SANTIAGO OSORIO MARÍN</w:t>
            </w:r>
          </w:p>
          <w:p w14:paraId="769697A0" w14:textId="77777777" w:rsidR="0006605A" w:rsidRDefault="0006605A" w:rsidP="00624B14">
            <w:pPr>
              <w:tabs>
                <w:tab w:val="right" w:pos="8838"/>
              </w:tabs>
              <w:jc w:val="center"/>
              <w:rPr>
                <w:rFonts w:ascii="Bookman Old Style" w:eastAsia="Bookman Old Style" w:hAnsi="Bookman Old Style" w:cs="Bookman Old Style"/>
                <w:color w:val="000000"/>
              </w:rPr>
            </w:pPr>
            <w:r w:rsidRPr="0047400B">
              <w:rPr>
                <w:rFonts w:ascii="Bookman Old Style" w:eastAsia="Bookman Old Style" w:hAnsi="Bookman Old Style" w:cs="Bookman Old Style"/>
                <w:color w:val="000000"/>
              </w:rPr>
              <w:t>Representante a la Cámara</w:t>
            </w:r>
          </w:p>
          <w:p w14:paraId="0A43C871" w14:textId="77777777" w:rsidR="0006605A" w:rsidRPr="00CF7A45" w:rsidRDefault="0006605A" w:rsidP="00624B14">
            <w:pPr>
              <w:jc w:val="center"/>
              <w:rPr>
                <w:rFonts w:ascii="Bookman Old Style" w:hAnsi="Bookman Old Style"/>
                <w:sz w:val="20"/>
                <w:szCs w:val="20"/>
              </w:rPr>
            </w:pPr>
            <w:r>
              <w:rPr>
                <w:rFonts w:ascii="Bookman Old Style" w:eastAsia="Bookman Old Style" w:hAnsi="Bookman Old Style" w:cs="Bookman Old Style"/>
                <w:color w:val="000000"/>
              </w:rPr>
              <w:t>Ponente</w:t>
            </w:r>
          </w:p>
        </w:tc>
      </w:tr>
    </w:tbl>
    <w:p w14:paraId="27CE2386" w14:textId="696CB9C8" w:rsidR="004E17AE" w:rsidRDefault="004E17AE">
      <w:pPr>
        <w:spacing w:before="240" w:after="240"/>
        <w:jc w:val="both"/>
        <w:rPr>
          <w:rFonts w:ascii="Bookman Old Style" w:eastAsia="Bookman Old Style" w:hAnsi="Bookman Old Style" w:cs="Bookman Old Style"/>
        </w:rPr>
      </w:pPr>
    </w:p>
    <w:p w14:paraId="0B201942" w14:textId="6975A628" w:rsidR="005F19CA" w:rsidRDefault="005F19CA">
      <w:pPr>
        <w:spacing w:before="240" w:after="240"/>
        <w:jc w:val="both"/>
        <w:rPr>
          <w:rFonts w:ascii="Bookman Old Style" w:eastAsia="Bookman Old Style" w:hAnsi="Bookman Old Style" w:cs="Bookman Old Style"/>
        </w:rPr>
      </w:pPr>
    </w:p>
    <w:p w14:paraId="61743AAD" w14:textId="42FBD923" w:rsidR="005F19CA" w:rsidRDefault="005F19CA">
      <w:pPr>
        <w:spacing w:before="240" w:after="240"/>
        <w:jc w:val="both"/>
        <w:rPr>
          <w:rFonts w:ascii="Bookman Old Style" w:eastAsia="Bookman Old Style" w:hAnsi="Bookman Old Style" w:cs="Bookman Old Style"/>
        </w:rPr>
      </w:pPr>
    </w:p>
    <w:p w14:paraId="52C5E8D5" w14:textId="0D821A69" w:rsidR="005F19CA" w:rsidRDefault="005F19CA">
      <w:pPr>
        <w:spacing w:before="240" w:after="240"/>
        <w:jc w:val="both"/>
        <w:rPr>
          <w:rFonts w:ascii="Bookman Old Style" w:eastAsia="Bookman Old Style" w:hAnsi="Bookman Old Style" w:cs="Bookman Old Style"/>
        </w:rPr>
      </w:pPr>
    </w:p>
    <w:p w14:paraId="533BD841" w14:textId="39E4129A" w:rsidR="005F19CA" w:rsidRDefault="005F19CA">
      <w:pPr>
        <w:spacing w:before="240" w:after="240"/>
        <w:jc w:val="both"/>
        <w:rPr>
          <w:rFonts w:ascii="Bookman Old Style" w:eastAsia="Bookman Old Style" w:hAnsi="Bookman Old Style" w:cs="Bookman Old Style"/>
        </w:rPr>
      </w:pPr>
    </w:p>
    <w:p w14:paraId="7DAA6161" w14:textId="0C66B25D" w:rsidR="005F19CA" w:rsidRDefault="005F19CA">
      <w:pPr>
        <w:spacing w:before="240" w:after="240"/>
        <w:jc w:val="both"/>
        <w:rPr>
          <w:rFonts w:ascii="Bookman Old Style" w:eastAsia="Bookman Old Style" w:hAnsi="Bookman Old Style" w:cs="Bookman Old Style"/>
        </w:rPr>
      </w:pPr>
    </w:p>
    <w:p w14:paraId="1CA08511" w14:textId="2389E6CF" w:rsidR="005F19CA" w:rsidRDefault="005F19CA">
      <w:pPr>
        <w:spacing w:before="240" w:after="240"/>
        <w:jc w:val="both"/>
        <w:rPr>
          <w:rFonts w:ascii="Bookman Old Style" w:eastAsia="Bookman Old Style" w:hAnsi="Bookman Old Style" w:cs="Bookman Old Style"/>
        </w:rPr>
      </w:pPr>
    </w:p>
    <w:p w14:paraId="7C6858E1" w14:textId="4A26AD18" w:rsidR="0006605A" w:rsidRDefault="0006605A">
      <w:pPr>
        <w:spacing w:before="240" w:after="240"/>
        <w:jc w:val="both"/>
        <w:rPr>
          <w:rFonts w:ascii="Bookman Old Style" w:eastAsia="Bookman Old Style" w:hAnsi="Bookman Old Style" w:cs="Bookman Old Style"/>
        </w:rPr>
      </w:pPr>
    </w:p>
    <w:p w14:paraId="48CB4736" w14:textId="3977C61F" w:rsidR="0006605A" w:rsidRDefault="0006605A">
      <w:pPr>
        <w:spacing w:before="240" w:after="240"/>
        <w:jc w:val="both"/>
        <w:rPr>
          <w:rFonts w:ascii="Bookman Old Style" w:eastAsia="Bookman Old Style" w:hAnsi="Bookman Old Style" w:cs="Bookman Old Style"/>
        </w:rPr>
      </w:pPr>
    </w:p>
    <w:p w14:paraId="42F8757E" w14:textId="50C041A2" w:rsidR="0006605A" w:rsidRDefault="0006605A">
      <w:pPr>
        <w:spacing w:before="240" w:after="240"/>
        <w:jc w:val="both"/>
        <w:rPr>
          <w:rFonts w:ascii="Bookman Old Style" w:eastAsia="Bookman Old Style" w:hAnsi="Bookman Old Style" w:cs="Bookman Old Style"/>
        </w:rPr>
      </w:pPr>
    </w:p>
    <w:p w14:paraId="7AA2BC0A" w14:textId="5014C3D1" w:rsidR="0006605A" w:rsidRDefault="0006605A">
      <w:pPr>
        <w:spacing w:before="240" w:after="240"/>
        <w:jc w:val="both"/>
        <w:rPr>
          <w:rFonts w:ascii="Bookman Old Style" w:eastAsia="Bookman Old Style" w:hAnsi="Bookman Old Style" w:cs="Bookman Old Style"/>
        </w:rPr>
      </w:pPr>
    </w:p>
    <w:p w14:paraId="47A91040" w14:textId="3BE15399" w:rsidR="0006605A" w:rsidRDefault="0006605A">
      <w:pPr>
        <w:spacing w:before="240" w:after="240"/>
        <w:jc w:val="both"/>
        <w:rPr>
          <w:rFonts w:ascii="Bookman Old Style" w:eastAsia="Bookman Old Style" w:hAnsi="Bookman Old Style" w:cs="Bookman Old Style"/>
        </w:rPr>
      </w:pPr>
    </w:p>
    <w:p w14:paraId="4E50E115" w14:textId="0FD7CDEE" w:rsidR="0006605A" w:rsidRDefault="0006605A">
      <w:pPr>
        <w:spacing w:before="240" w:after="240"/>
        <w:jc w:val="both"/>
        <w:rPr>
          <w:rFonts w:ascii="Bookman Old Style" w:eastAsia="Bookman Old Style" w:hAnsi="Bookman Old Style" w:cs="Bookman Old Style"/>
        </w:rPr>
      </w:pPr>
    </w:p>
    <w:p w14:paraId="6503DB21" w14:textId="5FFA7F9E" w:rsidR="0006605A" w:rsidRDefault="0006605A">
      <w:pPr>
        <w:spacing w:before="240" w:after="240"/>
        <w:jc w:val="both"/>
        <w:rPr>
          <w:rFonts w:ascii="Bookman Old Style" w:eastAsia="Bookman Old Style" w:hAnsi="Bookman Old Style" w:cs="Bookman Old Style"/>
        </w:rPr>
      </w:pPr>
    </w:p>
    <w:p w14:paraId="27FEA931" w14:textId="6FAD79A4" w:rsidR="0006605A" w:rsidRDefault="0006605A">
      <w:pPr>
        <w:spacing w:before="240" w:after="240"/>
        <w:jc w:val="both"/>
        <w:rPr>
          <w:rFonts w:ascii="Bookman Old Style" w:eastAsia="Bookman Old Style" w:hAnsi="Bookman Old Style" w:cs="Bookman Old Style"/>
        </w:rPr>
      </w:pPr>
    </w:p>
    <w:p w14:paraId="6D20754C" w14:textId="1140D408" w:rsidR="0006605A" w:rsidRDefault="0006605A">
      <w:pPr>
        <w:spacing w:before="240" w:after="240"/>
        <w:jc w:val="both"/>
        <w:rPr>
          <w:rFonts w:ascii="Bookman Old Style" w:eastAsia="Bookman Old Style" w:hAnsi="Bookman Old Style" w:cs="Bookman Old Style"/>
        </w:rPr>
      </w:pPr>
    </w:p>
    <w:p w14:paraId="7F12EE46" w14:textId="144BFC8D" w:rsidR="0006605A" w:rsidRDefault="0006605A">
      <w:pPr>
        <w:spacing w:before="240" w:after="240"/>
        <w:jc w:val="both"/>
        <w:rPr>
          <w:rFonts w:ascii="Bookman Old Style" w:eastAsia="Bookman Old Style" w:hAnsi="Bookman Old Style" w:cs="Bookman Old Style"/>
        </w:rPr>
      </w:pPr>
    </w:p>
    <w:p w14:paraId="42247049" w14:textId="0AF469CE" w:rsidR="0006605A" w:rsidRDefault="0006605A">
      <w:pPr>
        <w:spacing w:before="240" w:after="240"/>
        <w:jc w:val="both"/>
        <w:rPr>
          <w:rFonts w:ascii="Bookman Old Style" w:eastAsia="Bookman Old Style" w:hAnsi="Bookman Old Style" w:cs="Bookman Old Style"/>
        </w:rPr>
      </w:pPr>
    </w:p>
    <w:p w14:paraId="5D8BA9AC" w14:textId="51F92145" w:rsidR="0006605A" w:rsidRDefault="0006605A">
      <w:pPr>
        <w:spacing w:before="240" w:after="240"/>
        <w:jc w:val="both"/>
        <w:rPr>
          <w:rFonts w:ascii="Bookman Old Style" w:eastAsia="Bookman Old Style" w:hAnsi="Bookman Old Style" w:cs="Bookman Old Style"/>
        </w:rPr>
      </w:pPr>
    </w:p>
    <w:p w14:paraId="5D7E4296" w14:textId="4FCD4B42" w:rsidR="0006605A" w:rsidRDefault="0006605A">
      <w:pPr>
        <w:spacing w:before="240" w:after="240"/>
        <w:jc w:val="both"/>
        <w:rPr>
          <w:rFonts w:ascii="Bookman Old Style" w:eastAsia="Bookman Old Style" w:hAnsi="Bookman Old Style" w:cs="Bookman Old Style"/>
        </w:rPr>
      </w:pPr>
    </w:p>
    <w:p w14:paraId="11CD09DB" w14:textId="01FFD919" w:rsidR="0006605A" w:rsidRDefault="0006605A">
      <w:pPr>
        <w:spacing w:before="240" w:after="240"/>
        <w:jc w:val="both"/>
        <w:rPr>
          <w:rFonts w:ascii="Bookman Old Style" w:eastAsia="Bookman Old Style" w:hAnsi="Bookman Old Style" w:cs="Bookman Old Style"/>
        </w:rPr>
      </w:pPr>
    </w:p>
    <w:p w14:paraId="4F3852F2" w14:textId="3ED2F6F7" w:rsidR="0006605A" w:rsidRDefault="0006605A">
      <w:pPr>
        <w:spacing w:before="240" w:after="240"/>
        <w:jc w:val="both"/>
        <w:rPr>
          <w:rFonts w:ascii="Bookman Old Style" w:eastAsia="Bookman Old Style" w:hAnsi="Bookman Old Style" w:cs="Bookman Old Style"/>
        </w:rPr>
      </w:pPr>
    </w:p>
    <w:p w14:paraId="3E594589" w14:textId="01CD7084" w:rsidR="0006605A" w:rsidRDefault="0006605A">
      <w:pPr>
        <w:spacing w:before="240" w:after="240"/>
        <w:jc w:val="both"/>
        <w:rPr>
          <w:rFonts w:ascii="Bookman Old Style" w:eastAsia="Bookman Old Style" w:hAnsi="Bookman Old Style" w:cs="Bookman Old Style"/>
        </w:rPr>
      </w:pPr>
    </w:p>
    <w:p w14:paraId="4AF5A9F9" w14:textId="77777777" w:rsidR="0006605A" w:rsidRDefault="0006605A">
      <w:pPr>
        <w:spacing w:before="240" w:after="240"/>
        <w:jc w:val="both"/>
        <w:rPr>
          <w:rFonts w:ascii="Bookman Old Style" w:eastAsia="Bookman Old Style" w:hAnsi="Bookman Old Style" w:cs="Bookman Old Style"/>
        </w:rPr>
      </w:pPr>
    </w:p>
    <w:p w14:paraId="689AAD2C" w14:textId="77777777" w:rsidR="004348AC" w:rsidRDefault="004348AC">
      <w:pPr>
        <w:spacing w:before="240" w:after="240"/>
        <w:jc w:val="both"/>
        <w:rPr>
          <w:rFonts w:ascii="Bookman Old Style" w:eastAsia="Bookman Old Style" w:hAnsi="Bookman Old Style" w:cs="Bookman Old Style"/>
        </w:rPr>
      </w:pPr>
    </w:p>
    <w:p w14:paraId="5FFA9A9E" w14:textId="77777777" w:rsidR="005F19CA" w:rsidRDefault="005F19CA" w:rsidP="005F19CA">
      <w:p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BIBLIOGRAFÍA ADICIONAL</w:t>
      </w:r>
    </w:p>
    <w:p w14:paraId="2C0A7E09" w14:textId="77777777" w:rsidR="005F19CA" w:rsidRDefault="005F19CA" w:rsidP="005F19CA">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Jurisprudenciales:</w:t>
      </w:r>
    </w:p>
    <w:p w14:paraId="2991E28F"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Corte Constitucional. (1993). Sentencia T-493 de 1993. M.P.: Antonio Barrera Carbonell</w:t>
      </w:r>
    </w:p>
    <w:p w14:paraId="5CAD3FC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D744EC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(1994). Sentencia C-221 de 1994. MP.: Carlos Gaviria Díaz </w:t>
      </w:r>
    </w:p>
    <w:p w14:paraId="71FEAC1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21DB890" w14:textId="77777777" w:rsidR="005F19CA" w:rsidRDefault="005F19CA" w:rsidP="005F19CA">
      <w:pPr>
        <w:spacing w:after="160" w:line="259"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(1997). C-239 de 1997. M:P. Carlos Gaviria Díaz </w:t>
      </w:r>
    </w:p>
    <w:p w14:paraId="593E590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Corte Constitucional. (1998) Sentencia T-516 de 1998. M.P.: Antonio Barrera</w:t>
      </w:r>
    </w:p>
    <w:p w14:paraId="47EA774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08EDA8F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(2014) Sentencia T-970 de 2014. M:P. Luis Ernesto Vargas Silva </w:t>
      </w:r>
    </w:p>
    <w:p w14:paraId="2077057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119468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(2017) Sentencia T-544 de 2017. MP.: Gloria Stella Ortiz </w:t>
      </w:r>
    </w:p>
    <w:p w14:paraId="11B3678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A97B8F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(2017) Sentencia T-721 de 2017. M.P.: Antonio José Lizarazo </w:t>
      </w:r>
    </w:p>
    <w:p w14:paraId="19A0303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31670001"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Corte Constitucional. (2020) Sentencia T-060 de 2020. M.P.: Alberto Rojas </w:t>
      </w:r>
    </w:p>
    <w:p w14:paraId="57780585" w14:textId="77777777" w:rsidR="005F19CA" w:rsidRDefault="005F19CA" w:rsidP="005F19CA">
      <w:pPr>
        <w:spacing w:before="240" w:after="24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Corte Constitucional. (2021) Sentencia C-233 de 2021. M.P.: Diana Fajardo Rivera</w:t>
      </w:r>
    </w:p>
    <w:p w14:paraId="3278B36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Consejo de Estado (2019). Sentencia 02830, Sala Contenciosa Administrativa. M.P.: Carlos Enrique Moreno Rubio. Bogotá.</w:t>
      </w:r>
    </w:p>
    <w:p w14:paraId="5B8677F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b/>
        </w:rPr>
      </w:pPr>
    </w:p>
    <w:p w14:paraId="50B41B0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rPr>
        <w:t>Reglamentarios:</w:t>
      </w:r>
      <w:r>
        <w:rPr>
          <w:rFonts w:ascii="Bookman Old Style" w:eastAsia="Bookman Old Style" w:hAnsi="Bookman Old Style" w:cs="Bookman Old Style"/>
          <w:color w:val="000000"/>
        </w:rPr>
        <w:t xml:space="preserve"> </w:t>
      </w:r>
    </w:p>
    <w:p w14:paraId="287D205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634EE38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Ministerio de Salud y Protección Social. (2015). </w:t>
      </w:r>
      <w:r>
        <w:rPr>
          <w:rFonts w:ascii="Bookman Old Style" w:eastAsia="Bookman Old Style" w:hAnsi="Bookman Old Style" w:cs="Bookman Old Style"/>
          <w:i/>
          <w:color w:val="000000"/>
        </w:rPr>
        <w:t>Protocolo para la aplicación del procedimiento de eutanasia en Colombia.</w:t>
      </w:r>
      <w:r>
        <w:rPr>
          <w:rFonts w:ascii="Bookman Old Style" w:eastAsia="Bookman Old Style" w:hAnsi="Bookman Old Style" w:cs="Bookman Old Style"/>
          <w:color w:val="000000"/>
        </w:rPr>
        <w:t xml:space="preserve"> Bogotá.</w:t>
      </w:r>
    </w:p>
    <w:p w14:paraId="647A984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E31333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Resolución 1216. (2015). </w:t>
      </w:r>
      <w:r>
        <w:rPr>
          <w:rFonts w:ascii="Bookman Old Style" w:eastAsia="Bookman Old Style" w:hAnsi="Bookman Old Style" w:cs="Bookman Old Style"/>
          <w:i/>
          <w:color w:val="000000"/>
        </w:rPr>
        <w:t>Por medio de la cual se da cumplimiento a la orden cuarta de la sentencia T-970 de 2014 de la Honorable Corte Constitucional en relación con las directrices para la organización y funcionamiento de los Comités para hacer efectivo el derecho a morir (...).</w:t>
      </w:r>
      <w:r>
        <w:rPr>
          <w:rFonts w:ascii="Bookman Old Style" w:eastAsia="Bookman Old Style" w:hAnsi="Bookman Old Style" w:cs="Bookman Old Style"/>
          <w:color w:val="000000"/>
        </w:rPr>
        <w:t xml:space="preserve"> Ministerio de Salud y Protección Social.</w:t>
      </w:r>
    </w:p>
    <w:p w14:paraId="508680C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30703D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Resolución 0825. (2018). </w:t>
      </w:r>
      <w:r>
        <w:rPr>
          <w:rFonts w:ascii="Bookman Old Style" w:eastAsia="Bookman Old Style" w:hAnsi="Bookman Old Style" w:cs="Bookman Old Style"/>
          <w:i/>
          <w:color w:val="000000"/>
        </w:rPr>
        <w:t>Por medio de la cual se reglamenta el procedimiento para hacer efectivo el derecho a morir con dignidad de los niños, niñas y adolescentes.</w:t>
      </w:r>
      <w:r>
        <w:rPr>
          <w:rFonts w:ascii="Bookman Old Style" w:eastAsia="Bookman Old Style" w:hAnsi="Bookman Old Style" w:cs="Bookman Old Style"/>
          <w:color w:val="000000"/>
        </w:rPr>
        <w:t xml:space="preserve"> Ministerio de Salud y Protección Social.</w:t>
      </w:r>
    </w:p>
    <w:p w14:paraId="4F2A6B9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96EC46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Resolución 2665. (2018). </w:t>
      </w:r>
      <w:r>
        <w:rPr>
          <w:rFonts w:ascii="Bookman Old Style" w:eastAsia="Bookman Old Style" w:hAnsi="Bookman Old Style" w:cs="Bookman Old Style"/>
          <w:i/>
          <w:color w:val="000000"/>
        </w:rPr>
        <w:t xml:space="preserve">“Por medio de la cual se reglamenta la Ley 1733 de 2014 en cuanto al derecho a suscribir el Documento de Voluntad Anticipada. </w:t>
      </w:r>
      <w:r>
        <w:rPr>
          <w:rFonts w:ascii="Bookman Old Style" w:eastAsia="Bookman Old Style" w:hAnsi="Bookman Old Style" w:cs="Bookman Old Style"/>
          <w:color w:val="000000"/>
        </w:rPr>
        <w:t>Ministerio de Salud y Protección Social.</w:t>
      </w:r>
    </w:p>
    <w:p w14:paraId="19711B2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32C67F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Documentos legales en perspectiva comparada:</w:t>
      </w:r>
    </w:p>
    <w:p w14:paraId="799C2CD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770247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Colorado, Department of public Health &amp; Environment. Medical Aid in Dying. Colorado end of life options act. </w:t>
      </w:r>
      <w:r>
        <w:rPr>
          <w:rFonts w:ascii="Bookman Old Style" w:eastAsia="Bookman Old Style" w:hAnsi="Bookman Old Style" w:cs="Bookman Old Style"/>
          <w:color w:val="000000"/>
        </w:rPr>
        <w:t xml:space="preserve">Recuperado de: </w:t>
      </w:r>
      <w:hyperlink r:id="rId8">
        <w:r>
          <w:rPr>
            <w:rFonts w:ascii="Bookman Old Style" w:eastAsia="Bookman Old Style" w:hAnsi="Bookman Old Style" w:cs="Bookman Old Style"/>
            <w:color w:val="000000"/>
            <w:u w:val="single"/>
          </w:rPr>
          <w:t>https://www.colorado.gov/pacific/cdphe/medical-aid-dying</w:t>
        </w:r>
      </w:hyperlink>
      <w:r>
        <w:rPr>
          <w:rFonts w:ascii="Bookman Old Style" w:eastAsia="Bookman Old Style" w:hAnsi="Bookman Old Style" w:cs="Bookman Old Style"/>
          <w:color w:val="000000"/>
        </w:rPr>
        <w:t xml:space="preserve"> </w:t>
      </w:r>
    </w:p>
    <w:p w14:paraId="2433E1A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564268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Colorado secretary of state. End of life options act. </w:t>
      </w:r>
      <w:r>
        <w:rPr>
          <w:rFonts w:ascii="Bookman Old Style" w:eastAsia="Bookman Old Style" w:hAnsi="Bookman Old Style" w:cs="Bookman Old Style"/>
          <w:color w:val="000000"/>
        </w:rPr>
        <w:t xml:space="preserve">Recuperado de: </w:t>
      </w:r>
      <w:hyperlink r:id="rId9">
        <w:r>
          <w:rPr>
            <w:rFonts w:ascii="Bookman Old Style" w:eastAsia="Bookman Old Style" w:hAnsi="Bookman Old Style" w:cs="Bookman Old Style"/>
            <w:color w:val="000000"/>
            <w:u w:val="single"/>
          </w:rPr>
          <w:t>https://www.sos.state.co.us/pubs/elections/Initiatives/titleBoard/filings/2015-2016/145Final.pdf</w:t>
        </w:r>
      </w:hyperlink>
      <w:r>
        <w:rPr>
          <w:rFonts w:ascii="Bookman Old Style" w:eastAsia="Bookman Old Style" w:hAnsi="Bookman Old Style" w:cs="Bookman Old Style"/>
          <w:color w:val="000000"/>
        </w:rPr>
        <w:t xml:space="preserve"> </w:t>
      </w:r>
    </w:p>
    <w:p w14:paraId="1E26A34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B5257B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Congreso de la Nación Argentina. Ley 26.742 “</w:t>
      </w:r>
      <w:proofErr w:type="spellStart"/>
      <w:r>
        <w:rPr>
          <w:rFonts w:ascii="Bookman Old Style" w:eastAsia="Bookman Old Style" w:hAnsi="Bookman Old Style" w:cs="Bookman Old Style"/>
          <w:color w:val="000000"/>
        </w:rPr>
        <w:t>Modifícase</w:t>
      </w:r>
      <w:proofErr w:type="spellEnd"/>
      <w:r>
        <w:rPr>
          <w:rFonts w:ascii="Bookman Old Style" w:eastAsia="Bookman Old Style" w:hAnsi="Bookman Old Style" w:cs="Bookman Old Style"/>
          <w:color w:val="000000"/>
        </w:rPr>
        <w:t xml:space="preserve"> la Ley </w:t>
      </w:r>
      <w:proofErr w:type="spellStart"/>
      <w:r>
        <w:rPr>
          <w:rFonts w:ascii="Bookman Old Style" w:eastAsia="Bookman Old Style" w:hAnsi="Bookman Old Style" w:cs="Bookman Old Style"/>
          <w:color w:val="000000"/>
        </w:rPr>
        <w:t>N°</w:t>
      </w:r>
      <w:proofErr w:type="spellEnd"/>
      <w:r>
        <w:rPr>
          <w:rFonts w:ascii="Bookman Old Style" w:eastAsia="Bookman Old Style" w:hAnsi="Bookman Old Style" w:cs="Bookman Old Style"/>
          <w:color w:val="000000"/>
        </w:rPr>
        <w:t xml:space="preserve"> 26.529 que estableció los derechos del paciente en su relación con los profesionales e instituciones de la Salud”. Buenos Aires. Recuperado de: </w:t>
      </w:r>
      <w:hyperlink r:id="rId10">
        <w:r>
          <w:rPr>
            <w:rFonts w:ascii="Bookman Old Style" w:eastAsia="Bookman Old Style" w:hAnsi="Bookman Old Style" w:cs="Bookman Old Style"/>
            <w:color w:val="000000"/>
            <w:u w:val="single"/>
          </w:rPr>
          <w:t>https://www.argentina.gob.ar/normativa/nacional/ley-26742-197859/texto</w:t>
        </w:r>
      </w:hyperlink>
      <w:r>
        <w:rPr>
          <w:rFonts w:ascii="Bookman Old Style" w:eastAsia="Bookman Old Style" w:hAnsi="Bookman Old Style" w:cs="Bookman Old Style"/>
          <w:color w:val="000000"/>
        </w:rPr>
        <w:t xml:space="preserve"> </w:t>
      </w:r>
    </w:p>
    <w:p w14:paraId="30FC1CE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2ED11A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Council of the District of Columbia (2016). Death with Dignity Act of 2016. </w:t>
      </w:r>
      <w:r>
        <w:rPr>
          <w:rFonts w:ascii="Bookman Old Style" w:eastAsia="Bookman Old Style" w:hAnsi="Bookman Old Style" w:cs="Bookman Old Style"/>
          <w:color w:val="000000"/>
        </w:rPr>
        <w:t xml:space="preserve">Recuperado de: </w:t>
      </w:r>
      <w:hyperlink r:id="rId11">
        <w:r>
          <w:rPr>
            <w:rFonts w:ascii="Bookman Old Style" w:eastAsia="Bookman Old Style" w:hAnsi="Bookman Old Style" w:cs="Bookman Old Style"/>
            <w:color w:val="000000"/>
            <w:u w:val="single"/>
          </w:rPr>
          <w:t>https://www.deathwithdignity.org/wp-content/uploads/2015/11/DC-Death-with-Dignity-Act.pdf</w:t>
        </w:r>
      </w:hyperlink>
      <w:r>
        <w:rPr>
          <w:rFonts w:ascii="Bookman Old Style" w:eastAsia="Bookman Old Style" w:hAnsi="Bookman Old Style" w:cs="Bookman Old Style"/>
          <w:color w:val="000000"/>
        </w:rPr>
        <w:t xml:space="preserve"> </w:t>
      </w:r>
    </w:p>
    <w:p w14:paraId="6BCAD75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FB3C366"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Death with Dignity. Hawaii. </w:t>
      </w:r>
      <w:proofErr w:type="spellStart"/>
      <w:r w:rsidRPr="00076C5D">
        <w:rPr>
          <w:rFonts w:ascii="Bookman Old Style" w:eastAsia="Bookman Old Style" w:hAnsi="Bookman Old Style" w:cs="Bookman Old Style"/>
          <w:color w:val="000000"/>
          <w:lang w:val="en-US"/>
        </w:rPr>
        <w:t>Recuperado</w:t>
      </w:r>
      <w:proofErr w:type="spellEnd"/>
      <w:r w:rsidRPr="00076C5D">
        <w:rPr>
          <w:rFonts w:ascii="Bookman Old Style" w:eastAsia="Bookman Old Style" w:hAnsi="Bookman Old Style" w:cs="Bookman Old Style"/>
          <w:color w:val="000000"/>
          <w:lang w:val="en-US"/>
        </w:rPr>
        <w:t xml:space="preserve"> de: </w:t>
      </w:r>
      <w:hyperlink r:id="rId12">
        <w:r w:rsidRPr="00076C5D">
          <w:rPr>
            <w:rFonts w:ascii="Bookman Old Style" w:eastAsia="Bookman Old Style" w:hAnsi="Bookman Old Style" w:cs="Bookman Old Style"/>
            <w:color w:val="000000"/>
            <w:lang w:val="en-US"/>
          </w:rPr>
          <w:t>https://www.deathwithdignity.org/states/hawaii/</w:t>
        </w:r>
      </w:hyperlink>
      <w:r w:rsidRPr="00076C5D">
        <w:rPr>
          <w:rFonts w:ascii="Bookman Old Style" w:eastAsia="Bookman Old Style" w:hAnsi="Bookman Old Style" w:cs="Bookman Old Style"/>
          <w:color w:val="000000"/>
          <w:lang w:val="en-US"/>
        </w:rPr>
        <w:t xml:space="preserve"> </w:t>
      </w:r>
    </w:p>
    <w:p w14:paraId="0E5C1313"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7D546C6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 eutanasia </w:t>
      </w:r>
      <w:proofErr w:type="gramStart"/>
      <w:r>
        <w:rPr>
          <w:rFonts w:ascii="Bookman Old Style" w:eastAsia="Bookman Old Style" w:hAnsi="Bookman Old Style" w:cs="Bookman Old Style"/>
          <w:color w:val="000000"/>
        </w:rPr>
        <w:t>Belga</w:t>
      </w:r>
      <w:proofErr w:type="gramEnd"/>
      <w:r>
        <w:rPr>
          <w:rFonts w:ascii="Bookman Old Style" w:eastAsia="Bookman Old Style" w:hAnsi="Bookman Old Style" w:cs="Bookman Old Style"/>
          <w:color w:val="000000"/>
        </w:rPr>
        <w:t xml:space="preserve">. Recuperado de: </w:t>
      </w:r>
      <w:hyperlink r:id="rId13">
        <w:r>
          <w:rPr>
            <w:rFonts w:ascii="Bookman Old Style" w:eastAsia="Bookman Old Style" w:hAnsi="Bookman Old Style" w:cs="Bookman Old Style"/>
            <w:color w:val="000000"/>
            <w:u w:val="single"/>
          </w:rPr>
          <w:t>https://derechoamorir.org/wp-content/uploads/2018/07/Ley-Eutanasia-Belgica.pdf</w:t>
        </w:r>
      </w:hyperlink>
      <w:r>
        <w:rPr>
          <w:rFonts w:ascii="Bookman Old Style" w:eastAsia="Bookman Old Style" w:hAnsi="Bookman Old Style" w:cs="Bookman Old Style"/>
          <w:color w:val="000000"/>
        </w:rPr>
        <w:t xml:space="preserve">  </w:t>
      </w:r>
    </w:p>
    <w:p w14:paraId="2ACFCDF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011C494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 Países Bajos. Recuperado de: </w:t>
      </w:r>
      <w:hyperlink r:id="rId14">
        <w:r>
          <w:rPr>
            <w:rFonts w:ascii="Bookman Old Style" w:eastAsia="Bookman Old Style" w:hAnsi="Bookman Old Style" w:cs="Bookman Old Style"/>
            <w:color w:val="000000"/>
            <w:u w:val="single"/>
          </w:rPr>
          <w:t>https://derechoamorir.org/wp-content/uploads/2018/07/Ley-Eutanasia-Paises-Bajos.pdf</w:t>
        </w:r>
      </w:hyperlink>
      <w:r>
        <w:rPr>
          <w:rFonts w:ascii="Bookman Old Style" w:eastAsia="Bookman Old Style" w:hAnsi="Bookman Old Style" w:cs="Bookman Old Style"/>
          <w:color w:val="000000"/>
        </w:rPr>
        <w:t xml:space="preserve"> </w:t>
      </w:r>
    </w:p>
    <w:p w14:paraId="3534018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72AB47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 C-41 de Canadá. Recuperado de: </w:t>
      </w:r>
      <w:hyperlink r:id="rId15">
        <w:r>
          <w:rPr>
            <w:rFonts w:ascii="Bookman Old Style" w:eastAsia="Bookman Old Style" w:hAnsi="Bookman Old Style" w:cs="Bookman Old Style"/>
            <w:color w:val="000000"/>
            <w:u w:val="single"/>
          </w:rPr>
          <w:t>https://derechoamorir.org/wp-content/uploads/2018/07/Ley-Eutanasia-Canada.pdf</w:t>
        </w:r>
      </w:hyperlink>
      <w:r>
        <w:rPr>
          <w:rFonts w:ascii="Bookman Old Style" w:eastAsia="Bookman Old Style" w:hAnsi="Bookman Old Style" w:cs="Bookman Old Style"/>
          <w:color w:val="000000"/>
        </w:rPr>
        <w:t xml:space="preserve"> </w:t>
      </w:r>
    </w:p>
    <w:p w14:paraId="2C5A0F3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60661E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DMD (2016). Dossier sobre la eutanasia. Traducción Ley del Gran Ducado de Luxemburgo. Recuperado de: </w:t>
      </w:r>
      <w:hyperlink r:id="rId16">
        <w:r>
          <w:rPr>
            <w:rFonts w:ascii="Bookman Old Style" w:eastAsia="Bookman Old Style" w:hAnsi="Bookman Old Style" w:cs="Bookman Old Style"/>
            <w:color w:val="000000"/>
            <w:u w:val="single"/>
          </w:rPr>
          <w:t>https://derechoamorir.org/wp-content/uploads/2018/07/Ley-Eutanasia-Luxemburgo.pdf</w:t>
        </w:r>
      </w:hyperlink>
      <w:r>
        <w:rPr>
          <w:rFonts w:ascii="Bookman Old Style" w:eastAsia="Bookman Old Style" w:hAnsi="Bookman Old Style" w:cs="Bookman Old Style"/>
          <w:color w:val="000000"/>
        </w:rPr>
        <w:t xml:space="preserve">  </w:t>
      </w:r>
    </w:p>
    <w:p w14:paraId="0DE582A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38D1888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DMD (2018). The Impact of Death with Dignity on Healthcare. </w:t>
      </w:r>
      <w:r>
        <w:rPr>
          <w:rFonts w:ascii="Bookman Old Style" w:eastAsia="Bookman Old Style" w:hAnsi="Bookman Old Style" w:cs="Bookman Old Style"/>
          <w:color w:val="000000"/>
        </w:rPr>
        <w:t xml:space="preserve">Traducción DMD Madrid. Recuperado de: </w:t>
      </w:r>
      <w:hyperlink r:id="rId17">
        <w:r>
          <w:rPr>
            <w:rFonts w:ascii="Bookman Old Style" w:eastAsia="Bookman Old Style" w:hAnsi="Bookman Old Style" w:cs="Bookman Old Style"/>
            <w:color w:val="000000"/>
            <w:u w:val="single"/>
          </w:rPr>
          <w:t>https://derechoamorir.org/wp-content/uploads/2019/04/1904-Impacto-Leyes-Death-with-Dignity.pdf</w:t>
        </w:r>
      </w:hyperlink>
      <w:r>
        <w:rPr>
          <w:rFonts w:ascii="Bookman Old Style" w:eastAsia="Bookman Old Style" w:hAnsi="Bookman Old Style" w:cs="Bookman Old Style"/>
          <w:color w:val="000000"/>
        </w:rPr>
        <w:t xml:space="preserve"> </w:t>
      </w:r>
    </w:p>
    <w:p w14:paraId="596ECAE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p>
    <w:p w14:paraId="0A6A5EF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DMD. Eutanasia y suicidio asistido en el mundo. Recuperado de: </w:t>
      </w:r>
      <w:hyperlink r:id="rId18">
        <w:r>
          <w:rPr>
            <w:rFonts w:ascii="Bookman Old Style" w:eastAsia="Bookman Old Style" w:hAnsi="Bookman Old Style" w:cs="Bookman Old Style"/>
            <w:color w:val="000000"/>
            <w:u w:val="single"/>
          </w:rPr>
          <w:t>https://derechoamorir.org/eutanasia-mundo/</w:t>
        </w:r>
      </w:hyperlink>
      <w:r>
        <w:rPr>
          <w:rFonts w:ascii="Bookman Old Style" w:eastAsia="Bookman Old Style" w:hAnsi="Bookman Old Style" w:cs="Bookman Old Style"/>
          <w:color w:val="000000"/>
        </w:rPr>
        <w:t xml:space="preserve"> </w:t>
      </w:r>
    </w:p>
    <w:p w14:paraId="2DC96D1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36BCD66"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 xml:space="preserve">DMD. Libres hasta el final. </w:t>
      </w:r>
      <w:proofErr w:type="spellStart"/>
      <w:r w:rsidRPr="00076C5D">
        <w:rPr>
          <w:rFonts w:ascii="Bookman Old Style" w:eastAsia="Bookman Old Style" w:hAnsi="Bookman Old Style" w:cs="Bookman Old Style"/>
          <w:color w:val="000000"/>
          <w:lang w:val="en-US"/>
        </w:rPr>
        <w:t>Recuperado</w:t>
      </w:r>
      <w:proofErr w:type="spellEnd"/>
      <w:r w:rsidRPr="00076C5D">
        <w:rPr>
          <w:rFonts w:ascii="Bookman Old Style" w:eastAsia="Bookman Old Style" w:hAnsi="Bookman Old Style" w:cs="Bookman Old Style"/>
          <w:color w:val="000000"/>
          <w:lang w:val="en-US"/>
        </w:rPr>
        <w:t xml:space="preserve"> de: </w:t>
      </w:r>
      <w:hyperlink r:id="rId19">
        <w:r w:rsidRPr="00076C5D">
          <w:rPr>
            <w:rFonts w:ascii="Bookman Old Style" w:eastAsia="Bookman Old Style" w:hAnsi="Bookman Old Style" w:cs="Bookman Old Style"/>
            <w:color w:val="000000"/>
            <w:u w:val="single"/>
            <w:lang w:val="en-US"/>
          </w:rPr>
          <w:t>https://libreshastaelfinal.org</w:t>
        </w:r>
      </w:hyperlink>
    </w:p>
    <w:p w14:paraId="79B3900D"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78AA464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r w:rsidRPr="00076C5D">
        <w:rPr>
          <w:rFonts w:ascii="Bookman Old Style" w:eastAsia="Bookman Old Style" w:hAnsi="Bookman Old Style" w:cs="Bookman Old Style"/>
          <w:color w:val="000000"/>
          <w:lang w:val="en-US"/>
        </w:rPr>
        <w:t xml:space="preserve">DWD. How Death with Dignity Laws Work. </w:t>
      </w:r>
      <w:r>
        <w:rPr>
          <w:rFonts w:ascii="Bookman Old Style" w:eastAsia="Bookman Old Style" w:hAnsi="Bookman Old Style" w:cs="Bookman Old Style"/>
          <w:color w:val="000000"/>
        </w:rPr>
        <w:t xml:space="preserve">Recuperado de: </w:t>
      </w:r>
      <w:hyperlink r:id="rId20">
        <w:r>
          <w:rPr>
            <w:rFonts w:ascii="Bookman Old Style" w:eastAsia="Bookman Old Style" w:hAnsi="Bookman Old Style" w:cs="Bookman Old Style"/>
            <w:color w:val="000000"/>
            <w:u w:val="single"/>
          </w:rPr>
          <w:t>https://www.deathwithdignity.org/learn/access/</w:t>
        </w:r>
      </w:hyperlink>
    </w:p>
    <w:p w14:paraId="3757A9F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391FAF1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r w:rsidRPr="00076C5D">
        <w:rPr>
          <w:rFonts w:ascii="Bookman Old Style" w:eastAsia="Bookman Old Style" w:hAnsi="Bookman Old Style" w:cs="Bookman Old Style"/>
          <w:color w:val="000000"/>
          <w:lang w:val="en-US"/>
        </w:rPr>
        <w:t xml:space="preserve">Government of DC. Of Columbia. DC HEALTH, </w:t>
      </w:r>
      <w:proofErr w:type="spellStart"/>
      <w:r w:rsidRPr="00076C5D">
        <w:rPr>
          <w:rFonts w:ascii="Bookman Old Style" w:eastAsia="Bookman Old Style" w:hAnsi="Bookman Old Style" w:cs="Bookman Old Style"/>
          <w:color w:val="000000"/>
          <w:lang w:val="en-US"/>
        </w:rPr>
        <w:t>Deat</w:t>
      </w:r>
      <w:proofErr w:type="spellEnd"/>
      <w:r w:rsidRPr="00076C5D">
        <w:rPr>
          <w:rFonts w:ascii="Bookman Old Style" w:eastAsia="Bookman Old Style" w:hAnsi="Bookman Old Style" w:cs="Bookman Old Style"/>
          <w:color w:val="000000"/>
          <w:lang w:val="en-US"/>
        </w:rPr>
        <w:t xml:space="preserve"> with </w:t>
      </w:r>
      <w:proofErr w:type="spellStart"/>
      <w:r w:rsidRPr="00076C5D">
        <w:rPr>
          <w:rFonts w:ascii="Bookman Old Style" w:eastAsia="Bookman Old Style" w:hAnsi="Bookman Old Style" w:cs="Bookman Old Style"/>
          <w:color w:val="000000"/>
          <w:lang w:val="en-US"/>
        </w:rPr>
        <w:t>Difnity</w:t>
      </w:r>
      <w:proofErr w:type="spellEnd"/>
      <w:r w:rsidRPr="00076C5D">
        <w:rPr>
          <w:rFonts w:ascii="Bookman Old Style" w:eastAsia="Bookman Old Style" w:hAnsi="Bookman Old Style" w:cs="Bookman Old Style"/>
          <w:color w:val="000000"/>
          <w:lang w:val="en-US"/>
        </w:rPr>
        <w:t xml:space="preserve">. </w:t>
      </w:r>
      <w:r>
        <w:rPr>
          <w:rFonts w:ascii="Bookman Old Style" w:eastAsia="Bookman Old Style" w:hAnsi="Bookman Old Style" w:cs="Bookman Old Style"/>
          <w:color w:val="000000"/>
        </w:rPr>
        <w:t xml:space="preserve">Recuperado de: </w:t>
      </w:r>
      <w:hyperlink r:id="rId21">
        <w:r>
          <w:rPr>
            <w:rFonts w:ascii="Bookman Old Style" w:eastAsia="Bookman Old Style" w:hAnsi="Bookman Old Style" w:cs="Bookman Old Style"/>
            <w:color w:val="000000"/>
            <w:u w:val="single"/>
          </w:rPr>
          <w:t>https://www.deathwithdignity.org/wp-content/uploads/2019/08/DC-Death-with-Dignity-Patient-Education-Module-042618.pdf</w:t>
        </w:r>
      </w:hyperlink>
    </w:p>
    <w:p w14:paraId="0F8DAB3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8EE92A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Government of Victoria, Australia. Department of Health. </w:t>
      </w:r>
      <w:r>
        <w:rPr>
          <w:rFonts w:ascii="Bookman Old Style" w:eastAsia="Bookman Old Style" w:hAnsi="Bookman Old Style" w:cs="Bookman Old Style"/>
          <w:color w:val="000000"/>
        </w:rPr>
        <w:t xml:space="preserve">Recuperado de: </w:t>
      </w:r>
      <w:hyperlink r:id="rId22">
        <w:r>
          <w:rPr>
            <w:rFonts w:ascii="Bookman Old Style" w:eastAsia="Bookman Old Style" w:hAnsi="Bookman Old Style" w:cs="Bookman Old Style"/>
            <w:color w:val="000000"/>
          </w:rPr>
          <w:t>https://www2.health.vic.gov.au/about/publications/policiesandguidelines/information-for-people-considering-voluntary-assisted-dying</w:t>
        </w:r>
      </w:hyperlink>
      <w:r>
        <w:rPr>
          <w:rFonts w:ascii="Bookman Old Style" w:eastAsia="Bookman Old Style" w:hAnsi="Bookman Old Style" w:cs="Bookman Old Style"/>
          <w:color w:val="000000"/>
        </w:rPr>
        <w:t xml:space="preserve"> </w:t>
      </w:r>
    </w:p>
    <w:p w14:paraId="037E096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53BBFB6"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Government of Western Australia. Department of Health. Voluntary assisted dying. </w:t>
      </w:r>
      <w:proofErr w:type="spellStart"/>
      <w:r w:rsidRPr="00076C5D">
        <w:rPr>
          <w:rFonts w:ascii="Bookman Old Style" w:eastAsia="Bookman Old Style" w:hAnsi="Bookman Old Style" w:cs="Bookman Old Style"/>
          <w:color w:val="000000"/>
          <w:lang w:val="en-US"/>
        </w:rPr>
        <w:t>Recuperado</w:t>
      </w:r>
      <w:proofErr w:type="spellEnd"/>
      <w:r w:rsidRPr="00076C5D">
        <w:rPr>
          <w:rFonts w:ascii="Bookman Old Style" w:eastAsia="Bookman Old Style" w:hAnsi="Bookman Old Style" w:cs="Bookman Old Style"/>
          <w:color w:val="000000"/>
          <w:lang w:val="en-US"/>
        </w:rPr>
        <w:t xml:space="preserve"> de: </w:t>
      </w:r>
      <w:hyperlink r:id="rId23">
        <w:r w:rsidRPr="00076C5D">
          <w:rPr>
            <w:rFonts w:ascii="Bookman Old Style" w:eastAsia="Bookman Old Style" w:hAnsi="Bookman Old Style" w:cs="Bookman Old Style"/>
            <w:color w:val="000000"/>
            <w:lang w:val="en-US"/>
          </w:rPr>
          <w:t>https://ww2.health.wa.gov.au/voluntaryassisteddying</w:t>
        </w:r>
      </w:hyperlink>
    </w:p>
    <w:p w14:paraId="3036764B"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3464F88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House of Representatives, </w:t>
      </w:r>
      <w:hyperlink r:id="rId24">
        <w:r w:rsidRPr="00076C5D">
          <w:rPr>
            <w:rFonts w:ascii="Bookman Old Style" w:eastAsia="Bookman Old Style" w:hAnsi="Bookman Old Style" w:cs="Bookman Old Style"/>
            <w:color w:val="000000"/>
            <w:lang w:val="en-US"/>
          </w:rPr>
          <w:t>Our Care, Our Choice Act</w:t>
        </w:r>
      </w:hyperlink>
      <w:r w:rsidRPr="00076C5D">
        <w:rPr>
          <w:rFonts w:ascii="Bookman Old Style" w:eastAsia="Bookman Old Style" w:hAnsi="Bookman Old Style" w:cs="Bookman Old Style"/>
          <w:color w:val="000000"/>
          <w:lang w:val="en-US"/>
        </w:rPr>
        <w:t xml:space="preserve"> . </w:t>
      </w:r>
      <w:proofErr w:type="spellStart"/>
      <w:r>
        <w:rPr>
          <w:rFonts w:ascii="Bookman Old Style" w:eastAsia="Bookman Old Style" w:hAnsi="Bookman Old Style" w:cs="Bookman Old Style"/>
          <w:color w:val="000000"/>
        </w:rPr>
        <w:t>State</w:t>
      </w:r>
      <w:proofErr w:type="spellEnd"/>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Of</w:t>
      </w:r>
      <w:proofErr w:type="spellEnd"/>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Hawaii</w:t>
      </w:r>
      <w:proofErr w:type="spellEnd"/>
      <w:r>
        <w:rPr>
          <w:rFonts w:ascii="Bookman Old Style" w:eastAsia="Bookman Old Style" w:hAnsi="Bookman Old Style" w:cs="Bookman Old Style"/>
          <w:color w:val="000000"/>
        </w:rPr>
        <w:t xml:space="preserve">. Recuperado de: </w:t>
      </w:r>
      <w:hyperlink r:id="rId25">
        <w:r>
          <w:rPr>
            <w:rFonts w:ascii="Bookman Old Style" w:eastAsia="Bookman Old Style" w:hAnsi="Bookman Old Style" w:cs="Bookman Old Style"/>
            <w:color w:val="000000"/>
          </w:rPr>
          <w:t>https://health.hawaii.gov/opppd/files/2018/11/OCOC-Act2.pdf</w:t>
        </w:r>
      </w:hyperlink>
      <w:r>
        <w:rPr>
          <w:rFonts w:ascii="Bookman Old Style" w:eastAsia="Bookman Old Style" w:hAnsi="Bookman Old Style" w:cs="Bookman Old Style"/>
          <w:color w:val="000000"/>
        </w:rPr>
        <w:t xml:space="preserve"> </w:t>
      </w:r>
    </w:p>
    <w:p w14:paraId="209F58B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C1B401F"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María Lampert Grassi (2019) Eutanasia en la legislación chilena. Biblioteca del congreso nacional de Chile. Asesoría técnica parlamentaria. Recuperado de: </w:t>
      </w:r>
      <w:hyperlink r:id="rId26">
        <w:r>
          <w:rPr>
            <w:rFonts w:ascii="Bookman Old Style" w:eastAsia="Bookman Old Style" w:hAnsi="Bookman Old Style" w:cs="Bookman Old Style"/>
            <w:color w:val="000000"/>
            <w:u w:val="single"/>
          </w:rPr>
          <w:t>https://obtienearchivo.bcn.cl/obtienearchivo?id=repositorio/10221/27133/1/BCN_eutanasia_en_la_legislacion_chilena_FINAL.pdf</w:t>
        </w:r>
      </w:hyperlink>
      <w:r>
        <w:rPr>
          <w:rFonts w:ascii="Bookman Old Style" w:eastAsia="Bookman Old Style" w:hAnsi="Bookman Old Style" w:cs="Bookman Old Style"/>
          <w:color w:val="000000"/>
        </w:rPr>
        <w:t xml:space="preserve"> </w:t>
      </w:r>
    </w:p>
    <w:p w14:paraId="5C779E5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402F2A1"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New Jersey State Department of Health. Medical Aid in dying. </w:t>
      </w:r>
      <w:proofErr w:type="spellStart"/>
      <w:r w:rsidRPr="00076C5D">
        <w:rPr>
          <w:rFonts w:ascii="Bookman Old Style" w:eastAsia="Bookman Old Style" w:hAnsi="Bookman Old Style" w:cs="Bookman Old Style"/>
          <w:color w:val="000000"/>
          <w:lang w:val="en-US"/>
        </w:rPr>
        <w:t>Recuperado</w:t>
      </w:r>
      <w:proofErr w:type="spellEnd"/>
      <w:r w:rsidRPr="00076C5D">
        <w:rPr>
          <w:rFonts w:ascii="Bookman Old Style" w:eastAsia="Bookman Old Style" w:hAnsi="Bookman Old Style" w:cs="Bookman Old Style"/>
          <w:color w:val="000000"/>
          <w:lang w:val="en-US"/>
        </w:rPr>
        <w:t xml:space="preserve"> de: </w:t>
      </w:r>
      <w:hyperlink r:id="rId27">
        <w:r w:rsidRPr="00076C5D">
          <w:rPr>
            <w:rFonts w:ascii="Bookman Old Style" w:eastAsia="Bookman Old Style" w:hAnsi="Bookman Old Style" w:cs="Bookman Old Style"/>
            <w:color w:val="000000"/>
            <w:u w:val="single"/>
            <w:lang w:val="en-US"/>
          </w:rPr>
          <w:t>https://www.state.nj.us/health/advancedirective/maid/</w:t>
        </w:r>
      </w:hyperlink>
      <w:r w:rsidRPr="00076C5D">
        <w:rPr>
          <w:rFonts w:ascii="Bookman Old Style" w:eastAsia="Bookman Old Style" w:hAnsi="Bookman Old Style" w:cs="Bookman Old Style"/>
          <w:color w:val="000000"/>
          <w:lang w:val="en-US"/>
        </w:rPr>
        <w:t xml:space="preserve"> </w:t>
      </w:r>
    </w:p>
    <w:p w14:paraId="30230812"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4AF95E8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Parliament of Victoria, Australia. Voluntary Assisted Dying Act 2017. </w:t>
      </w:r>
      <w:proofErr w:type="gramStart"/>
      <w:r>
        <w:rPr>
          <w:rFonts w:ascii="Bookman Old Style" w:eastAsia="Bookman Old Style" w:hAnsi="Bookman Old Style" w:cs="Bookman Old Style"/>
          <w:color w:val="000000"/>
        </w:rPr>
        <w:t>Recuperado  de</w:t>
      </w:r>
      <w:proofErr w:type="gramEnd"/>
      <w:r>
        <w:rPr>
          <w:rFonts w:ascii="Bookman Old Style" w:eastAsia="Bookman Old Style" w:hAnsi="Bookman Old Style" w:cs="Bookman Old Style"/>
          <w:color w:val="000000"/>
        </w:rPr>
        <w:t xml:space="preserve"> </w:t>
      </w:r>
      <w:hyperlink r:id="rId28">
        <w:r>
          <w:rPr>
            <w:rFonts w:ascii="Bookman Old Style" w:eastAsia="Bookman Old Style" w:hAnsi="Bookman Old Style" w:cs="Bookman Old Style"/>
            <w:color w:val="0563C1"/>
            <w:u w:val="single"/>
          </w:rPr>
          <w:t>https://content.legislation.vic.gov.au/sites/default/files/2020-06/17-61aa004%20authorised.pdf</w:t>
        </w:r>
      </w:hyperlink>
      <w:r>
        <w:rPr>
          <w:rFonts w:ascii="Bookman Old Style" w:eastAsia="Bookman Old Style" w:hAnsi="Bookman Old Style" w:cs="Bookman Old Style"/>
          <w:color w:val="000000"/>
        </w:rPr>
        <w:t xml:space="preserve"> </w:t>
      </w:r>
    </w:p>
    <w:p w14:paraId="5BAB24AC"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FAAC1F6"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Parliament of Western Australia. Voluntary Assisted Dying Act. 2019. </w:t>
      </w:r>
      <w:r>
        <w:rPr>
          <w:rFonts w:ascii="Bookman Old Style" w:eastAsia="Bookman Old Style" w:hAnsi="Bookman Old Style" w:cs="Bookman Old Style"/>
          <w:color w:val="000000"/>
        </w:rPr>
        <w:t xml:space="preserve">Recuperado  de: </w:t>
      </w:r>
      <w:hyperlink r:id="rId29">
        <w:r>
          <w:rPr>
            <w:rFonts w:ascii="Bookman Old Style" w:eastAsia="Bookman Old Style" w:hAnsi="Bookman Old Style" w:cs="Bookman Old Style"/>
            <w:color w:val="000000"/>
          </w:rPr>
          <w:t>https://www.legislation.wa.gov.au/legislation/prod/filestore.nsf/FileURL/mrdoc_42491.pdf/$FILE/Voluntary%20Assisted%20Dying%20Act%202019%20-%20%5B00-00-00%5D.pdf?OpenElement</w:t>
        </w:r>
      </w:hyperlink>
    </w:p>
    <w:p w14:paraId="64DFCE4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8F9B124"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sidRPr="00076C5D">
        <w:rPr>
          <w:rFonts w:ascii="Bookman Old Style" w:eastAsia="Bookman Old Style" w:hAnsi="Bookman Old Style" w:cs="Bookman Old Style"/>
          <w:color w:val="000000"/>
          <w:lang w:val="en-US"/>
        </w:rPr>
        <w:t xml:space="preserve">Victoria State </w:t>
      </w:r>
      <w:proofErr w:type="spellStart"/>
      <w:r w:rsidRPr="00076C5D">
        <w:rPr>
          <w:rFonts w:ascii="Bookman Old Style" w:eastAsia="Bookman Old Style" w:hAnsi="Bookman Old Style" w:cs="Bookman Old Style"/>
          <w:color w:val="000000"/>
          <w:lang w:val="en-US"/>
        </w:rPr>
        <w:t>Government.Voluntary</w:t>
      </w:r>
      <w:proofErr w:type="spellEnd"/>
      <w:r w:rsidRPr="00076C5D">
        <w:rPr>
          <w:rFonts w:ascii="Bookman Old Style" w:eastAsia="Bookman Old Style" w:hAnsi="Bookman Old Style" w:cs="Bookman Old Style"/>
          <w:color w:val="000000"/>
          <w:lang w:val="en-US"/>
        </w:rPr>
        <w:t xml:space="preserve"> assisted dying: information for people considering voluntary assisted dying. Health and Human Services.</w:t>
      </w:r>
    </w:p>
    <w:p w14:paraId="1E0D9E21"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0B7808C5"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b/>
          <w:lang w:val="en-US"/>
        </w:rPr>
      </w:pPr>
      <w:proofErr w:type="spellStart"/>
      <w:r w:rsidRPr="00076C5D">
        <w:rPr>
          <w:rFonts w:ascii="Bookman Old Style" w:eastAsia="Bookman Old Style" w:hAnsi="Bookman Old Style" w:cs="Bookman Old Style"/>
          <w:b/>
          <w:lang w:val="en-US"/>
        </w:rPr>
        <w:lastRenderedPageBreak/>
        <w:t>Textos</w:t>
      </w:r>
      <w:proofErr w:type="spellEnd"/>
      <w:r w:rsidRPr="00076C5D">
        <w:rPr>
          <w:rFonts w:ascii="Bookman Old Style" w:eastAsia="Bookman Old Style" w:hAnsi="Bookman Old Style" w:cs="Bookman Old Style"/>
          <w:b/>
          <w:lang w:val="en-US"/>
        </w:rPr>
        <w:t xml:space="preserve"> </w:t>
      </w:r>
      <w:proofErr w:type="spellStart"/>
      <w:r w:rsidRPr="00076C5D">
        <w:rPr>
          <w:rFonts w:ascii="Bookman Old Style" w:eastAsia="Bookman Old Style" w:hAnsi="Bookman Old Style" w:cs="Bookman Old Style"/>
          <w:b/>
          <w:lang w:val="en-US"/>
        </w:rPr>
        <w:t>académicos</w:t>
      </w:r>
      <w:proofErr w:type="spellEnd"/>
      <w:r w:rsidRPr="00076C5D">
        <w:rPr>
          <w:rFonts w:ascii="Bookman Old Style" w:eastAsia="Bookman Old Style" w:hAnsi="Bookman Old Style" w:cs="Bookman Old Style"/>
          <w:b/>
          <w:lang w:val="en-US"/>
        </w:rPr>
        <w:t>:</w:t>
      </w:r>
    </w:p>
    <w:p w14:paraId="16F52A90"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b/>
          <w:lang w:val="en-US"/>
        </w:rPr>
      </w:pPr>
    </w:p>
    <w:p w14:paraId="566E843E"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roofErr w:type="spellStart"/>
      <w:r w:rsidRPr="00076C5D">
        <w:rPr>
          <w:rFonts w:ascii="Bookman Old Style" w:eastAsia="Bookman Old Style" w:hAnsi="Bookman Old Style" w:cs="Bookman Old Style"/>
          <w:color w:val="000000"/>
          <w:lang w:val="en-US"/>
        </w:rPr>
        <w:t>Battin</w:t>
      </w:r>
      <w:proofErr w:type="spellEnd"/>
      <w:r w:rsidRPr="00076C5D">
        <w:rPr>
          <w:rFonts w:ascii="Bookman Old Style" w:eastAsia="Bookman Old Style" w:hAnsi="Bookman Old Style" w:cs="Bookman Old Style"/>
          <w:color w:val="000000"/>
          <w:lang w:val="en-US"/>
        </w:rPr>
        <w:t xml:space="preserve">, M. P., van der Heide, A., </w:t>
      </w:r>
      <w:proofErr w:type="spellStart"/>
      <w:r w:rsidRPr="00076C5D">
        <w:rPr>
          <w:rFonts w:ascii="Bookman Old Style" w:eastAsia="Bookman Old Style" w:hAnsi="Bookman Old Style" w:cs="Bookman Old Style"/>
          <w:color w:val="000000"/>
          <w:lang w:val="en-US"/>
        </w:rPr>
        <w:t>Ganzini</w:t>
      </w:r>
      <w:proofErr w:type="spellEnd"/>
      <w:r w:rsidRPr="00076C5D">
        <w:rPr>
          <w:rFonts w:ascii="Bookman Old Style" w:eastAsia="Bookman Old Style" w:hAnsi="Bookman Old Style" w:cs="Bookman Old Style"/>
          <w:color w:val="000000"/>
          <w:lang w:val="en-US"/>
        </w:rPr>
        <w:t xml:space="preserve">, L., van der Wal, G., &amp; </w:t>
      </w:r>
      <w:proofErr w:type="spellStart"/>
      <w:r w:rsidRPr="00076C5D">
        <w:rPr>
          <w:rFonts w:ascii="Bookman Old Style" w:eastAsia="Bookman Old Style" w:hAnsi="Bookman Old Style" w:cs="Bookman Old Style"/>
          <w:color w:val="000000"/>
          <w:lang w:val="en-US"/>
        </w:rPr>
        <w:t>Onwuteaka-Philipsen</w:t>
      </w:r>
      <w:proofErr w:type="spellEnd"/>
      <w:r w:rsidRPr="00076C5D">
        <w:rPr>
          <w:rFonts w:ascii="Bookman Old Style" w:eastAsia="Bookman Old Style" w:hAnsi="Bookman Old Style" w:cs="Bookman Old Style"/>
          <w:color w:val="000000"/>
          <w:lang w:val="en-US"/>
        </w:rPr>
        <w:t>, B. D. (2007). Legal physician-assisted dying in Oregon and the Netherlands: evidence concerning the impact on patients in "vulnerable" groups.</w:t>
      </w:r>
      <w:r w:rsidRPr="00076C5D">
        <w:rPr>
          <w:rFonts w:ascii="Bookman Old Style" w:eastAsia="Bookman Old Style" w:hAnsi="Bookman Old Style" w:cs="Bookman Old Style"/>
          <w:lang w:val="en-US"/>
        </w:rPr>
        <w:t> </w:t>
      </w:r>
      <w:r w:rsidRPr="00076C5D">
        <w:rPr>
          <w:rFonts w:ascii="Bookman Old Style" w:eastAsia="Bookman Old Style" w:hAnsi="Bookman Old Style" w:cs="Bookman Old Style"/>
          <w:color w:val="000000"/>
          <w:lang w:val="en-US"/>
        </w:rPr>
        <w:t>Journal of medical ethics,</w:t>
      </w:r>
      <w:r w:rsidRPr="00076C5D">
        <w:rPr>
          <w:rFonts w:ascii="Bookman Old Style" w:eastAsia="Bookman Old Style" w:hAnsi="Bookman Old Style" w:cs="Bookman Old Style"/>
          <w:lang w:val="en-US"/>
        </w:rPr>
        <w:t> </w:t>
      </w:r>
      <w:r w:rsidRPr="00076C5D">
        <w:rPr>
          <w:rFonts w:ascii="Bookman Old Style" w:eastAsia="Bookman Old Style" w:hAnsi="Bookman Old Style" w:cs="Bookman Old Style"/>
          <w:color w:val="000000"/>
          <w:lang w:val="en-US"/>
        </w:rPr>
        <w:t>33(10), 591–597. </w:t>
      </w:r>
    </w:p>
    <w:p w14:paraId="68D4259F"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2DB44291"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roofErr w:type="spellStart"/>
      <w:r w:rsidRPr="00076C5D">
        <w:rPr>
          <w:rFonts w:ascii="Bookman Old Style" w:eastAsia="Bookman Old Style" w:hAnsi="Bookman Old Style" w:cs="Bookman Old Style"/>
          <w:color w:val="000000"/>
          <w:lang w:val="en-US"/>
        </w:rPr>
        <w:t>Bernheim</w:t>
      </w:r>
      <w:proofErr w:type="spellEnd"/>
      <w:r w:rsidRPr="00076C5D">
        <w:rPr>
          <w:rFonts w:ascii="Bookman Old Style" w:eastAsia="Bookman Old Style" w:hAnsi="Bookman Old Style" w:cs="Bookman Old Style"/>
          <w:color w:val="000000"/>
          <w:lang w:val="en-US"/>
        </w:rPr>
        <w:t xml:space="preserve">, J. L., </w:t>
      </w:r>
      <w:proofErr w:type="spellStart"/>
      <w:r w:rsidRPr="00076C5D">
        <w:rPr>
          <w:rFonts w:ascii="Bookman Old Style" w:eastAsia="Bookman Old Style" w:hAnsi="Bookman Old Style" w:cs="Bookman Old Style"/>
          <w:color w:val="000000"/>
          <w:lang w:val="en-US"/>
        </w:rPr>
        <w:t>Chambaere</w:t>
      </w:r>
      <w:proofErr w:type="spellEnd"/>
      <w:r w:rsidRPr="00076C5D">
        <w:rPr>
          <w:rFonts w:ascii="Bookman Old Style" w:eastAsia="Bookman Old Style" w:hAnsi="Bookman Old Style" w:cs="Bookman Old Style"/>
          <w:color w:val="000000"/>
          <w:lang w:val="en-US"/>
        </w:rPr>
        <w:t xml:space="preserve">, K., </w:t>
      </w:r>
      <w:proofErr w:type="spellStart"/>
      <w:r w:rsidRPr="00076C5D">
        <w:rPr>
          <w:rFonts w:ascii="Bookman Old Style" w:eastAsia="Bookman Old Style" w:hAnsi="Bookman Old Style" w:cs="Bookman Old Style"/>
          <w:color w:val="000000"/>
          <w:lang w:val="en-US"/>
        </w:rPr>
        <w:t>Theuns</w:t>
      </w:r>
      <w:proofErr w:type="spellEnd"/>
      <w:r w:rsidRPr="00076C5D">
        <w:rPr>
          <w:rFonts w:ascii="Bookman Old Style" w:eastAsia="Bookman Old Style" w:hAnsi="Bookman Old Style" w:cs="Bookman Old Style"/>
          <w:color w:val="000000"/>
          <w:lang w:val="en-US"/>
        </w:rPr>
        <w:t xml:space="preserve">, P., &amp; </w:t>
      </w:r>
      <w:proofErr w:type="spellStart"/>
      <w:r w:rsidRPr="00076C5D">
        <w:rPr>
          <w:rFonts w:ascii="Bookman Old Style" w:eastAsia="Bookman Old Style" w:hAnsi="Bookman Old Style" w:cs="Bookman Old Style"/>
          <w:color w:val="000000"/>
          <w:lang w:val="en-US"/>
        </w:rPr>
        <w:t>Deliens</w:t>
      </w:r>
      <w:proofErr w:type="spellEnd"/>
      <w:r w:rsidRPr="00076C5D">
        <w:rPr>
          <w:rFonts w:ascii="Bookman Old Style" w:eastAsia="Bookman Old Style" w:hAnsi="Bookman Old Style" w:cs="Bookman Old Style"/>
          <w:color w:val="000000"/>
          <w:lang w:val="en-US"/>
        </w:rPr>
        <w:t>, L. (2014). State of palliative care development in European Countries with and without legally regulated physician-assisted dying. </w:t>
      </w:r>
      <w:r>
        <w:rPr>
          <w:rFonts w:ascii="Bookman Old Style" w:eastAsia="Bookman Old Style" w:hAnsi="Bookman Old Style" w:cs="Bookman Old Style"/>
          <w:color w:val="000000"/>
        </w:rPr>
        <w:t>HEALTH CARE, 2(1), 10–14.</w:t>
      </w:r>
    </w:p>
    <w:p w14:paraId="776A8D8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DC4D14E"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 xml:space="preserve">Fernando Marín-Olalla (2018). La eutanasia: un derecho del siglo XXI. Gaceta Sanitaria, Sociedad española de la salud pública y administración sanitaria. </w:t>
      </w:r>
      <w:r w:rsidRPr="00076C5D">
        <w:rPr>
          <w:rFonts w:ascii="Bookman Old Style" w:eastAsia="Bookman Old Style" w:hAnsi="Bookman Old Style" w:cs="Bookman Old Style"/>
          <w:color w:val="000000"/>
          <w:lang w:val="en-US"/>
        </w:rPr>
        <w:t xml:space="preserve">Vol. 32. No. 4, pg. 381-382. Madrid, </w:t>
      </w:r>
      <w:proofErr w:type="spellStart"/>
      <w:r w:rsidRPr="00076C5D">
        <w:rPr>
          <w:rFonts w:ascii="Bookman Old Style" w:eastAsia="Bookman Old Style" w:hAnsi="Bookman Old Style" w:cs="Bookman Old Style"/>
          <w:color w:val="000000"/>
          <w:lang w:val="en-US"/>
        </w:rPr>
        <w:t>España</w:t>
      </w:r>
      <w:proofErr w:type="spellEnd"/>
      <w:r w:rsidRPr="00076C5D">
        <w:rPr>
          <w:rFonts w:ascii="Bookman Old Style" w:eastAsia="Bookman Old Style" w:hAnsi="Bookman Old Style" w:cs="Bookman Old Style"/>
          <w:color w:val="000000"/>
          <w:lang w:val="en-US"/>
        </w:rPr>
        <w:t xml:space="preserve">.  </w:t>
      </w:r>
    </w:p>
    <w:p w14:paraId="129E8604"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6687F16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sidRPr="00076C5D">
        <w:rPr>
          <w:rFonts w:ascii="Bookman Old Style" w:eastAsia="Bookman Old Style" w:hAnsi="Bookman Old Style" w:cs="Bookman Old Style"/>
          <w:color w:val="000000"/>
          <w:lang w:val="en-US"/>
        </w:rPr>
        <w:t xml:space="preserve">Journal of Pain and Symptom Management. </w:t>
      </w:r>
      <w:r>
        <w:rPr>
          <w:rFonts w:ascii="Bookman Old Style" w:eastAsia="Bookman Old Style" w:hAnsi="Bookman Old Style" w:cs="Bookman Old Style"/>
          <w:color w:val="000000"/>
        </w:rPr>
        <w:t xml:space="preserve">Recuperado de: </w:t>
      </w:r>
      <w:hyperlink r:id="rId30">
        <w:r>
          <w:rPr>
            <w:rFonts w:ascii="Bookman Old Style" w:eastAsia="Bookman Old Style" w:hAnsi="Bookman Old Style" w:cs="Bookman Old Style"/>
            <w:color w:val="000000"/>
            <w:u w:val="single"/>
          </w:rPr>
          <w:t>https://www.jpsmjournal.com/article/S0885-3924(16)30141-5/fulltext</w:t>
        </w:r>
      </w:hyperlink>
    </w:p>
    <w:p w14:paraId="08453E9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637DBFA0"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r>
        <w:rPr>
          <w:rFonts w:ascii="Bookman Old Style" w:eastAsia="Bookman Old Style" w:hAnsi="Bookman Old Style" w:cs="Bookman Old Style"/>
          <w:color w:val="000000"/>
        </w:rPr>
        <w:t xml:space="preserve">Reis de Castro, </w:t>
      </w:r>
      <w:proofErr w:type="spellStart"/>
      <w:r>
        <w:rPr>
          <w:rFonts w:ascii="Bookman Old Style" w:eastAsia="Bookman Old Style" w:hAnsi="Bookman Old Style" w:cs="Bookman Old Style"/>
          <w:color w:val="000000"/>
        </w:rPr>
        <w:t>Cafure</w:t>
      </w:r>
      <w:proofErr w:type="spellEnd"/>
      <w:r>
        <w:rPr>
          <w:rFonts w:ascii="Bookman Old Style" w:eastAsia="Bookman Old Style" w:hAnsi="Bookman Old Style" w:cs="Bookman Old Style"/>
          <w:color w:val="000000"/>
        </w:rPr>
        <w:t xml:space="preserve">, Pacelli, Silva, </w:t>
      </w:r>
      <w:proofErr w:type="spellStart"/>
      <w:r>
        <w:rPr>
          <w:rFonts w:ascii="Bookman Old Style" w:eastAsia="Bookman Old Style" w:hAnsi="Bookman Old Style" w:cs="Bookman Old Style"/>
          <w:color w:val="000000"/>
        </w:rPr>
        <w:t>Ru</w:t>
      </w:r>
      <w:r>
        <w:rPr>
          <w:rFonts w:ascii="Times New Roman" w:eastAsia="Times New Roman" w:hAnsi="Times New Roman" w:cs="Times New Roman"/>
          <w:color w:val="000000"/>
        </w:rPr>
        <w:t>̈</w:t>
      </w:r>
      <w:r>
        <w:rPr>
          <w:rFonts w:ascii="Bookman Old Style" w:eastAsia="Bookman Old Style" w:hAnsi="Bookman Old Style" w:cs="Bookman Old Style"/>
          <w:color w:val="000000"/>
        </w:rPr>
        <w:t>ckl</w:t>
      </w:r>
      <w:proofErr w:type="spellEnd"/>
      <w:r>
        <w:rPr>
          <w:rFonts w:ascii="Bookman Old Style" w:eastAsia="Bookman Old Style" w:hAnsi="Bookman Old Style" w:cs="Bookman Old Style"/>
          <w:color w:val="000000"/>
        </w:rPr>
        <w:t xml:space="preserve"> &amp; </w:t>
      </w:r>
      <w:proofErr w:type="spellStart"/>
      <w:r>
        <w:rPr>
          <w:rFonts w:ascii="Bookman Old Style" w:eastAsia="Bookman Old Style" w:hAnsi="Bookman Old Style" w:cs="Bookman Old Style"/>
          <w:color w:val="000000"/>
        </w:rPr>
        <w:t>A</w:t>
      </w:r>
      <w:r>
        <w:rPr>
          <w:rFonts w:ascii="Times New Roman" w:eastAsia="Times New Roman" w:hAnsi="Times New Roman" w:cs="Times New Roman"/>
          <w:color w:val="000000"/>
        </w:rPr>
        <w:t>̂</w:t>
      </w:r>
      <w:r>
        <w:rPr>
          <w:rFonts w:ascii="Bookman Old Style" w:eastAsia="Bookman Old Style" w:hAnsi="Bookman Old Style" w:cs="Bookman Old Style"/>
          <w:color w:val="000000"/>
        </w:rPr>
        <w:t>ngelo</w:t>
      </w:r>
      <w:proofErr w:type="spellEnd"/>
      <w:r>
        <w:rPr>
          <w:rFonts w:ascii="Bookman Old Style" w:eastAsia="Bookman Old Style" w:hAnsi="Bookman Old Style" w:cs="Bookman Old Style"/>
          <w:color w:val="000000"/>
        </w:rPr>
        <w:t xml:space="preserve">. (2016). Eutanasia y suicidio asistido en países occidentales: una revisión sistemática. </w:t>
      </w:r>
      <w:r w:rsidRPr="00076C5D">
        <w:rPr>
          <w:rFonts w:ascii="Bookman Old Style" w:eastAsia="Bookman Old Style" w:hAnsi="Bookman Old Style" w:cs="Bookman Old Style"/>
          <w:i/>
          <w:color w:val="000000"/>
          <w:lang w:val="en-US"/>
        </w:rPr>
        <w:t xml:space="preserve">Rev. </w:t>
      </w:r>
      <w:proofErr w:type="spellStart"/>
      <w:r w:rsidRPr="00076C5D">
        <w:rPr>
          <w:rFonts w:ascii="Bookman Old Style" w:eastAsia="Bookman Old Style" w:hAnsi="Bookman Old Style" w:cs="Bookman Old Style"/>
          <w:i/>
          <w:color w:val="000000"/>
          <w:lang w:val="en-US"/>
        </w:rPr>
        <w:t>bioét</w:t>
      </w:r>
      <w:proofErr w:type="spellEnd"/>
      <w:r w:rsidRPr="00076C5D">
        <w:rPr>
          <w:rFonts w:ascii="Bookman Old Style" w:eastAsia="Bookman Old Style" w:hAnsi="Bookman Old Style" w:cs="Bookman Old Style"/>
          <w:color w:val="000000"/>
          <w:lang w:val="en-US"/>
        </w:rPr>
        <w:t xml:space="preserve">, 355-367. </w:t>
      </w:r>
    </w:p>
    <w:p w14:paraId="6A2D487F"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
    <w:p w14:paraId="66431523"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color w:val="000000"/>
          <w:lang w:val="en-US"/>
        </w:rPr>
      </w:pPr>
      <w:proofErr w:type="spellStart"/>
      <w:r w:rsidRPr="00076C5D">
        <w:rPr>
          <w:rFonts w:ascii="Bookman Old Style" w:eastAsia="Bookman Old Style" w:hAnsi="Bookman Old Style" w:cs="Bookman Old Style"/>
          <w:color w:val="000000"/>
          <w:lang w:val="en-US"/>
        </w:rPr>
        <w:t>Woitha</w:t>
      </w:r>
      <w:proofErr w:type="spellEnd"/>
      <w:r w:rsidRPr="00076C5D">
        <w:rPr>
          <w:rFonts w:ascii="Bookman Old Style" w:eastAsia="Bookman Old Style" w:hAnsi="Bookman Old Style" w:cs="Bookman Old Style"/>
          <w:color w:val="000000"/>
          <w:lang w:val="en-US"/>
        </w:rPr>
        <w:t xml:space="preserve">, </w:t>
      </w:r>
      <w:proofErr w:type="spellStart"/>
      <w:r w:rsidRPr="00076C5D">
        <w:rPr>
          <w:rFonts w:ascii="Bookman Old Style" w:eastAsia="Bookman Old Style" w:hAnsi="Bookman Old Style" w:cs="Bookman Old Style"/>
          <w:color w:val="000000"/>
          <w:lang w:val="en-US"/>
        </w:rPr>
        <w:t>Gerralda</w:t>
      </w:r>
      <w:proofErr w:type="spellEnd"/>
      <w:r w:rsidRPr="00076C5D">
        <w:rPr>
          <w:rFonts w:ascii="Bookman Old Style" w:eastAsia="Bookman Old Style" w:hAnsi="Bookman Old Style" w:cs="Bookman Old Style"/>
          <w:color w:val="000000"/>
          <w:lang w:val="en-US"/>
        </w:rPr>
        <w:t xml:space="preserve">, Moreno, Clark &amp; Centeno (2016). “Ranking of Palliative Care Development in the Countries of the European Union” </w:t>
      </w:r>
      <w:proofErr w:type="spellStart"/>
      <w:r w:rsidRPr="00076C5D">
        <w:rPr>
          <w:rFonts w:ascii="Bookman Old Style" w:eastAsia="Bookman Old Style" w:hAnsi="Bookman Old Style" w:cs="Bookman Old Style"/>
          <w:color w:val="000000"/>
          <w:lang w:val="en-US"/>
        </w:rPr>
        <w:t>publicado</w:t>
      </w:r>
      <w:proofErr w:type="spellEnd"/>
      <w:r w:rsidRPr="00076C5D">
        <w:rPr>
          <w:rFonts w:ascii="Bookman Old Style" w:eastAsia="Bookman Old Style" w:hAnsi="Bookman Old Style" w:cs="Bookman Old Style"/>
          <w:color w:val="000000"/>
          <w:lang w:val="en-US"/>
        </w:rPr>
        <w:t xml:space="preserve"> </w:t>
      </w:r>
      <w:proofErr w:type="spellStart"/>
      <w:r w:rsidRPr="00076C5D">
        <w:rPr>
          <w:rFonts w:ascii="Bookman Old Style" w:eastAsia="Bookman Old Style" w:hAnsi="Bookman Old Style" w:cs="Bookman Old Style"/>
          <w:color w:val="000000"/>
          <w:lang w:val="en-US"/>
        </w:rPr>
        <w:t>en</w:t>
      </w:r>
      <w:proofErr w:type="spellEnd"/>
      <w:r w:rsidRPr="00076C5D">
        <w:rPr>
          <w:rFonts w:ascii="Bookman Old Style" w:eastAsia="Bookman Old Style" w:hAnsi="Bookman Old Style" w:cs="Bookman Old Style"/>
          <w:color w:val="000000"/>
          <w:lang w:val="en-US"/>
        </w:rPr>
        <w:t xml:space="preserve"> </w:t>
      </w:r>
      <w:proofErr w:type="spellStart"/>
      <w:r w:rsidRPr="00076C5D">
        <w:rPr>
          <w:rFonts w:ascii="Bookman Old Style" w:eastAsia="Bookman Old Style" w:hAnsi="Bookman Old Style" w:cs="Bookman Old Style"/>
          <w:color w:val="000000"/>
          <w:lang w:val="en-US"/>
        </w:rPr>
        <w:t>el</w:t>
      </w:r>
      <w:proofErr w:type="spellEnd"/>
      <w:r w:rsidRPr="00076C5D">
        <w:rPr>
          <w:rFonts w:ascii="Bookman Old Style" w:eastAsia="Bookman Old Style" w:hAnsi="Bookman Old Style" w:cs="Bookman Old Style"/>
          <w:color w:val="000000"/>
          <w:lang w:val="en-US"/>
        </w:rPr>
        <w:t xml:space="preserve"> </w:t>
      </w:r>
    </w:p>
    <w:p w14:paraId="368EDA39" w14:textId="77777777" w:rsidR="005F19CA" w:rsidRPr="00076C5D" w:rsidRDefault="005F19CA" w:rsidP="005F19CA">
      <w:pPr>
        <w:pBdr>
          <w:top w:val="nil"/>
          <w:left w:val="nil"/>
          <w:bottom w:val="nil"/>
          <w:right w:val="nil"/>
          <w:between w:val="nil"/>
        </w:pBdr>
        <w:jc w:val="both"/>
        <w:rPr>
          <w:rFonts w:ascii="Bookman Old Style" w:eastAsia="Bookman Old Style" w:hAnsi="Bookman Old Style" w:cs="Bookman Old Style"/>
          <w:b/>
          <w:lang w:val="en-US"/>
        </w:rPr>
      </w:pPr>
    </w:p>
    <w:p w14:paraId="215695E0" w14:textId="77777777" w:rsidR="005F19CA" w:rsidRDefault="005F19CA" w:rsidP="005F19CA">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Prensa y otros:</w:t>
      </w:r>
    </w:p>
    <w:p w14:paraId="11C06BB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ABC (2020). Alemania. Ayudar a morir vuelve a ser legal en Alemania. Recuperado de: </w:t>
      </w:r>
      <w:hyperlink r:id="rId31">
        <w:r>
          <w:rPr>
            <w:rFonts w:ascii="Bookman Old Style" w:eastAsia="Bookman Old Style" w:hAnsi="Bookman Old Style" w:cs="Bookman Old Style"/>
            <w:color w:val="000000"/>
            <w:u w:val="single"/>
          </w:rPr>
          <w:t>https://www.dw.com/es/ayudar-a-morir-vuelve-a-ser-legal-en-alemania/a-52544838</w:t>
        </w:r>
      </w:hyperlink>
      <w:r>
        <w:rPr>
          <w:rFonts w:ascii="Bookman Old Style" w:eastAsia="Bookman Old Style" w:hAnsi="Bookman Old Style" w:cs="Bookman Old Style"/>
          <w:color w:val="000000"/>
        </w:rPr>
        <w:t xml:space="preserve"> </w:t>
      </w:r>
    </w:p>
    <w:p w14:paraId="1DF063C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A30BA8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Asuntos Legales (2020). ¿Bajo qué parámetros legales se puede ejecutar el procedimiento de eutanasia en </w:t>
      </w:r>
      <w:proofErr w:type="gramStart"/>
      <w:r>
        <w:rPr>
          <w:rFonts w:ascii="Bookman Old Style" w:eastAsia="Bookman Old Style" w:hAnsi="Bookman Old Style" w:cs="Bookman Old Style"/>
          <w:color w:val="000000"/>
        </w:rPr>
        <w:t>Colombia?.</w:t>
      </w:r>
      <w:proofErr w:type="gramEnd"/>
      <w:r>
        <w:rPr>
          <w:rFonts w:ascii="Bookman Old Style" w:eastAsia="Bookman Old Style" w:hAnsi="Bookman Old Style" w:cs="Bookman Old Style"/>
          <w:color w:val="000000"/>
        </w:rPr>
        <w:t xml:space="preserve"> Recuperado de:  </w:t>
      </w:r>
      <w:hyperlink r:id="rId32">
        <w:r>
          <w:rPr>
            <w:rFonts w:ascii="Bookman Old Style" w:eastAsia="Bookman Old Style" w:hAnsi="Bookman Old Style" w:cs="Bookman Old Style"/>
            <w:color w:val="000000"/>
            <w:u w:val="single"/>
          </w:rPr>
          <w:t>https://www.asuntoslegales.com.co/consumidor/bajo-que-parametros-legales-se-puede-ejecutar-la-eutanasia-en-colombia-3068819</w:t>
        </w:r>
      </w:hyperlink>
    </w:p>
    <w:p w14:paraId="2A6FF8A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4A3CA7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BBC (2020). "La búsqueda de la eutanasia me ha dado una razón para vivir": Ana Estrada, la primera persona que busca públicamente la muerte asistida en Perú. Recuperado de: </w:t>
      </w:r>
      <w:hyperlink r:id="rId33">
        <w:r>
          <w:rPr>
            <w:rFonts w:ascii="Bookman Old Style" w:eastAsia="Bookman Old Style" w:hAnsi="Bookman Old Style" w:cs="Bookman Old Style"/>
            <w:color w:val="000000"/>
            <w:u w:val="single"/>
          </w:rPr>
          <w:t>https://www.bbc.com/mundo/noticias-50943631</w:t>
        </w:r>
      </w:hyperlink>
      <w:r>
        <w:rPr>
          <w:rFonts w:ascii="Bookman Old Style" w:eastAsia="Bookman Old Style" w:hAnsi="Bookman Old Style" w:cs="Bookman Old Style"/>
          <w:color w:val="000000"/>
        </w:rPr>
        <w:t xml:space="preserve"> </w:t>
      </w:r>
    </w:p>
    <w:p w14:paraId="3A9ABA8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CF2A69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rPr>
        <w:t xml:space="preserve">Blog, Instituto </w:t>
      </w:r>
      <w:proofErr w:type="spellStart"/>
      <w:r>
        <w:rPr>
          <w:rFonts w:ascii="Bookman Old Style" w:eastAsia="Bookman Old Style" w:hAnsi="Bookman Old Style" w:cs="Bookman Old Style"/>
          <w:color w:val="000000"/>
        </w:rPr>
        <w:t>Nal</w:t>
      </w:r>
      <w:proofErr w:type="spellEnd"/>
      <w:r>
        <w:rPr>
          <w:rFonts w:ascii="Bookman Old Style" w:eastAsia="Bookman Old Style" w:hAnsi="Bookman Old Style" w:cs="Bookman Old Style"/>
          <w:color w:val="000000"/>
        </w:rPr>
        <w:t xml:space="preserve"> de las personas adultas mayores (2019). Ley de Voluntad Anticipada: El derecho a una muerte digna. Gobierno de México. Recuperado de: </w:t>
      </w:r>
      <w:hyperlink r:id="rId34">
        <w:r>
          <w:rPr>
            <w:rFonts w:ascii="Bookman Old Style" w:eastAsia="Bookman Old Style" w:hAnsi="Bookman Old Style" w:cs="Bookman Old Style"/>
            <w:color w:val="0563C1"/>
            <w:u w:val="single"/>
          </w:rPr>
          <w:t>https://www.gob.mx/inapam/articulos/ley-de-voluntad-anticipada-el-derecho-a-una-muerte-digna</w:t>
        </w:r>
      </w:hyperlink>
      <w:r>
        <w:rPr>
          <w:rFonts w:ascii="Bookman Old Style" w:eastAsia="Bookman Old Style" w:hAnsi="Bookman Old Style" w:cs="Bookman Old Style"/>
          <w:color w:val="000000"/>
          <w:u w:val="single"/>
        </w:rPr>
        <w:t xml:space="preserve"> </w:t>
      </w:r>
    </w:p>
    <w:p w14:paraId="63ED7E4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u w:val="single"/>
        </w:rPr>
      </w:pPr>
    </w:p>
    <w:p w14:paraId="2912C6C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Congreso de la República de Colombia. (2021). Ponencia para segundo debate: Proyecto de Ley Estatutaria No.007 de 2021 Cámara. “</w:t>
      </w:r>
      <w:r>
        <w:rPr>
          <w:rFonts w:ascii="Bookman Old Style" w:eastAsia="Bookman Old Style" w:hAnsi="Bookman Old Style" w:cs="Bookman Old Style"/>
          <w:i/>
          <w:color w:val="000000"/>
        </w:rPr>
        <w:t xml:space="preserve">por medio del cual se establecen disposiciones para el acceso por parte de mayores de edad al derecho fundamental a morir dignamente, bajo la modalidad de muerte médicamente asistida”. </w:t>
      </w:r>
      <w:r>
        <w:rPr>
          <w:rFonts w:ascii="Bookman Old Style" w:eastAsia="Bookman Old Style" w:hAnsi="Bookman Old Style" w:cs="Bookman Old Style"/>
          <w:color w:val="000000"/>
        </w:rPr>
        <w:t xml:space="preserve">Recuperado de: </w:t>
      </w:r>
      <w:hyperlink r:id="rId35">
        <w:r>
          <w:rPr>
            <w:rFonts w:ascii="Bookman Old Style" w:eastAsia="Bookman Old Style" w:hAnsi="Bookman Old Style" w:cs="Bookman Old Style"/>
            <w:color w:val="0563C1"/>
            <w:u w:val="single"/>
          </w:rPr>
          <w:t>https://www.camara.gov.co/eutanasia-1</w:t>
        </w:r>
      </w:hyperlink>
      <w:r>
        <w:rPr>
          <w:rFonts w:ascii="Bookman Old Style" w:eastAsia="Bookman Old Style" w:hAnsi="Bookman Old Style" w:cs="Bookman Old Style"/>
          <w:color w:val="000000"/>
        </w:rPr>
        <w:t xml:space="preserve"> </w:t>
      </w:r>
    </w:p>
    <w:p w14:paraId="505FCD3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06501DBC"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w:t>
      </w:r>
      <w:r>
        <w:rPr>
          <w:rFonts w:ascii="Bookman Old Style" w:eastAsia="Bookman Old Style" w:hAnsi="Bookman Old Style" w:cs="Bookman Old Style"/>
          <w:i/>
          <w:color w:val="000000"/>
        </w:rPr>
        <w:t>¿Qué es un Documento de Voluntad Anticipada y por qué es una buena idea firmarlo?</w:t>
      </w:r>
      <w:r>
        <w:rPr>
          <w:rFonts w:ascii="Bookman Old Style" w:eastAsia="Bookman Old Style" w:hAnsi="Bookman Old Style" w:cs="Bookman Old Style"/>
          <w:color w:val="000000"/>
        </w:rPr>
        <w:t xml:space="preserve"> 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 xml:space="preserve">. Recuperado de: </w:t>
      </w:r>
      <w:hyperlink r:id="rId36">
        <w:r>
          <w:rPr>
            <w:rFonts w:ascii="Bookman Old Style" w:eastAsia="Bookman Old Style" w:hAnsi="Bookman Old Style" w:cs="Bookman Old Style"/>
            <w:color w:val="0563C1"/>
            <w:u w:val="single"/>
          </w:rPr>
          <w:t>https://www.desclab.com/post/ideadva</w:t>
        </w:r>
      </w:hyperlink>
      <w:r>
        <w:rPr>
          <w:rFonts w:ascii="Bookman Old Style" w:eastAsia="Bookman Old Style" w:hAnsi="Bookman Old Style" w:cs="Bookman Old Style"/>
          <w:color w:val="000000"/>
        </w:rPr>
        <w:t xml:space="preserve"> </w:t>
      </w:r>
    </w:p>
    <w:p w14:paraId="4A91609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633F3B3"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w:t>
      </w:r>
      <w:r>
        <w:rPr>
          <w:rFonts w:ascii="Bookman Old Style" w:eastAsia="Bookman Old Style" w:hAnsi="Bookman Old Style" w:cs="Bookman Old Style"/>
          <w:i/>
          <w:color w:val="000000"/>
        </w:rPr>
        <w:t xml:space="preserve">¿Puedo manifestar mi voluntad anticipada en audio o video? </w:t>
      </w:r>
      <w:r>
        <w:rPr>
          <w:rFonts w:ascii="Bookman Old Style" w:eastAsia="Bookman Old Style" w:hAnsi="Bookman Old Style" w:cs="Bookman Old Style"/>
          <w:color w:val="000000"/>
        </w:rPr>
        <w:t xml:space="preserve">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 xml:space="preserve">. Recuperado de: </w:t>
      </w:r>
      <w:hyperlink r:id="rId37">
        <w:r>
          <w:rPr>
            <w:rFonts w:ascii="Bookman Old Style" w:eastAsia="Bookman Old Style" w:hAnsi="Bookman Old Style" w:cs="Bookman Old Style"/>
            <w:color w:val="0563C1"/>
            <w:u w:val="single"/>
          </w:rPr>
          <w:t>https://www.desclab.com/post/dvavideo</w:t>
        </w:r>
      </w:hyperlink>
      <w:r>
        <w:rPr>
          <w:rFonts w:ascii="Bookman Old Style" w:eastAsia="Bookman Old Style" w:hAnsi="Bookman Old Style" w:cs="Bookman Old Style"/>
          <w:color w:val="000000"/>
        </w:rPr>
        <w:t xml:space="preserve"> </w:t>
      </w:r>
    </w:p>
    <w:p w14:paraId="5218E84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2092D15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 xml:space="preserve">. </w:t>
      </w:r>
      <w:r>
        <w:rPr>
          <w:rFonts w:ascii="Bookman Old Style" w:eastAsia="Bookman Old Style" w:hAnsi="Bookman Old Style" w:cs="Bookman Old Style"/>
          <w:i/>
          <w:color w:val="000000"/>
        </w:rPr>
        <w:t>Cuántos originales del documento de voluntad anticipada debo firmar y a quiénes debo entregarlos.</w:t>
      </w:r>
      <w:r>
        <w:rPr>
          <w:rFonts w:ascii="Bookman Old Style" w:eastAsia="Bookman Old Style" w:hAnsi="Bookman Old Style" w:cs="Bookman Old Style"/>
          <w:color w:val="000000"/>
        </w:rPr>
        <w:t xml:space="preserve"> Recuperado de: </w:t>
      </w:r>
      <w:hyperlink r:id="rId38">
        <w:r>
          <w:rPr>
            <w:rFonts w:ascii="Bookman Old Style" w:eastAsia="Bookman Old Style" w:hAnsi="Bookman Old Style" w:cs="Bookman Old Style"/>
            <w:color w:val="0563C1"/>
            <w:u w:val="single"/>
          </w:rPr>
          <w:t>https://www.desclab.com/post/dvapost</w:t>
        </w:r>
      </w:hyperlink>
      <w:r>
        <w:rPr>
          <w:rFonts w:ascii="Bookman Old Style" w:eastAsia="Bookman Old Style" w:hAnsi="Bookman Old Style" w:cs="Bookman Old Style"/>
          <w:color w:val="000000"/>
        </w:rPr>
        <w:t xml:space="preserve"> </w:t>
      </w:r>
    </w:p>
    <w:p w14:paraId="3B76CF2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7F4DF8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w:t>
      </w:r>
      <w:r>
        <w:rPr>
          <w:rFonts w:ascii="Bookman Old Style" w:eastAsia="Bookman Old Style" w:hAnsi="Bookman Old Style" w:cs="Bookman Old Style"/>
          <w:i/>
          <w:color w:val="000000"/>
        </w:rPr>
        <w:t xml:space="preserve"> El DVA hay que actualizarlo periódicamente y puede ser modificado o revocado.</w:t>
      </w:r>
      <w:r>
        <w:rPr>
          <w:rFonts w:ascii="Bookman Old Style" w:eastAsia="Bookman Old Style" w:hAnsi="Bookman Old Style" w:cs="Bookman Old Style"/>
          <w:color w:val="000000"/>
        </w:rPr>
        <w:t xml:space="preserve"> Recuperado de: </w:t>
      </w:r>
      <w:hyperlink r:id="rId39">
        <w:r>
          <w:rPr>
            <w:rFonts w:ascii="Bookman Old Style" w:eastAsia="Bookman Old Style" w:hAnsi="Bookman Old Style" w:cs="Bookman Old Style"/>
            <w:color w:val="0563C1"/>
            <w:u w:val="single"/>
          </w:rPr>
          <w:t>https://www.desclab.com/post/actualizardva</w:t>
        </w:r>
      </w:hyperlink>
      <w:r>
        <w:rPr>
          <w:rFonts w:ascii="Bookman Old Style" w:eastAsia="Bookman Old Style" w:hAnsi="Bookman Old Style" w:cs="Bookman Old Style"/>
          <w:color w:val="000000"/>
        </w:rPr>
        <w:t xml:space="preserve"> </w:t>
      </w:r>
    </w:p>
    <w:p w14:paraId="682F52B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A863F07"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Correa, L. (2021). En </w:t>
      </w:r>
      <w:proofErr w:type="spellStart"/>
      <w:r>
        <w:rPr>
          <w:rFonts w:ascii="Bookman Old Style" w:eastAsia="Bookman Old Style" w:hAnsi="Bookman Old Style" w:cs="Bookman Old Style"/>
          <w:color w:val="000000"/>
        </w:rPr>
        <w:t>DescLab</w:t>
      </w:r>
      <w:proofErr w:type="spellEnd"/>
      <w:r>
        <w:rPr>
          <w:rFonts w:ascii="Bookman Old Style" w:eastAsia="Bookman Old Style" w:hAnsi="Bookman Old Style" w:cs="Bookman Old Style"/>
          <w:color w:val="000000"/>
        </w:rPr>
        <w:t>.</w:t>
      </w:r>
      <w:r>
        <w:rPr>
          <w:rFonts w:ascii="Bookman Old Style" w:eastAsia="Bookman Old Style" w:hAnsi="Bookman Old Style" w:cs="Bookman Old Style"/>
          <w:i/>
          <w:color w:val="000000"/>
        </w:rPr>
        <w:t xml:space="preserve"> No basta con firmar el Documento de Voluntad Anticipada, es necesario formalizarlo. </w:t>
      </w:r>
      <w:r>
        <w:rPr>
          <w:rFonts w:ascii="Bookman Old Style" w:eastAsia="Bookman Old Style" w:hAnsi="Bookman Old Style" w:cs="Bookman Old Style"/>
          <w:color w:val="000000"/>
        </w:rPr>
        <w:t xml:space="preserve">Recuperado de: </w:t>
      </w:r>
      <w:hyperlink r:id="rId40">
        <w:r>
          <w:rPr>
            <w:rFonts w:ascii="Bookman Old Style" w:eastAsia="Bookman Old Style" w:hAnsi="Bookman Old Style" w:cs="Bookman Old Style"/>
            <w:color w:val="0563C1"/>
            <w:u w:val="single"/>
          </w:rPr>
          <w:t>https://www.desclab.com/post/formalizar</w:t>
        </w:r>
      </w:hyperlink>
      <w:r>
        <w:rPr>
          <w:rFonts w:ascii="Bookman Old Style" w:eastAsia="Bookman Old Style" w:hAnsi="Bookman Old Style" w:cs="Bookman Old Style"/>
          <w:color w:val="000000"/>
        </w:rPr>
        <w:t xml:space="preserve"> </w:t>
      </w:r>
    </w:p>
    <w:p w14:paraId="0B2CE0FD"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53BFFDAF"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CNN (2019). Vlado Mirosevic y eutanasia: “No estamos acostumbrados a que las libertades individuales salgan triunfantes del Congreso” Recuperado de: </w:t>
      </w:r>
      <w:hyperlink r:id="rId41">
        <w:r>
          <w:rPr>
            <w:rFonts w:ascii="Bookman Old Style" w:eastAsia="Bookman Old Style" w:hAnsi="Bookman Old Style" w:cs="Bookman Old Style"/>
            <w:color w:val="000000"/>
            <w:u w:val="single"/>
          </w:rPr>
          <w:t>https://www.cnnchile.com/programas-completos/vlado-mirosevic-eutanasia-libertades-individuales-congreso_20190821/</w:t>
        </w:r>
      </w:hyperlink>
      <w:r>
        <w:rPr>
          <w:rFonts w:ascii="Bookman Old Style" w:eastAsia="Bookman Old Style" w:hAnsi="Bookman Old Style" w:cs="Bookman Old Style"/>
          <w:color w:val="000000"/>
        </w:rPr>
        <w:t xml:space="preserve"> </w:t>
      </w:r>
    </w:p>
    <w:p w14:paraId="07741020"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0A9B3E2C"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País (2020). El Parlamento portugués da el primer sí a la eutanasia. Recuperado de: </w:t>
      </w:r>
      <w:hyperlink r:id="rId42">
        <w:r>
          <w:rPr>
            <w:rFonts w:ascii="Bookman Old Style" w:eastAsia="Bookman Old Style" w:hAnsi="Bookman Old Style" w:cs="Bookman Old Style"/>
            <w:color w:val="000000"/>
          </w:rPr>
          <w:t>https://elpais.com/sociedad/2020/02/20/actualidad/1582202350_889184.html?ssm=TW_CM</w:t>
        </w:r>
      </w:hyperlink>
      <w:r>
        <w:rPr>
          <w:rFonts w:ascii="Bookman Old Style" w:eastAsia="Bookman Old Style" w:hAnsi="Bookman Old Style" w:cs="Bookman Old Style"/>
          <w:color w:val="000000"/>
        </w:rPr>
        <w:t xml:space="preserve"> </w:t>
      </w:r>
    </w:p>
    <w:p w14:paraId="00ACC759"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F685EFF"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País (2020). La muerte asistida es legal en ocho países. Recuperado de: </w:t>
      </w:r>
      <w:hyperlink r:id="rId43">
        <w:r>
          <w:rPr>
            <w:rFonts w:ascii="Bookman Old Style" w:eastAsia="Bookman Old Style" w:hAnsi="Bookman Old Style" w:cs="Bookman Old Style"/>
            <w:color w:val="000000"/>
            <w:u w:val="single"/>
          </w:rPr>
          <w:t>https://elpais.com/sociedad/2020/02/19/actualidad/1582115262_135029.html</w:t>
        </w:r>
      </w:hyperlink>
      <w:r>
        <w:rPr>
          <w:rFonts w:ascii="Bookman Old Style" w:eastAsia="Bookman Old Style" w:hAnsi="Bookman Old Style" w:cs="Bookman Old Style"/>
          <w:color w:val="000000"/>
        </w:rPr>
        <w:t xml:space="preserve"> </w:t>
      </w:r>
    </w:p>
    <w:p w14:paraId="62114948"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4C354312"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El Tiempo (2019). Quién era Vincent Lambert, símbolo de la eutanasia en Francia. Recuperado de: </w:t>
      </w:r>
      <w:hyperlink r:id="rId44">
        <w:r>
          <w:rPr>
            <w:rFonts w:ascii="Bookman Old Style" w:eastAsia="Bookman Old Style" w:hAnsi="Bookman Old Style" w:cs="Bookman Old Style"/>
            <w:color w:val="000000"/>
            <w:u w:val="single"/>
          </w:rPr>
          <w:t>https://www.eltiempo.com/mundo/europa/perfil-de-vincent-lambert-simbolo-de-la-eutanasia-en-francia-387040</w:t>
        </w:r>
      </w:hyperlink>
    </w:p>
    <w:p w14:paraId="325AE34E"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Ministerio de Salud y Protección Social. (2019). </w:t>
      </w:r>
      <w:r>
        <w:rPr>
          <w:rFonts w:ascii="Bookman Old Style" w:eastAsia="Bookman Old Style" w:hAnsi="Bookman Old Style" w:cs="Bookman Old Style"/>
          <w:i/>
          <w:color w:val="000000"/>
        </w:rPr>
        <w:t>Derecho de petición UTL JFRK.</w:t>
      </w:r>
      <w:r>
        <w:rPr>
          <w:rFonts w:ascii="Bookman Old Style" w:eastAsia="Bookman Old Style" w:hAnsi="Bookman Old Style" w:cs="Bookman Old Style"/>
          <w:color w:val="000000"/>
        </w:rPr>
        <w:t xml:space="preserve"> Bogotá.</w:t>
      </w:r>
    </w:p>
    <w:p w14:paraId="63CEF20A"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15284725"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voz (2019). Eutanasia, la discusión que nadie se anima a dar. Recuperado de: </w:t>
      </w:r>
      <w:hyperlink r:id="rId45">
        <w:r>
          <w:rPr>
            <w:rFonts w:ascii="Bookman Old Style" w:eastAsia="Bookman Old Style" w:hAnsi="Bookman Old Style" w:cs="Bookman Old Style"/>
            <w:color w:val="000000"/>
          </w:rPr>
          <w:t>https://www.lavoz.com.ar/ciudadanos/eutanasia-discusion-que-nadie-se-anima-dar</w:t>
        </w:r>
      </w:hyperlink>
      <w:r>
        <w:rPr>
          <w:rFonts w:ascii="Bookman Old Style" w:eastAsia="Bookman Old Style" w:hAnsi="Bookman Old Style" w:cs="Bookman Old Style"/>
          <w:color w:val="000000"/>
        </w:rPr>
        <w:t xml:space="preserve">  </w:t>
      </w:r>
    </w:p>
    <w:p w14:paraId="453E244B"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p>
    <w:p w14:paraId="7C032084" w14:textId="77777777" w:rsidR="005F19CA" w:rsidRDefault="005F19CA" w:rsidP="005F19CA">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Ministerio de Salud y Protección Social. (2020). </w:t>
      </w:r>
      <w:r>
        <w:rPr>
          <w:rFonts w:ascii="Bookman Old Style" w:eastAsia="Bookman Old Style" w:hAnsi="Bookman Old Style" w:cs="Bookman Old Style"/>
          <w:i/>
          <w:color w:val="000000"/>
        </w:rPr>
        <w:t>Derecho de petición UTL JFRK.</w:t>
      </w:r>
      <w:r>
        <w:rPr>
          <w:rFonts w:ascii="Bookman Old Style" w:eastAsia="Bookman Old Style" w:hAnsi="Bookman Old Style" w:cs="Bookman Old Style"/>
          <w:color w:val="000000"/>
        </w:rPr>
        <w:t xml:space="preserve"> Bogotá.</w:t>
      </w:r>
    </w:p>
    <w:p w14:paraId="6E341AF2" w14:textId="77777777" w:rsidR="005F19CA" w:rsidRDefault="005F19CA">
      <w:pPr>
        <w:spacing w:before="240" w:after="240"/>
        <w:jc w:val="both"/>
        <w:rPr>
          <w:rFonts w:ascii="Bookman Old Style" w:eastAsia="Bookman Old Style" w:hAnsi="Bookman Old Style" w:cs="Bookman Old Style"/>
        </w:rPr>
      </w:pPr>
    </w:p>
    <w:p w14:paraId="4FD4DF85" w14:textId="348FBECB" w:rsidR="004E17AE" w:rsidRDefault="004E17AE">
      <w:pPr>
        <w:spacing w:before="240" w:after="240"/>
        <w:jc w:val="both"/>
        <w:rPr>
          <w:rFonts w:ascii="Bookman Old Style" w:eastAsia="Bookman Old Style" w:hAnsi="Bookman Old Style" w:cs="Bookman Old Style"/>
        </w:rPr>
      </w:pPr>
    </w:p>
    <w:p w14:paraId="0997448C" w14:textId="0B2D5753" w:rsidR="004E17AE" w:rsidRDefault="004E17AE">
      <w:pPr>
        <w:spacing w:before="240" w:after="240"/>
        <w:jc w:val="both"/>
        <w:rPr>
          <w:rFonts w:ascii="Bookman Old Style" w:eastAsia="Bookman Old Style" w:hAnsi="Bookman Old Style" w:cs="Bookman Old Style"/>
        </w:rPr>
      </w:pPr>
    </w:p>
    <w:p w14:paraId="657BC1EC" w14:textId="57CB7278" w:rsidR="004E17AE" w:rsidRDefault="004E17AE">
      <w:pPr>
        <w:spacing w:before="240" w:after="240"/>
        <w:jc w:val="both"/>
        <w:rPr>
          <w:rFonts w:ascii="Bookman Old Style" w:eastAsia="Bookman Old Style" w:hAnsi="Bookman Old Style" w:cs="Bookman Old Style"/>
        </w:rPr>
      </w:pPr>
    </w:p>
    <w:p w14:paraId="32F34979" w14:textId="3A5685AB" w:rsidR="004E17AE" w:rsidRDefault="004E17AE">
      <w:pPr>
        <w:spacing w:before="240" w:after="240"/>
        <w:jc w:val="both"/>
        <w:rPr>
          <w:rFonts w:ascii="Bookman Old Style" w:eastAsia="Bookman Old Style" w:hAnsi="Bookman Old Style" w:cs="Bookman Old Style"/>
        </w:rPr>
      </w:pPr>
    </w:p>
    <w:p w14:paraId="2452BB61" w14:textId="14EB2BF1" w:rsidR="004E17AE" w:rsidRDefault="004E17AE">
      <w:pPr>
        <w:spacing w:before="240" w:after="240"/>
        <w:jc w:val="both"/>
        <w:rPr>
          <w:rFonts w:ascii="Bookman Old Style" w:eastAsia="Bookman Old Style" w:hAnsi="Bookman Old Style" w:cs="Bookman Old Style"/>
        </w:rPr>
      </w:pPr>
    </w:p>
    <w:p w14:paraId="1D017CC4" w14:textId="5D1C383A" w:rsidR="004E17AE" w:rsidRDefault="004E17AE">
      <w:pPr>
        <w:spacing w:before="240" w:after="240"/>
        <w:jc w:val="both"/>
        <w:rPr>
          <w:rFonts w:ascii="Bookman Old Style" w:eastAsia="Bookman Old Style" w:hAnsi="Bookman Old Style" w:cs="Bookman Old Style"/>
        </w:rPr>
      </w:pPr>
    </w:p>
    <w:p w14:paraId="4C6ABDD0" w14:textId="3600A410" w:rsidR="00CF7A45" w:rsidRDefault="00CF7A45" w:rsidP="00E2096B">
      <w:pPr>
        <w:spacing w:before="240" w:after="240"/>
        <w:rPr>
          <w:rFonts w:ascii="Bookman Old Style" w:eastAsia="Bookman Old Style" w:hAnsi="Bookman Old Style" w:cs="Bookman Old Style"/>
          <w:b/>
        </w:rPr>
      </w:pPr>
    </w:p>
    <w:p w14:paraId="51A2C8F0" w14:textId="6D0371D5" w:rsidR="00CF7A45" w:rsidRDefault="00CF7A45" w:rsidP="00E2096B">
      <w:pPr>
        <w:spacing w:before="240" w:after="240"/>
        <w:rPr>
          <w:rFonts w:ascii="Bookman Old Style" w:eastAsia="Bookman Old Style" w:hAnsi="Bookman Old Style" w:cs="Bookman Old Style"/>
          <w:b/>
        </w:rPr>
      </w:pPr>
    </w:p>
    <w:p w14:paraId="3832DFA2" w14:textId="12BA0905" w:rsidR="00CF7A45" w:rsidRDefault="00CF7A45" w:rsidP="00E2096B">
      <w:pPr>
        <w:spacing w:before="240" w:after="240"/>
        <w:rPr>
          <w:rFonts w:ascii="Bookman Old Style" w:eastAsia="Bookman Old Style" w:hAnsi="Bookman Old Style" w:cs="Bookman Old Style"/>
          <w:b/>
        </w:rPr>
      </w:pPr>
    </w:p>
    <w:p w14:paraId="05F8BD04" w14:textId="3277FEC6" w:rsidR="00CF7A45" w:rsidRDefault="00CF7A45" w:rsidP="00E2096B">
      <w:pPr>
        <w:spacing w:before="240" w:after="240"/>
        <w:rPr>
          <w:rFonts w:ascii="Bookman Old Style" w:eastAsia="Bookman Old Style" w:hAnsi="Bookman Old Style" w:cs="Bookman Old Style"/>
          <w:b/>
        </w:rPr>
      </w:pPr>
    </w:p>
    <w:p w14:paraId="4075ADDF" w14:textId="7D9C29D6" w:rsidR="00CF7A45" w:rsidRDefault="00CF7A45" w:rsidP="00E2096B">
      <w:pPr>
        <w:spacing w:before="240" w:after="240"/>
        <w:rPr>
          <w:rFonts w:ascii="Bookman Old Style" w:eastAsia="Bookman Old Style" w:hAnsi="Bookman Old Style" w:cs="Bookman Old Style"/>
          <w:b/>
        </w:rPr>
      </w:pPr>
    </w:p>
    <w:p w14:paraId="6AFDF12C" w14:textId="2B1A1DB2" w:rsidR="00CF7A45" w:rsidRDefault="00CF7A45" w:rsidP="00E2096B">
      <w:pPr>
        <w:spacing w:before="240" w:after="240"/>
        <w:rPr>
          <w:rFonts w:ascii="Bookman Old Style" w:eastAsia="Bookman Old Style" w:hAnsi="Bookman Old Style" w:cs="Bookman Old Style"/>
          <w:b/>
        </w:rPr>
      </w:pPr>
    </w:p>
    <w:p w14:paraId="23F2011E" w14:textId="1621B25E" w:rsidR="00CF7A45" w:rsidRDefault="00CF7A45" w:rsidP="00E2096B">
      <w:pPr>
        <w:spacing w:before="240" w:after="240"/>
        <w:rPr>
          <w:rFonts w:ascii="Bookman Old Style" w:eastAsia="Bookman Old Style" w:hAnsi="Bookman Old Style" w:cs="Bookman Old Style"/>
          <w:b/>
        </w:rPr>
      </w:pPr>
    </w:p>
    <w:p w14:paraId="25C48B27" w14:textId="001B2A31" w:rsidR="00CF7A45" w:rsidRDefault="00CF7A45" w:rsidP="00E2096B">
      <w:pPr>
        <w:spacing w:before="240" w:after="240"/>
        <w:rPr>
          <w:rFonts w:ascii="Bookman Old Style" w:eastAsia="Bookman Old Style" w:hAnsi="Bookman Old Style" w:cs="Bookman Old Style"/>
          <w:b/>
        </w:rPr>
      </w:pPr>
    </w:p>
    <w:p w14:paraId="65844C92" w14:textId="77777777" w:rsidR="00CF7A45" w:rsidRDefault="00CF7A45" w:rsidP="00E2096B">
      <w:pPr>
        <w:spacing w:before="240" w:after="240"/>
        <w:rPr>
          <w:rFonts w:ascii="Bookman Old Style" w:eastAsia="Bookman Old Style" w:hAnsi="Bookman Old Style" w:cs="Bookman Old Style"/>
          <w:b/>
        </w:rPr>
      </w:pPr>
    </w:p>
    <w:p w14:paraId="4816E401" w14:textId="2BDA4E6B" w:rsidR="00076C5D" w:rsidRDefault="00076C5D">
      <w:pPr>
        <w:spacing w:before="240" w:after="240"/>
        <w:jc w:val="both"/>
        <w:rPr>
          <w:rFonts w:ascii="Bookman Old Style" w:eastAsia="Bookman Old Style" w:hAnsi="Bookman Old Style" w:cs="Bookman Old Style"/>
        </w:rPr>
      </w:pPr>
    </w:p>
    <w:p w14:paraId="70FF2FCA" w14:textId="08D95F2F" w:rsidR="00F44109" w:rsidRDefault="00F44109">
      <w:pPr>
        <w:spacing w:before="240" w:after="240"/>
        <w:jc w:val="both"/>
        <w:rPr>
          <w:rFonts w:ascii="Bookman Old Style" w:eastAsia="Bookman Old Style" w:hAnsi="Bookman Old Style" w:cs="Bookman Old Style"/>
        </w:rPr>
      </w:pPr>
    </w:p>
    <w:p w14:paraId="2FF0116B" w14:textId="77777777" w:rsidR="00647410" w:rsidRDefault="00647410" w:rsidP="001837C9">
      <w:pPr>
        <w:spacing w:before="240" w:after="240"/>
        <w:jc w:val="both"/>
        <w:rPr>
          <w:rFonts w:ascii="Bookman Old Style" w:eastAsia="Bookman Old Style" w:hAnsi="Bookman Old Style" w:cs="Bookman Old Style"/>
        </w:rPr>
      </w:pPr>
    </w:p>
    <w:sectPr w:rsidR="00647410">
      <w:headerReference w:type="default" r:id="rId4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F9D7" w14:textId="77777777" w:rsidR="008931C7" w:rsidRDefault="008931C7">
      <w:pPr>
        <w:spacing w:line="240" w:lineRule="auto"/>
      </w:pPr>
      <w:r>
        <w:separator/>
      </w:r>
    </w:p>
  </w:endnote>
  <w:endnote w:type="continuationSeparator" w:id="0">
    <w:p w14:paraId="7EB5B739" w14:textId="77777777" w:rsidR="008931C7" w:rsidRDefault="00893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919E" w14:textId="77777777" w:rsidR="008931C7" w:rsidRDefault="008931C7">
      <w:pPr>
        <w:spacing w:line="240" w:lineRule="auto"/>
      </w:pPr>
      <w:r>
        <w:separator/>
      </w:r>
    </w:p>
  </w:footnote>
  <w:footnote w:type="continuationSeparator" w:id="0">
    <w:p w14:paraId="7CCF64C0" w14:textId="77777777" w:rsidR="008931C7" w:rsidRDefault="008931C7">
      <w:pPr>
        <w:spacing w:line="240" w:lineRule="auto"/>
      </w:pPr>
      <w:r>
        <w:continuationSeparator/>
      </w:r>
    </w:p>
  </w:footnote>
  <w:footnote w:id="1">
    <w:p w14:paraId="66DFC799"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Fernando Marín- Olalla. (2018). “</w:t>
      </w:r>
      <w:r>
        <w:rPr>
          <w:rFonts w:ascii="Bookman Old Style" w:eastAsia="Bookman Old Style" w:hAnsi="Bookman Old Style" w:cs="Bookman Old Style"/>
          <w:i/>
          <w:color w:val="000000"/>
          <w:sz w:val="20"/>
          <w:szCs w:val="20"/>
        </w:rPr>
        <w:t xml:space="preserve">Sociedad española de la salud pública y administración sanitaria”. </w:t>
      </w:r>
      <w:r>
        <w:rPr>
          <w:rFonts w:ascii="Bookman Old Style" w:eastAsia="Bookman Old Style" w:hAnsi="Bookman Old Style" w:cs="Bookman Old Style"/>
          <w:color w:val="000000"/>
          <w:sz w:val="20"/>
          <w:szCs w:val="20"/>
        </w:rPr>
        <w:t>En:</w:t>
      </w:r>
      <w:r>
        <w:rPr>
          <w:rFonts w:ascii="Bookman Old Style" w:eastAsia="Bookman Old Style" w:hAnsi="Bookman Old Style" w:cs="Bookman Old Style"/>
          <w:i/>
          <w:color w:val="000000"/>
          <w:sz w:val="20"/>
          <w:szCs w:val="20"/>
        </w:rPr>
        <w:t xml:space="preserve"> </w:t>
      </w:r>
      <w:r>
        <w:rPr>
          <w:rFonts w:ascii="Bookman Old Style" w:eastAsia="Bookman Old Style" w:hAnsi="Bookman Old Style" w:cs="Bookman Old Style"/>
          <w:color w:val="000000"/>
          <w:sz w:val="20"/>
          <w:szCs w:val="20"/>
        </w:rPr>
        <w:t xml:space="preserve">Gaceta Sanitaria </w:t>
      </w:r>
    </w:p>
  </w:footnote>
  <w:footnote w:id="2">
    <w:p w14:paraId="31F915DE"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Ibidem.</w:t>
      </w:r>
      <w:r>
        <w:rPr>
          <w:color w:val="000000"/>
          <w:sz w:val="20"/>
          <w:szCs w:val="20"/>
        </w:rPr>
        <w:t xml:space="preserve"> </w:t>
      </w:r>
    </w:p>
  </w:footnote>
  <w:footnote w:id="3">
    <w:p w14:paraId="3BC8C4F5"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Con información tomada de la ponencia para segundo debate al proyecto de Ley Estatutaria No. 007 de 2020 Cámara, elaborada por el Honorable Representante a la Cámara Juan Fernando Reyes Kuri. </w:t>
      </w:r>
    </w:p>
  </w:footnote>
  <w:footnote w:id="4">
    <w:p w14:paraId="2038C6A5"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Corte Constitucional. Sentencia C-233 de 2021. Anexo 1. </w:t>
      </w:r>
    </w:p>
  </w:footnote>
  <w:footnote w:id="5">
    <w:p w14:paraId="3D29610A"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Ibidem. </w:t>
      </w:r>
    </w:p>
  </w:footnote>
  <w:footnote w:id="6">
    <w:p w14:paraId="777C7FD7"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Marín- Olalla. (2018). “La eutanasia: un derecho del siglo XXI”. En: Revista de la Sociedad española de la salud pública y administración sanitaria. Citado a su vez en la ponencia para segundo debate presentado por el Honorable Representante Juan Fernando Reyes Kuri al Proyecto de Ley Estatutaria No. 007 de 2020.</w:t>
      </w:r>
    </w:p>
  </w:footnote>
  <w:footnote w:id="7">
    <w:p w14:paraId="7E4158AF"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Elaboración propia UTL Juan Carlos Losada Vargas tomando como base y referencia una tabla similar contenida en la ponencia para segundo debate que fue presentada por el Honorable Representante Juan Fernando Reyes Kuri al Proyecto de Ley Estatutaria No. 007 de 2021; la información contenida en el anexo 1 de la sentencia C-233 de 2021 y las fuentes citadas por ambos documentos.</w:t>
      </w:r>
    </w:p>
  </w:footnote>
  <w:footnote w:id="8">
    <w:p w14:paraId="2BF41BE6"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
        <w:r>
          <w:rPr>
            <w:rFonts w:ascii="Bookman Old Style" w:eastAsia="Bookman Old Style" w:hAnsi="Bookman Old Style" w:cs="Bookman Old Style"/>
            <w:color w:val="0563C1"/>
            <w:sz w:val="20"/>
            <w:szCs w:val="20"/>
            <w:highlight w:val="white"/>
            <w:u w:val="single"/>
          </w:rPr>
          <w:t>https://www.bundesverfassungsgericht.de/SharedDocs/Pressemitteilungen/DE/2020/bvg20-012.html</w:t>
        </w:r>
      </w:hyperlink>
      <w:r>
        <w:rPr>
          <w:rFonts w:ascii="Bookman Old Style" w:eastAsia="Bookman Old Style" w:hAnsi="Bookman Old Style" w:cs="Bookman Old Style"/>
          <w:color w:val="2D2D2D"/>
          <w:sz w:val="20"/>
          <w:szCs w:val="20"/>
          <w:highlight w:val="white"/>
        </w:rPr>
        <w:t xml:space="preserve"> </w:t>
      </w:r>
    </w:p>
  </w:footnote>
  <w:footnote w:id="9">
    <w:p w14:paraId="4EDF16CD"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A tenor del texto de la providencia se estableció que: “La decisión de suicidarse se refiere a cuestiones básicas de la existencia humana y afecta a la identidad y la individualidad de esa persona como ninguna otra decisión. (…) La decisión del individuo de poner fin a su propia vida, basada en cómo define personalmente la calidad de vida y una existencia significativa, elude cualquier evaluación basada en valores generales, dogmas religiosos, normas sociales para lidiar con la vida y la muerte, o consideraciones de racionalidad objetiva.”  Por ende, la subregla jurisprudencial permite en Alemania acceder a lo que en Colombia se denomina muerte médicamente asistida sin necesidad de explicar o justificar la decisión.</w:t>
      </w:r>
      <w:r>
        <w:rPr>
          <w:color w:val="000000"/>
          <w:sz w:val="20"/>
          <w:szCs w:val="20"/>
        </w:rPr>
        <w:t xml:space="preserve"> </w:t>
      </w:r>
    </w:p>
  </w:footnote>
  <w:footnote w:id="10">
    <w:p w14:paraId="5F7AA4EA"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r>
        <w:rPr>
          <w:rFonts w:ascii="Bookman Old Style" w:eastAsia="Bookman Old Style" w:hAnsi="Bookman Old Style" w:cs="Bookman Old Style"/>
          <w:color w:val="2D2D2D"/>
          <w:sz w:val="20"/>
          <w:szCs w:val="20"/>
          <w:highlight w:val="white"/>
        </w:rPr>
        <w:t> </w:t>
      </w:r>
      <w:hyperlink r:id="rId2">
        <w:r>
          <w:rPr>
            <w:rFonts w:ascii="Bookman Old Style" w:eastAsia="Bookman Old Style" w:hAnsi="Bookman Old Style" w:cs="Bookman Old Style"/>
            <w:color w:val="0563C1"/>
            <w:sz w:val="20"/>
            <w:szCs w:val="20"/>
            <w:highlight w:val="white"/>
            <w:u w:val="single"/>
          </w:rPr>
          <w:t>https://www.vfgh.gv.at/downloads/VfGH-Erkenntnis_G_139_2019_vom_11.12.2020.pdf</w:t>
        </w:r>
      </w:hyperlink>
      <w:r>
        <w:rPr>
          <w:rFonts w:ascii="Bookman Old Style" w:eastAsia="Bookman Old Style" w:hAnsi="Bookman Old Style" w:cs="Bookman Old Style"/>
          <w:color w:val="2D2D2D"/>
          <w:sz w:val="20"/>
          <w:szCs w:val="20"/>
          <w:highlight w:val="white"/>
        </w:rPr>
        <w:t xml:space="preserve"> </w:t>
      </w:r>
    </w:p>
  </w:footnote>
  <w:footnote w:id="11">
    <w:p w14:paraId="7F159B2B"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Los efectos se causaron desde el 31 de diciembre de 2021.</w:t>
      </w:r>
      <w:r>
        <w:rPr>
          <w:color w:val="000000"/>
          <w:sz w:val="20"/>
          <w:szCs w:val="20"/>
        </w:rPr>
        <w:t xml:space="preserve"> </w:t>
      </w:r>
    </w:p>
  </w:footnote>
  <w:footnote w:id="12">
    <w:p w14:paraId="7AEEAB9E" w14:textId="77777777" w:rsidR="00335A1D" w:rsidRDefault="00335A1D" w:rsidP="00335A1D">
      <w:pPr>
        <w:pBdr>
          <w:top w:val="nil"/>
          <w:left w:val="nil"/>
          <w:bottom w:val="nil"/>
          <w:right w:val="nil"/>
          <w:between w:val="nil"/>
        </w:pBdr>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A corte de 2019 se habían presentado 4 iniciativas legislativas para ser discutidas en la Comisión de Salud de la Cámara de Diputados. (María Lampert Grassi (2019). </w:t>
      </w:r>
    </w:p>
  </w:footnote>
  <w:footnote w:id="13">
    <w:p w14:paraId="313AB4ED"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r>
        <w:rPr>
          <w:rFonts w:ascii="Bookman Old Style" w:eastAsia="Bookman Old Style" w:hAnsi="Bookman Old Style" w:cs="Bookman Old Style"/>
          <w:color w:val="2D2D2D"/>
          <w:sz w:val="20"/>
          <w:szCs w:val="20"/>
          <w:highlight w:val="white"/>
        </w:rPr>
        <w:t xml:space="preserve">oficio </w:t>
      </w:r>
      <w:proofErr w:type="spellStart"/>
      <w:r>
        <w:rPr>
          <w:rFonts w:ascii="Bookman Old Style" w:eastAsia="Bookman Old Style" w:hAnsi="Bookman Old Style" w:cs="Bookman Old Style"/>
          <w:color w:val="2D2D2D"/>
          <w:sz w:val="20"/>
          <w:szCs w:val="20"/>
          <w:highlight w:val="white"/>
        </w:rPr>
        <w:t>Nº</w:t>
      </w:r>
      <w:proofErr w:type="spellEnd"/>
      <w:r>
        <w:rPr>
          <w:rFonts w:ascii="Bookman Old Style" w:eastAsia="Bookman Old Style" w:hAnsi="Bookman Old Style" w:cs="Bookman Old Style"/>
          <w:color w:val="2D2D2D"/>
          <w:sz w:val="20"/>
          <w:szCs w:val="20"/>
          <w:highlight w:val="white"/>
        </w:rPr>
        <w:t xml:space="preserve"> 16.490 de 20 de abril de 2021. Disponible en: </w:t>
      </w:r>
      <w:hyperlink r:id="rId3">
        <w:r>
          <w:rPr>
            <w:rFonts w:ascii="Bookman Old Style" w:eastAsia="Bookman Old Style" w:hAnsi="Bookman Old Style" w:cs="Bookman Old Style"/>
            <w:color w:val="0563C1"/>
            <w:sz w:val="20"/>
            <w:szCs w:val="20"/>
            <w:highlight w:val="white"/>
            <w:u w:val="single"/>
          </w:rPr>
          <w:t>https://www.camara.cl/legislacion/ProyectosDeLey/tramitacion.aspx?prmID=12267&amp;prmBOLETIN=11745-11</w:t>
        </w:r>
      </w:hyperlink>
      <w:r>
        <w:rPr>
          <w:color w:val="2D2D2D"/>
          <w:sz w:val="20"/>
          <w:szCs w:val="20"/>
          <w:highlight w:val="white"/>
        </w:rPr>
        <w:t xml:space="preserve"> </w:t>
      </w:r>
    </w:p>
  </w:footnote>
  <w:footnote w:id="14">
    <w:p w14:paraId="343BAA8F"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Para más información consultar: </w:t>
      </w:r>
      <w:hyperlink r:id="rId4">
        <w:r>
          <w:rPr>
            <w:rFonts w:ascii="Bookman Old Style" w:eastAsia="Bookman Old Style" w:hAnsi="Bookman Old Style" w:cs="Bookman Old Style"/>
            <w:color w:val="0563C1"/>
            <w:sz w:val="20"/>
            <w:szCs w:val="20"/>
            <w:highlight w:val="white"/>
            <w:u w:val="single"/>
          </w:rPr>
          <w:t>https://www.boe.es/boe/dias/2021/03/25/pdfs/BOE-A-2021-4628.pdf</w:t>
        </w:r>
      </w:hyperlink>
      <w:r>
        <w:rPr>
          <w:rFonts w:ascii="Bookman Old Style" w:eastAsia="Bookman Old Style" w:hAnsi="Bookman Old Style" w:cs="Bookman Old Style"/>
          <w:color w:val="2D2D2D"/>
          <w:sz w:val="20"/>
          <w:szCs w:val="20"/>
          <w:highlight w:val="white"/>
        </w:rPr>
        <w:t xml:space="preserve"> </w:t>
      </w:r>
    </w:p>
  </w:footnote>
  <w:footnote w:id="15">
    <w:p w14:paraId="700B0E35"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5">
        <w:r>
          <w:rPr>
            <w:rFonts w:ascii="Bookman Old Style" w:eastAsia="Bookman Old Style" w:hAnsi="Bookman Old Style" w:cs="Bookman Old Style"/>
            <w:color w:val="0563C1"/>
            <w:sz w:val="20"/>
            <w:szCs w:val="20"/>
            <w:highlight w:val="white"/>
            <w:u w:val="single"/>
          </w:rPr>
          <w:t>https://data.oireachtas.ie/ie/oireachtas/bill/2020/24/eng/initiated/b2420d.pdf</w:t>
        </w:r>
      </w:hyperlink>
      <w:r>
        <w:rPr>
          <w:rFonts w:ascii="Bookman Old Style" w:eastAsia="Bookman Old Style" w:hAnsi="Bookman Old Style" w:cs="Bookman Old Style"/>
          <w:color w:val="2D2D2D"/>
          <w:sz w:val="20"/>
          <w:szCs w:val="20"/>
          <w:highlight w:val="white"/>
        </w:rPr>
        <w:t xml:space="preserve"> </w:t>
      </w:r>
    </w:p>
  </w:footnote>
  <w:footnote w:id="16">
    <w:p w14:paraId="732CF46C"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6">
        <w:r>
          <w:rPr>
            <w:rFonts w:ascii="Bookman Old Style" w:eastAsia="Bookman Old Style" w:hAnsi="Bookman Old Style" w:cs="Bookman Old Style"/>
            <w:color w:val="0563C1"/>
            <w:sz w:val="20"/>
            <w:szCs w:val="20"/>
            <w:highlight w:val="white"/>
            <w:u w:val="single"/>
          </w:rPr>
          <w:t>https://debates.parlamento.pt/catalogo/r3/dar/01/14/02/043/2021-01-30/86?pgs=86-87&amp;org=PLC</w:t>
        </w:r>
      </w:hyperlink>
      <w:r>
        <w:rPr>
          <w:rFonts w:ascii="Bookman Old Style" w:eastAsia="Bookman Old Style" w:hAnsi="Bookman Old Style" w:cs="Bookman Old Style"/>
          <w:color w:val="2D2D2D"/>
          <w:sz w:val="20"/>
          <w:szCs w:val="20"/>
          <w:highlight w:val="white"/>
        </w:rPr>
        <w:t xml:space="preserve"> y </w:t>
      </w:r>
      <w:hyperlink r:id="rId7">
        <w:r>
          <w:rPr>
            <w:rFonts w:ascii="Bookman Old Style" w:eastAsia="Bookman Old Style" w:hAnsi="Bookman Old Style" w:cs="Bookman Old Style"/>
            <w:color w:val="0563C1"/>
            <w:sz w:val="20"/>
            <w:szCs w:val="20"/>
            <w:highlight w:val="white"/>
            <w:u w:val="single"/>
          </w:rPr>
          <w:t>https://debates.parlamento.pt/catalogo/r3/dar/s2a/14/02/076S1/2021-02-12/2?pgs=2-11&amp;org=PLC</w:t>
        </w:r>
      </w:hyperlink>
      <w:r>
        <w:rPr>
          <w:color w:val="2D2D2D"/>
          <w:sz w:val="20"/>
          <w:szCs w:val="20"/>
          <w:highlight w:val="white"/>
        </w:rPr>
        <w:t xml:space="preserve"> </w:t>
      </w:r>
    </w:p>
  </w:footnote>
  <w:footnote w:id="17">
    <w:p w14:paraId="1EA9C61A"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8">
        <w:r>
          <w:rPr>
            <w:rFonts w:ascii="Bookman Old Style" w:eastAsia="Bookman Old Style" w:hAnsi="Bookman Old Style" w:cs="Bookman Old Style"/>
            <w:color w:val="0563C1"/>
            <w:sz w:val="20"/>
            <w:szCs w:val="20"/>
            <w:highlight w:val="white"/>
            <w:u w:val="single"/>
          </w:rPr>
          <w:t>http://www.tribunalconstitucional.pt/tc/acordaos/20210123.html</w:t>
        </w:r>
      </w:hyperlink>
      <w:r>
        <w:rPr>
          <w:rFonts w:ascii="Bookman Old Style" w:eastAsia="Bookman Old Style" w:hAnsi="Bookman Old Style" w:cs="Bookman Old Style"/>
          <w:color w:val="2D2D2D"/>
          <w:sz w:val="20"/>
          <w:szCs w:val="20"/>
          <w:highlight w:val="white"/>
        </w:rPr>
        <w:t xml:space="preserve"> y </w:t>
      </w:r>
      <w:hyperlink r:id="rId9">
        <w:r>
          <w:rPr>
            <w:rFonts w:ascii="Bookman Old Style" w:eastAsia="Bookman Old Style" w:hAnsi="Bookman Old Style" w:cs="Bookman Old Style"/>
            <w:color w:val="0563C1"/>
            <w:sz w:val="20"/>
            <w:szCs w:val="20"/>
            <w:highlight w:val="white"/>
            <w:u w:val="single"/>
          </w:rPr>
          <w:t>https://debates.parlamento.pt/catalogo/r3/dar/s2a/14/02/097S1/2021-03-16/2?pgs=2-27&amp;org=PLC</w:t>
        </w:r>
      </w:hyperlink>
      <w:r>
        <w:rPr>
          <w:rFonts w:ascii="Bookman Old Style" w:eastAsia="Bookman Old Style" w:hAnsi="Bookman Old Style" w:cs="Bookman Old Style"/>
          <w:color w:val="2D2D2D"/>
          <w:sz w:val="20"/>
          <w:szCs w:val="20"/>
          <w:highlight w:val="white"/>
        </w:rPr>
        <w:t xml:space="preserve"> </w:t>
      </w:r>
    </w:p>
  </w:footnote>
  <w:footnote w:id="18">
    <w:p w14:paraId="72219874"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Elaboración propia UTL Juan Carlos Losada Vargas tomando como base y referencia una tabla similar contenida en la ponencia para segundo debate que fue presentada por el Honorable Representante Juan Fernando Reyes Kuri al Proyecto de Ley Estatutaria No. 007 de 2021; la información contenida en el anexo 1 de la sentencia C-233 de 2021 y las fuentes citadas por ambos documentos.</w:t>
      </w:r>
    </w:p>
  </w:footnote>
  <w:footnote w:id="19">
    <w:p w14:paraId="0DE27F26"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Mayor información disponible en: </w:t>
      </w:r>
      <w:hyperlink r:id="rId10">
        <w:r>
          <w:rPr>
            <w:rFonts w:ascii="Bookman Old Style" w:eastAsia="Bookman Old Style" w:hAnsi="Bookman Old Style" w:cs="Bookman Old Style"/>
            <w:color w:val="0563C1"/>
            <w:sz w:val="20"/>
            <w:szCs w:val="20"/>
            <w:highlight w:val="white"/>
            <w:u w:val="single"/>
          </w:rPr>
          <w:t>https://content.legislation.vic.gov.au/sites/default/files/8caaf3b4-28f6-3ad1-acf3-e3c46177594e_17-61aa003%20authorised.pdf</w:t>
        </w:r>
      </w:hyperlink>
      <w:r>
        <w:rPr>
          <w:rFonts w:ascii="Bookman Old Style" w:eastAsia="Bookman Old Style" w:hAnsi="Bookman Old Style" w:cs="Bookman Old Style"/>
          <w:color w:val="2D2D2D"/>
          <w:sz w:val="20"/>
          <w:szCs w:val="20"/>
          <w:highlight w:val="white"/>
        </w:rPr>
        <w:t xml:space="preserve"> </w:t>
      </w:r>
    </w:p>
  </w:footnote>
  <w:footnote w:id="20">
    <w:p w14:paraId="45348296"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discapacidades o enfermedades mentales no clasifican para acceder al procedimiento. </w:t>
      </w:r>
    </w:p>
  </w:footnote>
  <w:footnote w:id="21">
    <w:p w14:paraId="0A828DA9"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distintas disposiciones entraron en vigor de manera progresiva entre abril y julio de 2019.</w:t>
      </w:r>
    </w:p>
  </w:footnote>
  <w:footnote w:id="22">
    <w:p w14:paraId="4D8145B7" w14:textId="77777777" w:rsidR="00335A1D" w:rsidRDefault="00335A1D" w:rsidP="00335A1D">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1">
        <w:r>
          <w:rPr>
            <w:rFonts w:ascii="Bookman Old Style" w:eastAsia="Bookman Old Style" w:hAnsi="Bookman Old Style" w:cs="Bookman Old Style"/>
            <w:color w:val="0563C1"/>
            <w:sz w:val="20"/>
            <w:szCs w:val="20"/>
            <w:highlight w:val="white"/>
            <w:u w:val="single"/>
          </w:rPr>
          <w:t>https://www.legislation.wa.gov.au/legislation/prod/filestore.nsf/FileURL/mrdoc_42491.pdf/$FILE/Voluntary%20Assisted%20Dying%20Act%202019%20-%20%5B00-00-00%5D.pdf?OpenElement</w:t>
        </w:r>
      </w:hyperlink>
      <w:r>
        <w:rPr>
          <w:rFonts w:ascii="Bookman Old Style" w:eastAsia="Bookman Old Style" w:hAnsi="Bookman Old Style" w:cs="Bookman Old Style"/>
          <w:color w:val="2D2D2D"/>
          <w:sz w:val="20"/>
          <w:szCs w:val="20"/>
          <w:highlight w:val="white"/>
        </w:rPr>
        <w:t xml:space="preserve"> </w:t>
      </w:r>
    </w:p>
  </w:footnote>
  <w:footnote w:id="23">
    <w:p w14:paraId="735C5598"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discapacidades o enfermedades mentales no clasifican para acceder al procedimiento. </w:t>
      </w:r>
    </w:p>
  </w:footnote>
  <w:footnote w:id="24">
    <w:p w14:paraId="384C9970"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Entró en vigor en junio de 2021.</w:t>
      </w:r>
    </w:p>
  </w:footnote>
  <w:footnote w:id="25">
    <w:p w14:paraId="6DA722D8"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Para más información consultar: </w:t>
      </w:r>
      <w:hyperlink r:id="rId12">
        <w:r>
          <w:rPr>
            <w:rFonts w:ascii="Bookman Old Style" w:eastAsia="Bookman Old Style" w:hAnsi="Bookman Old Style" w:cs="Bookman Old Style"/>
            <w:color w:val="0563C1"/>
            <w:sz w:val="20"/>
            <w:szCs w:val="20"/>
            <w:highlight w:val="white"/>
            <w:u w:val="single"/>
          </w:rPr>
          <w:t>https://www.legislation.tas.gov.au/view/whole/pdf/asmade/act-2021-001</w:t>
        </w:r>
      </w:hyperlink>
      <w:r>
        <w:rPr>
          <w:color w:val="2D2D2D"/>
          <w:sz w:val="20"/>
          <w:szCs w:val="20"/>
          <w:highlight w:val="white"/>
        </w:rPr>
        <w:t xml:space="preserve"> </w:t>
      </w:r>
    </w:p>
  </w:footnote>
  <w:footnote w:id="26">
    <w:p w14:paraId="3FF0AB69"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Las discapacidades o enfermedades mentales no clasifican para acceder al procedimiento. </w:t>
      </w:r>
    </w:p>
  </w:footnote>
  <w:footnote w:id="27">
    <w:p w14:paraId="0EECA733"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Para más información consultar: </w:t>
      </w:r>
      <w:r>
        <w:rPr>
          <w:rFonts w:ascii="Bookman Old Style" w:eastAsia="Bookman Old Style" w:hAnsi="Bookman Old Style" w:cs="Bookman Old Style"/>
          <w:color w:val="2D2D2D"/>
          <w:sz w:val="20"/>
          <w:szCs w:val="20"/>
          <w:highlight w:val="white"/>
        </w:rPr>
        <w:t> </w:t>
      </w:r>
      <w:hyperlink r:id="rId13">
        <w:r>
          <w:rPr>
            <w:rFonts w:ascii="Bookman Old Style" w:eastAsia="Bookman Old Style" w:hAnsi="Bookman Old Style" w:cs="Bookman Old Style"/>
            <w:color w:val="0563C1"/>
            <w:sz w:val="20"/>
            <w:szCs w:val="20"/>
            <w:highlight w:val="white"/>
            <w:u w:val="single"/>
          </w:rPr>
          <w:t>https://www.ejustice.just.fgov.be/img_l/pdf/2002/05/28/2002009590_F.pdf</w:t>
        </w:r>
      </w:hyperlink>
      <w:r>
        <w:rPr>
          <w:rFonts w:ascii="Bookman Old Style" w:eastAsia="Bookman Old Style" w:hAnsi="Bookman Old Style" w:cs="Bookman Old Style"/>
          <w:color w:val="2D2D2D"/>
          <w:sz w:val="20"/>
          <w:szCs w:val="20"/>
          <w:highlight w:val="white"/>
        </w:rPr>
        <w:t xml:space="preserve"> </w:t>
      </w:r>
    </w:p>
  </w:footnote>
  <w:footnote w:id="28">
    <w:p w14:paraId="27D71104"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 más información, consultar: </w:t>
      </w:r>
      <w:hyperlink r:id="rId14">
        <w:r>
          <w:rPr>
            <w:rFonts w:ascii="Bookman Old Style" w:eastAsia="Bookman Old Style" w:hAnsi="Bookman Old Style" w:cs="Bookman Old Style"/>
            <w:color w:val="0563C1"/>
            <w:sz w:val="20"/>
            <w:szCs w:val="20"/>
            <w:highlight w:val="white"/>
            <w:u w:val="single"/>
          </w:rPr>
          <w:t>http://legisquebec.gouv.qc.ca/fr/pdf/cs/S-32.0001.pdf</w:t>
        </w:r>
      </w:hyperlink>
      <w:r>
        <w:rPr>
          <w:rFonts w:ascii="Bookman Old Style" w:eastAsia="Bookman Old Style" w:hAnsi="Bookman Old Style" w:cs="Bookman Old Style"/>
          <w:color w:val="2D2D2D"/>
          <w:sz w:val="20"/>
          <w:szCs w:val="20"/>
          <w:highlight w:val="white"/>
        </w:rPr>
        <w:t xml:space="preserve"> </w:t>
      </w:r>
    </w:p>
  </w:footnote>
  <w:footnote w:id="29">
    <w:p w14:paraId="00B496DB"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Entró en vigor en 2015.</w:t>
      </w:r>
      <w:r>
        <w:rPr>
          <w:color w:val="000000"/>
          <w:sz w:val="20"/>
          <w:szCs w:val="20"/>
        </w:rPr>
        <w:t xml:space="preserve"> </w:t>
      </w:r>
    </w:p>
  </w:footnote>
  <w:footnote w:id="30">
    <w:p w14:paraId="2B0BFF37"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No se puede hacer valer ninguna discapacidad para acceder a la muerte médicamente asistida.</w:t>
      </w:r>
    </w:p>
  </w:footnote>
  <w:footnote w:id="31">
    <w:p w14:paraId="064AA88B"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El propio paciente es el responsable de determinar el sufrimiento es intolerable </w:t>
      </w:r>
    </w:p>
  </w:footnote>
  <w:footnote w:id="32">
    <w:p w14:paraId="79308704"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5">
        <w:r>
          <w:rPr>
            <w:rFonts w:ascii="Bookman Old Style" w:eastAsia="Bookman Old Style" w:hAnsi="Bookman Old Style" w:cs="Bookman Old Style"/>
            <w:color w:val="0563C1"/>
            <w:sz w:val="20"/>
            <w:szCs w:val="20"/>
            <w:highlight w:val="white"/>
            <w:u w:val="single"/>
          </w:rPr>
          <w:t>https://www.parl.ca/Content/Bills/421/Government/C-14/C-14_4/C-14_4.PDF</w:t>
        </w:r>
      </w:hyperlink>
      <w:r>
        <w:rPr>
          <w:rFonts w:ascii="Bookman Old Style" w:eastAsia="Bookman Old Style" w:hAnsi="Bookman Old Style" w:cs="Bookman Old Style"/>
          <w:color w:val="2D2D2D"/>
          <w:sz w:val="20"/>
          <w:szCs w:val="20"/>
          <w:highlight w:val="white"/>
        </w:rPr>
        <w:t xml:space="preserve"> y </w:t>
      </w:r>
      <w:hyperlink r:id="rId16">
        <w:r>
          <w:rPr>
            <w:rFonts w:ascii="Bookman Old Style" w:eastAsia="Bookman Old Style" w:hAnsi="Bookman Old Style" w:cs="Bookman Old Style"/>
            <w:color w:val="0563C1"/>
            <w:sz w:val="20"/>
            <w:szCs w:val="20"/>
            <w:highlight w:val="white"/>
            <w:u w:val="single"/>
          </w:rPr>
          <w:t>https://www.parl.ca/Content/Bills/432/Government/C-7/C-7_4/C-7_4.PDF</w:t>
        </w:r>
      </w:hyperlink>
      <w:r>
        <w:rPr>
          <w:rFonts w:ascii="Bookman Old Style" w:eastAsia="Bookman Old Style" w:hAnsi="Bookman Old Style" w:cs="Bookman Old Style"/>
          <w:color w:val="2D2D2D"/>
          <w:sz w:val="20"/>
          <w:szCs w:val="20"/>
          <w:highlight w:val="white"/>
        </w:rPr>
        <w:t xml:space="preserve"> </w:t>
      </w:r>
    </w:p>
  </w:footnote>
  <w:footnote w:id="33">
    <w:p w14:paraId="55B89495"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7">
        <w:r>
          <w:rPr>
            <w:rFonts w:ascii="Bookman Old Style" w:eastAsia="Bookman Old Style" w:hAnsi="Bookman Old Style" w:cs="Bookman Old Style"/>
            <w:color w:val="0563C1"/>
            <w:sz w:val="20"/>
            <w:szCs w:val="20"/>
            <w:highlight w:val="white"/>
            <w:u w:val="single"/>
          </w:rPr>
          <w:t>https://decisions.scc-csc.ca/scc-csc/scc-csc/en/item/14637/index.do</w:t>
        </w:r>
      </w:hyperlink>
      <w:r>
        <w:rPr>
          <w:rFonts w:ascii="Bookman Old Style" w:eastAsia="Bookman Old Style" w:hAnsi="Bookman Old Style" w:cs="Bookman Old Style"/>
          <w:color w:val="2D2D2D"/>
          <w:sz w:val="20"/>
          <w:szCs w:val="20"/>
          <w:highlight w:val="white"/>
        </w:rPr>
        <w:t xml:space="preserve"> </w:t>
      </w:r>
    </w:p>
  </w:footnote>
  <w:footnote w:id="34">
    <w:p w14:paraId="2528FE8F"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2D2D2D"/>
          <w:sz w:val="20"/>
          <w:szCs w:val="20"/>
          <w:highlight w:val="white"/>
        </w:rPr>
      </w:pPr>
      <w:r>
        <w:rPr>
          <w:vertAlign w:val="superscript"/>
        </w:rPr>
        <w:footnoteRef/>
      </w:r>
      <w:r>
        <w:rPr>
          <w:rFonts w:ascii="Bookman Old Style" w:eastAsia="Bookman Old Style" w:hAnsi="Bookman Old Style" w:cs="Bookman Old Style"/>
          <w:color w:val="000000"/>
          <w:sz w:val="20"/>
          <w:szCs w:val="20"/>
        </w:rPr>
        <w:t xml:space="preserve"> El artículo 3.c de la ley establece: </w:t>
      </w:r>
      <w:r>
        <w:rPr>
          <w:rFonts w:ascii="Bookman Old Style" w:eastAsia="Bookman Old Style" w:hAnsi="Bookman Old Style" w:cs="Bookman Old Style"/>
          <w:color w:val="2D2D2D"/>
          <w:sz w:val="20"/>
          <w:szCs w:val="20"/>
          <w:highlight w:val="white"/>
        </w:rPr>
        <w:t>“(…) </w:t>
      </w:r>
      <w:r>
        <w:rPr>
          <w:rFonts w:ascii="Bookman Old Style" w:eastAsia="Bookman Old Style" w:hAnsi="Bookman Old Style" w:cs="Bookman Old Style"/>
          <w:i/>
          <w:color w:val="2D2D2D"/>
          <w:sz w:val="20"/>
          <w:szCs w:val="20"/>
          <w:highlight w:val="white"/>
        </w:rPr>
        <w:t>la que por su naturaleza origina sufrimientos físicos o psíquicos constantes e insoportables sin posibilidad de alivio que la persona considere tolerable, con un pronóstico de vida limitado, en un contexto de fragilidad progresiva</w:t>
      </w:r>
      <w:r>
        <w:rPr>
          <w:rFonts w:ascii="Bookman Old Style" w:eastAsia="Bookman Old Style" w:hAnsi="Bookman Old Style" w:cs="Bookman Old Style"/>
          <w:color w:val="2D2D2D"/>
          <w:sz w:val="20"/>
          <w:szCs w:val="20"/>
          <w:highlight w:val="white"/>
        </w:rPr>
        <w:t xml:space="preserve">” </w:t>
      </w:r>
    </w:p>
    <w:p w14:paraId="30BA730A"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2D2D2D"/>
          <w:sz w:val="20"/>
          <w:szCs w:val="20"/>
          <w:highlight w:val="white"/>
        </w:rPr>
      </w:pPr>
      <w:r>
        <w:rPr>
          <w:rFonts w:ascii="Bookman Old Style" w:eastAsia="Bookman Old Style" w:hAnsi="Bookman Old Style" w:cs="Bookman Old Style"/>
          <w:color w:val="2D2D2D"/>
          <w:sz w:val="20"/>
          <w:szCs w:val="20"/>
          <w:highlight w:val="white"/>
        </w:rPr>
        <w:t>(…)</w:t>
      </w:r>
    </w:p>
    <w:p w14:paraId="7BDC1E38" w14:textId="77777777" w:rsidR="00335A1D" w:rsidRDefault="00335A1D" w:rsidP="00335A1D">
      <w:pPr>
        <w:pBdr>
          <w:top w:val="nil"/>
          <w:left w:val="nil"/>
          <w:bottom w:val="nil"/>
          <w:right w:val="nil"/>
          <w:between w:val="nil"/>
        </w:pBdr>
        <w:spacing w:line="240" w:lineRule="auto"/>
        <w:jc w:val="both"/>
        <w:rPr>
          <w:color w:val="000000"/>
          <w:sz w:val="20"/>
          <w:szCs w:val="20"/>
        </w:rPr>
      </w:pPr>
      <w:r>
        <w:rPr>
          <w:rFonts w:ascii="Bookman Old Style" w:eastAsia="Bookman Old Style" w:hAnsi="Bookman Old Style" w:cs="Bookman Old Style"/>
          <w:color w:val="2D2D2D"/>
          <w:sz w:val="20"/>
          <w:szCs w:val="20"/>
          <w:highlight w:val="white"/>
        </w:rPr>
        <w:t>El artículo 3.d añade: (…) </w:t>
      </w:r>
      <w:r>
        <w:rPr>
          <w:rFonts w:ascii="Bookman Old Style" w:eastAsia="Bookman Old Style" w:hAnsi="Bookman Old Style" w:cs="Bookman Old Style"/>
          <w:i/>
          <w:color w:val="2D2D2D"/>
          <w:sz w:val="20"/>
          <w:szCs w:val="20"/>
          <w:highlight w:val="white"/>
        </w:rPr>
        <w:t>situación que hace referencia a limitaciones que inciden directamente sobre la autonomía física y actividades de la vida diaria, de manera que no permite valerse por sí mismo, así como sobre la capacidad de expresión y relación, y que llevan asociado un sufrimiento físico o psíquico constante e intolerable para quien lo padece, existiendo seguridad o gran probabilidad de que tales limitaciones vayan a persistir en el tiempo sin posibilidad de curación o mejoría apreciable. En ocasiones puede suponer la dependencia absoluta de apoyo tecnológico</w:t>
      </w:r>
      <w:r>
        <w:rPr>
          <w:rFonts w:ascii="Bookman Old Style" w:eastAsia="Bookman Old Style" w:hAnsi="Bookman Old Style" w:cs="Bookman Old Style"/>
          <w:color w:val="2D2D2D"/>
          <w:sz w:val="20"/>
          <w:szCs w:val="20"/>
          <w:highlight w:val="white"/>
        </w:rPr>
        <w:t>”.</w:t>
      </w:r>
      <w:r>
        <w:rPr>
          <w:color w:val="2D2D2D"/>
          <w:sz w:val="20"/>
          <w:szCs w:val="20"/>
          <w:highlight w:val="white"/>
        </w:rPr>
        <w:t xml:space="preserve"> </w:t>
      </w:r>
    </w:p>
  </w:footnote>
  <w:footnote w:id="35">
    <w:p w14:paraId="46805782" w14:textId="77777777" w:rsidR="00335A1D" w:rsidRDefault="00335A1D" w:rsidP="00335A1D">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Para más información, consultar: </w:t>
      </w:r>
      <w:hyperlink r:id="rId18">
        <w:r>
          <w:rPr>
            <w:color w:val="0563C1"/>
            <w:sz w:val="20"/>
            <w:szCs w:val="20"/>
            <w:highlight w:val="white"/>
            <w:u w:val="single"/>
          </w:rPr>
          <w:t>https://www.boe.es/boe/dias/2021/03/25/pdfs/BOE-A-2021-4628.pdf</w:t>
        </w:r>
      </w:hyperlink>
      <w:r>
        <w:rPr>
          <w:color w:val="2D2D2D"/>
          <w:sz w:val="20"/>
          <w:szCs w:val="20"/>
          <w:highlight w:val="white"/>
        </w:rPr>
        <w:t xml:space="preserve"> </w:t>
      </w:r>
    </w:p>
  </w:footnote>
  <w:footnote w:id="36">
    <w:p w14:paraId="44A9F828"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19">
        <w:r>
          <w:rPr>
            <w:rFonts w:ascii="Bookman Old Style" w:eastAsia="Bookman Old Style" w:hAnsi="Bookman Old Style" w:cs="Bookman Old Style"/>
            <w:color w:val="0563C1"/>
            <w:sz w:val="20"/>
            <w:szCs w:val="20"/>
            <w:highlight w:val="white"/>
            <w:u w:val="single"/>
          </w:rPr>
          <w:t>https://leginfo.legislature.ca.gov/faces/billTextClient.xhtml?bill_id=201520162AB15</w:t>
        </w:r>
      </w:hyperlink>
      <w:r>
        <w:rPr>
          <w:rFonts w:ascii="Bookman Old Style" w:eastAsia="Bookman Old Style" w:hAnsi="Bookman Old Style" w:cs="Bookman Old Style"/>
          <w:color w:val="2D2D2D"/>
          <w:sz w:val="20"/>
          <w:szCs w:val="20"/>
          <w:highlight w:val="white"/>
        </w:rPr>
        <w:t xml:space="preserve"> </w:t>
      </w:r>
    </w:p>
  </w:footnote>
  <w:footnote w:id="37">
    <w:p w14:paraId="47A1FFE1"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 más información consultar: </w:t>
      </w:r>
      <w:hyperlink r:id="rId20">
        <w:r>
          <w:rPr>
            <w:rFonts w:ascii="Bookman Old Style" w:eastAsia="Bookman Old Style" w:hAnsi="Bookman Old Style" w:cs="Bookman Old Style"/>
            <w:color w:val="0563C1"/>
            <w:sz w:val="20"/>
            <w:szCs w:val="20"/>
            <w:highlight w:val="white"/>
            <w:u w:val="single"/>
          </w:rPr>
          <w:t>https://dchealth.dc.gov/sites/default/files/dc/sites/doh/page_content/attachments/Death%20With%20Dignity%20Act.FINAL_.pdf</w:t>
        </w:r>
      </w:hyperlink>
      <w:r>
        <w:rPr>
          <w:rFonts w:ascii="Bookman Old Style" w:eastAsia="Bookman Old Style" w:hAnsi="Bookman Old Style" w:cs="Bookman Old Style"/>
          <w:color w:val="2D2D2D"/>
          <w:sz w:val="20"/>
          <w:szCs w:val="20"/>
          <w:highlight w:val="white"/>
        </w:rPr>
        <w:t xml:space="preserve"> </w:t>
      </w:r>
    </w:p>
  </w:footnote>
  <w:footnote w:id="38">
    <w:p w14:paraId="2CE2436A"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1">
        <w:r>
          <w:rPr>
            <w:rFonts w:ascii="Bookman Old Style" w:eastAsia="Bookman Old Style" w:hAnsi="Bookman Old Style" w:cs="Bookman Old Style"/>
            <w:color w:val="0563C1"/>
            <w:sz w:val="20"/>
            <w:szCs w:val="20"/>
            <w:highlight w:val="white"/>
            <w:u w:val="single"/>
          </w:rPr>
          <w:t>https://www.sos.state.co.us/pubs/elections/Initiatives/titleBoard/filings/2015-2016/145Final.pdf</w:t>
        </w:r>
      </w:hyperlink>
      <w:r>
        <w:rPr>
          <w:rFonts w:ascii="Bookman Old Style" w:eastAsia="Bookman Old Style" w:hAnsi="Bookman Old Style" w:cs="Bookman Old Style"/>
          <w:color w:val="2D2D2D"/>
          <w:sz w:val="20"/>
          <w:szCs w:val="20"/>
          <w:highlight w:val="white"/>
        </w:rPr>
        <w:t xml:space="preserve"> </w:t>
      </w:r>
    </w:p>
  </w:footnote>
  <w:footnote w:id="39">
    <w:p w14:paraId="7F4109D4"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2">
        <w:r>
          <w:rPr>
            <w:rFonts w:ascii="Bookman Old Style" w:eastAsia="Bookman Old Style" w:hAnsi="Bookman Old Style" w:cs="Bookman Old Style"/>
            <w:color w:val="0563C1"/>
            <w:sz w:val="20"/>
            <w:szCs w:val="20"/>
            <w:highlight w:val="white"/>
            <w:u w:val="single"/>
          </w:rPr>
          <w:t>https://health.hawaii.gov/opppd/files/2018/11/OCOC-Act2.pdf</w:t>
        </w:r>
      </w:hyperlink>
      <w:r>
        <w:rPr>
          <w:rFonts w:ascii="Bookman Old Style" w:eastAsia="Bookman Old Style" w:hAnsi="Bookman Old Style" w:cs="Bookman Old Style"/>
          <w:color w:val="2D2D2D"/>
          <w:sz w:val="20"/>
          <w:szCs w:val="20"/>
          <w:highlight w:val="white"/>
        </w:rPr>
        <w:t xml:space="preserve"> </w:t>
      </w:r>
    </w:p>
  </w:footnote>
  <w:footnote w:id="40">
    <w:p w14:paraId="7D22FF6D"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r>
        <w:rPr>
          <w:rFonts w:ascii="Bookman Old Style" w:eastAsia="Bookman Old Style" w:hAnsi="Bookman Old Style" w:cs="Bookman Old Style"/>
          <w:color w:val="2D2D2D"/>
          <w:sz w:val="20"/>
          <w:szCs w:val="20"/>
          <w:highlight w:val="white"/>
        </w:rPr>
        <w:t> </w:t>
      </w:r>
      <w:hyperlink r:id="rId23">
        <w:r>
          <w:rPr>
            <w:rFonts w:ascii="Bookman Old Style" w:eastAsia="Bookman Old Style" w:hAnsi="Bookman Old Style" w:cs="Bookman Old Style"/>
            <w:color w:val="0563C1"/>
            <w:sz w:val="20"/>
            <w:szCs w:val="20"/>
            <w:highlight w:val="white"/>
            <w:u w:val="single"/>
          </w:rPr>
          <w:t>http://www.mainelegislature.org/legis/bills/getPDF.asp?paper=HP0948&amp;item=1&amp;snum=129</w:t>
        </w:r>
      </w:hyperlink>
      <w:r>
        <w:rPr>
          <w:rFonts w:ascii="Bookman Old Style" w:eastAsia="Bookman Old Style" w:hAnsi="Bookman Old Style" w:cs="Bookman Old Style"/>
          <w:color w:val="2D2D2D"/>
          <w:sz w:val="20"/>
          <w:szCs w:val="20"/>
          <w:highlight w:val="white"/>
        </w:rPr>
        <w:t xml:space="preserve"> </w:t>
      </w:r>
    </w:p>
  </w:footnote>
  <w:footnote w:id="41">
    <w:p w14:paraId="42ADEAB7"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4">
        <w:r>
          <w:rPr>
            <w:rFonts w:ascii="Bookman Old Style" w:eastAsia="Bookman Old Style" w:hAnsi="Bookman Old Style" w:cs="Bookman Old Style"/>
            <w:color w:val="0563C1"/>
            <w:sz w:val="20"/>
            <w:szCs w:val="20"/>
            <w:highlight w:val="white"/>
            <w:u w:val="single"/>
          </w:rPr>
          <w:t>https://fnds.mt.gov/JUD/document?params=U2FsdGVkX1%2B8gpXKXDw973fE8wqPCs%2B9SDBzrJGwtnQkk4Oe1h4t0zNniu4Ad1RBzWSJF%2BGBCa4EkKXGXKPcvSIg%2ByfDRu5did37Qw06AfaO%2FPqe1Iy7ZB%2FU%2FEh7VyDFQu%2FdfP%2BGFPOM2TiVhJUcAw%3D%3D&amp;callback=</w:t>
        </w:r>
      </w:hyperlink>
      <w:r>
        <w:rPr>
          <w:rFonts w:ascii="Bookman Old Style" w:eastAsia="Bookman Old Style" w:hAnsi="Bookman Old Style" w:cs="Bookman Old Style"/>
          <w:color w:val="2D2D2D"/>
          <w:sz w:val="20"/>
          <w:szCs w:val="20"/>
          <w:highlight w:val="white"/>
        </w:rPr>
        <w:t xml:space="preserve">? </w:t>
      </w:r>
    </w:p>
  </w:footnote>
  <w:footnote w:id="42">
    <w:p w14:paraId="25123A89"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5">
        <w:r>
          <w:rPr>
            <w:rFonts w:ascii="Bookman Old Style" w:eastAsia="Bookman Old Style" w:hAnsi="Bookman Old Style" w:cs="Bookman Old Style"/>
            <w:color w:val="0563C1"/>
            <w:sz w:val="20"/>
            <w:szCs w:val="20"/>
            <w:highlight w:val="white"/>
            <w:u w:val="single"/>
          </w:rPr>
          <w:t>https://www.njleg.state.nj.us/2018/Bills/PL19/59_.PDF</w:t>
        </w:r>
      </w:hyperlink>
      <w:r>
        <w:rPr>
          <w:rFonts w:ascii="Bookman Old Style" w:eastAsia="Bookman Old Style" w:hAnsi="Bookman Old Style" w:cs="Bookman Old Style"/>
          <w:color w:val="2D2D2D"/>
          <w:sz w:val="20"/>
          <w:szCs w:val="20"/>
          <w:highlight w:val="white"/>
        </w:rPr>
        <w:t xml:space="preserve"> </w:t>
      </w:r>
    </w:p>
  </w:footnote>
  <w:footnote w:id="43">
    <w:p w14:paraId="475C5B42"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6">
        <w:r>
          <w:rPr>
            <w:rFonts w:ascii="Bookman Old Style" w:eastAsia="Bookman Old Style" w:hAnsi="Bookman Old Style" w:cs="Bookman Old Style"/>
            <w:color w:val="0563C1"/>
            <w:sz w:val="20"/>
            <w:szCs w:val="20"/>
            <w:highlight w:val="white"/>
            <w:u w:val="single"/>
          </w:rPr>
          <w:t>https://www.nmlegis.gov/Sessions/21%20Regular/bills/house/HB0047.html</w:t>
        </w:r>
      </w:hyperlink>
      <w:r>
        <w:rPr>
          <w:rFonts w:ascii="Bookman Old Style" w:eastAsia="Bookman Old Style" w:hAnsi="Bookman Old Style" w:cs="Bookman Old Style"/>
          <w:color w:val="2D2D2D"/>
          <w:sz w:val="20"/>
          <w:szCs w:val="20"/>
          <w:highlight w:val="white"/>
        </w:rPr>
        <w:t xml:space="preserve"> </w:t>
      </w:r>
    </w:p>
  </w:footnote>
  <w:footnote w:id="44">
    <w:p w14:paraId="3D25C360"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7">
        <w:r>
          <w:rPr>
            <w:rFonts w:ascii="Bookman Old Style" w:eastAsia="Bookman Old Style" w:hAnsi="Bookman Old Style" w:cs="Bookman Old Style"/>
            <w:color w:val="0563C1"/>
            <w:sz w:val="20"/>
            <w:szCs w:val="20"/>
            <w:highlight w:val="white"/>
            <w:u w:val="single"/>
          </w:rPr>
          <w:t>https://www.oregon.gov/oha/PH/PROVIDERPARTNERRESOURCES/EVALUATIONRESEARCH/DEATHWITHDIGNITYACT/Documents/statute.pdf</w:t>
        </w:r>
      </w:hyperlink>
      <w:r>
        <w:rPr>
          <w:color w:val="2D2D2D"/>
          <w:sz w:val="20"/>
          <w:szCs w:val="20"/>
          <w:highlight w:val="white"/>
        </w:rPr>
        <w:t xml:space="preserve"> </w:t>
      </w:r>
    </w:p>
  </w:footnote>
  <w:footnote w:id="45">
    <w:p w14:paraId="6CC50FE4"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8">
        <w:r>
          <w:rPr>
            <w:rFonts w:ascii="Bookman Old Style" w:eastAsia="Bookman Old Style" w:hAnsi="Bookman Old Style" w:cs="Bookman Old Style"/>
            <w:color w:val="0563C1"/>
            <w:sz w:val="20"/>
            <w:szCs w:val="20"/>
            <w:highlight w:val="white"/>
            <w:u w:val="single"/>
          </w:rPr>
          <w:t>http://www.leg.state.vt.us/docs/2014/Acts/ACT039.pdf</w:t>
        </w:r>
      </w:hyperlink>
      <w:r>
        <w:rPr>
          <w:rFonts w:ascii="Bookman Old Style" w:eastAsia="Bookman Old Style" w:hAnsi="Bookman Old Style" w:cs="Bookman Old Style"/>
          <w:color w:val="2D2D2D"/>
          <w:sz w:val="20"/>
          <w:szCs w:val="20"/>
          <w:highlight w:val="white"/>
        </w:rPr>
        <w:t xml:space="preserve"> </w:t>
      </w:r>
    </w:p>
  </w:footnote>
  <w:footnote w:id="46">
    <w:p w14:paraId="5EFF8BBF"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29">
        <w:r>
          <w:rPr>
            <w:rFonts w:ascii="Bookman Old Style" w:eastAsia="Bookman Old Style" w:hAnsi="Bookman Old Style" w:cs="Bookman Old Style"/>
            <w:color w:val="0563C1"/>
            <w:sz w:val="20"/>
            <w:szCs w:val="20"/>
            <w:highlight w:val="white"/>
            <w:u w:val="single"/>
          </w:rPr>
          <w:t>https://app.leg.wa.gov/RCW/default.aspx?cite=70.245</w:t>
        </w:r>
      </w:hyperlink>
      <w:r>
        <w:rPr>
          <w:rFonts w:ascii="Bookman Old Style" w:eastAsia="Bookman Old Style" w:hAnsi="Bookman Old Style" w:cs="Bookman Old Style"/>
          <w:color w:val="2D2D2D"/>
          <w:sz w:val="20"/>
          <w:szCs w:val="20"/>
          <w:highlight w:val="white"/>
        </w:rPr>
        <w:t xml:space="preserve"> </w:t>
      </w:r>
    </w:p>
  </w:footnote>
  <w:footnote w:id="47">
    <w:p w14:paraId="0CA10A36"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Si la persona tiene más de 18 años la decisión es autónoma, si tiene entre 12 y 16 requiere autorización de los padres. Si tiene entre 16 y 18 debe consultar a los </w:t>
      </w:r>
      <w:proofErr w:type="gramStart"/>
      <w:r>
        <w:rPr>
          <w:rFonts w:ascii="Bookman Old Style" w:eastAsia="Bookman Old Style" w:hAnsi="Bookman Old Style" w:cs="Bookman Old Style"/>
          <w:color w:val="000000"/>
          <w:sz w:val="20"/>
          <w:szCs w:val="20"/>
        </w:rPr>
        <w:t>padres</w:t>
      </w:r>
      <w:proofErr w:type="gramEnd"/>
      <w:r>
        <w:rPr>
          <w:rFonts w:ascii="Bookman Old Style" w:eastAsia="Bookman Old Style" w:hAnsi="Bookman Old Style" w:cs="Bookman Old Style"/>
          <w:color w:val="000000"/>
          <w:sz w:val="20"/>
          <w:szCs w:val="20"/>
        </w:rPr>
        <w:t xml:space="preserve"> pero no requiere su autorización. Para más información consultar: </w:t>
      </w:r>
      <w:hyperlink r:id="rId30">
        <w:r>
          <w:rPr>
            <w:rFonts w:ascii="Bookman Old Style" w:eastAsia="Bookman Old Style" w:hAnsi="Bookman Old Style" w:cs="Bookman Old Style"/>
            <w:color w:val="0563C1"/>
            <w:sz w:val="20"/>
            <w:szCs w:val="20"/>
            <w:highlight w:val="white"/>
            <w:u w:val="single"/>
          </w:rPr>
          <w:t>https://www.government.nl/topics/euthanasia/euthanasia-and-newborn-infants</w:t>
        </w:r>
      </w:hyperlink>
      <w:r>
        <w:rPr>
          <w:rFonts w:ascii="Bookman Old Style" w:eastAsia="Bookman Old Style" w:hAnsi="Bookman Old Style" w:cs="Bookman Old Style"/>
          <w:color w:val="2D2D2D"/>
          <w:sz w:val="20"/>
          <w:szCs w:val="20"/>
          <w:highlight w:val="white"/>
        </w:rPr>
        <w:t xml:space="preserve"> </w:t>
      </w:r>
    </w:p>
  </w:footnote>
  <w:footnote w:id="48">
    <w:p w14:paraId="19117BB5"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31">
        <w:r>
          <w:rPr>
            <w:rFonts w:ascii="Bookman Old Style" w:eastAsia="Bookman Old Style" w:hAnsi="Bookman Old Style" w:cs="Bookman Old Style"/>
            <w:color w:val="0563C1"/>
            <w:sz w:val="20"/>
            <w:szCs w:val="20"/>
            <w:highlight w:val="white"/>
            <w:u w:val="single"/>
          </w:rPr>
          <w:t>https://wfrtds.org/dutch-law-on-termination-of-life-on-request-and-assisted-suicide-complete-text/</w:t>
        </w:r>
      </w:hyperlink>
      <w:r>
        <w:rPr>
          <w:rFonts w:ascii="Bookman Old Style" w:eastAsia="Bookman Old Style" w:hAnsi="Bookman Old Style" w:cs="Bookman Old Style"/>
          <w:color w:val="2D2D2D"/>
          <w:sz w:val="20"/>
          <w:szCs w:val="20"/>
          <w:highlight w:val="white"/>
        </w:rPr>
        <w:t xml:space="preserve"> y el Código de prácticas para la eutanasia en Países Bajos (2018): </w:t>
      </w:r>
      <w:hyperlink r:id="rId32">
        <w:r>
          <w:rPr>
            <w:rFonts w:ascii="Bookman Old Style" w:eastAsia="Bookman Old Style" w:hAnsi="Bookman Old Style" w:cs="Bookman Old Style"/>
            <w:color w:val="0563C1"/>
            <w:sz w:val="20"/>
            <w:szCs w:val="20"/>
            <w:highlight w:val="white"/>
            <w:u w:val="single"/>
          </w:rPr>
          <w:t>https://english.euthanasiecommissie.nl/the-committees/documents/publications/euthanasia-code/euthanasia-code-2018/euthanasia-code-2018/codigo-eutanasia-2018</w:t>
        </w:r>
      </w:hyperlink>
      <w:r>
        <w:rPr>
          <w:color w:val="2D2D2D"/>
          <w:sz w:val="20"/>
          <w:szCs w:val="20"/>
          <w:highlight w:val="white"/>
        </w:rPr>
        <w:t xml:space="preserve"> </w:t>
      </w:r>
    </w:p>
  </w:footnote>
  <w:footnote w:id="49">
    <w:p w14:paraId="4EC38A2C"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33">
        <w:r>
          <w:rPr>
            <w:rFonts w:ascii="Bookman Old Style" w:eastAsia="Bookman Old Style" w:hAnsi="Bookman Old Style" w:cs="Bookman Old Style"/>
            <w:color w:val="0563C1"/>
            <w:sz w:val="20"/>
            <w:szCs w:val="20"/>
            <w:highlight w:val="white"/>
            <w:u w:val="single"/>
          </w:rPr>
          <w:t>http://data.legilux.public.lu/file/eli-etat-leg-memorial-2009-46-fr-pdf.pdf</w:t>
        </w:r>
      </w:hyperlink>
      <w:r>
        <w:rPr>
          <w:rFonts w:ascii="Bookman Old Style" w:eastAsia="Bookman Old Style" w:hAnsi="Bookman Old Style" w:cs="Bookman Old Style"/>
          <w:color w:val="2D2D2D"/>
          <w:sz w:val="20"/>
          <w:szCs w:val="20"/>
          <w:highlight w:val="white"/>
        </w:rPr>
        <w:t xml:space="preserve"> </w:t>
      </w:r>
    </w:p>
  </w:footnote>
  <w:footnote w:id="50">
    <w:p w14:paraId="3E989566" w14:textId="77777777" w:rsidR="00335A1D" w:rsidRDefault="00335A1D" w:rsidP="00335A1D">
      <w:pPr>
        <w:pBdr>
          <w:top w:val="nil"/>
          <w:left w:val="nil"/>
          <w:bottom w:val="nil"/>
          <w:right w:val="nil"/>
          <w:between w:val="nil"/>
        </w:pBdr>
        <w:spacing w:line="240" w:lineRule="auto"/>
        <w:jc w:val="both"/>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La ley fue aprobada en 2019 (</w:t>
      </w:r>
      <w:proofErr w:type="spellStart"/>
      <w:r>
        <w:rPr>
          <w:rFonts w:ascii="Bookman Old Style" w:eastAsia="Bookman Old Style" w:hAnsi="Bookman Old Style" w:cs="Bookman Old Style"/>
          <w:color w:val="000000"/>
          <w:sz w:val="20"/>
          <w:szCs w:val="20"/>
        </w:rPr>
        <w:t>End</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of</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life</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choice</w:t>
      </w:r>
      <w:proofErr w:type="spellEnd"/>
      <w:r>
        <w:rPr>
          <w:rFonts w:ascii="Bookman Old Style" w:eastAsia="Bookman Old Style" w:hAnsi="Bookman Old Style" w:cs="Bookman Old Style"/>
          <w:color w:val="000000"/>
          <w:sz w:val="20"/>
          <w:szCs w:val="20"/>
        </w:rPr>
        <w:t xml:space="preserve"> </w:t>
      </w:r>
      <w:proofErr w:type="spellStart"/>
      <w:r>
        <w:rPr>
          <w:rFonts w:ascii="Bookman Old Style" w:eastAsia="Bookman Old Style" w:hAnsi="Bookman Old Style" w:cs="Bookman Old Style"/>
          <w:color w:val="000000"/>
          <w:sz w:val="20"/>
          <w:szCs w:val="20"/>
        </w:rPr>
        <w:t>act</w:t>
      </w:r>
      <w:proofErr w:type="spellEnd"/>
      <w:r>
        <w:rPr>
          <w:rFonts w:ascii="Bookman Old Style" w:eastAsia="Bookman Old Style" w:hAnsi="Bookman Old Style" w:cs="Bookman Old Style"/>
          <w:color w:val="000000"/>
          <w:sz w:val="20"/>
          <w:szCs w:val="20"/>
        </w:rPr>
        <w:t xml:space="preserve"> 2019) pero su entrada en vigor se supeditó a un referendo celebrado en 2020 en el que el sí ganó con el 65,1% de los votos. La ley entró en vigor en 2021. Para más información consultar: </w:t>
      </w:r>
      <w:hyperlink r:id="rId34" w:anchor="DLM7285905">
        <w:r>
          <w:rPr>
            <w:rFonts w:ascii="Bookman Old Style" w:eastAsia="Bookman Old Style" w:hAnsi="Bookman Old Style" w:cs="Bookman Old Style"/>
            <w:color w:val="0563C1"/>
            <w:sz w:val="20"/>
            <w:szCs w:val="20"/>
            <w:highlight w:val="white"/>
            <w:u w:val="single"/>
          </w:rPr>
          <w:t>https://www.legislation.govt.nz/act/public/2019/0067/latest/whole.html#DLM7285905</w:t>
        </w:r>
      </w:hyperlink>
      <w:r>
        <w:rPr>
          <w:rFonts w:ascii="Bookman Old Style" w:eastAsia="Bookman Old Style" w:hAnsi="Bookman Old Style" w:cs="Bookman Old Style"/>
          <w:color w:val="2D2D2D"/>
          <w:sz w:val="20"/>
          <w:szCs w:val="20"/>
          <w:highlight w:val="white"/>
        </w:rPr>
        <w:t xml:space="preserve"> y </w:t>
      </w:r>
      <w:hyperlink r:id="rId35">
        <w:r>
          <w:rPr>
            <w:rFonts w:ascii="Bookman Old Style" w:eastAsia="Bookman Old Style" w:hAnsi="Bookman Old Style" w:cs="Bookman Old Style"/>
            <w:color w:val="0563C1"/>
            <w:sz w:val="20"/>
            <w:szCs w:val="20"/>
            <w:highlight w:val="white"/>
            <w:u w:val="single"/>
          </w:rPr>
          <w:t>https://gazette.govt.nz/assets/pdf-cache/2020/2020-au5132.pdf?2020-12-17_22%3A50%3A30=</w:t>
        </w:r>
      </w:hyperlink>
      <w:r>
        <w:rPr>
          <w:color w:val="2D2D2D"/>
          <w:sz w:val="20"/>
          <w:szCs w:val="20"/>
          <w:highlight w:val="white"/>
        </w:rPr>
        <w:t xml:space="preserve"> </w:t>
      </w:r>
      <w:r>
        <w:rPr>
          <w:color w:val="000000"/>
          <w:sz w:val="20"/>
          <w:szCs w:val="20"/>
        </w:rPr>
        <w:t xml:space="preserve"> </w:t>
      </w:r>
    </w:p>
  </w:footnote>
  <w:footnote w:id="51">
    <w:p w14:paraId="7EA8349B" w14:textId="77777777" w:rsidR="00335A1D" w:rsidRDefault="00335A1D" w:rsidP="00335A1D">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Para más información consultar: </w:t>
      </w:r>
      <w:hyperlink r:id="rId36">
        <w:r>
          <w:rPr>
            <w:rFonts w:ascii="Bookman Old Style" w:eastAsia="Bookman Old Style" w:hAnsi="Bookman Old Style" w:cs="Bookman Old Style"/>
            <w:color w:val="0563C1"/>
            <w:sz w:val="20"/>
            <w:szCs w:val="20"/>
            <w:highlight w:val="white"/>
            <w:u w:val="single"/>
          </w:rPr>
          <w:t>https://fedlex.data.admin.ch/filestore/fedlex.data.admin.ch/eli/cc/54/757_781_799/20200701/de/pdf-a/fedlex-data-admin-ch-eli-cc-54-757_781_799-20200701-de-pdf-a.pdf</w:t>
        </w:r>
      </w:hyperlink>
      <w:r>
        <w:rPr>
          <w:rFonts w:ascii="Bookman Old Style" w:eastAsia="Bookman Old Style" w:hAnsi="Bookman Old Style" w:cs="Bookman Old Style"/>
          <w:color w:val="2D2D2D"/>
          <w:sz w:val="20"/>
          <w:szCs w:val="20"/>
          <w:highlight w:val="white"/>
        </w:rPr>
        <w:t xml:space="preserve"> y </w:t>
      </w:r>
      <w:hyperlink r:id="rId37">
        <w:r>
          <w:rPr>
            <w:rFonts w:ascii="Bookman Old Style" w:eastAsia="Bookman Old Style" w:hAnsi="Bookman Old Style" w:cs="Bookman Old Style"/>
            <w:color w:val="0563C1"/>
            <w:sz w:val="20"/>
            <w:szCs w:val="20"/>
            <w:highlight w:val="white"/>
            <w:u w:val="single"/>
          </w:rPr>
          <w:t>https://www.ncbi.nlm.nih.gov/pmc/articles/PMC6794705/</w:t>
        </w:r>
      </w:hyperlink>
      <w:r>
        <w:rPr>
          <w:rFonts w:ascii="Bookman Old Style" w:eastAsia="Bookman Old Style" w:hAnsi="Bookman Old Style" w:cs="Bookman Old Style"/>
          <w:color w:val="2D2D2D"/>
          <w:sz w:val="20"/>
          <w:szCs w:val="20"/>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4845" w14:textId="77777777" w:rsidR="00647410" w:rsidRDefault="00000000">
    <w:pPr>
      <w:pBdr>
        <w:top w:val="nil"/>
        <w:left w:val="nil"/>
        <w:bottom w:val="nil"/>
        <w:right w:val="nil"/>
        <w:between w:val="nil"/>
      </w:pBdr>
      <w:tabs>
        <w:tab w:val="center" w:pos="4419"/>
        <w:tab w:val="right" w:pos="8838"/>
      </w:tabs>
      <w:spacing w:line="240" w:lineRule="auto"/>
      <w:jc w:val="center"/>
      <w:rPr>
        <w:color w:val="000000"/>
      </w:rPr>
    </w:pPr>
    <w:r>
      <w:rPr>
        <w:noProof/>
        <w:color w:val="000000"/>
      </w:rPr>
      <w:drawing>
        <wp:inline distT="0" distB="0" distL="0" distR="0" wp14:anchorId="4259B876" wp14:editId="07066116">
          <wp:extent cx="2152650" cy="584200"/>
          <wp:effectExtent l="0" t="0" r="0" b="0"/>
          <wp:docPr id="27" name="image17.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7.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AB1"/>
    <w:multiLevelType w:val="multilevel"/>
    <w:tmpl w:val="6AD8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16951"/>
    <w:multiLevelType w:val="multilevel"/>
    <w:tmpl w:val="46F0E4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B380B"/>
    <w:multiLevelType w:val="multilevel"/>
    <w:tmpl w:val="7A5454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16C83877"/>
    <w:multiLevelType w:val="multilevel"/>
    <w:tmpl w:val="C28024B6"/>
    <w:lvl w:ilvl="0">
      <w:start w:val="3"/>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15:restartNumberingAfterBreak="0">
    <w:nsid w:val="1A573B06"/>
    <w:multiLevelType w:val="multilevel"/>
    <w:tmpl w:val="13D8C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BB1A0D"/>
    <w:multiLevelType w:val="multilevel"/>
    <w:tmpl w:val="1C5E8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F06EA"/>
    <w:multiLevelType w:val="multilevel"/>
    <w:tmpl w:val="DADE1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9F1DB6"/>
    <w:multiLevelType w:val="multilevel"/>
    <w:tmpl w:val="EEB0773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592F3AF1"/>
    <w:multiLevelType w:val="multilevel"/>
    <w:tmpl w:val="D668D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1E635D"/>
    <w:multiLevelType w:val="multilevel"/>
    <w:tmpl w:val="76A2C602"/>
    <w:lvl w:ilvl="0">
      <w:start w:val="2"/>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 w15:restartNumberingAfterBreak="0">
    <w:nsid w:val="63D77EDB"/>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2"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3" w15:restartNumberingAfterBreak="0">
    <w:nsid w:val="6F927AE4"/>
    <w:multiLevelType w:val="multilevel"/>
    <w:tmpl w:val="B9A215B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730B33"/>
    <w:multiLevelType w:val="multilevel"/>
    <w:tmpl w:val="C8FC0AD4"/>
    <w:lvl w:ilvl="0">
      <w:start w:val="1"/>
      <w:numFmt w:val="lowerRoman"/>
      <w:lvlText w:val="%1)"/>
      <w:lvlJc w:val="left"/>
      <w:pPr>
        <w:ind w:left="1512" w:hanging="72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16cid:durableId="566771710">
    <w:abstractNumId w:val="2"/>
  </w:num>
  <w:num w:numId="2" w16cid:durableId="745997816">
    <w:abstractNumId w:val="9"/>
  </w:num>
  <w:num w:numId="3" w16cid:durableId="882256307">
    <w:abstractNumId w:val="6"/>
  </w:num>
  <w:num w:numId="4" w16cid:durableId="1151100577">
    <w:abstractNumId w:val="13"/>
  </w:num>
  <w:num w:numId="5" w16cid:durableId="1025902926">
    <w:abstractNumId w:val="12"/>
  </w:num>
  <w:num w:numId="6" w16cid:durableId="1273513241">
    <w:abstractNumId w:val="1"/>
  </w:num>
  <w:num w:numId="7" w16cid:durableId="831993256">
    <w:abstractNumId w:val="11"/>
  </w:num>
  <w:num w:numId="8" w16cid:durableId="786386714">
    <w:abstractNumId w:val="10"/>
  </w:num>
  <w:num w:numId="9" w16cid:durableId="2025862169">
    <w:abstractNumId w:val="3"/>
  </w:num>
  <w:num w:numId="10" w16cid:durableId="1830709764">
    <w:abstractNumId w:val="8"/>
  </w:num>
  <w:num w:numId="11" w16cid:durableId="1621302113">
    <w:abstractNumId w:val="14"/>
  </w:num>
  <w:num w:numId="12" w16cid:durableId="620458592">
    <w:abstractNumId w:val="4"/>
  </w:num>
  <w:num w:numId="13" w16cid:durableId="1550264385">
    <w:abstractNumId w:val="0"/>
  </w:num>
  <w:num w:numId="14" w16cid:durableId="1229225258">
    <w:abstractNumId w:val="5"/>
  </w:num>
  <w:num w:numId="15" w16cid:durableId="736974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10"/>
    <w:rsid w:val="0006605A"/>
    <w:rsid w:val="00072FBC"/>
    <w:rsid w:val="00076C5D"/>
    <w:rsid w:val="001837C9"/>
    <w:rsid w:val="001E0D1C"/>
    <w:rsid w:val="0033215C"/>
    <w:rsid w:val="00335A1D"/>
    <w:rsid w:val="003B5E86"/>
    <w:rsid w:val="004028B0"/>
    <w:rsid w:val="004348AC"/>
    <w:rsid w:val="004B3431"/>
    <w:rsid w:val="004E17AE"/>
    <w:rsid w:val="00505D93"/>
    <w:rsid w:val="00585568"/>
    <w:rsid w:val="005B70F3"/>
    <w:rsid w:val="005F19CA"/>
    <w:rsid w:val="00605D61"/>
    <w:rsid w:val="006204EA"/>
    <w:rsid w:val="00647410"/>
    <w:rsid w:val="006740CE"/>
    <w:rsid w:val="006E386C"/>
    <w:rsid w:val="006E47E8"/>
    <w:rsid w:val="00716C1C"/>
    <w:rsid w:val="00737136"/>
    <w:rsid w:val="00747AAE"/>
    <w:rsid w:val="00747E17"/>
    <w:rsid w:val="007D15A9"/>
    <w:rsid w:val="00845CB2"/>
    <w:rsid w:val="008931C7"/>
    <w:rsid w:val="008C7C98"/>
    <w:rsid w:val="009D78CB"/>
    <w:rsid w:val="00A01559"/>
    <w:rsid w:val="00A13395"/>
    <w:rsid w:val="00A14AB8"/>
    <w:rsid w:val="00A405EE"/>
    <w:rsid w:val="00A6206C"/>
    <w:rsid w:val="00A912B9"/>
    <w:rsid w:val="00AC4292"/>
    <w:rsid w:val="00B659E7"/>
    <w:rsid w:val="00C4369D"/>
    <w:rsid w:val="00CA7447"/>
    <w:rsid w:val="00CF7A45"/>
    <w:rsid w:val="00D715E4"/>
    <w:rsid w:val="00DE5091"/>
    <w:rsid w:val="00E2096B"/>
    <w:rsid w:val="00EF77C2"/>
    <w:rsid w:val="00F15582"/>
    <w:rsid w:val="00F441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66"/>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_tradnl"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1A"/>
    <w:rPr>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
    <w:basedOn w:val="Normal"/>
    <w:link w:val="PrrafodelistaCar"/>
    <w:uiPriority w:val="34"/>
    <w:qFormat/>
    <w:rsid w:val="004A2A07"/>
    <w:pPr>
      <w:ind w:left="720"/>
      <w:contextualSpacing/>
    </w:pPr>
  </w:style>
  <w:style w:type="character" w:customStyle="1" w:styleId="Ninguno">
    <w:name w:val="Ninguno"/>
    <w:rsid w:val="003C22ED"/>
  </w:style>
  <w:style w:type="character" w:styleId="Hipervnculo">
    <w:name w:val="Hyperlink"/>
    <w:basedOn w:val="Fuentedeprrafopredeter"/>
    <w:uiPriority w:val="99"/>
    <w:unhideWhenUsed/>
    <w:rsid w:val="007A4897"/>
    <w:rPr>
      <w:color w:val="0563C1" w:themeColor="hyperlink"/>
      <w:u w:val="single"/>
    </w:rPr>
  </w:style>
  <w:style w:type="character" w:styleId="Mencinsinresolver">
    <w:name w:val="Unresolved Mention"/>
    <w:basedOn w:val="Fuentedeprrafopredeter"/>
    <w:uiPriority w:val="99"/>
    <w:semiHidden/>
    <w:unhideWhenUsed/>
    <w:rsid w:val="007A4897"/>
    <w:rPr>
      <w:color w:val="605E5C"/>
      <w:shd w:val="clear" w:color="auto" w:fill="E1DFDD"/>
    </w:rPr>
  </w:style>
  <w:style w:type="paragraph" w:styleId="Textonotapie">
    <w:name w:val="footnote text"/>
    <w:basedOn w:val="Normal"/>
    <w:link w:val="TextonotapieCar"/>
    <w:uiPriority w:val="99"/>
    <w:semiHidden/>
    <w:unhideWhenUsed/>
    <w:rsid w:val="00CD1F30"/>
    <w:pPr>
      <w:spacing w:line="240" w:lineRule="auto"/>
    </w:pPr>
    <w:rPr>
      <w:sz w:val="20"/>
      <w:szCs w:val="20"/>
    </w:rPr>
  </w:style>
  <w:style w:type="character" w:customStyle="1" w:styleId="TextonotapieCar">
    <w:name w:val="Texto nota pie Car"/>
    <w:basedOn w:val="Fuentedeprrafopredeter"/>
    <w:link w:val="Textonotapie"/>
    <w:uiPriority w:val="99"/>
    <w:semiHidden/>
    <w:rsid w:val="00CD1F30"/>
    <w:rPr>
      <w:rFonts w:ascii="Arial" w:eastAsia="Arial" w:hAnsi="Arial" w:cs="Arial"/>
      <w:sz w:val="20"/>
      <w:szCs w:val="20"/>
      <w:lang w:eastAsia="es-CO"/>
    </w:rPr>
  </w:style>
  <w:style w:type="character" w:styleId="Refdenotaalpie">
    <w:name w:val="footnote reference"/>
    <w:basedOn w:val="Fuentedeprrafopredeter"/>
    <w:uiPriority w:val="99"/>
    <w:semiHidden/>
    <w:unhideWhenUsed/>
    <w:rsid w:val="00CD1F30"/>
    <w:rPr>
      <w:vertAlign w:val="superscript"/>
    </w:rPr>
  </w:style>
  <w:style w:type="paragraph" w:styleId="Encabezado">
    <w:name w:val="header"/>
    <w:basedOn w:val="Normal"/>
    <w:link w:val="EncabezadoCar"/>
    <w:uiPriority w:val="99"/>
    <w:unhideWhenUsed/>
    <w:rsid w:val="009D70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07C"/>
    <w:rPr>
      <w:rFonts w:ascii="Arial" w:eastAsia="Arial" w:hAnsi="Arial" w:cs="Arial"/>
      <w:lang w:eastAsia="es-CO"/>
    </w:rPr>
  </w:style>
  <w:style w:type="paragraph" w:styleId="Piedepgina">
    <w:name w:val="footer"/>
    <w:basedOn w:val="Normal"/>
    <w:link w:val="PiedepginaCar"/>
    <w:uiPriority w:val="99"/>
    <w:unhideWhenUsed/>
    <w:rsid w:val="009D70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07C"/>
    <w:rPr>
      <w:rFonts w:ascii="Arial" w:eastAsia="Arial" w:hAnsi="Arial" w:cs="Arial"/>
      <w:lang w:eastAsia="es-CO"/>
    </w:rPr>
  </w:style>
  <w:style w:type="paragraph" w:styleId="Revisin">
    <w:name w:val="Revision"/>
    <w:hidden/>
    <w:uiPriority w:val="99"/>
    <w:semiHidden/>
    <w:rsid w:val="008962F5"/>
    <w:pPr>
      <w:spacing w:line="240" w:lineRule="auto"/>
    </w:pPr>
    <w:rPr>
      <w:lang w:eastAsia="es-CO"/>
    </w:rPr>
  </w:style>
  <w:style w:type="character" w:styleId="Refdecomentario">
    <w:name w:val="annotation reference"/>
    <w:basedOn w:val="Fuentedeprrafopredeter"/>
    <w:uiPriority w:val="99"/>
    <w:semiHidden/>
    <w:unhideWhenUsed/>
    <w:rsid w:val="00140373"/>
    <w:rPr>
      <w:sz w:val="16"/>
      <w:szCs w:val="16"/>
    </w:rPr>
  </w:style>
  <w:style w:type="paragraph" w:styleId="Textocomentario">
    <w:name w:val="annotation text"/>
    <w:basedOn w:val="Normal"/>
    <w:link w:val="TextocomentarioCar"/>
    <w:uiPriority w:val="99"/>
    <w:semiHidden/>
    <w:unhideWhenUsed/>
    <w:rsid w:val="00140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373"/>
    <w:rPr>
      <w:rFonts w:ascii="Arial" w:eastAsia="Arial" w:hAnsi="Arial"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40373"/>
    <w:rPr>
      <w:b/>
      <w:bCs/>
    </w:rPr>
  </w:style>
  <w:style w:type="character" w:customStyle="1" w:styleId="AsuntodelcomentarioCar">
    <w:name w:val="Asunto del comentario Car"/>
    <w:basedOn w:val="TextocomentarioCar"/>
    <w:link w:val="Asuntodelcomentario"/>
    <w:uiPriority w:val="99"/>
    <w:semiHidden/>
    <w:rsid w:val="00140373"/>
    <w:rPr>
      <w:rFonts w:ascii="Arial" w:eastAsia="Arial" w:hAnsi="Arial" w:cs="Arial"/>
      <w:b/>
      <w:bCs/>
      <w:sz w:val="20"/>
      <w:szCs w:val="20"/>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F44109"/>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paragraph" w:styleId="Sinespaciado">
    <w:name w:val="No Spacing"/>
    <w:aliases w:val="Gráficos"/>
    <w:link w:val="SinespaciadoCar"/>
    <w:uiPriority w:val="1"/>
    <w:qFormat/>
    <w:rsid w:val="004028B0"/>
    <w:pPr>
      <w:spacing w:line="240" w:lineRule="auto"/>
    </w:pPr>
    <w:rPr>
      <w:rFonts w:asciiTheme="minorHAnsi" w:eastAsiaTheme="minorHAnsi" w:hAnsiTheme="minorHAnsi" w:cstheme="minorBidi"/>
      <w:lang w:val="es-CO" w:eastAsia="en-US"/>
    </w:rPr>
  </w:style>
  <w:style w:type="character" w:customStyle="1" w:styleId="SinespaciadoCar">
    <w:name w:val="Sin espaciado Car"/>
    <w:aliases w:val="Gráficos Car"/>
    <w:link w:val="Sinespaciado"/>
    <w:uiPriority w:val="1"/>
    <w:locked/>
    <w:rsid w:val="004028B0"/>
    <w:rPr>
      <w:rFonts w:asciiTheme="minorHAnsi" w:eastAsiaTheme="minorHAnsi" w:hAnsiTheme="minorHAnsi" w:cstheme="minorBidi"/>
      <w:lang w:val="es-CO" w:eastAsia="en-US"/>
    </w:rPr>
  </w:style>
  <w:style w:type="character" w:styleId="Hipervnculovisitado">
    <w:name w:val="FollowedHyperlink"/>
    <w:basedOn w:val="Fuentedeprrafopredeter"/>
    <w:uiPriority w:val="99"/>
    <w:semiHidden/>
    <w:unhideWhenUsed/>
    <w:rsid w:val="00747AAE"/>
    <w:rPr>
      <w:color w:val="954F72" w:themeColor="followedHyperlink"/>
      <w:u w:val="single"/>
    </w:rPr>
  </w:style>
  <w:style w:type="character" w:customStyle="1" w:styleId="PrrafodelistaCar">
    <w:name w:val="Párrafo de lista Car"/>
    <w:aliases w:val="Ha Car,Resume Title Car"/>
    <w:link w:val="Prrafodelista"/>
    <w:uiPriority w:val="34"/>
    <w:locked/>
    <w:rsid w:val="005F19CA"/>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159">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42801056">
      <w:bodyDiv w:val="1"/>
      <w:marLeft w:val="0"/>
      <w:marRight w:val="0"/>
      <w:marTop w:val="0"/>
      <w:marBottom w:val="0"/>
      <w:divBdr>
        <w:top w:val="none" w:sz="0" w:space="0" w:color="auto"/>
        <w:left w:val="none" w:sz="0" w:space="0" w:color="auto"/>
        <w:bottom w:val="none" w:sz="0" w:space="0" w:color="auto"/>
        <w:right w:val="none" w:sz="0" w:space="0" w:color="auto"/>
      </w:divBdr>
    </w:div>
    <w:div w:id="49816061">
      <w:bodyDiv w:val="1"/>
      <w:marLeft w:val="0"/>
      <w:marRight w:val="0"/>
      <w:marTop w:val="0"/>
      <w:marBottom w:val="0"/>
      <w:divBdr>
        <w:top w:val="none" w:sz="0" w:space="0" w:color="auto"/>
        <w:left w:val="none" w:sz="0" w:space="0" w:color="auto"/>
        <w:bottom w:val="none" w:sz="0" w:space="0" w:color="auto"/>
        <w:right w:val="none" w:sz="0" w:space="0" w:color="auto"/>
      </w:divBdr>
    </w:div>
    <w:div w:id="145829207">
      <w:bodyDiv w:val="1"/>
      <w:marLeft w:val="0"/>
      <w:marRight w:val="0"/>
      <w:marTop w:val="0"/>
      <w:marBottom w:val="0"/>
      <w:divBdr>
        <w:top w:val="none" w:sz="0" w:space="0" w:color="auto"/>
        <w:left w:val="none" w:sz="0" w:space="0" w:color="auto"/>
        <w:bottom w:val="none" w:sz="0" w:space="0" w:color="auto"/>
        <w:right w:val="none" w:sz="0" w:space="0" w:color="auto"/>
      </w:divBdr>
    </w:div>
    <w:div w:id="466701671">
      <w:bodyDiv w:val="1"/>
      <w:marLeft w:val="0"/>
      <w:marRight w:val="0"/>
      <w:marTop w:val="0"/>
      <w:marBottom w:val="0"/>
      <w:divBdr>
        <w:top w:val="none" w:sz="0" w:space="0" w:color="auto"/>
        <w:left w:val="none" w:sz="0" w:space="0" w:color="auto"/>
        <w:bottom w:val="none" w:sz="0" w:space="0" w:color="auto"/>
        <w:right w:val="none" w:sz="0" w:space="0" w:color="auto"/>
      </w:divBdr>
    </w:div>
    <w:div w:id="537624411">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795803810">
      <w:bodyDiv w:val="1"/>
      <w:marLeft w:val="0"/>
      <w:marRight w:val="0"/>
      <w:marTop w:val="0"/>
      <w:marBottom w:val="0"/>
      <w:divBdr>
        <w:top w:val="none" w:sz="0" w:space="0" w:color="auto"/>
        <w:left w:val="none" w:sz="0" w:space="0" w:color="auto"/>
        <w:bottom w:val="none" w:sz="0" w:space="0" w:color="auto"/>
        <w:right w:val="none" w:sz="0" w:space="0" w:color="auto"/>
      </w:divBdr>
    </w:div>
    <w:div w:id="948900954">
      <w:bodyDiv w:val="1"/>
      <w:marLeft w:val="0"/>
      <w:marRight w:val="0"/>
      <w:marTop w:val="0"/>
      <w:marBottom w:val="0"/>
      <w:divBdr>
        <w:top w:val="none" w:sz="0" w:space="0" w:color="auto"/>
        <w:left w:val="none" w:sz="0" w:space="0" w:color="auto"/>
        <w:bottom w:val="none" w:sz="0" w:space="0" w:color="auto"/>
        <w:right w:val="none" w:sz="0" w:space="0" w:color="auto"/>
      </w:divBdr>
    </w:div>
    <w:div w:id="1010257058">
      <w:bodyDiv w:val="1"/>
      <w:marLeft w:val="0"/>
      <w:marRight w:val="0"/>
      <w:marTop w:val="0"/>
      <w:marBottom w:val="0"/>
      <w:divBdr>
        <w:top w:val="none" w:sz="0" w:space="0" w:color="auto"/>
        <w:left w:val="none" w:sz="0" w:space="0" w:color="auto"/>
        <w:bottom w:val="none" w:sz="0" w:space="0" w:color="auto"/>
        <w:right w:val="none" w:sz="0" w:space="0" w:color="auto"/>
      </w:divBdr>
    </w:div>
    <w:div w:id="1034692725">
      <w:bodyDiv w:val="1"/>
      <w:marLeft w:val="0"/>
      <w:marRight w:val="0"/>
      <w:marTop w:val="0"/>
      <w:marBottom w:val="0"/>
      <w:divBdr>
        <w:top w:val="none" w:sz="0" w:space="0" w:color="auto"/>
        <w:left w:val="none" w:sz="0" w:space="0" w:color="auto"/>
        <w:bottom w:val="none" w:sz="0" w:space="0" w:color="auto"/>
        <w:right w:val="none" w:sz="0" w:space="0" w:color="auto"/>
      </w:divBdr>
    </w:div>
    <w:div w:id="1045914118">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360937518">
      <w:bodyDiv w:val="1"/>
      <w:marLeft w:val="0"/>
      <w:marRight w:val="0"/>
      <w:marTop w:val="0"/>
      <w:marBottom w:val="0"/>
      <w:divBdr>
        <w:top w:val="none" w:sz="0" w:space="0" w:color="auto"/>
        <w:left w:val="none" w:sz="0" w:space="0" w:color="auto"/>
        <w:bottom w:val="none" w:sz="0" w:space="0" w:color="auto"/>
        <w:right w:val="none" w:sz="0" w:space="0" w:color="auto"/>
      </w:divBdr>
    </w:div>
    <w:div w:id="1433210985">
      <w:bodyDiv w:val="1"/>
      <w:marLeft w:val="0"/>
      <w:marRight w:val="0"/>
      <w:marTop w:val="0"/>
      <w:marBottom w:val="0"/>
      <w:divBdr>
        <w:top w:val="none" w:sz="0" w:space="0" w:color="auto"/>
        <w:left w:val="none" w:sz="0" w:space="0" w:color="auto"/>
        <w:bottom w:val="none" w:sz="0" w:space="0" w:color="auto"/>
        <w:right w:val="none" w:sz="0" w:space="0" w:color="auto"/>
      </w:divBdr>
    </w:div>
    <w:div w:id="1485049649">
      <w:bodyDiv w:val="1"/>
      <w:marLeft w:val="0"/>
      <w:marRight w:val="0"/>
      <w:marTop w:val="0"/>
      <w:marBottom w:val="0"/>
      <w:divBdr>
        <w:top w:val="none" w:sz="0" w:space="0" w:color="auto"/>
        <w:left w:val="none" w:sz="0" w:space="0" w:color="auto"/>
        <w:bottom w:val="none" w:sz="0" w:space="0" w:color="auto"/>
        <w:right w:val="none" w:sz="0" w:space="0" w:color="auto"/>
      </w:divBdr>
    </w:div>
    <w:div w:id="1724255507">
      <w:bodyDiv w:val="1"/>
      <w:marLeft w:val="0"/>
      <w:marRight w:val="0"/>
      <w:marTop w:val="0"/>
      <w:marBottom w:val="0"/>
      <w:divBdr>
        <w:top w:val="none" w:sz="0" w:space="0" w:color="auto"/>
        <w:left w:val="none" w:sz="0" w:space="0" w:color="auto"/>
        <w:bottom w:val="none" w:sz="0" w:space="0" w:color="auto"/>
        <w:right w:val="none" w:sz="0" w:space="0" w:color="auto"/>
      </w:divBdr>
    </w:div>
    <w:div w:id="1979215770">
      <w:bodyDiv w:val="1"/>
      <w:marLeft w:val="0"/>
      <w:marRight w:val="0"/>
      <w:marTop w:val="0"/>
      <w:marBottom w:val="0"/>
      <w:divBdr>
        <w:top w:val="none" w:sz="0" w:space="0" w:color="auto"/>
        <w:left w:val="none" w:sz="0" w:space="0" w:color="auto"/>
        <w:bottom w:val="none" w:sz="0" w:space="0" w:color="auto"/>
        <w:right w:val="none" w:sz="0" w:space="0" w:color="auto"/>
      </w:divBdr>
    </w:div>
    <w:div w:id="209323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erechoamorir.org/wp-content/uploads/2018/07/Ley-Eutanasia-Belgica.pdf" TargetMode="External"/><Relationship Id="rId18" Type="http://schemas.openxmlformats.org/officeDocument/2006/relationships/hyperlink" Target="https://derechoamorir.org/eutanasia-mundo/" TargetMode="External"/><Relationship Id="rId26" Type="http://schemas.openxmlformats.org/officeDocument/2006/relationships/hyperlink" Target="https://obtienearchivo.bcn.cl/obtienearchivo?id=repositorio/10221/27133/1/BCN_eutanasia_en_la_legislacion_chilena_FINAL.pdf" TargetMode="External"/><Relationship Id="rId39" Type="http://schemas.openxmlformats.org/officeDocument/2006/relationships/hyperlink" Target="https://www.desclab.com/post/actualizardva" TargetMode="External"/><Relationship Id="rId21" Type="http://schemas.openxmlformats.org/officeDocument/2006/relationships/hyperlink" Target="https://www.deathwithdignity.org/wp-content/uploads/2019/08/DC-Death-with-Dignity-Patient-Education-Module-042618.pdf" TargetMode="External"/><Relationship Id="rId34" Type="http://schemas.openxmlformats.org/officeDocument/2006/relationships/hyperlink" Target="https://www.gob.mx/inapam/articulos/ley-de-voluntad-anticipada-el-derecho-a-una-muerte-digna" TargetMode="External"/><Relationship Id="rId42" Type="http://schemas.openxmlformats.org/officeDocument/2006/relationships/hyperlink" Target="https://elpais.com/sociedad/2020/02/20/actualidad/1582202350_889184.html?ssm=TW_C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rechoamorir.org/wp-content/uploads/2018/07/Ley-Eutanasia-Luxemburgo.pdf" TargetMode="External"/><Relationship Id="rId29" Type="http://schemas.openxmlformats.org/officeDocument/2006/relationships/hyperlink" Target="https://www.legislation.wa.gov.au/legislation/prod/filestore.nsf/FileURL/mrdoc_42491.pdf/$FILE/Voluntary%20Assisted%20Dying%20Act%202019%20-%20%5B00-00-00%5D.pdf?OpenEl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thwithdignity.org/wp-content/uploads/2015/11/DC-Death-with-Dignity-Act.pdf" TargetMode="External"/><Relationship Id="rId24" Type="http://schemas.openxmlformats.org/officeDocument/2006/relationships/hyperlink" Target="https://health.hawaii.gov/opppd/files/2018/11/OCOC-Act2.pdf" TargetMode="External"/><Relationship Id="rId32" Type="http://schemas.openxmlformats.org/officeDocument/2006/relationships/hyperlink" Target="https://www.asuntoslegales.com.co/consumidor/bajo-que-parametros-legales-se-puede-ejecutar-la-eutanasia-en-colombia-3068819" TargetMode="External"/><Relationship Id="rId37" Type="http://schemas.openxmlformats.org/officeDocument/2006/relationships/hyperlink" Target="https://www.desclab.com/post/dvavideo" TargetMode="External"/><Relationship Id="rId40" Type="http://schemas.openxmlformats.org/officeDocument/2006/relationships/hyperlink" Target="https://www.desclab.com/post/formalizar" TargetMode="External"/><Relationship Id="rId45" Type="http://schemas.openxmlformats.org/officeDocument/2006/relationships/hyperlink" Target="https://www.lavoz.com.ar/ciudadanos/eutanasia-discusion-que-nadie-se-anima-dar" TargetMode="External"/><Relationship Id="rId5" Type="http://schemas.openxmlformats.org/officeDocument/2006/relationships/webSettings" Target="webSettings.xml"/><Relationship Id="rId15" Type="http://schemas.openxmlformats.org/officeDocument/2006/relationships/hyperlink" Target="https://derechoamorir.org/wp-content/uploads/2018/07/Ley-Eutanasia-Canada.pdf" TargetMode="External"/><Relationship Id="rId23" Type="http://schemas.openxmlformats.org/officeDocument/2006/relationships/hyperlink" Target="https://ww2.health.wa.gov.au/voluntaryassisteddying" TargetMode="External"/><Relationship Id="rId28" Type="http://schemas.openxmlformats.org/officeDocument/2006/relationships/hyperlink" Target="https://content.legislation.vic.gov.au/sites/default/files/2020-06/17-61aa004%20authorised.pdf" TargetMode="External"/><Relationship Id="rId36" Type="http://schemas.openxmlformats.org/officeDocument/2006/relationships/hyperlink" Target="https://www.desclab.com/post/ideadva" TargetMode="External"/><Relationship Id="rId10" Type="http://schemas.openxmlformats.org/officeDocument/2006/relationships/hyperlink" Target="https://www.argentina.gob.ar/normativa/nacional/ley-26742-197859/texto" TargetMode="External"/><Relationship Id="rId19" Type="http://schemas.openxmlformats.org/officeDocument/2006/relationships/hyperlink" Target="https://libreshastaelfinal.org" TargetMode="External"/><Relationship Id="rId31" Type="http://schemas.openxmlformats.org/officeDocument/2006/relationships/hyperlink" Target="https://www.dw.com/es/ayudar-a-morir-vuelve-a-ser-legal-en-alemania/a-52544838" TargetMode="External"/><Relationship Id="rId44" Type="http://schemas.openxmlformats.org/officeDocument/2006/relationships/hyperlink" Target="https://www.eltiempo.com/mundo/europa/perfil-de-vincent-lambert-simbolo-de-la-eutanasia-en-francia-387040" TargetMode="External"/><Relationship Id="rId4" Type="http://schemas.openxmlformats.org/officeDocument/2006/relationships/settings" Target="settings.xml"/><Relationship Id="rId9" Type="http://schemas.openxmlformats.org/officeDocument/2006/relationships/hyperlink" Target="https://www.sos.state.co.us/pubs/elections/Initiatives/titleBoard/filings/2015-2016/145Final.pdf" TargetMode="External"/><Relationship Id="rId14" Type="http://schemas.openxmlformats.org/officeDocument/2006/relationships/hyperlink" Target="https://derechoamorir.org/wp-content/uploads/2018/07/Ley-Eutanasia-Paises-Bajos.pdf" TargetMode="External"/><Relationship Id="rId22" Type="http://schemas.openxmlformats.org/officeDocument/2006/relationships/hyperlink" Target="https://www2.health.vic.gov.au/about/publications/policiesandguidelines/information-for-people-considering-voluntary-assisted-dying" TargetMode="External"/><Relationship Id="rId27" Type="http://schemas.openxmlformats.org/officeDocument/2006/relationships/hyperlink" Target="https://www.state.nj.us/health/advancedirective/maid/" TargetMode="External"/><Relationship Id="rId30" Type="http://schemas.openxmlformats.org/officeDocument/2006/relationships/hyperlink" Target="https://www.jpsmjournal.com/article/S0885-3924(16)30141-5/fulltext" TargetMode="External"/><Relationship Id="rId35" Type="http://schemas.openxmlformats.org/officeDocument/2006/relationships/hyperlink" Target="https://www.camara.gov.co/eutanasia-1" TargetMode="External"/><Relationship Id="rId43" Type="http://schemas.openxmlformats.org/officeDocument/2006/relationships/hyperlink" Target="https://elpais.com/sociedad/2020/02/19/actualidad/1582115262_135029.html" TargetMode="External"/><Relationship Id="rId48" Type="http://schemas.openxmlformats.org/officeDocument/2006/relationships/theme" Target="theme/theme1.xml"/><Relationship Id="rId8" Type="http://schemas.openxmlformats.org/officeDocument/2006/relationships/hyperlink" Target="https://www.colorado.gov/pacific/cdphe/medical-aid-dying" TargetMode="External"/><Relationship Id="rId3" Type="http://schemas.openxmlformats.org/officeDocument/2006/relationships/styles" Target="styles.xml"/><Relationship Id="rId12" Type="http://schemas.openxmlformats.org/officeDocument/2006/relationships/hyperlink" Target="https://www.deathwithdignity.org/states/hawaii/" TargetMode="External"/><Relationship Id="rId17" Type="http://schemas.openxmlformats.org/officeDocument/2006/relationships/hyperlink" Target="https://derechoamorir.org/wp-content/uploads/2019/04/1904-Impacto-Leyes-Death-with-Dignity.pdf" TargetMode="External"/><Relationship Id="rId25" Type="http://schemas.openxmlformats.org/officeDocument/2006/relationships/hyperlink" Target="https://health.hawaii.gov/opppd/files/2018/11/OCOC-Act2.pdf" TargetMode="External"/><Relationship Id="rId33" Type="http://schemas.openxmlformats.org/officeDocument/2006/relationships/hyperlink" Target="https://www.bbc.com/mundo/noticias-50943631" TargetMode="External"/><Relationship Id="rId38" Type="http://schemas.openxmlformats.org/officeDocument/2006/relationships/hyperlink" Target="https://www.desclab.com/post/dvapost" TargetMode="External"/><Relationship Id="rId46" Type="http://schemas.openxmlformats.org/officeDocument/2006/relationships/header" Target="header1.xml"/><Relationship Id="rId20" Type="http://schemas.openxmlformats.org/officeDocument/2006/relationships/hyperlink" Target="https://www.deathwithdignity.org/learn/access/" TargetMode="External"/><Relationship Id="rId41" Type="http://schemas.openxmlformats.org/officeDocument/2006/relationships/hyperlink" Target="https://www.cnnchile.com/programas-completos/vlado-mirosevic-eutanasia-libertades-individuales-congreso_2019082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ejustice.just.fgov.be/img_l/pdf/2002/05/28/2002009590_F.pdf" TargetMode="External"/><Relationship Id="rId18" Type="http://schemas.openxmlformats.org/officeDocument/2006/relationships/hyperlink" Target="https://www.boe.es/boe/dias/2021/03/25/pdfs/BOE-A-2021-4628.pdf" TargetMode="External"/><Relationship Id="rId26" Type="http://schemas.openxmlformats.org/officeDocument/2006/relationships/hyperlink" Target="https://www.nmlegis.gov/Sessions/21%20Regular/bills/house/HB0047.html" TargetMode="External"/><Relationship Id="rId21" Type="http://schemas.openxmlformats.org/officeDocument/2006/relationships/hyperlink" Target="https://www.sos.state.co.us/pubs/elections/Initiatives/titleBoard/filings/2015-2016/145Final.pdf" TargetMode="External"/><Relationship Id="rId34" Type="http://schemas.openxmlformats.org/officeDocument/2006/relationships/hyperlink" Target="https://www.legislation.govt.nz/act/public/2019/0067/latest/whole.html" TargetMode="External"/><Relationship Id="rId7" Type="http://schemas.openxmlformats.org/officeDocument/2006/relationships/hyperlink" Target="https://debates.parlamento.pt/catalogo/r3/dar/s2a/14/02/076S1/2021-02-12/2?pgs=2-11&amp;org=PLC" TargetMode="External"/><Relationship Id="rId12" Type="http://schemas.openxmlformats.org/officeDocument/2006/relationships/hyperlink" Target="https://www.legislation.tas.gov.au/view/whole/pdf/asmade/act-2021-001" TargetMode="External"/><Relationship Id="rId17" Type="http://schemas.openxmlformats.org/officeDocument/2006/relationships/hyperlink" Target="https://decisions.scc-csc.ca/scc-csc/scc-csc/en/item/14637/index.do" TargetMode="External"/><Relationship Id="rId25" Type="http://schemas.openxmlformats.org/officeDocument/2006/relationships/hyperlink" Target="https://www.njleg.state.nj.us/2018/Bills/PL19/59_.PDF" TargetMode="External"/><Relationship Id="rId33" Type="http://schemas.openxmlformats.org/officeDocument/2006/relationships/hyperlink" Target="http://data.legilux.public.lu/file/eli-etat-leg-memorial-2009-46-fr-pdf.pdf" TargetMode="External"/><Relationship Id="rId2" Type="http://schemas.openxmlformats.org/officeDocument/2006/relationships/hyperlink" Target="https://www.vfgh.gv.at/downloads/VfGH-Erkenntnis_G_139_2019_vom_11.12.2020.pdf" TargetMode="External"/><Relationship Id="rId16" Type="http://schemas.openxmlformats.org/officeDocument/2006/relationships/hyperlink" Target="https://www.parl.ca/Content/Bills/432/Government/C-7/C-7_4/C-7_4.PDF" TargetMode="External"/><Relationship Id="rId20" Type="http://schemas.openxmlformats.org/officeDocument/2006/relationships/hyperlink" Target="https://dchealth.dc.gov/sites/default/files/dc/sites/doh/page_content/attachments/Death%20With%20Dignity%20Act.FINAL_.pdf" TargetMode="External"/><Relationship Id="rId29" Type="http://schemas.openxmlformats.org/officeDocument/2006/relationships/hyperlink" Target="https://app.leg.wa.gov/RCW/default.aspx?cite=70.245" TargetMode="External"/><Relationship Id="rId1" Type="http://schemas.openxmlformats.org/officeDocument/2006/relationships/hyperlink" Target="https://www.bundesverfassungsgericht.de/SharedDocs/Pressemitteilungen/DE/2020/bvg20-012.html" TargetMode="External"/><Relationship Id="rId6" Type="http://schemas.openxmlformats.org/officeDocument/2006/relationships/hyperlink" Target="https://debates.parlamento.pt/catalogo/r3/dar/01/14/02/043/2021-01-30/86?pgs=86-87&amp;org=PLC" TargetMode="External"/><Relationship Id="rId11" Type="http://schemas.openxmlformats.org/officeDocument/2006/relationships/hyperlink" Target="https://www.legislation.wa.gov.au/legislation/prod/filestore.nsf/FileURL/mrdoc_42491.pdf/$FILE/Voluntary%20Assisted%20Dying%20Act%202019%20-%20%5B00-00-00%5D.pdf?OpenElement" TargetMode="External"/><Relationship Id="rId24" Type="http://schemas.openxmlformats.org/officeDocument/2006/relationships/hyperlink" Target="https://fnds.mt.gov/JUD/document?params=U2FsdGVkX1%2B8gpXKXDw973fE8wqPCs%2B9SDBzrJGwtnQkk4Oe1h4t0zNniu4Ad1RBzWSJF%2BGBCa4EkKXGXKPcvSIg%2ByfDRu5did37Qw06AfaO%2FPqe1Iy7ZB%2FU%2FEh7VyDFQu%2FdfP%2BGFPOM2TiVhJUcAw%3D%3D&amp;callback=" TargetMode="External"/><Relationship Id="rId32" Type="http://schemas.openxmlformats.org/officeDocument/2006/relationships/hyperlink" Target="https://english.euthanasiecommissie.nl/the-committees/documents/publications/euthanasia-code/euthanasia-code-2018/euthanasia-code-2018/codigo-eutanasia-2018" TargetMode="External"/><Relationship Id="rId37" Type="http://schemas.openxmlformats.org/officeDocument/2006/relationships/hyperlink" Target="https://www.ncbi.nlm.nih.gov/pmc/articles/PMC6794705/" TargetMode="External"/><Relationship Id="rId5" Type="http://schemas.openxmlformats.org/officeDocument/2006/relationships/hyperlink" Target="https://data.oireachtas.ie/ie/oireachtas/bill/2020/24/eng/initiated/b2420d.pdf" TargetMode="External"/><Relationship Id="rId15" Type="http://schemas.openxmlformats.org/officeDocument/2006/relationships/hyperlink" Target="https://www.parl.ca/Content/Bills/421/Government/C-14/C-14_4/C-14_4.PDF" TargetMode="External"/><Relationship Id="rId23" Type="http://schemas.openxmlformats.org/officeDocument/2006/relationships/hyperlink" Target="http://www.mainelegislature.org/legis/bills/getPDF.asp?paper=HP0948&amp;item=1&amp;snum=129" TargetMode="External"/><Relationship Id="rId28" Type="http://schemas.openxmlformats.org/officeDocument/2006/relationships/hyperlink" Target="http://www.leg.state.vt.us/docs/2014/Acts/ACT039.pdf" TargetMode="External"/><Relationship Id="rId36" Type="http://schemas.openxmlformats.org/officeDocument/2006/relationships/hyperlink" Target="https://fedlex.data.admin.ch/filestore/fedlex.data.admin.ch/eli/cc/54/757_781_799/20200701/de/pdf-a/fedlex-data-admin-ch-eli-cc-54-757_781_799-20200701-de-pdf-a.pdf" TargetMode="External"/><Relationship Id="rId10" Type="http://schemas.openxmlformats.org/officeDocument/2006/relationships/hyperlink" Target="https://content.legislation.vic.gov.au/sites/default/files/8caaf3b4-28f6-3ad1-acf3-e3c46177594e_17-61aa003%20authorised.pdf" TargetMode="External"/><Relationship Id="rId19" Type="http://schemas.openxmlformats.org/officeDocument/2006/relationships/hyperlink" Target="https://leginfo.legislature.ca.gov/faces/billTextClient.xhtml?bill_id=201520162AB15" TargetMode="External"/><Relationship Id="rId31" Type="http://schemas.openxmlformats.org/officeDocument/2006/relationships/hyperlink" Target="https://wfrtds.org/dutch-law-on-termination-of-life-on-request-and-assisted-suicide-complete-text/" TargetMode="External"/><Relationship Id="rId4" Type="http://schemas.openxmlformats.org/officeDocument/2006/relationships/hyperlink" Target="https://www.boe.es/boe/dias/2021/03/25/pdfs/BOE-A-2021-4628.pdf" TargetMode="External"/><Relationship Id="rId9" Type="http://schemas.openxmlformats.org/officeDocument/2006/relationships/hyperlink" Target="https://debates.parlamento.pt/catalogo/r3/dar/s2a/14/02/097S1/2021-03-16/2?pgs=2-27&amp;org=PLC" TargetMode="External"/><Relationship Id="rId14" Type="http://schemas.openxmlformats.org/officeDocument/2006/relationships/hyperlink" Target="http://legisquebec.gouv.qc.ca/fr/pdf/cs/S-32.0001.pdf" TargetMode="External"/><Relationship Id="rId22" Type="http://schemas.openxmlformats.org/officeDocument/2006/relationships/hyperlink" Target="https://health.hawaii.gov/opppd/files/2018/11/OCOC-Act2.pdf" TargetMode="External"/><Relationship Id="rId27" Type="http://schemas.openxmlformats.org/officeDocument/2006/relationships/hyperlink" Target="https://www.oregon.gov/oha/PH/PROVIDERPARTNERRESOURCES/EVALUATIONRESEARCH/DEATHWITHDIGNITYACT/Documents/statute.pdf" TargetMode="External"/><Relationship Id="rId30" Type="http://schemas.openxmlformats.org/officeDocument/2006/relationships/hyperlink" Target="https://www.government.nl/topics/euthanasia/euthanasia-and-newborn-infants" TargetMode="External"/><Relationship Id="rId35" Type="http://schemas.openxmlformats.org/officeDocument/2006/relationships/hyperlink" Target="https://gazette.govt.nz/assets/pdf-cache/2020/2020-au5132.pdf?2020-12-17_22%3A50%3A30=" TargetMode="External"/><Relationship Id="rId8" Type="http://schemas.openxmlformats.org/officeDocument/2006/relationships/hyperlink" Target="http://www.tribunalconstitucional.pt/tc/acordaos/20210123.html" TargetMode="External"/><Relationship Id="rId3" Type="http://schemas.openxmlformats.org/officeDocument/2006/relationships/hyperlink" Target="https://www.camara.cl/legislacion/ProyectosDeLey/tramitacion.aspx?prmID=12267&amp;prmBOLETIN=11745-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hPaR2WKJIEOai6CF+6+8iaR8g==">AMUW2mUDusLZl6HfUGTJP6aYZSTeDDqORCQRjGRPCnynpC3VDMYpOwb9r+z49liwfBLcnl+gBteWo0+wrweLHLMieg3P28d06uSavX3MqGQUGx97/W96Mc7NorzW6MwaVIIAU0HfVlIt7Qh/PxGel/7iOOt0v/oHpl7/NA8/1WfvGuWESSF6wCBM9SJ4XuqC5qciWW/gQ9zp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34598</Words>
  <Characters>190293</Characters>
  <Application>Microsoft Office Word</Application>
  <DocSecurity>0</DocSecurity>
  <Lines>1585</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Alejandro Mendoza Mojica</dc:creator>
  <cp:lastModifiedBy>Arturo Cortés</cp:lastModifiedBy>
  <cp:revision>2</cp:revision>
  <dcterms:created xsi:type="dcterms:W3CDTF">2022-08-10T21:46:00Z</dcterms:created>
  <dcterms:modified xsi:type="dcterms:W3CDTF">2022-08-10T21:46:00Z</dcterms:modified>
</cp:coreProperties>
</file>